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813C" w14:textId="2422CF8B" w:rsidR="007E265E" w:rsidRPr="00D06578" w:rsidRDefault="00E44D71" w:rsidP="007E265E">
      <w:pPr>
        <w:ind w:right="17"/>
        <w:jc w:val="center"/>
        <w:outlineLvl w:val="0"/>
        <w:rPr>
          <w:rFonts w:eastAsia="Times New Roman" w:cstheme="majorHAnsi"/>
          <w:b/>
          <w:bCs/>
          <w:sz w:val="24"/>
          <w:szCs w:val="24"/>
          <w:lang w:val="en-US"/>
        </w:rPr>
      </w:pPr>
      <w:r w:rsidRPr="002A2804">
        <w:rPr>
          <w:rFonts w:ascii="Calibri" w:eastAsia="Times New Roman" w:hAnsi="Calibri" w:cstheme="majorHAnsi"/>
          <w:b/>
          <w:bCs/>
          <w:noProof/>
          <w:sz w:val="28"/>
          <w:szCs w:val="28"/>
          <w:lang w:eastAsia="en-GB"/>
        </w:rPr>
        <w:drawing>
          <wp:anchor distT="0" distB="0" distL="114300" distR="114300" simplePos="0" relativeHeight="251661312" behindDoc="1" locked="0" layoutInCell="1" allowOverlap="1" wp14:anchorId="6C74058E" wp14:editId="7C4F7121">
            <wp:simplePos x="0" y="0"/>
            <wp:positionH relativeFrom="column">
              <wp:posOffset>-202580</wp:posOffset>
            </wp:positionH>
            <wp:positionV relativeFrom="page">
              <wp:posOffset>531348</wp:posOffset>
            </wp:positionV>
            <wp:extent cx="1645200" cy="1713600"/>
            <wp:effectExtent l="0" t="0" r="0" b="1270"/>
            <wp:wrapThrough wrapText="bothSides">
              <wp:wrapPolygon edited="0">
                <wp:start x="0" y="0"/>
                <wp:lineTo x="0" y="21376"/>
                <wp:lineTo x="21266" y="21376"/>
                <wp:lineTo x="212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7E265E" w:rsidRPr="00D06578">
        <w:rPr>
          <w:rFonts w:eastAsia="Times New Roman" w:cstheme="majorHAnsi"/>
          <w:b/>
          <w:bCs/>
          <w:sz w:val="24"/>
          <w:szCs w:val="24"/>
          <w:lang w:val="en-US"/>
        </w:rPr>
        <w:t>13th</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Meeting</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of</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the</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Conference</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of</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the</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Contracting</w:t>
      </w:r>
      <w:r w:rsidR="007E265E">
        <w:rPr>
          <w:rFonts w:eastAsia="Times New Roman" w:cstheme="majorHAnsi"/>
          <w:b/>
          <w:bCs/>
          <w:sz w:val="24"/>
          <w:szCs w:val="24"/>
          <w:lang w:val="en-US"/>
        </w:rPr>
        <w:t xml:space="preserve"> </w:t>
      </w:r>
      <w:r w:rsidR="007E265E" w:rsidRPr="00D06578">
        <w:rPr>
          <w:rFonts w:eastAsia="Times New Roman" w:cstheme="majorHAnsi"/>
          <w:b/>
          <w:bCs/>
          <w:sz w:val="24"/>
          <w:szCs w:val="24"/>
          <w:lang w:val="en-US"/>
        </w:rPr>
        <w:t>Parties</w:t>
      </w:r>
    </w:p>
    <w:p w14:paraId="603FA892" w14:textId="77777777" w:rsidR="007E265E" w:rsidRPr="00D06578" w:rsidRDefault="007E265E" w:rsidP="007E265E">
      <w:pPr>
        <w:ind w:right="17"/>
        <w:jc w:val="center"/>
        <w:outlineLvl w:val="0"/>
        <w:rPr>
          <w:rFonts w:eastAsia="Times New Roman" w:cstheme="majorHAnsi"/>
          <w:b/>
          <w:bCs/>
          <w:sz w:val="24"/>
          <w:szCs w:val="24"/>
          <w:lang w:val="en-US"/>
        </w:rPr>
      </w:pPr>
      <w:r w:rsidRPr="00D06578">
        <w:rPr>
          <w:rFonts w:eastAsia="Times New Roman" w:cstheme="majorHAnsi"/>
          <w:b/>
          <w:bCs/>
          <w:sz w:val="24"/>
          <w:szCs w:val="24"/>
          <w:lang w:val="en-US"/>
        </w:rPr>
        <w:t>to</w:t>
      </w:r>
      <w:r>
        <w:rPr>
          <w:rFonts w:eastAsia="Times New Roman" w:cstheme="majorHAnsi"/>
          <w:b/>
          <w:bCs/>
          <w:sz w:val="24"/>
          <w:szCs w:val="24"/>
          <w:lang w:val="en-US"/>
        </w:rPr>
        <w:t xml:space="preserve"> </w:t>
      </w:r>
      <w:r w:rsidRPr="00D06578">
        <w:rPr>
          <w:rFonts w:eastAsia="Times New Roman" w:cstheme="majorHAnsi"/>
          <w:b/>
          <w:bCs/>
          <w:sz w:val="24"/>
          <w:szCs w:val="24"/>
          <w:lang w:val="en-US"/>
        </w:rPr>
        <w:t>the</w:t>
      </w:r>
      <w:r>
        <w:rPr>
          <w:rFonts w:eastAsia="Times New Roman" w:cstheme="majorHAnsi"/>
          <w:b/>
          <w:bCs/>
          <w:sz w:val="24"/>
          <w:szCs w:val="24"/>
          <w:lang w:val="en-US"/>
        </w:rPr>
        <w:t xml:space="preserve"> </w:t>
      </w:r>
      <w:r w:rsidRPr="00D06578">
        <w:rPr>
          <w:rFonts w:eastAsia="Times New Roman" w:cstheme="majorHAnsi"/>
          <w:b/>
          <w:bCs/>
          <w:sz w:val="24"/>
          <w:szCs w:val="24"/>
          <w:lang w:val="en-US"/>
        </w:rPr>
        <w:t>Ramsar</w:t>
      </w:r>
      <w:r>
        <w:rPr>
          <w:rFonts w:eastAsia="Times New Roman" w:cstheme="majorHAnsi"/>
          <w:b/>
          <w:bCs/>
          <w:sz w:val="24"/>
          <w:szCs w:val="24"/>
          <w:lang w:val="en-US"/>
        </w:rPr>
        <w:t xml:space="preserve"> </w:t>
      </w:r>
      <w:r w:rsidRPr="00D06578">
        <w:rPr>
          <w:rFonts w:eastAsia="Times New Roman" w:cstheme="majorHAnsi"/>
          <w:b/>
          <w:bCs/>
          <w:sz w:val="24"/>
          <w:szCs w:val="24"/>
          <w:lang w:val="en-US"/>
        </w:rPr>
        <w:t>Convention</w:t>
      </w:r>
      <w:r>
        <w:rPr>
          <w:rFonts w:eastAsia="Times New Roman" w:cstheme="majorHAnsi"/>
          <w:b/>
          <w:bCs/>
          <w:sz w:val="24"/>
          <w:szCs w:val="24"/>
          <w:lang w:val="en-US"/>
        </w:rPr>
        <w:t xml:space="preserve"> </w:t>
      </w:r>
      <w:r w:rsidRPr="00D06578">
        <w:rPr>
          <w:rFonts w:eastAsia="Times New Roman" w:cstheme="majorHAnsi"/>
          <w:b/>
          <w:bCs/>
          <w:sz w:val="24"/>
          <w:szCs w:val="24"/>
          <w:lang w:val="en-US"/>
        </w:rPr>
        <w:t>on</w:t>
      </w:r>
      <w:r>
        <w:rPr>
          <w:rFonts w:eastAsia="Times New Roman" w:cstheme="majorHAnsi"/>
          <w:b/>
          <w:bCs/>
          <w:sz w:val="24"/>
          <w:szCs w:val="24"/>
          <w:lang w:val="en-US"/>
        </w:rPr>
        <w:t xml:space="preserve"> </w:t>
      </w:r>
      <w:r w:rsidRPr="00D06578">
        <w:rPr>
          <w:rFonts w:eastAsia="Times New Roman" w:cstheme="majorHAnsi"/>
          <w:b/>
          <w:bCs/>
          <w:sz w:val="24"/>
          <w:szCs w:val="24"/>
          <w:lang w:val="en-US"/>
        </w:rPr>
        <w:t>Wetlands</w:t>
      </w:r>
    </w:p>
    <w:p w14:paraId="0532D7B6" w14:textId="77777777" w:rsidR="007E265E" w:rsidRPr="00D06578" w:rsidRDefault="007E265E" w:rsidP="007E265E">
      <w:pPr>
        <w:ind w:right="17"/>
        <w:jc w:val="center"/>
        <w:outlineLvl w:val="0"/>
        <w:rPr>
          <w:rFonts w:eastAsia="Times New Roman" w:cstheme="majorHAnsi"/>
          <w:b/>
          <w:bCs/>
          <w:sz w:val="24"/>
          <w:szCs w:val="24"/>
          <w:lang w:val="en-US"/>
        </w:rPr>
      </w:pPr>
    </w:p>
    <w:p w14:paraId="0A8A1F76" w14:textId="77777777" w:rsidR="007E265E" w:rsidRPr="00D06578" w:rsidRDefault="007E265E" w:rsidP="007E265E">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w:t>
      </w:r>
      <w:r w:rsidRPr="00D06578">
        <w:rPr>
          <w:rFonts w:eastAsia="Times New Roman" w:cstheme="majorHAnsi"/>
          <w:b/>
          <w:bCs/>
          <w:sz w:val="24"/>
          <w:szCs w:val="24"/>
          <w:lang w:val="en-US"/>
        </w:rPr>
        <w:t>Wetlands</w:t>
      </w:r>
      <w:r>
        <w:rPr>
          <w:rFonts w:eastAsia="Times New Roman" w:cstheme="majorHAnsi"/>
          <w:b/>
          <w:bCs/>
          <w:sz w:val="24"/>
          <w:szCs w:val="24"/>
          <w:lang w:val="en-US"/>
        </w:rPr>
        <w:t xml:space="preserve"> </w:t>
      </w:r>
      <w:r w:rsidRPr="00D06578">
        <w:rPr>
          <w:rFonts w:eastAsia="Times New Roman" w:cstheme="majorHAnsi"/>
          <w:b/>
          <w:bCs/>
          <w:sz w:val="24"/>
          <w:szCs w:val="24"/>
          <w:lang w:val="en-US"/>
        </w:rPr>
        <w:t>for</w:t>
      </w:r>
      <w:r>
        <w:rPr>
          <w:rFonts w:eastAsia="Times New Roman" w:cstheme="majorHAnsi"/>
          <w:b/>
          <w:bCs/>
          <w:sz w:val="24"/>
          <w:szCs w:val="24"/>
          <w:lang w:val="en-US"/>
        </w:rPr>
        <w:t xml:space="preserve"> </w:t>
      </w:r>
      <w:r w:rsidRPr="00D06578">
        <w:rPr>
          <w:rFonts w:eastAsia="Times New Roman" w:cstheme="majorHAnsi"/>
          <w:b/>
          <w:bCs/>
          <w:sz w:val="24"/>
          <w:szCs w:val="24"/>
          <w:lang w:val="en-US"/>
        </w:rPr>
        <w:t>a</w:t>
      </w:r>
      <w:r>
        <w:rPr>
          <w:rFonts w:eastAsia="Times New Roman" w:cstheme="majorHAnsi"/>
          <w:b/>
          <w:bCs/>
          <w:sz w:val="24"/>
          <w:szCs w:val="24"/>
          <w:lang w:val="en-US"/>
        </w:rPr>
        <w:t xml:space="preserve"> </w:t>
      </w:r>
      <w:r w:rsidRPr="00D06578">
        <w:rPr>
          <w:rFonts w:eastAsia="Times New Roman" w:cstheme="majorHAnsi"/>
          <w:b/>
          <w:bCs/>
          <w:sz w:val="24"/>
          <w:szCs w:val="24"/>
          <w:lang w:val="en-US"/>
        </w:rPr>
        <w:t>Sustainable</w:t>
      </w:r>
      <w:r>
        <w:rPr>
          <w:rFonts w:eastAsia="Times New Roman" w:cstheme="majorHAnsi"/>
          <w:b/>
          <w:bCs/>
          <w:sz w:val="24"/>
          <w:szCs w:val="24"/>
          <w:lang w:val="en-US"/>
        </w:rPr>
        <w:t xml:space="preserve"> </w:t>
      </w:r>
      <w:r w:rsidRPr="00D06578">
        <w:rPr>
          <w:rFonts w:eastAsia="Times New Roman" w:cstheme="majorHAnsi"/>
          <w:b/>
          <w:bCs/>
          <w:sz w:val="24"/>
          <w:szCs w:val="24"/>
          <w:lang w:val="en-US"/>
        </w:rPr>
        <w:t>Urban</w:t>
      </w:r>
      <w:r>
        <w:rPr>
          <w:rFonts w:eastAsia="Times New Roman" w:cstheme="majorHAnsi"/>
          <w:b/>
          <w:bCs/>
          <w:sz w:val="24"/>
          <w:szCs w:val="24"/>
          <w:lang w:val="en-US"/>
        </w:rPr>
        <w:t xml:space="preserve"> </w:t>
      </w:r>
      <w:r w:rsidRPr="00D06578">
        <w:rPr>
          <w:rFonts w:eastAsia="Times New Roman" w:cstheme="majorHAnsi"/>
          <w:b/>
          <w:bCs/>
          <w:sz w:val="24"/>
          <w:szCs w:val="24"/>
          <w:lang w:val="en-US"/>
        </w:rPr>
        <w:t>Future</w:t>
      </w:r>
      <w:r>
        <w:rPr>
          <w:rFonts w:eastAsia="Times New Roman" w:cstheme="majorHAnsi"/>
          <w:b/>
          <w:bCs/>
          <w:sz w:val="24"/>
          <w:szCs w:val="24"/>
          <w:lang w:val="en-US"/>
        </w:rPr>
        <w:t>”</w:t>
      </w:r>
    </w:p>
    <w:p w14:paraId="6FE5AA23" w14:textId="77777777" w:rsidR="007E265E" w:rsidRPr="00D06578" w:rsidRDefault="007E265E" w:rsidP="007E265E">
      <w:pPr>
        <w:ind w:right="17"/>
        <w:jc w:val="center"/>
        <w:outlineLvl w:val="0"/>
        <w:rPr>
          <w:rFonts w:eastAsia="Times New Roman" w:cstheme="majorHAnsi"/>
          <w:b/>
          <w:bCs/>
          <w:sz w:val="24"/>
          <w:szCs w:val="24"/>
          <w:lang w:val="en-US"/>
        </w:rPr>
      </w:pPr>
      <w:r w:rsidRPr="00D06578">
        <w:rPr>
          <w:rFonts w:eastAsia="Times New Roman" w:cstheme="majorHAnsi"/>
          <w:b/>
          <w:bCs/>
          <w:sz w:val="24"/>
          <w:szCs w:val="24"/>
          <w:lang w:val="en-US"/>
        </w:rPr>
        <w:t>Dubai,</w:t>
      </w:r>
      <w:r>
        <w:rPr>
          <w:rFonts w:eastAsia="Times New Roman" w:cstheme="majorHAnsi"/>
          <w:b/>
          <w:bCs/>
          <w:sz w:val="24"/>
          <w:szCs w:val="24"/>
          <w:lang w:val="en-US"/>
        </w:rPr>
        <w:t xml:space="preserve"> </w:t>
      </w:r>
      <w:r w:rsidRPr="00D06578">
        <w:rPr>
          <w:rFonts w:eastAsia="Times New Roman" w:cstheme="majorHAnsi"/>
          <w:b/>
          <w:bCs/>
          <w:sz w:val="24"/>
          <w:szCs w:val="24"/>
          <w:lang w:val="en-US"/>
        </w:rPr>
        <w:t>United</w:t>
      </w:r>
      <w:r>
        <w:rPr>
          <w:rFonts w:eastAsia="Times New Roman" w:cstheme="majorHAnsi"/>
          <w:b/>
          <w:bCs/>
          <w:sz w:val="24"/>
          <w:szCs w:val="24"/>
          <w:lang w:val="en-US"/>
        </w:rPr>
        <w:t xml:space="preserve"> </w:t>
      </w:r>
      <w:r w:rsidRPr="00D06578">
        <w:rPr>
          <w:rFonts w:eastAsia="Times New Roman" w:cstheme="majorHAnsi"/>
          <w:b/>
          <w:bCs/>
          <w:sz w:val="24"/>
          <w:szCs w:val="24"/>
          <w:lang w:val="en-US"/>
        </w:rPr>
        <w:t>Arab</w:t>
      </w:r>
      <w:r>
        <w:rPr>
          <w:rFonts w:eastAsia="Times New Roman" w:cstheme="majorHAnsi"/>
          <w:b/>
          <w:bCs/>
          <w:sz w:val="24"/>
          <w:szCs w:val="24"/>
          <w:lang w:val="en-US"/>
        </w:rPr>
        <w:t xml:space="preserve"> </w:t>
      </w:r>
      <w:r w:rsidRPr="00D06578">
        <w:rPr>
          <w:rFonts w:eastAsia="Times New Roman" w:cstheme="majorHAnsi"/>
          <w:b/>
          <w:bCs/>
          <w:sz w:val="24"/>
          <w:szCs w:val="24"/>
          <w:lang w:val="en-US"/>
        </w:rPr>
        <w:t>Emirates,</w:t>
      </w:r>
      <w:r>
        <w:rPr>
          <w:rFonts w:eastAsia="Times New Roman" w:cstheme="majorHAnsi"/>
          <w:b/>
          <w:bCs/>
          <w:sz w:val="24"/>
          <w:szCs w:val="24"/>
          <w:lang w:val="en-US"/>
        </w:rPr>
        <w:t xml:space="preserve"> </w:t>
      </w:r>
      <w:r w:rsidRPr="00D06578">
        <w:rPr>
          <w:rFonts w:eastAsia="Times New Roman" w:cstheme="majorHAnsi"/>
          <w:b/>
          <w:bCs/>
          <w:sz w:val="24"/>
          <w:szCs w:val="24"/>
          <w:lang w:val="en-US"/>
        </w:rPr>
        <w:t>21-29</w:t>
      </w:r>
      <w:r>
        <w:rPr>
          <w:rFonts w:eastAsia="Times New Roman" w:cstheme="majorHAnsi"/>
          <w:b/>
          <w:bCs/>
          <w:sz w:val="24"/>
          <w:szCs w:val="24"/>
          <w:lang w:val="en-US"/>
        </w:rPr>
        <w:t xml:space="preserve"> </w:t>
      </w:r>
      <w:r w:rsidRPr="00D06578">
        <w:rPr>
          <w:rFonts w:eastAsia="Times New Roman" w:cstheme="majorHAnsi"/>
          <w:b/>
          <w:bCs/>
          <w:sz w:val="24"/>
          <w:szCs w:val="24"/>
          <w:lang w:val="en-US"/>
        </w:rPr>
        <w:t>October</w:t>
      </w:r>
      <w:r>
        <w:rPr>
          <w:rFonts w:eastAsia="Times New Roman" w:cstheme="majorHAnsi"/>
          <w:b/>
          <w:bCs/>
          <w:sz w:val="24"/>
          <w:szCs w:val="24"/>
          <w:lang w:val="en-US"/>
        </w:rPr>
        <w:t xml:space="preserve"> </w:t>
      </w:r>
      <w:r w:rsidRPr="00D06578">
        <w:rPr>
          <w:rFonts w:eastAsia="Times New Roman" w:cstheme="majorHAnsi"/>
          <w:b/>
          <w:bCs/>
          <w:sz w:val="24"/>
          <w:szCs w:val="24"/>
          <w:lang w:val="en-US"/>
        </w:rPr>
        <w:t>2018</w:t>
      </w:r>
    </w:p>
    <w:p w14:paraId="58BCEA5D" w14:textId="3E352776" w:rsidR="007E265E" w:rsidRDefault="007E265E" w:rsidP="007E265E">
      <w:pPr>
        <w:jc w:val="center"/>
        <w:outlineLvl w:val="0"/>
        <w:rPr>
          <w:rFonts w:cstheme="majorHAnsi"/>
          <w:b/>
          <w:bCs/>
          <w:sz w:val="28"/>
          <w:szCs w:val="28"/>
          <w:lang w:val="en-US"/>
        </w:rPr>
      </w:pPr>
    </w:p>
    <w:p w14:paraId="1837AF83" w14:textId="77777777" w:rsidR="00E44D71" w:rsidRPr="00D06578" w:rsidRDefault="00E44D71" w:rsidP="007E265E">
      <w:pPr>
        <w:jc w:val="center"/>
        <w:outlineLvl w:val="0"/>
        <w:rPr>
          <w:rFonts w:cstheme="majorHAnsi"/>
          <w:b/>
          <w:bCs/>
          <w:sz w:val="28"/>
          <w:szCs w:val="28"/>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E265E" w:rsidRPr="00A138B1" w14:paraId="7C195EEF" w14:textId="77777777" w:rsidTr="00756ADA">
        <w:tc>
          <w:tcPr>
            <w:tcW w:w="4708" w:type="dxa"/>
          </w:tcPr>
          <w:p w14:paraId="6277D01E" w14:textId="77777777" w:rsidR="007E265E" w:rsidRPr="00D06578" w:rsidRDefault="007E265E" w:rsidP="00756ADA">
            <w:pPr>
              <w:jc w:val="center"/>
              <w:outlineLvl w:val="0"/>
              <w:rPr>
                <w:rFonts w:cstheme="majorHAnsi"/>
                <w:b/>
                <w:bCs/>
              </w:rPr>
            </w:pPr>
          </w:p>
        </w:tc>
        <w:tc>
          <w:tcPr>
            <w:tcW w:w="4652" w:type="dxa"/>
          </w:tcPr>
          <w:p w14:paraId="2978030A" w14:textId="4398846C" w:rsidR="007E265E" w:rsidRPr="00B3125E" w:rsidRDefault="007E265E" w:rsidP="007E265E">
            <w:pPr>
              <w:jc w:val="right"/>
              <w:outlineLvl w:val="0"/>
              <w:rPr>
                <w:rFonts w:cstheme="majorHAnsi"/>
                <w:b/>
                <w:bCs/>
                <w:sz w:val="24"/>
                <w:szCs w:val="24"/>
                <w:lang w:val="es-ES_tradnl"/>
              </w:rPr>
            </w:pPr>
            <w:r w:rsidRPr="00B3125E">
              <w:rPr>
                <w:rFonts w:cstheme="majorHAnsi"/>
                <w:b/>
                <w:bCs/>
                <w:sz w:val="24"/>
                <w:szCs w:val="24"/>
                <w:lang w:val="es-ES_tradnl"/>
              </w:rPr>
              <w:t>Ramsar COP13 Doc.11.2</w:t>
            </w:r>
          </w:p>
        </w:tc>
      </w:tr>
    </w:tbl>
    <w:p w14:paraId="745C01E3" w14:textId="77777777" w:rsidR="007E265E" w:rsidRPr="004D7AB9" w:rsidRDefault="007E265E" w:rsidP="007E265E">
      <w:pPr>
        <w:jc w:val="both"/>
        <w:rPr>
          <w:rFonts w:eastAsia="Times New Roman" w:cstheme="minorHAnsi"/>
          <w:b/>
          <w:lang w:eastAsia="fr-FR"/>
        </w:rPr>
      </w:pPr>
    </w:p>
    <w:p w14:paraId="7E84A696" w14:textId="6A8C1596" w:rsidR="007E265E" w:rsidRPr="006C4C10" w:rsidRDefault="007E265E" w:rsidP="007E265E">
      <w:pPr>
        <w:jc w:val="center"/>
        <w:rPr>
          <w:rFonts w:cstheme="minorHAnsi"/>
          <w:b/>
          <w:sz w:val="28"/>
          <w:szCs w:val="28"/>
        </w:rPr>
      </w:pPr>
      <w:r w:rsidRPr="006C4C10">
        <w:rPr>
          <w:rFonts w:cstheme="minorHAnsi"/>
          <w:b/>
          <w:sz w:val="28"/>
          <w:szCs w:val="28"/>
        </w:rPr>
        <w:t>Report</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Secretary</w:t>
      </w:r>
      <w:r>
        <w:rPr>
          <w:rFonts w:cstheme="minorHAnsi"/>
          <w:b/>
          <w:sz w:val="28"/>
          <w:szCs w:val="28"/>
        </w:rPr>
        <w:t xml:space="preserve"> </w:t>
      </w:r>
      <w:r w:rsidRPr="006C4C10">
        <w:rPr>
          <w:rFonts w:cstheme="minorHAnsi"/>
          <w:b/>
          <w:sz w:val="28"/>
          <w:szCs w:val="28"/>
        </w:rPr>
        <w:t>General</w:t>
      </w:r>
      <w:r>
        <w:rPr>
          <w:rFonts w:cstheme="minorHAnsi"/>
          <w:b/>
          <w:sz w:val="28"/>
          <w:szCs w:val="28"/>
        </w:rPr>
        <w:t xml:space="preserve"> </w:t>
      </w:r>
      <w:r w:rsidRPr="006C4C10">
        <w:rPr>
          <w:rFonts w:cstheme="minorHAnsi"/>
          <w:b/>
          <w:sz w:val="28"/>
          <w:szCs w:val="28"/>
        </w:rPr>
        <w:t>on</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implementation</w:t>
      </w:r>
      <w:r>
        <w:rPr>
          <w:rFonts w:cstheme="minorHAnsi"/>
          <w:b/>
          <w:sz w:val="28"/>
          <w:szCs w:val="28"/>
        </w:rPr>
        <w:t xml:space="preserve"> </w:t>
      </w:r>
      <w:r w:rsidRPr="006C4C10">
        <w:rPr>
          <w:rFonts w:cstheme="minorHAnsi"/>
          <w:b/>
          <w:sz w:val="28"/>
          <w:szCs w:val="28"/>
        </w:rPr>
        <w:t>of</w:t>
      </w:r>
      <w:r>
        <w:rPr>
          <w:rFonts w:cstheme="minorHAnsi"/>
          <w:b/>
          <w:sz w:val="28"/>
          <w:szCs w:val="28"/>
        </w:rPr>
        <w:t xml:space="preserve"> </w:t>
      </w:r>
      <w:r w:rsidRPr="006C4C10">
        <w:rPr>
          <w:rFonts w:cstheme="minorHAnsi"/>
          <w:b/>
          <w:sz w:val="28"/>
          <w:szCs w:val="28"/>
        </w:rPr>
        <w:t>the</w:t>
      </w:r>
      <w:r>
        <w:rPr>
          <w:rFonts w:cstheme="minorHAnsi"/>
          <w:b/>
          <w:sz w:val="28"/>
          <w:szCs w:val="28"/>
        </w:rPr>
        <w:t xml:space="preserve"> </w:t>
      </w:r>
      <w:r w:rsidRPr="006C4C10">
        <w:rPr>
          <w:rFonts w:cstheme="minorHAnsi"/>
          <w:b/>
          <w:sz w:val="28"/>
          <w:szCs w:val="28"/>
        </w:rPr>
        <w:t>Convention</w:t>
      </w:r>
      <w:r>
        <w:rPr>
          <w:rFonts w:cstheme="minorHAnsi"/>
          <w:b/>
          <w:sz w:val="28"/>
          <w:szCs w:val="28"/>
        </w:rPr>
        <w:t xml:space="preserve">: </w:t>
      </w:r>
      <w:r w:rsidR="004055EA">
        <w:rPr>
          <w:rFonts w:cstheme="minorHAnsi"/>
          <w:b/>
          <w:sz w:val="28"/>
          <w:szCs w:val="28"/>
        </w:rPr>
        <w:t>Work</w:t>
      </w:r>
      <w:r>
        <w:rPr>
          <w:rFonts w:cstheme="minorHAnsi"/>
          <w:b/>
          <w:sz w:val="28"/>
          <w:szCs w:val="28"/>
        </w:rPr>
        <w:t xml:space="preserve"> of the Secretariat</w:t>
      </w:r>
    </w:p>
    <w:p w14:paraId="1E902B1B" w14:textId="77777777" w:rsidR="00250611" w:rsidRPr="008A384C" w:rsidRDefault="00250611" w:rsidP="00B1006A">
      <w:pPr>
        <w:rPr>
          <w:rFonts w:cstheme="minorHAnsi"/>
        </w:rPr>
      </w:pPr>
    </w:p>
    <w:p w14:paraId="0CE14C61" w14:textId="77777777" w:rsidR="00C81B75" w:rsidRPr="008A384C" w:rsidRDefault="00C81B75" w:rsidP="00B1006A">
      <w:pPr>
        <w:ind w:left="0" w:firstLine="0"/>
        <w:rPr>
          <w:rFonts w:cstheme="minorHAnsi"/>
          <w:b/>
        </w:rPr>
      </w:pPr>
    </w:p>
    <w:p w14:paraId="369E8FD2" w14:textId="0DAC7AF8" w:rsidR="00DC5693" w:rsidRPr="002F0AD3" w:rsidRDefault="002F0AD3" w:rsidP="00C81B75">
      <w:pPr>
        <w:rPr>
          <w:rFonts w:cstheme="minorHAnsi"/>
        </w:rPr>
      </w:pPr>
      <w:r w:rsidRPr="002F0AD3">
        <w:rPr>
          <w:rFonts w:cstheme="minorHAnsi"/>
        </w:rPr>
        <w:t>1.</w:t>
      </w:r>
      <w:r w:rsidRPr="002F0AD3">
        <w:rPr>
          <w:rFonts w:cstheme="minorHAnsi"/>
        </w:rPr>
        <w:tab/>
      </w:r>
      <w:r w:rsidR="0031686B" w:rsidRPr="002F0AD3">
        <w:rPr>
          <w:rFonts w:cstheme="minorHAnsi"/>
        </w:rPr>
        <w:t>T</w:t>
      </w:r>
      <w:r w:rsidR="00250611" w:rsidRPr="002F0AD3">
        <w:rPr>
          <w:rFonts w:cstheme="minorHAnsi"/>
        </w:rPr>
        <w:t>his report covers t</w:t>
      </w:r>
      <w:r w:rsidR="00DC5693" w:rsidRPr="002F0AD3">
        <w:rPr>
          <w:rFonts w:cstheme="minorHAnsi"/>
        </w:rPr>
        <w:t xml:space="preserve">he work of the Secretariat from the closing of the 12th </w:t>
      </w:r>
      <w:r w:rsidR="00391A45" w:rsidRPr="002F0AD3">
        <w:rPr>
          <w:rFonts w:cstheme="minorHAnsi"/>
        </w:rPr>
        <w:t>m</w:t>
      </w:r>
      <w:r w:rsidR="00DC5693" w:rsidRPr="002F0AD3">
        <w:rPr>
          <w:rFonts w:cstheme="minorHAnsi"/>
        </w:rPr>
        <w:t>eeting of the Conference of the Cont</w:t>
      </w:r>
      <w:r w:rsidR="00042694" w:rsidRPr="002F0AD3">
        <w:rPr>
          <w:rFonts w:cstheme="minorHAnsi"/>
        </w:rPr>
        <w:t>racting Parties</w:t>
      </w:r>
      <w:r w:rsidR="00BB5F70">
        <w:rPr>
          <w:rFonts w:cstheme="minorHAnsi"/>
        </w:rPr>
        <w:t xml:space="preserve"> (COP12)</w:t>
      </w:r>
      <w:r w:rsidR="00391A45" w:rsidRPr="002F0AD3">
        <w:rPr>
          <w:rFonts w:cstheme="minorHAnsi"/>
        </w:rPr>
        <w:t>,</w:t>
      </w:r>
      <w:r w:rsidR="00042694" w:rsidRPr="002F0AD3">
        <w:rPr>
          <w:rFonts w:cstheme="minorHAnsi"/>
        </w:rPr>
        <w:t xml:space="preserve"> on 9 June 2015</w:t>
      </w:r>
      <w:r w:rsidR="00DC5693" w:rsidRPr="002F0AD3">
        <w:rPr>
          <w:rFonts w:cstheme="minorHAnsi"/>
        </w:rPr>
        <w:t xml:space="preserve">, until 31 </w:t>
      </w:r>
      <w:r w:rsidR="00336004" w:rsidRPr="002F0AD3">
        <w:rPr>
          <w:rFonts w:cstheme="minorHAnsi"/>
        </w:rPr>
        <w:t>July</w:t>
      </w:r>
      <w:r w:rsidR="00DC5693" w:rsidRPr="002F0AD3">
        <w:rPr>
          <w:rFonts w:cstheme="minorHAnsi"/>
        </w:rPr>
        <w:t xml:space="preserve"> 2018. </w:t>
      </w:r>
    </w:p>
    <w:p w14:paraId="7C00431A" w14:textId="77777777" w:rsidR="00DC2341" w:rsidRPr="002F0AD3" w:rsidRDefault="00DC2341" w:rsidP="00C81B75">
      <w:pPr>
        <w:rPr>
          <w:rFonts w:cstheme="minorHAnsi"/>
        </w:rPr>
      </w:pPr>
    </w:p>
    <w:p w14:paraId="311B3827" w14:textId="52EB41F2" w:rsidR="00724804" w:rsidRPr="002F0AD3" w:rsidRDefault="002F0AD3" w:rsidP="00C81B75">
      <w:pPr>
        <w:rPr>
          <w:rFonts w:cstheme="minorHAnsi"/>
        </w:rPr>
      </w:pPr>
      <w:r w:rsidRPr="002F0AD3">
        <w:rPr>
          <w:rFonts w:cstheme="minorHAnsi"/>
        </w:rPr>
        <w:t>2.</w:t>
      </w:r>
      <w:r w:rsidRPr="002F0AD3">
        <w:rPr>
          <w:rFonts w:cstheme="minorHAnsi"/>
        </w:rPr>
        <w:tab/>
      </w:r>
      <w:r w:rsidR="00724804" w:rsidRPr="002F0AD3">
        <w:rPr>
          <w:rFonts w:cstheme="minorHAnsi"/>
        </w:rPr>
        <w:t>The current Secretar</w:t>
      </w:r>
      <w:r w:rsidR="00A52454" w:rsidRPr="002F0AD3">
        <w:rPr>
          <w:rFonts w:cstheme="minorHAnsi"/>
        </w:rPr>
        <w:t xml:space="preserve">y General assumed her duties on </w:t>
      </w:r>
      <w:r w:rsidR="00B443F0" w:rsidRPr="002F0AD3">
        <w:rPr>
          <w:rFonts w:cstheme="minorHAnsi"/>
        </w:rPr>
        <w:t>22</w:t>
      </w:r>
      <w:r w:rsidR="00A52454" w:rsidRPr="002F0AD3">
        <w:rPr>
          <w:rFonts w:cstheme="minorHAnsi"/>
        </w:rPr>
        <w:t xml:space="preserve"> August 2016. </w:t>
      </w:r>
      <w:r w:rsidR="00724804" w:rsidRPr="002F0AD3">
        <w:rPr>
          <w:rFonts w:cstheme="minorHAnsi"/>
        </w:rPr>
        <w:t>While the Secretary General has not overseen the work of Secretariat over the full triennium, this report provides both an overview and selected highlights of the wo</w:t>
      </w:r>
      <w:r w:rsidR="00042694" w:rsidRPr="002F0AD3">
        <w:rPr>
          <w:rFonts w:cstheme="minorHAnsi"/>
        </w:rPr>
        <w:t xml:space="preserve">rk completed </w:t>
      </w:r>
      <w:r w:rsidR="00A52454" w:rsidRPr="002F0AD3">
        <w:rPr>
          <w:rFonts w:cstheme="minorHAnsi"/>
        </w:rPr>
        <w:t xml:space="preserve">by the Secretariat </w:t>
      </w:r>
      <w:r w:rsidR="00042694" w:rsidRPr="002F0AD3">
        <w:rPr>
          <w:rFonts w:cstheme="minorHAnsi"/>
        </w:rPr>
        <w:t>during the</w:t>
      </w:r>
      <w:r w:rsidR="00724804" w:rsidRPr="002F0AD3">
        <w:rPr>
          <w:rFonts w:cstheme="minorHAnsi"/>
        </w:rPr>
        <w:t xml:space="preserve"> triennium</w:t>
      </w:r>
      <w:r w:rsidR="00462756" w:rsidRPr="002F0AD3">
        <w:rPr>
          <w:rFonts w:cstheme="minorHAnsi"/>
        </w:rPr>
        <w:t>, drawing from the reports presented by the previous and current Secretar</w:t>
      </w:r>
      <w:r w:rsidR="00391A45" w:rsidRPr="002F0AD3">
        <w:rPr>
          <w:rFonts w:cstheme="minorHAnsi"/>
        </w:rPr>
        <w:t>ies</w:t>
      </w:r>
      <w:r w:rsidR="00462756" w:rsidRPr="002F0AD3">
        <w:rPr>
          <w:rFonts w:cstheme="minorHAnsi"/>
        </w:rPr>
        <w:t xml:space="preserve"> General</w:t>
      </w:r>
      <w:r w:rsidR="00786102" w:rsidRPr="002F0AD3">
        <w:rPr>
          <w:rFonts w:cstheme="minorHAnsi"/>
        </w:rPr>
        <w:t xml:space="preserve"> and </w:t>
      </w:r>
      <w:r w:rsidR="00391A45" w:rsidRPr="002F0AD3">
        <w:rPr>
          <w:rFonts w:cstheme="minorHAnsi"/>
        </w:rPr>
        <w:t xml:space="preserve">the interim </w:t>
      </w:r>
      <w:r w:rsidR="00786102" w:rsidRPr="002F0AD3">
        <w:rPr>
          <w:rFonts w:cstheme="minorHAnsi"/>
        </w:rPr>
        <w:t>Acting Secretary General</w:t>
      </w:r>
      <w:r w:rsidR="00462756" w:rsidRPr="002F0AD3">
        <w:rPr>
          <w:rFonts w:cstheme="minorHAnsi"/>
        </w:rPr>
        <w:t xml:space="preserve"> to the 52nd, 53rd and 54th meetings of the Standing Committee</w:t>
      </w:r>
      <w:r w:rsidR="00074DC9" w:rsidRPr="002F0AD3">
        <w:rPr>
          <w:rFonts w:cstheme="minorHAnsi"/>
        </w:rPr>
        <w:t xml:space="preserve"> (SC52, SC53 and SC54)</w:t>
      </w:r>
      <w:r w:rsidR="00786102" w:rsidRPr="0078142B">
        <w:rPr>
          <w:rFonts w:cstheme="minorHAnsi"/>
          <w:vertAlign w:val="superscript"/>
        </w:rPr>
        <w:footnoteReference w:id="1"/>
      </w:r>
      <w:r w:rsidR="00724804" w:rsidRPr="002F0AD3">
        <w:rPr>
          <w:rFonts w:cstheme="minorHAnsi"/>
        </w:rPr>
        <w:t>.</w:t>
      </w:r>
      <w:r w:rsidR="00B443F0" w:rsidRPr="002F0AD3">
        <w:rPr>
          <w:rFonts w:cstheme="minorHAnsi"/>
        </w:rPr>
        <w:t xml:space="preserve"> The </w:t>
      </w:r>
      <w:r w:rsidR="00302130" w:rsidRPr="002F0AD3">
        <w:rPr>
          <w:rFonts w:cstheme="minorHAnsi"/>
        </w:rPr>
        <w:t>documents</w:t>
      </w:r>
      <w:r w:rsidR="00B443F0" w:rsidRPr="002F0AD3">
        <w:rPr>
          <w:rFonts w:cstheme="minorHAnsi"/>
        </w:rPr>
        <w:t xml:space="preserve"> prepared for COP13 provide further detail on various areas of the Secretariat’s work.</w:t>
      </w:r>
    </w:p>
    <w:p w14:paraId="7C4605CF" w14:textId="77777777" w:rsidR="00724804" w:rsidRPr="002F0AD3" w:rsidRDefault="00724804" w:rsidP="00C81B75">
      <w:pPr>
        <w:rPr>
          <w:rFonts w:cstheme="minorHAnsi"/>
        </w:rPr>
      </w:pPr>
    </w:p>
    <w:p w14:paraId="2559C7A5" w14:textId="35CB0E95" w:rsidR="003B79F0" w:rsidRPr="002F0AD3" w:rsidRDefault="002F0AD3" w:rsidP="00C81B75">
      <w:pPr>
        <w:rPr>
          <w:rFonts w:cstheme="minorHAnsi"/>
        </w:rPr>
      </w:pPr>
      <w:r w:rsidRPr="002F0AD3">
        <w:rPr>
          <w:rFonts w:cstheme="minorHAnsi"/>
        </w:rPr>
        <w:t>3.</w:t>
      </w:r>
      <w:r w:rsidRPr="002F0AD3">
        <w:rPr>
          <w:rFonts w:cstheme="minorHAnsi"/>
        </w:rPr>
        <w:tab/>
      </w:r>
      <w:r w:rsidR="003B79F0" w:rsidRPr="002F0AD3">
        <w:rPr>
          <w:rFonts w:cstheme="minorHAnsi"/>
        </w:rPr>
        <w:t xml:space="preserve">Upon taking </w:t>
      </w:r>
      <w:r w:rsidR="0078142B">
        <w:rPr>
          <w:rFonts w:cstheme="minorHAnsi"/>
        </w:rPr>
        <w:t xml:space="preserve">up </w:t>
      </w:r>
      <w:r w:rsidR="003B79F0" w:rsidRPr="002F0AD3">
        <w:rPr>
          <w:rFonts w:cstheme="minorHAnsi"/>
        </w:rPr>
        <w:t>her position</w:t>
      </w:r>
      <w:r w:rsidR="00FF1AC3" w:rsidRPr="002F0AD3">
        <w:rPr>
          <w:rFonts w:cstheme="minorHAnsi"/>
        </w:rPr>
        <w:t>,</w:t>
      </w:r>
      <w:r w:rsidR="003B79F0" w:rsidRPr="002F0AD3">
        <w:rPr>
          <w:rFonts w:cstheme="minorHAnsi"/>
        </w:rPr>
        <w:t xml:space="preserve"> and with the agreement of the Executive Team, the Secretary General conducted broad external and internal consultations with representatives from Contracting Parties, including chairs of subsidiary bodie</w:t>
      </w:r>
      <w:r w:rsidR="0014100E">
        <w:rPr>
          <w:rFonts w:cstheme="minorHAnsi"/>
        </w:rPr>
        <w:t>s and working groups, heads of Convention S</w:t>
      </w:r>
      <w:r w:rsidR="003B79F0" w:rsidRPr="002F0AD3">
        <w:rPr>
          <w:rFonts w:cstheme="minorHAnsi"/>
        </w:rPr>
        <w:t>ecretariat</w:t>
      </w:r>
      <w:r w:rsidR="00C20EF5" w:rsidRPr="002F0AD3">
        <w:rPr>
          <w:rFonts w:cstheme="minorHAnsi"/>
        </w:rPr>
        <w:t>s,</w:t>
      </w:r>
      <w:r w:rsidR="003B79F0" w:rsidRPr="002F0AD3">
        <w:rPr>
          <w:rFonts w:cstheme="minorHAnsi"/>
        </w:rPr>
        <w:t xml:space="preserve"> International Organization Partners (IOPs), and other external stakeholders, as well as all staff members of the Secretariat. The consultation</w:t>
      </w:r>
      <w:r w:rsidR="00C20EF5" w:rsidRPr="002F0AD3">
        <w:rPr>
          <w:rFonts w:cstheme="minorHAnsi"/>
        </w:rPr>
        <w:t>s</w:t>
      </w:r>
      <w:r w:rsidR="003B79F0" w:rsidRPr="002F0AD3">
        <w:rPr>
          <w:rFonts w:cstheme="minorHAnsi"/>
        </w:rPr>
        <w:t xml:space="preserve"> focused on identifying strengths, weaknesses and opportunities in the implementation of the Convention and work of the Secretariat, including gaps in capacities. Efforts have focused on strengthening the work of the Secretariat so that it can effectively deliver on its mandate specified in Article 8 of the Convention, implement the instructions given to it by the Conference of the Contracting Parties and the Standing Committee, and support Parties to implement the Strategic Plan of the Convention. The main areas for this are mentioned below </w:t>
      </w:r>
      <w:r w:rsidR="000B4682" w:rsidRPr="002F0AD3">
        <w:rPr>
          <w:rFonts w:cstheme="minorHAnsi"/>
        </w:rPr>
        <w:t>including</w:t>
      </w:r>
      <w:r w:rsidR="0078142B">
        <w:rPr>
          <w:rFonts w:cstheme="minorHAnsi"/>
        </w:rPr>
        <w:t xml:space="preserve"> </w:t>
      </w:r>
      <w:r w:rsidR="003B79F0" w:rsidRPr="002F0AD3">
        <w:rPr>
          <w:rFonts w:cstheme="minorHAnsi"/>
        </w:rPr>
        <w:t>highlights of actions taken.</w:t>
      </w:r>
    </w:p>
    <w:p w14:paraId="004CB8B9" w14:textId="77777777" w:rsidR="00250611" w:rsidRPr="002F0AD3" w:rsidRDefault="00250611" w:rsidP="00C81B75">
      <w:pPr>
        <w:rPr>
          <w:rFonts w:cstheme="minorHAnsi"/>
        </w:rPr>
      </w:pPr>
    </w:p>
    <w:p w14:paraId="1A573207" w14:textId="77777777" w:rsidR="001D3E01" w:rsidRPr="002F0AD3" w:rsidRDefault="31B94901" w:rsidP="00C81B75">
      <w:pPr>
        <w:ind w:left="0" w:firstLine="0"/>
        <w:rPr>
          <w:rFonts w:cstheme="minorHAnsi"/>
          <w:bCs/>
          <w:u w:val="single"/>
        </w:rPr>
      </w:pPr>
      <w:r w:rsidRPr="002F0AD3">
        <w:rPr>
          <w:rFonts w:cstheme="minorHAnsi"/>
          <w:bCs/>
          <w:u w:val="single"/>
        </w:rPr>
        <w:t>Strengthening service to Contracting Parties</w:t>
      </w:r>
      <w:r w:rsidR="00F04B42" w:rsidRPr="002F0AD3">
        <w:rPr>
          <w:rFonts w:cstheme="minorHAnsi"/>
          <w:bCs/>
          <w:u w:val="single"/>
        </w:rPr>
        <w:t>’</w:t>
      </w:r>
      <w:r w:rsidRPr="002F0AD3">
        <w:rPr>
          <w:rFonts w:cstheme="minorHAnsi"/>
          <w:bCs/>
          <w:u w:val="single"/>
        </w:rPr>
        <w:t xml:space="preserve"> decision-making and accountability</w:t>
      </w:r>
    </w:p>
    <w:p w14:paraId="1E26FF74" w14:textId="77777777" w:rsidR="009D5F75" w:rsidRPr="002F0AD3" w:rsidRDefault="009D5F75" w:rsidP="00C81B75">
      <w:pPr>
        <w:ind w:left="0" w:firstLine="0"/>
        <w:rPr>
          <w:rFonts w:cstheme="minorHAnsi"/>
          <w:b/>
        </w:rPr>
      </w:pPr>
    </w:p>
    <w:p w14:paraId="5922BCDE" w14:textId="6083C6CB" w:rsidR="00E84D11" w:rsidRPr="002F0AD3" w:rsidRDefault="002F0AD3" w:rsidP="00C81B75">
      <w:pPr>
        <w:rPr>
          <w:rFonts w:cstheme="minorHAnsi"/>
        </w:rPr>
      </w:pPr>
      <w:r w:rsidRPr="002F0AD3">
        <w:rPr>
          <w:rFonts w:cstheme="minorHAnsi"/>
        </w:rPr>
        <w:t>4.</w:t>
      </w:r>
      <w:r w:rsidRPr="002F0AD3">
        <w:rPr>
          <w:rFonts w:cstheme="minorHAnsi"/>
        </w:rPr>
        <w:tab/>
      </w:r>
      <w:r w:rsidR="00E84D11" w:rsidRPr="002F0AD3">
        <w:rPr>
          <w:rFonts w:cstheme="minorHAnsi"/>
        </w:rPr>
        <w:t>A major area for improvement identified by the Secretary General</w:t>
      </w:r>
      <w:r w:rsidR="00B879AC" w:rsidRPr="002F0AD3">
        <w:rPr>
          <w:rFonts w:cstheme="minorHAnsi"/>
        </w:rPr>
        <w:t xml:space="preserve"> </w:t>
      </w:r>
      <w:r w:rsidR="00E84D11" w:rsidRPr="002F0AD3">
        <w:rPr>
          <w:rFonts w:cstheme="minorHAnsi"/>
        </w:rPr>
        <w:t>was the delivery of the Secretariat’s core role of servicing Contracting Parties, including the organization of meetings of governing and subsidiary bodies and accountability in all the work of the Secretariat to implement decisions and requests from the Contracting Parties. This was reflected in the recruitment of staff positions (</w:t>
      </w:r>
      <w:r w:rsidR="00E84D11" w:rsidRPr="00CC19E0">
        <w:rPr>
          <w:rFonts w:cstheme="minorHAnsi"/>
        </w:rPr>
        <w:t xml:space="preserve">see paragraph </w:t>
      </w:r>
      <w:r w:rsidR="00CE1AF2">
        <w:rPr>
          <w:rFonts w:cstheme="minorHAnsi"/>
        </w:rPr>
        <w:t>38</w:t>
      </w:r>
      <w:r w:rsidR="00E84D11" w:rsidRPr="00CC19E0">
        <w:rPr>
          <w:rFonts w:cstheme="minorHAnsi"/>
        </w:rPr>
        <w:t xml:space="preserve"> below) and in the</w:t>
      </w:r>
      <w:r w:rsidR="00E84D11" w:rsidRPr="002F0AD3">
        <w:rPr>
          <w:rFonts w:cstheme="minorHAnsi"/>
        </w:rPr>
        <w:t xml:space="preserve"> prio</w:t>
      </w:r>
      <w:r w:rsidR="006F1F19" w:rsidRPr="002F0AD3">
        <w:rPr>
          <w:rFonts w:cstheme="minorHAnsi"/>
        </w:rPr>
        <w:t>ritization of this area in the</w:t>
      </w:r>
      <w:r w:rsidR="00074DC9" w:rsidRPr="002F0AD3">
        <w:rPr>
          <w:rFonts w:cstheme="minorHAnsi"/>
        </w:rPr>
        <w:t xml:space="preserve"> w</w:t>
      </w:r>
      <w:r w:rsidR="00E84D11" w:rsidRPr="002F0AD3">
        <w:rPr>
          <w:rFonts w:cstheme="minorHAnsi"/>
        </w:rPr>
        <w:t xml:space="preserve">hole team’s work as reflected in the integrated 2017 and 2018 Annual Work Plans and the 2016-2018 Triennial Work Plan for the Secretariat approved </w:t>
      </w:r>
      <w:r w:rsidR="000B4682" w:rsidRPr="002F0AD3">
        <w:rPr>
          <w:rFonts w:cstheme="minorHAnsi"/>
        </w:rPr>
        <w:t xml:space="preserve">by the Standing Committee at </w:t>
      </w:r>
      <w:r w:rsidR="001B0D72">
        <w:rPr>
          <w:rFonts w:cstheme="minorHAnsi"/>
        </w:rPr>
        <w:t>SC53 and SC54</w:t>
      </w:r>
      <w:r w:rsidR="00E84D11" w:rsidRPr="002F0AD3">
        <w:rPr>
          <w:rFonts w:cstheme="minorHAnsi"/>
        </w:rPr>
        <w:t>.</w:t>
      </w:r>
    </w:p>
    <w:p w14:paraId="7A8D8E37" w14:textId="791F43D0" w:rsidR="008A384C" w:rsidRPr="002F0AD3" w:rsidRDefault="008A384C" w:rsidP="00C81B75">
      <w:pPr>
        <w:rPr>
          <w:rFonts w:cstheme="minorHAnsi"/>
        </w:rPr>
      </w:pPr>
    </w:p>
    <w:p w14:paraId="2E90B2AD" w14:textId="7AA132AC" w:rsidR="0031686B" w:rsidRPr="002F0AD3" w:rsidRDefault="002F0AD3" w:rsidP="00C81B75">
      <w:pPr>
        <w:rPr>
          <w:rFonts w:cstheme="minorHAnsi"/>
        </w:rPr>
      </w:pPr>
      <w:r w:rsidRPr="002F0AD3">
        <w:rPr>
          <w:rFonts w:cstheme="minorHAnsi"/>
        </w:rPr>
        <w:lastRenderedPageBreak/>
        <w:t>5.</w:t>
      </w:r>
      <w:r w:rsidRPr="002F0AD3">
        <w:rPr>
          <w:rFonts w:cstheme="minorHAnsi"/>
        </w:rPr>
        <w:tab/>
      </w:r>
      <w:r w:rsidR="00E84D11" w:rsidRPr="002F0AD3">
        <w:rPr>
          <w:rFonts w:cstheme="minorHAnsi"/>
        </w:rPr>
        <w:t>A critical function of the Secretariat is the organization of meetings of governing and subsidiary bodies of the Convention</w:t>
      </w:r>
      <w:r w:rsidR="001B0D72">
        <w:rPr>
          <w:rFonts w:cstheme="minorHAnsi"/>
        </w:rPr>
        <w:t>,</w:t>
      </w:r>
      <w:r w:rsidR="00E84D11" w:rsidRPr="002F0AD3">
        <w:rPr>
          <w:rFonts w:cstheme="minorHAnsi"/>
        </w:rPr>
        <w:t xml:space="preserve"> including </w:t>
      </w:r>
      <w:r w:rsidR="00F72B19" w:rsidRPr="002F0AD3">
        <w:rPr>
          <w:rFonts w:cstheme="minorHAnsi"/>
        </w:rPr>
        <w:t xml:space="preserve">the </w:t>
      </w:r>
      <w:r w:rsidR="00E84D11" w:rsidRPr="002F0AD3">
        <w:rPr>
          <w:rFonts w:cstheme="minorHAnsi"/>
        </w:rPr>
        <w:t>Standing Committee and the Scientific and Technical Review Panel (STRP). During the triennium</w:t>
      </w:r>
      <w:r w:rsidR="00DC6C1D" w:rsidRPr="002F0AD3">
        <w:rPr>
          <w:rFonts w:cstheme="minorHAnsi"/>
        </w:rPr>
        <w:t>,</w:t>
      </w:r>
      <w:r w:rsidR="00E84D11" w:rsidRPr="002F0AD3">
        <w:rPr>
          <w:rFonts w:cstheme="minorHAnsi"/>
        </w:rPr>
        <w:t xml:space="preserve"> the Secretariat has </w:t>
      </w:r>
      <w:r w:rsidR="00DC6C1D" w:rsidRPr="002F0AD3">
        <w:rPr>
          <w:rFonts w:cstheme="minorHAnsi"/>
        </w:rPr>
        <w:t>made</w:t>
      </w:r>
      <w:r w:rsidR="00E84D11" w:rsidRPr="002F0AD3">
        <w:rPr>
          <w:rFonts w:cstheme="minorHAnsi"/>
        </w:rPr>
        <w:t xml:space="preserve"> logistical arrangements, prepared meeting documents, and prepared daily reports and a final report for STRP19, STRP20 and STRP21, and for SC51, SC52, SC53</w:t>
      </w:r>
      <w:r w:rsidR="001B0D72">
        <w:rPr>
          <w:rFonts w:cstheme="minorHAnsi"/>
        </w:rPr>
        <w:t xml:space="preserve"> and</w:t>
      </w:r>
      <w:r w:rsidR="00E84D11" w:rsidRPr="002F0AD3">
        <w:rPr>
          <w:rFonts w:cstheme="minorHAnsi"/>
        </w:rPr>
        <w:t xml:space="preserve"> SC54. It has also prepared</w:t>
      </w:r>
      <w:r w:rsidR="00C20EF5" w:rsidRPr="002F0AD3">
        <w:rPr>
          <w:rFonts w:cstheme="minorHAnsi"/>
        </w:rPr>
        <w:t xml:space="preserve"> for</w:t>
      </w:r>
      <w:r w:rsidR="00E84D11" w:rsidRPr="002F0AD3">
        <w:rPr>
          <w:rFonts w:cstheme="minorHAnsi"/>
        </w:rPr>
        <w:t xml:space="preserve"> the 13th meeting of the Conference of the Contracting Parties (COP13)</w:t>
      </w:r>
      <w:r w:rsidR="00302130" w:rsidRPr="002F0AD3">
        <w:rPr>
          <w:rFonts w:cstheme="minorHAnsi"/>
        </w:rPr>
        <w:t>, inclu</w:t>
      </w:r>
      <w:r w:rsidR="006F1F19" w:rsidRPr="002F0AD3">
        <w:rPr>
          <w:rFonts w:cstheme="minorHAnsi"/>
        </w:rPr>
        <w:t xml:space="preserve">ding five regional preparatory </w:t>
      </w:r>
      <w:r w:rsidR="00302130" w:rsidRPr="002F0AD3">
        <w:rPr>
          <w:rFonts w:cstheme="minorHAnsi"/>
        </w:rPr>
        <w:t>meetings,</w:t>
      </w:r>
      <w:r w:rsidR="00E84D11" w:rsidRPr="002F0AD3">
        <w:rPr>
          <w:rFonts w:cstheme="minorHAnsi"/>
        </w:rPr>
        <w:t xml:space="preserve"> and contributed to other groups established by the </w:t>
      </w:r>
      <w:r w:rsidR="001B7E1A" w:rsidRPr="002F0AD3">
        <w:rPr>
          <w:rFonts w:cstheme="minorHAnsi"/>
        </w:rPr>
        <w:t xml:space="preserve">Standing Committee </w:t>
      </w:r>
      <w:r w:rsidR="00E84D11" w:rsidRPr="002F0AD3">
        <w:rPr>
          <w:rFonts w:cstheme="minorHAnsi"/>
        </w:rPr>
        <w:t>and the COP</w:t>
      </w:r>
      <w:r w:rsidR="0031686B" w:rsidRPr="002F0AD3">
        <w:rPr>
          <w:rFonts w:cstheme="minorHAnsi"/>
        </w:rPr>
        <w:t>.</w:t>
      </w:r>
      <w:r w:rsidR="00E84D11" w:rsidRPr="002F0AD3">
        <w:rPr>
          <w:rFonts w:cstheme="minorHAnsi"/>
        </w:rPr>
        <w:t xml:space="preserve"> </w:t>
      </w:r>
    </w:p>
    <w:p w14:paraId="00235365" w14:textId="77777777" w:rsidR="0031686B" w:rsidRPr="002F0AD3" w:rsidRDefault="0031686B" w:rsidP="00C81B75">
      <w:pPr>
        <w:rPr>
          <w:rFonts w:cstheme="minorHAnsi"/>
        </w:rPr>
      </w:pPr>
    </w:p>
    <w:p w14:paraId="376473F9" w14:textId="179CBC4F" w:rsidR="007C79A0" w:rsidRPr="002F0AD3" w:rsidRDefault="002F0AD3" w:rsidP="00C81B75">
      <w:pPr>
        <w:rPr>
          <w:rFonts w:cstheme="minorHAnsi"/>
        </w:rPr>
      </w:pPr>
      <w:r w:rsidRPr="002F0AD3">
        <w:rPr>
          <w:rFonts w:cstheme="minorHAnsi"/>
        </w:rPr>
        <w:t>6.</w:t>
      </w:r>
      <w:r w:rsidRPr="002F0AD3">
        <w:rPr>
          <w:rFonts w:cstheme="minorHAnsi"/>
        </w:rPr>
        <w:tab/>
      </w:r>
      <w:r w:rsidR="00E84D11" w:rsidRPr="002F0AD3">
        <w:rPr>
          <w:rFonts w:cstheme="minorHAnsi"/>
        </w:rPr>
        <w:t xml:space="preserve">An important area of the Secretariat’s work is </w:t>
      </w:r>
      <w:r w:rsidR="00302130" w:rsidRPr="002F0AD3">
        <w:rPr>
          <w:rFonts w:cstheme="minorHAnsi"/>
        </w:rPr>
        <w:t xml:space="preserve">to </w:t>
      </w:r>
      <w:r w:rsidR="00E84D11" w:rsidRPr="002F0AD3">
        <w:rPr>
          <w:rFonts w:cstheme="minorHAnsi"/>
        </w:rPr>
        <w:t>support the STRP and provid</w:t>
      </w:r>
      <w:r w:rsidR="00C20EF5" w:rsidRPr="002F0AD3">
        <w:rPr>
          <w:rFonts w:cstheme="minorHAnsi"/>
        </w:rPr>
        <w:t>e</w:t>
      </w:r>
      <w:r w:rsidR="00E84D11" w:rsidRPr="002F0AD3">
        <w:rPr>
          <w:rFonts w:cstheme="minorHAnsi"/>
        </w:rPr>
        <w:t xml:space="preserve"> assistance in the delivery of the STRP 2016-2018 work plan</w:t>
      </w:r>
      <w:r w:rsidR="00302130" w:rsidRPr="002F0AD3">
        <w:rPr>
          <w:rFonts w:cstheme="minorHAnsi"/>
        </w:rPr>
        <w:t xml:space="preserve"> and high priority tasks</w:t>
      </w:r>
      <w:r w:rsidR="00E84D11" w:rsidRPr="002F0AD3">
        <w:rPr>
          <w:rFonts w:cstheme="minorHAnsi"/>
        </w:rPr>
        <w:t xml:space="preserve">, working closely with the Chair. Notable outcomes include: </w:t>
      </w:r>
    </w:p>
    <w:p w14:paraId="7752A066" w14:textId="77777777" w:rsidR="007C79A0" w:rsidRPr="00C81B75" w:rsidRDefault="007C79A0" w:rsidP="00C81B75">
      <w:pPr>
        <w:rPr>
          <w:rFonts w:cstheme="minorHAnsi"/>
        </w:rPr>
      </w:pPr>
    </w:p>
    <w:p w14:paraId="6FFE4003" w14:textId="14E5E154" w:rsidR="007C79A0" w:rsidRPr="00E44D71" w:rsidRDefault="00E84D11" w:rsidP="00C81B75">
      <w:pPr>
        <w:pStyle w:val="ListParagraph"/>
        <w:numPr>
          <w:ilvl w:val="0"/>
          <w:numId w:val="2"/>
        </w:numPr>
        <w:ind w:left="850" w:hanging="425"/>
        <w:rPr>
          <w:rFonts w:cstheme="minorHAnsi"/>
        </w:rPr>
      </w:pPr>
      <w:r w:rsidRPr="001B0D72">
        <w:rPr>
          <w:rFonts w:cstheme="minorHAnsi"/>
          <w:i/>
        </w:rPr>
        <w:t>Global Wetland Outlook: State of the World’s Wetlands and their Services to People</w:t>
      </w:r>
      <w:r w:rsidRPr="002F0AD3">
        <w:rPr>
          <w:rFonts w:cstheme="minorHAnsi"/>
        </w:rPr>
        <w:t xml:space="preserve">: </w:t>
      </w:r>
      <w:r w:rsidR="00727A12" w:rsidRPr="002F0AD3">
        <w:rPr>
          <w:rFonts w:cstheme="minorHAnsi"/>
        </w:rPr>
        <w:t>T</w:t>
      </w:r>
      <w:r w:rsidRPr="002F0AD3">
        <w:rPr>
          <w:rFonts w:cstheme="minorHAnsi"/>
        </w:rPr>
        <w:t xml:space="preserve">his flagship report </w:t>
      </w:r>
      <w:r w:rsidR="00727A12" w:rsidRPr="002F0AD3">
        <w:rPr>
          <w:rFonts w:cstheme="minorHAnsi"/>
        </w:rPr>
        <w:t>is scheduled to</w:t>
      </w:r>
      <w:r w:rsidR="0078142B">
        <w:rPr>
          <w:rFonts w:cstheme="minorHAnsi"/>
        </w:rPr>
        <w:t xml:space="preserve"> </w:t>
      </w:r>
      <w:r w:rsidRPr="002F0AD3">
        <w:rPr>
          <w:rFonts w:cstheme="minorHAnsi"/>
        </w:rPr>
        <w:t>be released</w:t>
      </w:r>
      <w:r w:rsidR="00727A12" w:rsidRPr="002F0AD3">
        <w:rPr>
          <w:rFonts w:cstheme="minorHAnsi"/>
        </w:rPr>
        <w:t xml:space="preserve"> on</w:t>
      </w:r>
      <w:r w:rsidRPr="002F0AD3">
        <w:rPr>
          <w:rFonts w:cstheme="minorHAnsi"/>
        </w:rPr>
        <w:t xml:space="preserve"> </w:t>
      </w:r>
      <w:r w:rsidR="00C20EF5" w:rsidRPr="002F0AD3">
        <w:rPr>
          <w:rFonts w:cstheme="minorHAnsi"/>
        </w:rPr>
        <w:t>27 September</w:t>
      </w:r>
      <w:r w:rsidRPr="002F0AD3">
        <w:rPr>
          <w:rFonts w:cstheme="minorHAnsi"/>
        </w:rPr>
        <w:t xml:space="preserve"> 2018 in advance of COP13. The Secretariat has been active in supporting the authors of the </w:t>
      </w:r>
      <w:r w:rsidR="00302130" w:rsidRPr="002F0AD3">
        <w:rPr>
          <w:rFonts w:cstheme="minorHAnsi"/>
        </w:rPr>
        <w:t>r</w:t>
      </w:r>
      <w:r w:rsidRPr="002F0AD3">
        <w:rPr>
          <w:rFonts w:cstheme="minorHAnsi"/>
        </w:rPr>
        <w:t xml:space="preserve">eport, including organizing drafting workshops, hiring a professional editor and advising </w:t>
      </w:r>
      <w:r w:rsidR="00302130" w:rsidRPr="002F0AD3">
        <w:rPr>
          <w:rFonts w:cstheme="minorHAnsi"/>
        </w:rPr>
        <w:t xml:space="preserve">and supporting </w:t>
      </w:r>
      <w:r w:rsidRPr="002F0AD3">
        <w:rPr>
          <w:rFonts w:cstheme="minorHAnsi"/>
        </w:rPr>
        <w:t>on communications aspects and policy r</w:t>
      </w:r>
      <w:r w:rsidR="00E574FB" w:rsidRPr="002F0AD3">
        <w:rPr>
          <w:rFonts w:cstheme="minorHAnsi"/>
        </w:rPr>
        <w:t xml:space="preserve">elevance of the report. It also </w:t>
      </w:r>
      <w:r w:rsidRPr="002F0AD3">
        <w:rPr>
          <w:rFonts w:cstheme="minorHAnsi"/>
        </w:rPr>
        <w:t xml:space="preserve">coordinated design and production aspects of the report along with an </w:t>
      </w:r>
      <w:r w:rsidR="001B0D72" w:rsidRPr="002F0AD3">
        <w:rPr>
          <w:rFonts w:cstheme="minorHAnsi"/>
        </w:rPr>
        <w:t xml:space="preserve">executive </w:t>
      </w:r>
      <w:r w:rsidR="001B0D72" w:rsidRPr="00E44D71">
        <w:rPr>
          <w:rFonts w:cstheme="minorHAnsi"/>
        </w:rPr>
        <w:t xml:space="preserve">summary and </w:t>
      </w:r>
      <w:r w:rsidR="00B1621D" w:rsidRPr="00E44D71">
        <w:rPr>
          <w:rFonts w:cstheme="minorHAnsi"/>
        </w:rPr>
        <w:t xml:space="preserve">Briefing Note </w:t>
      </w:r>
      <w:r w:rsidR="001B0D72" w:rsidRPr="00E44D71">
        <w:rPr>
          <w:rFonts w:cstheme="minorHAnsi"/>
        </w:rPr>
        <w:t>for policy makers</w:t>
      </w:r>
      <w:r w:rsidRPr="00E44D71">
        <w:rPr>
          <w:rFonts w:cstheme="minorHAnsi"/>
        </w:rPr>
        <w:t>.</w:t>
      </w:r>
    </w:p>
    <w:p w14:paraId="6C7D89EE" w14:textId="77777777" w:rsidR="0097384C" w:rsidRPr="002F0AD3" w:rsidRDefault="0097384C" w:rsidP="00C81B75">
      <w:pPr>
        <w:rPr>
          <w:rFonts w:cstheme="minorHAnsi"/>
        </w:rPr>
      </w:pPr>
    </w:p>
    <w:p w14:paraId="0A58CAD4" w14:textId="57A0AA50" w:rsidR="0031686B" w:rsidRPr="002F0AD3" w:rsidRDefault="00E84D11" w:rsidP="00C81B75">
      <w:pPr>
        <w:pStyle w:val="ListParagraph"/>
        <w:numPr>
          <w:ilvl w:val="0"/>
          <w:numId w:val="2"/>
        </w:numPr>
        <w:ind w:left="850" w:hanging="425"/>
        <w:rPr>
          <w:rFonts w:cstheme="minorHAnsi"/>
        </w:rPr>
      </w:pPr>
      <w:r w:rsidRPr="002F0AD3">
        <w:rPr>
          <w:rFonts w:cstheme="minorHAnsi"/>
        </w:rPr>
        <w:t xml:space="preserve">Policy Briefs: </w:t>
      </w:r>
      <w:r w:rsidR="00AF5A87" w:rsidRPr="002F0AD3">
        <w:rPr>
          <w:rFonts w:cstheme="minorHAnsi"/>
        </w:rPr>
        <w:t>T</w:t>
      </w:r>
      <w:r w:rsidRPr="002F0AD3">
        <w:rPr>
          <w:rFonts w:cstheme="minorHAnsi"/>
        </w:rPr>
        <w:t xml:space="preserve">he Secretariat prepared the </w:t>
      </w:r>
      <w:r w:rsidR="00B1621D" w:rsidRPr="002F0AD3">
        <w:rPr>
          <w:rFonts w:cstheme="minorHAnsi"/>
        </w:rPr>
        <w:t>terms of reference</w:t>
      </w:r>
      <w:r w:rsidRPr="002F0AD3">
        <w:rPr>
          <w:rFonts w:cstheme="minorHAnsi"/>
        </w:rPr>
        <w:t>, facilitated the drafting</w:t>
      </w:r>
      <w:r w:rsidR="00302130" w:rsidRPr="002F0AD3">
        <w:rPr>
          <w:rFonts w:cstheme="minorHAnsi"/>
        </w:rPr>
        <w:t>, identified and reached out to partners</w:t>
      </w:r>
      <w:r w:rsidRPr="002F0AD3">
        <w:rPr>
          <w:rFonts w:cstheme="minorHAnsi"/>
        </w:rPr>
        <w:t xml:space="preserve"> and oversaw the production, editing, translation and dissemination of the following Policy Briefs:</w:t>
      </w:r>
    </w:p>
    <w:p w14:paraId="57CC1E5F" w14:textId="77777777" w:rsidR="0031686B" w:rsidRPr="002F0AD3" w:rsidRDefault="00E84D11" w:rsidP="00A34358">
      <w:pPr>
        <w:pStyle w:val="ListParagraph"/>
        <w:numPr>
          <w:ilvl w:val="1"/>
          <w:numId w:val="3"/>
        </w:numPr>
        <w:ind w:left="1276" w:hanging="425"/>
        <w:rPr>
          <w:rFonts w:cstheme="minorHAnsi"/>
        </w:rPr>
      </w:pPr>
      <w:r w:rsidRPr="002F0AD3">
        <w:rPr>
          <w:rFonts w:cstheme="minorHAnsi"/>
        </w:rPr>
        <w:t xml:space="preserve">Policy Brief 1: </w:t>
      </w:r>
      <w:r w:rsidRPr="00B1621D">
        <w:rPr>
          <w:rFonts w:cstheme="minorHAnsi"/>
          <w:i/>
        </w:rPr>
        <w:t>Wetlands for disaster risk reduction - Effective choices for resilient communities</w:t>
      </w:r>
      <w:r w:rsidRPr="002F0AD3">
        <w:rPr>
          <w:rFonts w:cstheme="minorHAnsi"/>
        </w:rPr>
        <w:t xml:space="preserve"> (2017)</w:t>
      </w:r>
      <w:r w:rsidR="00302130" w:rsidRPr="002F0AD3">
        <w:rPr>
          <w:rFonts w:cstheme="minorHAnsi"/>
        </w:rPr>
        <w:t xml:space="preserve"> </w:t>
      </w:r>
      <w:r w:rsidRPr="002F0AD3">
        <w:rPr>
          <w:rFonts w:cstheme="minorHAnsi"/>
        </w:rPr>
        <w:t>with Wetlands International, the Partnership for Environment and disaster Risk Reduction (PEDRR) and the United Nations Office for Disaster Risk Reduction (UNISDR)</w:t>
      </w:r>
      <w:r w:rsidR="00302130" w:rsidRPr="002F0AD3">
        <w:rPr>
          <w:rFonts w:cstheme="minorHAnsi"/>
        </w:rPr>
        <w:t>;</w:t>
      </w:r>
    </w:p>
    <w:p w14:paraId="791A6FAA" w14:textId="3F0D2DA1" w:rsidR="0031686B" w:rsidRPr="002F0AD3" w:rsidRDefault="00E84D11" w:rsidP="00A34358">
      <w:pPr>
        <w:pStyle w:val="ListParagraph"/>
        <w:numPr>
          <w:ilvl w:val="1"/>
          <w:numId w:val="3"/>
        </w:numPr>
        <w:ind w:left="1276" w:hanging="425"/>
        <w:rPr>
          <w:rFonts w:cstheme="minorHAnsi"/>
        </w:rPr>
      </w:pPr>
      <w:r w:rsidRPr="002F0AD3">
        <w:rPr>
          <w:rFonts w:cstheme="minorHAnsi"/>
        </w:rPr>
        <w:t xml:space="preserve">Policy Brief 2: </w:t>
      </w:r>
      <w:r w:rsidRPr="00B1621D">
        <w:rPr>
          <w:rFonts w:cstheme="minorHAnsi"/>
          <w:i/>
        </w:rPr>
        <w:t>Integrating multiple wetland values into decision-making</w:t>
      </w:r>
      <w:r w:rsidRPr="002F0AD3">
        <w:rPr>
          <w:rFonts w:cstheme="minorHAnsi"/>
        </w:rPr>
        <w:t xml:space="preserve"> (2017) with the Intergovernmental Science-Policy Platform for Biodiversity </w:t>
      </w:r>
      <w:r w:rsidR="002C7FA2" w:rsidRPr="002F0AD3">
        <w:rPr>
          <w:rFonts w:cstheme="minorHAnsi"/>
        </w:rPr>
        <w:t xml:space="preserve">and Ecosystem Services </w:t>
      </w:r>
      <w:r w:rsidRPr="002F0AD3">
        <w:rPr>
          <w:rFonts w:cstheme="minorHAnsi"/>
        </w:rPr>
        <w:t>(IPBES)</w:t>
      </w:r>
      <w:r w:rsidR="00302130" w:rsidRPr="002F0AD3">
        <w:rPr>
          <w:rFonts w:cstheme="minorHAnsi"/>
        </w:rPr>
        <w:t>;</w:t>
      </w:r>
      <w:r w:rsidRPr="002F0AD3">
        <w:rPr>
          <w:rFonts w:cstheme="minorHAnsi"/>
        </w:rPr>
        <w:t xml:space="preserve"> </w:t>
      </w:r>
    </w:p>
    <w:p w14:paraId="13D67768" w14:textId="77777777" w:rsidR="0031686B" w:rsidRPr="002F0AD3" w:rsidRDefault="00E84D11" w:rsidP="00A34358">
      <w:pPr>
        <w:pStyle w:val="ListParagraph"/>
        <w:numPr>
          <w:ilvl w:val="1"/>
          <w:numId w:val="3"/>
        </w:numPr>
        <w:ind w:left="1276" w:hanging="425"/>
        <w:rPr>
          <w:rFonts w:cstheme="minorHAnsi"/>
        </w:rPr>
      </w:pPr>
      <w:r w:rsidRPr="002F0AD3">
        <w:rPr>
          <w:rFonts w:cstheme="minorHAnsi"/>
        </w:rPr>
        <w:t xml:space="preserve">Policy Brief 3: </w:t>
      </w:r>
      <w:r w:rsidRPr="00B1621D">
        <w:rPr>
          <w:rFonts w:cstheme="minorHAnsi"/>
          <w:i/>
        </w:rPr>
        <w:t>Ramsar Advisory Missions - A mechanism to respond to change in ecological character of Ramsar Sites</w:t>
      </w:r>
      <w:r w:rsidRPr="002F0AD3">
        <w:rPr>
          <w:rFonts w:cstheme="minorHAnsi"/>
        </w:rPr>
        <w:t xml:space="preserve"> (2018)</w:t>
      </w:r>
      <w:r w:rsidR="00302130" w:rsidRPr="002F0AD3">
        <w:rPr>
          <w:rFonts w:cstheme="minorHAnsi"/>
        </w:rPr>
        <w:t>; and</w:t>
      </w:r>
    </w:p>
    <w:p w14:paraId="2EDF321A" w14:textId="7A3C7F20" w:rsidR="00E84D11" w:rsidRPr="002F0AD3" w:rsidRDefault="00E84D11" w:rsidP="00A34358">
      <w:pPr>
        <w:pStyle w:val="ListParagraph"/>
        <w:numPr>
          <w:ilvl w:val="1"/>
          <w:numId w:val="3"/>
        </w:numPr>
        <w:ind w:left="1276" w:hanging="425"/>
        <w:rPr>
          <w:rFonts w:cstheme="minorHAnsi"/>
        </w:rPr>
      </w:pPr>
      <w:r w:rsidRPr="002F0AD3">
        <w:rPr>
          <w:rFonts w:cstheme="minorHAnsi"/>
        </w:rPr>
        <w:t xml:space="preserve">Policy Brief 4: </w:t>
      </w:r>
      <w:r w:rsidRPr="00B1621D">
        <w:rPr>
          <w:rFonts w:cstheme="minorHAnsi"/>
          <w:i/>
        </w:rPr>
        <w:t>Implementing environmental flows with benefits for society and different wetland ecosystems in river systems</w:t>
      </w:r>
      <w:r w:rsidR="00B1621D">
        <w:rPr>
          <w:rFonts w:cstheme="minorHAnsi"/>
        </w:rPr>
        <w:t xml:space="preserve"> (2018)</w:t>
      </w:r>
      <w:r w:rsidR="00302130" w:rsidRPr="002F0AD3">
        <w:rPr>
          <w:rFonts w:cstheme="minorHAnsi"/>
        </w:rPr>
        <w:t>.</w:t>
      </w:r>
    </w:p>
    <w:p w14:paraId="4391EBAF" w14:textId="77777777" w:rsidR="00E84D11" w:rsidRPr="00C81B75" w:rsidRDefault="00E84D11" w:rsidP="00C81B75">
      <w:pPr>
        <w:rPr>
          <w:rFonts w:cstheme="minorHAnsi"/>
        </w:rPr>
      </w:pPr>
    </w:p>
    <w:p w14:paraId="516B2826" w14:textId="09F04395" w:rsidR="0031686B" w:rsidRPr="002F0AD3" w:rsidRDefault="008A384C" w:rsidP="00C81B75">
      <w:pPr>
        <w:pStyle w:val="ListParagraph"/>
        <w:numPr>
          <w:ilvl w:val="0"/>
          <w:numId w:val="2"/>
        </w:numPr>
        <w:ind w:left="850" w:hanging="425"/>
        <w:rPr>
          <w:rFonts w:cstheme="minorHAnsi"/>
        </w:rPr>
      </w:pPr>
      <w:r w:rsidRPr="002F0AD3">
        <w:rPr>
          <w:rFonts w:cstheme="minorHAnsi"/>
        </w:rPr>
        <w:t xml:space="preserve">Briefing Notes: </w:t>
      </w:r>
      <w:r w:rsidR="00AF5A87" w:rsidRPr="002F0AD3">
        <w:rPr>
          <w:rFonts w:cstheme="minorHAnsi"/>
        </w:rPr>
        <w:t>T</w:t>
      </w:r>
      <w:r w:rsidR="00E84D11" w:rsidRPr="002F0AD3">
        <w:rPr>
          <w:rFonts w:cstheme="minorHAnsi"/>
        </w:rPr>
        <w:t xml:space="preserve">he Secretariat prepared the </w:t>
      </w:r>
      <w:r w:rsidR="00B1621D" w:rsidRPr="002F0AD3">
        <w:rPr>
          <w:rFonts w:cstheme="minorHAnsi"/>
        </w:rPr>
        <w:t>terms of reference</w:t>
      </w:r>
      <w:r w:rsidR="00E84D11" w:rsidRPr="002F0AD3">
        <w:rPr>
          <w:rFonts w:cstheme="minorHAnsi"/>
        </w:rPr>
        <w:t xml:space="preserve">, facilitated the drafting and oversaw the production, editing, translation and dissemination of the following </w:t>
      </w:r>
      <w:r w:rsidR="00B1621D" w:rsidRPr="002F0AD3">
        <w:rPr>
          <w:rFonts w:cstheme="minorHAnsi"/>
        </w:rPr>
        <w:t xml:space="preserve">Briefing Notes </w:t>
      </w:r>
      <w:r w:rsidR="00E84D11" w:rsidRPr="002F0AD3">
        <w:rPr>
          <w:rFonts w:cstheme="minorHAnsi"/>
        </w:rPr>
        <w:t xml:space="preserve">and </w:t>
      </w:r>
      <w:r w:rsidR="00D714AC">
        <w:rPr>
          <w:rFonts w:cstheme="minorHAnsi"/>
        </w:rPr>
        <w:t xml:space="preserve">Ramsar </w:t>
      </w:r>
      <w:r w:rsidR="00B1621D" w:rsidRPr="002F0AD3">
        <w:rPr>
          <w:rFonts w:cstheme="minorHAnsi"/>
        </w:rPr>
        <w:t>Technical Report</w:t>
      </w:r>
      <w:r w:rsidR="00E84D11" w:rsidRPr="002F0AD3">
        <w:rPr>
          <w:rFonts w:cstheme="minorHAnsi"/>
        </w:rPr>
        <w:t>:</w:t>
      </w:r>
    </w:p>
    <w:p w14:paraId="1B58B299" w14:textId="0221006F" w:rsidR="0031686B" w:rsidRPr="002F0AD3" w:rsidRDefault="00E84D11" w:rsidP="00A34358">
      <w:pPr>
        <w:pStyle w:val="ListParagraph"/>
        <w:numPr>
          <w:ilvl w:val="1"/>
          <w:numId w:val="3"/>
        </w:numPr>
        <w:ind w:left="1276" w:hanging="425"/>
        <w:rPr>
          <w:rFonts w:cstheme="minorHAnsi"/>
        </w:rPr>
      </w:pPr>
      <w:r w:rsidRPr="002F0AD3">
        <w:rPr>
          <w:rFonts w:cstheme="minorHAnsi"/>
        </w:rPr>
        <w:t xml:space="preserve">Briefing Note 8: </w:t>
      </w:r>
      <w:r w:rsidRPr="00B1621D">
        <w:rPr>
          <w:rFonts w:cstheme="minorHAnsi"/>
          <w:i/>
        </w:rPr>
        <w:t>Ramsar Advisory Missions: Technical advice on Ramsar Sites</w:t>
      </w:r>
      <w:r w:rsidR="00CB6225" w:rsidRPr="002F0AD3">
        <w:rPr>
          <w:rFonts w:cstheme="minorHAnsi"/>
        </w:rPr>
        <w:t>;</w:t>
      </w:r>
      <w:r w:rsidRPr="002F0AD3">
        <w:rPr>
          <w:rFonts w:cstheme="minorHAnsi"/>
        </w:rPr>
        <w:t xml:space="preserve"> </w:t>
      </w:r>
    </w:p>
    <w:p w14:paraId="1DC25483" w14:textId="45BEAAFF" w:rsidR="0031686B" w:rsidRPr="002F0AD3" w:rsidRDefault="00B1621D" w:rsidP="00A34358">
      <w:pPr>
        <w:pStyle w:val="ListParagraph"/>
        <w:numPr>
          <w:ilvl w:val="1"/>
          <w:numId w:val="3"/>
        </w:numPr>
        <w:ind w:left="1276" w:hanging="425"/>
        <w:rPr>
          <w:rFonts w:cstheme="minorHAnsi"/>
        </w:rPr>
      </w:pPr>
      <w:r>
        <w:rPr>
          <w:rFonts w:cstheme="minorHAnsi"/>
        </w:rPr>
        <w:t>G</w:t>
      </w:r>
      <w:r w:rsidR="00E84D11" w:rsidRPr="002F0AD3">
        <w:rPr>
          <w:rFonts w:cstheme="minorHAnsi"/>
        </w:rPr>
        <w:t>uidelines for conducting tropical peatland inventories to facilitate their designation as Ramsar Sites</w:t>
      </w:r>
      <w:r w:rsidR="00CB6225" w:rsidRPr="002F0AD3">
        <w:rPr>
          <w:rFonts w:cstheme="minorHAnsi"/>
        </w:rPr>
        <w:t>;</w:t>
      </w:r>
    </w:p>
    <w:p w14:paraId="72B03683" w14:textId="77777777" w:rsidR="0031686B" w:rsidRPr="002F0AD3" w:rsidRDefault="00E84D11" w:rsidP="00A34358">
      <w:pPr>
        <w:pStyle w:val="ListParagraph"/>
        <w:numPr>
          <w:ilvl w:val="1"/>
          <w:numId w:val="3"/>
        </w:numPr>
        <w:ind w:left="1276" w:hanging="425"/>
        <w:rPr>
          <w:rFonts w:cstheme="minorHAnsi"/>
        </w:rPr>
      </w:pPr>
      <w:r w:rsidRPr="00B1621D">
        <w:rPr>
          <w:rFonts w:cstheme="minorHAnsi"/>
          <w:i/>
        </w:rPr>
        <w:t>Wetland restoration for climate change resilience</w:t>
      </w:r>
      <w:r w:rsidR="00CB6225" w:rsidRPr="002F0AD3">
        <w:rPr>
          <w:rFonts w:cstheme="minorHAnsi"/>
        </w:rPr>
        <w:t>; and</w:t>
      </w:r>
      <w:r w:rsidRPr="002F0AD3">
        <w:rPr>
          <w:rFonts w:cstheme="minorHAnsi"/>
        </w:rPr>
        <w:t xml:space="preserve"> </w:t>
      </w:r>
    </w:p>
    <w:p w14:paraId="63D2CC57" w14:textId="1150F4B1" w:rsidR="00C81B75" w:rsidRDefault="00E84D11" w:rsidP="00A34358">
      <w:pPr>
        <w:pStyle w:val="ListParagraph"/>
        <w:numPr>
          <w:ilvl w:val="1"/>
          <w:numId w:val="3"/>
        </w:numPr>
        <w:ind w:left="1276" w:hanging="425"/>
        <w:rPr>
          <w:rFonts w:cstheme="minorHAnsi"/>
        </w:rPr>
      </w:pPr>
      <w:r w:rsidRPr="002F0AD3">
        <w:rPr>
          <w:rFonts w:cstheme="minorHAnsi"/>
        </w:rPr>
        <w:t xml:space="preserve">Ramsar Technical Report: </w:t>
      </w:r>
      <w:r w:rsidRPr="00B1621D">
        <w:rPr>
          <w:rFonts w:cstheme="minorHAnsi"/>
          <w:i/>
        </w:rPr>
        <w:t>The use of Earth Observation for wetland inventory, assessment and monitoring:</w:t>
      </w:r>
      <w:r w:rsidR="00BB3388" w:rsidRPr="00B1621D">
        <w:rPr>
          <w:rFonts w:cstheme="minorHAnsi"/>
          <w:i/>
        </w:rPr>
        <w:t xml:space="preserve"> </w:t>
      </w:r>
      <w:r w:rsidRPr="00B1621D">
        <w:rPr>
          <w:rFonts w:cstheme="minorHAnsi"/>
          <w:i/>
        </w:rPr>
        <w:t xml:space="preserve">An information source for the Ramsar Convention </w:t>
      </w:r>
      <w:r w:rsidR="005E73D9" w:rsidRPr="00B1621D">
        <w:rPr>
          <w:rFonts w:cstheme="minorHAnsi"/>
          <w:i/>
        </w:rPr>
        <w:t>on</w:t>
      </w:r>
      <w:r w:rsidRPr="00B1621D">
        <w:rPr>
          <w:rFonts w:cstheme="minorHAnsi"/>
          <w:i/>
        </w:rPr>
        <w:t xml:space="preserve"> Wetlands</w:t>
      </w:r>
      <w:r w:rsidR="00CB6225" w:rsidRPr="002F0AD3">
        <w:rPr>
          <w:rFonts w:cstheme="minorHAnsi"/>
        </w:rPr>
        <w:t>.</w:t>
      </w:r>
    </w:p>
    <w:p w14:paraId="69C7E677" w14:textId="77777777" w:rsidR="00C81B75" w:rsidRPr="00C81B75" w:rsidRDefault="00C81B75" w:rsidP="00A34358">
      <w:pPr>
        <w:rPr>
          <w:rFonts w:cstheme="minorHAnsi"/>
        </w:rPr>
      </w:pPr>
    </w:p>
    <w:p w14:paraId="632EA0A5" w14:textId="1C2B604D" w:rsidR="00E84D11" w:rsidRPr="00A34358" w:rsidRDefault="00E84D11" w:rsidP="00A34358">
      <w:pPr>
        <w:pStyle w:val="ListParagraph"/>
        <w:numPr>
          <w:ilvl w:val="0"/>
          <w:numId w:val="2"/>
        </w:numPr>
        <w:ind w:left="850" w:hanging="425"/>
        <w:rPr>
          <w:rFonts w:cstheme="minorHAnsi"/>
        </w:rPr>
      </w:pPr>
      <w:r w:rsidRPr="00A34358">
        <w:rPr>
          <w:rFonts w:cstheme="minorHAnsi"/>
        </w:rPr>
        <w:t>The Secretariat published an online Ramsar Sites Management Toolkit, drafted by the STRP (</w:t>
      </w:r>
      <w:hyperlink r:id="rId9" w:history="1">
        <w:r w:rsidR="00B1621D" w:rsidRPr="00B1621D">
          <w:rPr>
            <w:rStyle w:val="Hyperlink"/>
            <w:rFonts w:cstheme="minorHAnsi"/>
          </w:rPr>
          <w:t>https://www.ramsar.org/resources/ramsar-sites-management-toolkit</w:t>
        </w:r>
      </w:hyperlink>
      <w:r w:rsidRPr="00A34358">
        <w:rPr>
          <w:rFonts w:cstheme="minorHAnsi"/>
        </w:rPr>
        <w:t>)</w:t>
      </w:r>
      <w:r w:rsidR="00CB6225" w:rsidRPr="00A34358">
        <w:rPr>
          <w:rFonts w:cstheme="minorHAnsi"/>
        </w:rPr>
        <w:t>.</w:t>
      </w:r>
      <w:r w:rsidRPr="00A34358">
        <w:rPr>
          <w:rFonts w:cstheme="minorHAnsi"/>
        </w:rPr>
        <w:t xml:space="preserve"> </w:t>
      </w:r>
    </w:p>
    <w:p w14:paraId="0ED5C4F1" w14:textId="77777777" w:rsidR="00E84D11" w:rsidRPr="002F0AD3" w:rsidRDefault="00E84D11" w:rsidP="00A34358">
      <w:pPr>
        <w:pStyle w:val="ListParagraph"/>
        <w:ind w:left="425"/>
        <w:rPr>
          <w:rFonts w:cstheme="minorHAnsi"/>
        </w:rPr>
      </w:pPr>
    </w:p>
    <w:p w14:paraId="39F113B7" w14:textId="11FB132A" w:rsidR="00E84D11" w:rsidRPr="002F0AD3" w:rsidRDefault="00E84D11" w:rsidP="00A34358">
      <w:pPr>
        <w:pStyle w:val="ListParagraph"/>
        <w:numPr>
          <w:ilvl w:val="0"/>
          <w:numId w:val="2"/>
        </w:numPr>
        <w:ind w:left="850" w:hanging="425"/>
        <w:rPr>
          <w:rFonts w:cstheme="minorHAnsi"/>
        </w:rPr>
      </w:pPr>
      <w:r w:rsidRPr="002F0AD3">
        <w:rPr>
          <w:rFonts w:cstheme="minorHAnsi"/>
        </w:rPr>
        <w:t xml:space="preserve">At STRP20, representatives </w:t>
      </w:r>
      <w:r w:rsidR="00223A43" w:rsidRPr="002F0AD3">
        <w:rPr>
          <w:rFonts w:cstheme="minorHAnsi"/>
        </w:rPr>
        <w:t>of</w:t>
      </w:r>
      <w:r w:rsidRPr="002F0AD3">
        <w:rPr>
          <w:rFonts w:cstheme="minorHAnsi"/>
        </w:rPr>
        <w:t xml:space="preserve"> the Secretariats of the Convention on Biological </w:t>
      </w:r>
      <w:r w:rsidR="005C1A8F" w:rsidRPr="002F0AD3">
        <w:rPr>
          <w:rFonts w:cstheme="minorHAnsi"/>
        </w:rPr>
        <w:t>D</w:t>
      </w:r>
      <w:r w:rsidRPr="002F0AD3">
        <w:rPr>
          <w:rFonts w:cstheme="minorHAnsi"/>
        </w:rPr>
        <w:t xml:space="preserve">iversity (CBD), the United Nations Convention to </w:t>
      </w:r>
      <w:r w:rsidR="005C1A8F" w:rsidRPr="002F0AD3">
        <w:rPr>
          <w:rFonts w:cstheme="minorHAnsi"/>
        </w:rPr>
        <w:t>C</w:t>
      </w:r>
      <w:r w:rsidRPr="002F0AD3">
        <w:rPr>
          <w:rFonts w:cstheme="minorHAnsi"/>
        </w:rPr>
        <w:t xml:space="preserve">ombat Desertification (UNCCD) and the </w:t>
      </w:r>
      <w:r w:rsidRPr="002F0AD3">
        <w:rPr>
          <w:rFonts w:cstheme="minorHAnsi"/>
        </w:rPr>
        <w:lastRenderedPageBreak/>
        <w:t xml:space="preserve">Technical Committee of the Agreement on the Conservation of African-Eurasian Migratory Waterbirds (AEWA) provided perspectives on opportunities for collaboration. </w:t>
      </w:r>
    </w:p>
    <w:p w14:paraId="708E15DD" w14:textId="77777777" w:rsidR="00E84D11" w:rsidRPr="00C81B75" w:rsidRDefault="00E84D11" w:rsidP="00C81B75">
      <w:pPr>
        <w:rPr>
          <w:rFonts w:cstheme="minorHAnsi"/>
        </w:rPr>
      </w:pPr>
    </w:p>
    <w:p w14:paraId="46C06ADC" w14:textId="277A6BDC" w:rsidR="0031686B" w:rsidRPr="002F0AD3" w:rsidRDefault="00E84D11" w:rsidP="00CB4DD6">
      <w:pPr>
        <w:pStyle w:val="ListParagraph"/>
        <w:numPr>
          <w:ilvl w:val="0"/>
          <w:numId w:val="2"/>
        </w:numPr>
        <w:ind w:left="850" w:hanging="425"/>
        <w:rPr>
          <w:rFonts w:cstheme="minorHAnsi"/>
        </w:rPr>
      </w:pPr>
      <w:r w:rsidRPr="002F0AD3">
        <w:rPr>
          <w:rFonts w:cstheme="minorHAnsi"/>
        </w:rPr>
        <w:t xml:space="preserve">At STRP21, key outcomes included advancing the STRP tasks, finalizing scientific and technical draft resolutions for COP13, and establishing priorities on scientific and technical aspects of the Convention for 2019-2021. The Secretariat also coordinated consultancies and external reviews for various drafts related to STRP high priority tasks, including an independent review and analysis of the organization of Ramsar Advisory Missions as well as an update of the </w:t>
      </w:r>
      <w:r w:rsidR="00D714AC" w:rsidRPr="00D714AC">
        <w:rPr>
          <w:rFonts w:cstheme="minorHAnsi"/>
        </w:rPr>
        <w:t xml:space="preserve">Wetland Extent Trends </w:t>
      </w:r>
      <w:r w:rsidR="00D714AC">
        <w:rPr>
          <w:rFonts w:cstheme="minorHAnsi"/>
        </w:rPr>
        <w:t>(</w:t>
      </w:r>
      <w:r w:rsidRPr="002F0AD3">
        <w:rPr>
          <w:rFonts w:cstheme="minorHAnsi"/>
        </w:rPr>
        <w:t>WET</w:t>
      </w:r>
      <w:r w:rsidR="00D714AC">
        <w:rPr>
          <w:rFonts w:cstheme="minorHAnsi"/>
        </w:rPr>
        <w:t>)</w:t>
      </w:r>
      <w:r w:rsidRPr="002F0AD3">
        <w:rPr>
          <w:rFonts w:cstheme="minorHAnsi"/>
        </w:rPr>
        <w:t xml:space="preserve"> Index by </w:t>
      </w:r>
      <w:r w:rsidR="00D714AC">
        <w:rPr>
          <w:rFonts w:cstheme="minorHAnsi"/>
        </w:rPr>
        <w:t xml:space="preserve">the </w:t>
      </w:r>
      <w:r w:rsidR="00D714AC" w:rsidRPr="00D714AC">
        <w:rPr>
          <w:rFonts w:cstheme="minorHAnsi"/>
        </w:rPr>
        <w:t xml:space="preserve">UN Environment World Conservation Monitoring Centre </w:t>
      </w:r>
      <w:r w:rsidR="00D714AC">
        <w:rPr>
          <w:rFonts w:cstheme="minorHAnsi"/>
        </w:rPr>
        <w:t>(</w:t>
      </w:r>
      <w:r w:rsidRPr="002F0AD3">
        <w:rPr>
          <w:rFonts w:cstheme="minorHAnsi"/>
        </w:rPr>
        <w:t>UNEP-WCMC</w:t>
      </w:r>
      <w:r w:rsidR="00D714AC">
        <w:rPr>
          <w:rFonts w:cstheme="minorHAnsi"/>
        </w:rPr>
        <w:t>)</w:t>
      </w:r>
      <w:r w:rsidRPr="002F0AD3">
        <w:rPr>
          <w:rFonts w:cstheme="minorHAnsi"/>
        </w:rPr>
        <w:t xml:space="preserve">. </w:t>
      </w:r>
    </w:p>
    <w:p w14:paraId="5ED06345" w14:textId="77777777" w:rsidR="0031686B" w:rsidRPr="00C81B75" w:rsidRDefault="0031686B" w:rsidP="00C81B75">
      <w:pPr>
        <w:ind w:left="0" w:firstLine="0"/>
        <w:rPr>
          <w:rFonts w:cstheme="minorHAnsi"/>
        </w:rPr>
      </w:pPr>
    </w:p>
    <w:p w14:paraId="46A6FE9B" w14:textId="18D9D412" w:rsidR="00E84D11" w:rsidRPr="002F0AD3" w:rsidRDefault="00E84D11" w:rsidP="00A34358">
      <w:pPr>
        <w:ind w:firstLine="0"/>
        <w:rPr>
          <w:rFonts w:cstheme="minorHAnsi"/>
        </w:rPr>
      </w:pPr>
      <w:r w:rsidRPr="002F0AD3">
        <w:rPr>
          <w:rFonts w:cstheme="minorHAnsi"/>
        </w:rPr>
        <w:t>Overall, the results of this area of work were posi</w:t>
      </w:r>
      <w:bookmarkStart w:id="0" w:name="_GoBack"/>
      <w:bookmarkEnd w:id="0"/>
      <w:r w:rsidRPr="002F0AD3">
        <w:rPr>
          <w:rFonts w:cstheme="minorHAnsi"/>
        </w:rPr>
        <w:t xml:space="preserve">tive and the Chair of the STRP commended, at </w:t>
      </w:r>
      <w:r w:rsidR="00D714AC">
        <w:rPr>
          <w:rFonts w:cstheme="minorHAnsi"/>
        </w:rPr>
        <w:t>STRP21</w:t>
      </w:r>
      <w:r w:rsidRPr="002F0AD3">
        <w:rPr>
          <w:rFonts w:cstheme="minorHAnsi"/>
        </w:rPr>
        <w:t xml:space="preserve">, the support that the Secretariat had provided in its work, noting that the Panel had received strong support from the Secretariat over the triennium. </w:t>
      </w:r>
    </w:p>
    <w:p w14:paraId="0F82640B" w14:textId="77777777" w:rsidR="00E84D11" w:rsidRPr="002F0AD3" w:rsidRDefault="00E84D11" w:rsidP="00C81B75">
      <w:pPr>
        <w:ind w:left="0" w:firstLine="0"/>
        <w:rPr>
          <w:rFonts w:cstheme="minorHAnsi"/>
        </w:rPr>
      </w:pPr>
    </w:p>
    <w:p w14:paraId="1C63FC48" w14:textId="4FA90A6B" w:rsidR="001258C5" w:rsidRPr="00C81B75" w:rsidRDefault="00A34358" w:rsidP="00A34358">
      <w:pPr>
        <w:rPr>
          <w:rFonts w:cstheme="minorHAnsi"/>
        </w:rPr>
      </w:pPr>
      <w:r>
        <w:rPr>
          <w:rFonts w:cstheme="minorHAnsi"/>
        </w:rPr>
        <w:t>7.</w:t>
      </w:r>
      <w:r>
        <w:rPr>
          <w:rFonts w:cstheme="minorHAnsi"/>
        </w:rPr>
        <w:tab/>
      </w:r>
      <w:r w:rsidR="0089488A" w:rsidRPr="00C81B75">
        <w:rPr>
          <w:rFonts w:cstheme="minorHAnsi"/>
        </w:rPr>
        <w:t xml:space="preserve">A major highlight in the triennium was the organization of the 51st, 52nd, 53rd and 54th meetings of the Standing Committee. </w:t>
      </w:r>
      <w:r w:rsidR="001258C5" w:rsidRPr="00C81B75">
        <w:rPr>
          <w:rFonts w:cstheme="minorHAnsi"/>
        </w:rPr>
        <w:t>Prior to SC53, the Secretariat conducted a full review of existing decision</w:t>
      </w:r>
      <w:r w:rsidR="005C1A8F" w:rsidRPr="00C81B75">
        <w:rPr>
          <w:rFonts w:cstheme="minorHAnsi"/>
        </w:rPr>
        <w:t>s</w:t>
      </w:r>
      <w:r w:rsidR="001258C5" w:rsidRPr="00C81B75">
        <w:rPr>
          <w:rFonts w:cstheme="minorHAnsi"/>
        </w:rPr>
        <w:t xml:space="preserve"> and Resolutions to ensure that requests from Contracting Parties were followed up and relevant items included in the agenda</w:t>
      </w:r>
      <w:r w:rsidR="0082111B" w:rsidRPr="00C81B75">
        <w:rPr>
          <w:rFonts w:cstheme="minorHAnsi"/>
        </w:rPr>
        <w:t>s</w:t>
      </w:r>
      <w:r w:rsidR="001258C5" w:rsidRPr="00C81B75">
        <w:rPr>
          <w:rFonts w:cstheme="minorHAnsi"/>
        </w:rPr>
        <w:t xml:space="preserve"> of the meeting</w:t>
      </w:r>
      <w:r w:rsidR="0082111B" w:rsidRPr="00C81B75">
        <w:rPr>
          <w:rFonts w:cstheme="minorHAnsi"/>
        </w:rPr>
        <w:t>s</w:t>
      </w:r>
      <w:r w:rsidR="001258C5" w:rsidRPr="00C81B75">
        <w:rPr>
          <w:rFonts w:cstheme="minorHAnsi"/>
        </w:rPr>
        <w:t>. Guidance for the preparation of documents was developed to ensure consistency. The Secretariat prepared documents for the meeting</w:t>
      </w:r>
      <w:r w:rsidR="0082111B" w:rsidRPr="00C81B75">
        <w:rPr>
          <w:rFonts w:cstheme="minorHAnsi"/>
        </w:rPr>
        <w:t>s</w:t>
      </w:r>
      <w:r w:rsidR="001258C5" w:rsidRPr="00C81B75">
        <w:rPr>
          <w:rFonts w:cstheme="minorHAnsi"/>
        </w:rPr>
        <w:t>, organized logistics and processes for C</w:t>
      </w:r>
      <w:r w:rsidR="0082111B" w:rsidRPr="00C81B75">
        <w:rPr>
          <w:rFonts w:cstheme="minorHAnsi"/>
        </w:rPr>
        <w:t>ontracting Parties’ consideration</w:t>
      </w:r>
      <w:r w:rsidR="001258C5" w:rsidRPr="00C81B75">
        <w:rPr>
          <w:rFonts w:cstheme="minorHAnsi"/>
        </w:rPr>
        <w:t xml:space="preserve"> of </w:t>
      </w:r>
      <w:r w:rsidR="00BB5F70" w:rsidRPr="00C81B75">
        <w:rPr>
          <w:rFonts w:cstheme="minorHAnsi"/>
        </w:rPr>
        <w:t xml:space="preserve">draft resolutions </w:t>
      </w:r>
      <w:r w:rsidR="001258C5" w:rsidRPr="00C81B75">
        <w:rPr>
          <w:rFonts w:cstheme="minorHAnsi"/>
        </w:rPr>
        <w:t>at SC54</w:t>
      </w:r>
      <w:r w:rsidR="0082111B" w:rsidRPr="00C81B75">
        <w:rPr>
          <w:rFonts w:cstheme="minorHAnsi"/>
        </w:rPr>
        <w:t xml:space="preserve"> and COP13</w:t>
      </w:r>
      <w:r w:rsidR="001258C5" w:rsidRPr="00C81B75">
        <w:rPr>
          <w:rFonts w:cstheme="minorHAnsi"/>
        </w:rPr>
        <w:t xml:space="preserve">, and prepared daily </w:t>
      </w:r>
      <w:r w:rsidR="005C1A8F" w:rsidRPr="00C81B75">
        <w:rPr>
          <w:rFonts w:cstheme="minorHAnsi"/>
        </w:rPr>
        <w:t>and</w:t>
      </w:r>
      <w:r w:rsidR="001258C5" w:rsidRPr="00C81B75">
        <w:rPr>
          <w:rFonts w:cstheme="minorHAnsi"/>
        </w:rPr>
        <w:t xml:space="preserve"> final reports of the meetings. SC54 had the highest participation</w:t>
      </w:r>
      <w:r w:rsidR="00720F05" w:rsidRPr="00C81B75">
        <w:rPr>
          <w:rFonts w:cstheme="minorHAnsi"/>
        </w:rPr>
        <w:t xml:space="preserve"> for a meeting of the Standing Committee</w:t>
      </w:r>
      <w:r w:rsidR="001258C5" w:rsidRPr="00C81B75">
        <w:rPr>
          <w:rFonts w:cstheme="minorHAnsi"/>
        </w:rPr>
        <w:t xml:space="preserve"> in the history of the Convention</w:t>
      </w:r>
      <w:r w:rsidR="00720F05" w:rsidRPr="00C81B75">
        <w:rPr>
          <w:rFonts w:cstheme="minorHAnsi"/>
        </w:rPr>
        <w:t>,</w:t>
      </w:r>
      <w:r w:rsidR="001258C5" w:rsidRPr="00C81B75">
        <w:rPr>
          <w:rFonts w:cstheme="minorHAnsi"/>
        </w:rPr>
        <w:t xml:space="preserve"> with </w:t>
      </w:r>
      <w:r w:rsidR="00253288" w:rsidRPr="00C81B75">
        <w:rPr>
          <w:rFonts w:cstheme="minorHAnsi"/>
        </w:rPr>
        <w:t>120 participants and 19 observers</w:t>
      </w:r>
      <w:r w:rsidR="001258C5" w:rsidRPr="00C81B75">
        <w:rPr>
          <w:rFonts w:cstheme="minorHAnsi"/>
        </w:rPr>
        <w:t xml:space="preserve">. </w:t>
      </w:r>
      <w:r w:rsidR="00C2584E" w:rsidRPr="00C81B75">
        <w:rPr>
          <w:rFonts w:cstheme="minorHAnsi"/>
        </w:rPr>
        <w:t>At the time of writing, t</w:t>
      </w:r>
      <w:r w:rsidR="001258C5" w:rsidRPr="00C81B75">
        <w:rPr>
          <w:rFonts w:cstheme="minorHAnsi"/>
        </w:rPr>
        <w:t xml:space="preserve">he Secretariat is preparing the </w:t>
      </w:r>
      <w:r w:rsidR="00BB5F70">
        <w:rPr>
          <w:rFonts w:cstheme="minorHAnsi"/>
        </w:rPr>
        <w:t>SC55 and SC56</w:t>
      </w:r>
      <w:r w:rsidR="00134BA0" w:rsidRPr="00C81B75">
        <w:rPr>
          <w:rFonts w:cstheme="minorHAnsi"/>
        </w:rPr>
        <w:t>,</w:t>
      </w:r>
      <w:r w:rsidR="001258C5" w:rsidRPr="00C81B75">
        <w:rPr>
          <w:rFonts w:cstheme="minorHAnsi"/>
        </w:rPr>
        <w:t xml:space="preserve"> to be held immediately before and after COP13</w:t>
      </w:r>
      <w:r w:rsidR="005C1A8F" w:rsidRPr="00C81B75">
        <w:rPr>
          <w:rFonts w:cstheme="minorHAnsi"/>
        </w:rPr>
        <w:t>.</w:t>
      </w:r>
      <w:r w:rsidR="001258C5" w:rsidRPr="00C81B75">
        <w:rPr>
          <w:rFonts w:cstheme="minorHAnsi"/>
        </w:rPr>
        <w:t xml:space="preserve"> The Secretariat team has worked in a coordinated manner with clear roles and responsibilities to support these meetings. Participants have expressed satisfaction with the organization and running of</w:t>
      </w:r>
      <w:r w:rsidR="00253288" w:rsidRPr="00C81B75">
        <w:rPr>
          <w:rFonts w:cstheme="minorHAnsi"/>
        </w:rPr>
        <w:t xml:space="preserve"> </w:t>
      </w:r>
      <w:r w:rsidR="000B4682" w:rsidRPr="00C81B75">
        <w:rPr>
          <w:rFonts w:cstheme="minorHAnsi"/>
        </w:rPr>
        <w:t xml:space="preserve">these </w:t>
      </w:r>
      <w:r w:rsidR="001258C5" w:rsidRPr="00C81B75">
        <w:rPr>
          <w:rFonts w:cstheme="minorHAnsi"/>
        </w:rPr>
        <w:t>meetings</w:t>
      </w:r>
      <w:r>
        <w:rPr>
          <w:rFonts w:cstheme="minorHAnsi"/>
        </w:rPr>
        <w:t>.</w:t>
      </w:r>
    </w:p>
    <w:p w14:paraId="0EB43E6F" w14:textId="77777777" w:rsidR="001258C5" w:rsidRPr="00A34358" w:rsidRDefault="001258C5" w:rsidP="00A34358">
      <w:pPr>
        <w:rPr>
          <w:rFonts w:cstheme="minorHAnsi"/>
        </w:rPr>
      </w:pPr>
    </w:p>
    <w:p w14:paraId="33CBD1D6" w14:textId="23019772" w:rsidR="00277D40" w:rsidRPr="002F0AD3" w:rsidRDefault="00A34358" w:rsidP="00A34358">
      <w:pPr>
        <w:rPr>
          <w:rFonts w:cstheme="minorHAnsi"/>
        </w:rPr>
      </w:pPr>
      <w:r>
        <w:rPr>
          <w:rFonts w:cstheme="minorHAnsi"/>
        </w:rPr>
        <w:t>8.</w:t>
      </w:r>
      <w:r>
        <w:rPr>
          <w:rFonts w:cstheme="minorHAnsi"/>
        </w:rPr>
        <w:tab/>
      </w:r>
      <w:r w:rsidR="00A47DFB" w:rsidRPr="002F0AD3">
        <w:rPr>
          <w:rFonts w:cstheme="minorHAnsi"/>
        </w:rPr>
        <w:t xml:space="preserve">Regarding </w:t>
      </w:r>
      <w:r w:rsidR="00CB6225" w:rsidRPr="002F0AD3">
        <w:rPr>
          <w:rFonts w:cstheme="minorHAnsi"/>
        </w:rPr>
        <w:t xml:space="preserve">the organization of the meetings of the Conference of the Contracting Parties, </w:t>
      </w:r>
      <w:r w:rsidR="00A47DFB" w:rsidRPr="002F0AD3">
        <w:rPr>
          <w:rFonts w:cstheme="minorHAnsi"/>
        </w:rPr>
        <w:t>the Secretariat carried out an evaluation of COP12</w:t>
      </w:r>
      <w:r w:rsidR="004B3CB6" w:rsidRPr="002F0AD3">
        <w:rPr>
          <w:rFonts w:cstheme="minorHAnsi"/>
        </w:rPr>
        <w:t>,</w:t>
      </w:r>
      <w:r w:rsidR="00CB6225" w:rsidRPr="002F0AD3">
        <w:rPr>
          <w:rFonts w:cstheme="minorHAnsi"/>
        </w:rPr>
        <w:t xml:space="preserve"> held in Punta del Este, Uruguay in </w:t>
      </w:r>
      <w:r w:rsidR="00BD1137" w:rsidRPr="002F0AD3">
        <w:rPr>
          <w:rFonts w:cstheme="minorHAnsi"/>
        </w:rPr>
        <w:t>June</w:t>
      </w:r>
      <w:r w:rsidR="00CB6225" w:rsidRPr="002F0AD3">
        <w:rPr>
          <w:rFonts w:cstheme="minorHAnsi"/>
        </w:rPr>
        <w:t xml:space="preserve"> 2015</w:t>
      </w:r>
      <w:r w:rsidR="004B3CB6" w:rsidRPr="002F0AD3">
        <w:rPr>
          <w:rFonts w:cstheme="minorHAnsi"/>
        </w:rPr>
        <w:t>,</w:t>
      </w:r>
      <w:r w:rsidR="00277D40" w:rsidRPr="002F0AD3">
        <w:rPr>
          <w:rFonts w:cstheme="minorHAnsi"/>
        </w:rPr>
        <w:t xml:space="preserve"> and developed a </w:t>
      </w:r>
      <w:r w:rsidR="00BD1137" w:rsidRPr="002F0AD3">
        <w:rPr>
          <w:rFonts w:cstheme="minorHAnsi"/>
        </w:rPr>
        <w:t>m</w:t>
      </w:r>
      <w:r w:rsidR="00277D40" w:rsidRPr="002F0AD3">
        <w:rPr>
          <w:rFonts w:cstheme="minorHAnsi"/>
        </w:rPr>
        <w:t>anual in February 2016</w:t>
      </w:r>
      <w:r w:rsidR="00BD1137" w:rsidRPr="002F0AD3">
        <w:rPr>
          <w:rFonts w:cstheme="minorHAnsi"/>
        </w:rPr>
        <w:t xml:space="preserve"> </w:t>
      </w:r>
      <w:r w:rsidR="000B4682" w:rsidRPr="002F0AD3">
        <w:rPr>
          <w:rFonts w:cstheme="minorHAnsi"/>
        </w:rPr>
        <w:t xml:space="preserve">that </w:t>
      </w:r>
      <w:r w:rsidR="00BD1137" w:rsidRPr="002F0AD3">
        <w:rPr>
          <w:rFonts w:cstheme="minorHAnsi"/>
        </w:rPr>
        <w:t>provide</w:t>
      </w:r>
      <w:r w:rsidR="000B4682" w:rsidRPr="002F0AD3">
        <w:rPr>
          <w:rFonts w:cstheme="minorHAnsi"/>
        </w:rPr>
        <w:t>s</w:t>
      </w:r>
      <w:r w:rsidR="00BD1137" w:rsidRPr="002F0AD3">
        <w:rPr>
          <w:rFonts w:cstheme="minorHAnsi"/>
        </w:rPr>
        <w:t xml:space="preserve"> guidance on planning and preparing for future </w:t>
      </w:r>
      <w:r w:rsidR="004B3CB6" w:rsidRPr="002F0AD3">
        <w:rPr>
          <w:rFonts w:cstheme="minorHAnsi"/>
        </w:rPr>
        <w:t xml:space="preserve">meetings of the </w:t>
      </w:r>
      <w:r w:rsidR="00BD1137" w:rsidRPr="002F0AD3">
        <w:rPr>
          <w:rFonts w:cstheme="minorHAnsi"/>
        </w:rPr>
        <w:t>COP</w:t>
      </w:r>
      <w:r w:rsidR="00277D40" w:rsidRPr="002F0AD3">
        <w:rPr>
          <w:rFonts w:cstheme="minorHAnsi"/>
        </w:rPr>
        <w:t xml:space="preserve">. </w:t>
      </w:r>
    </w:p>
    <w:p w14:paraId="2D3DCA59" w14:textId="77777777" w:rsidR="00277D40" w:rsidRPr="002F0AD3" w:rsidRDefault="00277D40" w:rsidP="00A34358">
      <w:pPr>
        <w:rPr>
          <w:rFonts w:cstheme="minorHAnsi"/>
        </w:rPr>
      </w:pPr>
    </w:p>
    <w:p w14:paraId="36887660" w14:textId="0F1BAB76" w:rsidR="000D7F50" w:rsidRPr="002F0AD3" w:rsidRDefault="00A34358" w:rsidP="00A34358">
      <w:pPr>
        <w:rPr>
          <w:rFonts w:cstheme="minorHAnsi"/>
        </w:rPr>
      </w:pPr>
      <w:r>
        <w:rPr>
          <w:rFonts w:cstheme="minorHAnsi"/>
        </w:rPr>
        <w:t>9.</w:t>
      </w:r>
      <w:r>
        <w:rPr>
          <w:rFonts w:cstheme="minorHAnsi"/>
        </w:rPr>
        <w:tab/>
      </w:r>
      <w:r w:rsidR="00B3576E" w:rsidRPr="002F0AD3">
        <w:rPr>
          <w:rFonts w:cstheme="minorHAnsi"/>
        </w:rPr>
        <w:t>In preparation for COP13, t</w:t>
      </w:r>
      <w:r w:rsidR="00CC55B3" w:rsidRPr="002F0AD3">
        <w:rPr>
          <w:rFonts w:cstheme="minorHAnsi"/>
        </w:rPr>
        <w:t>he Secretariat</w:t>
      </w:r>
      <w:r w:rsidR="0078142B">
        <w:rPr>
          <w:rFonts w:cstheme="minorHAnsi"/>
        </w:rPr>
        <w:t xml:space="preserve"> </w:t>
      </w:r>
      <w:r w:rsidR="00BD1137" w:rsidRPr="002F0AD3">
        <w:rPr>
          <w:rFonts w:cstheme="minorHAnsi"/>
        </w:rPr>
        <w:t>and</w:t>
      </w:r>
      <w:r w:rsidR="000D7F50" w:rsidRPr="002F0AD3">
        <w:rPr>
          <w:rFonts w:cstheme="minorHAnsi"/>
        </w:rPr>
        <w:t xml:space="preserve"> organized five regional pre-COP meetings as follows: </w:t>
      </w:r>
    </w:p>
    <w:p w14:paraId="15C257FD" w14:textId="338D8670" w:rsidR="000D7F50" w:rsidRPr="002F0AD3" w:rsidRDefault="000D7F50" w:rsidP="00A34358">
      <w:pPr>
        <w:pStyle w:val="ListParagraph"/>
        <w:numPr>
          <w:ilvl w:val="0"/>
          <w:numId w:val="2"/>
        </w:numPr>
        <w:ind w:left="850" w:hanging="425"/>
        <w:rPr>
          <w:rFonts w:cstheme="minorHAnsi"/>
        </w:rPr>
      </w:pPr>
      <w:r w:rsidRPr="002F0AD3">
        <w:rPr>
          <w:rFonts w:cstheme="minorHAnsi"/>
        </w:rPr>
        <w:t>Africa Region (26 February – 2 March) Dakar</w:t>
      </w:r>
      <w:r w:rsidR="00756ADA">
        <w:rPr>
          <w:rFonts w:cstheme="minorHAnsi"/>
        </w:rPr>
        <w:t>,</w:t>
      </w:r>
      <w:r w:rsidRPr="002F0AD3">
        <w:rPr>
          <w:rFonts w:cstheme="minorHAnsi"/>
        </w:rPr>
        <w:t xml:space="preserve"> Senegal</w:t>
      </w:r>
    </w:p>
    <w:p w14:paraId="5BB63B3B" w14:textId="7A8C33D9" w:rsidR="000D7F50" w:rsidRPr="002F0AD3" w:rsidRDefault="000D7F50" w:rsidP="00A34358">
      <w:pPr>
        <w:pStyle w:val="ListParagraph"/>
        <w:numPr>
          <w:ilvl w:val="0"/>
          <w:numId w:val="2"/>
        </w:numPr>
        <w:ind w:left="850" w:hanging="425"/>
        <w:rPr>
          <w:rFonts w:cstheme="minorHAnsi"/>
        </w:rPr>
      </w:pPr>
      <w:r w:rsidRPr="002F0AD3">
        <w:rPr>
          <w:rFonts w:cstheme="minorHAnsi"/>
        </w:rPr>
        <w:t>Asia Region (26 February – 2 March) Colombo</w:t>
      </w:r>
      <w:r w:rsidR="00756ADA">
        <w:rPr>
          <w:rFonts w:cstheme="minorHAnsi"/>
        </w:rPr>
        <w:t>,</w:t>
      </w:r>
      <w:r w:rsidRPr="002F0AD3">
        <w:rPr>
          <w:rFonts w:cstheme="minorHAnsi"/>
        </w:rPr>
        <w:t xml:space="preserve"> Sri Lanka</w:t>
      </w:r>
    </w:p>
    <w:p w14:paraId="790B3AB8" w14:textId="6FADF69A" w:rsidR="000D7F50" w:rsidRPr="002F0AD3" w:rsidRDefault="000D7F50" w:rsidP="00A34358">
      <w:pPr>
        <w:pStyle w:val="ListParagraph"/>
        <w:numPr>
          <w:ilvl w:val="0"/>
          <w:numId w:val="2"/>
        </w:numPr>
        <w:ind w:left="850" w:hanging="425"/>
        <w:rPr>
          <w:rFonts w:cstheme="minorHAnsi"/>
        </w:rPr>
      </w:pPr>
      <w:r w:rsidRPr="002F0AD3">
        <w:rPr>
          <w:rFonts w:cstheme="minorHAnsi"/>
        </w:rPr>
        <w:t>Americas Region (12 – 16 March) San Jose</w:t>
      </w:r>
      <w:r w:rsidR="00756ADA">
        <w:rPr>
          <w:rFonts w:cstheme="minorHAnsi"/>
        </w:rPr>
        <w:t>,</w:t>
      </w:r>
      <w:r w:rsidRPr="002F0AD3">
        <w:rPr>
          <w:rFonts w:cstheme="minorHAnsi"/>
        </w:rPr>
        <w:t xml:space="preserve"> Costa Rica</w:t>
      </w:r>
    </w:p>
    <w:p w14:paraId="3ED8A173" w14:textId="7FDA6C00" w:rsidR="000D7F50" w:rsidRPr="002F0AD3" w:rsidRDefault="000D7F50" w:rsidP="00A34358">
      <w:pPr>
        <w:pStyle w:val="ListParagraph"/>
        <w:numPr>
          <w:ilvl w:val="0"/>
          <w:numId w:val="2"/>
        </w:numPr>
        <w:ind w:left="850" w:hanging="425"/>
        <w:rPr>
          <w:rFonts w:cstheme="minorHAnsi"/>
        </w:rPr>
      </w:pPr>
      <w:r w:rsidRPr="002F0AD3">
        <w:rPr>
          <w:rFonts w:cstheme="minorHAnsi"/>
        </w:rPr>
        <w:t>Oceania Region (12 – 16 March) Auckland</w:t>
      </w:r>
      <w:r w:rsidR="00756ADA">
        <w:rPr>
          <w:rFonts w:cstheme="minorHAnsi"/>
        </w:rPr>
        <w:t>,</w:t>
      </w:r>
      <w:r w:rsidRPr="002F0AD3">
        <w:rPr>
          <w:rFonts w:cstheme="minorHAnsi"/>
        </w:rPr>
        <w:t xml:space="preserve"> New Zealand</w:t>
      </w:r>
    </w:p>
    <w:p w14:paraId="17B69551" w14:textId="796E3827" w:rsidR="000D7F50" w:rsidRPr="002F0AD3" w:rsidRDefault="000D7F50" w:rsidP="00A34358">
      <w:pPr>
        <w:pStyle w:val="ListParagraph"/>
        <w:numPr>
          <w:ilvl w:val="0"/>
          <w:numId w:val="2"/>
        </w:numPr>
        <w:ind w:left="850" w:hanging="425"/>
        <w:rPr>
          <w:rFonts w:cstheme="minorHAnsi"/>
        </w:rPr>
      </w:pPr>
      <w:r w:rsidRPr="002F0AD3">
        <w:rPr>
          <w:rFonts w:cstheme="minorHAnsi"/>
        </w:rPr>
        <w:t>Europe Region (19 – 23 March) Olomouc</w:t>
      </w:r>
      <w:r w:rsidR="00756ADA">
        <w:rPr>
          <w:rFonts w:cstheme="minorHAnsi"/>
        </w:rPr>
        <w:t>,</w:t>
      </w:r>
      <w:r w:rsidRPr="002F0AD3">
        <w:rPr>
          <w:rFonts w:cstheme="minorHAnsi"/>
        </w:rPr>
        <w:t xml:space="preserve"> Czech Republic</w:t>
      </w:r>
    </w:p>
    <w:p w14:paraId="760C92E3" w14:textId="77777777" w:rsidR="00A34358" w:rsidRDefault="00A34358" w:rsidP="00A34358">
      <w:pPr>
        <w:rPr>
          <w:rFonts w:cstheme="minorHAnsi"/>
        </w:rPr>
      </w:pPr>
    </w:p>
    <w:p w14:paraId="3A3534FE" w14:textId="53095D22" w:rsidR="000D7F50" w:rsidRPr="002F0AD3" w:rsidRDefault="00791678" w:rsidP="00D714AC">
      <w:pPr>
        <w:ind w:firstLine="0"/>
        <w:rPr>
          <w:rFonts w:cstheme="minorHAnsi"/>
        </w:rPr>
      </w:pPr>
      <w:r w:rsidRPr="002F0AD3">
        <w:rPr>
          <w:rFonts w:cstheme="minorHAnsi"/>
        </w:rPr>
        <w:t>The Secretariat would like to express its gratitude to the host countries of these meetings.</w:t>
      </w:r>
      <w:r w:rsidR="00D714AC">
        <w:rPr>
          <w:rFonts w:cstheme="minorHAnsi"/>
        </w:rPr>
        <w:t xml:space="preserve"> </w:t>
      </w:r>
      <w:r w:rsidR="000D7F50" w:rsidRPr="002F0AD3">
        <w:rPr>
          <w:rFonts w:cstheme="minorHAnsi"/>
        </w:rPr>
        <w:t xml:space="preserve">Contracting Parties consider these meetings as valuable fora to comment on the </w:t>
      </w:r>
      <w:r w:rsidR="003A13CF" w:rsidRPr="002F0AD3">
        <w:rPr>
          <w:rFonts w:cstheme="minorHAnsi"/>
        </w:rPr>
        <w:t>draft resolutions</w:t>
      </w:r>
      <w:r w:rsidR="00A52454" w:rsidRPr="002F0AD3">
        <w:rPr>
          <w:rFonts w:cstheme="minorHAnsi"/>
        </w:rPr>
        <w:t xml:space="preserve"> that were </w:t>
      </w:r>
      <w:r w:rsidR="00CB6225" w:rsidRPr="002F0AD3">
        <w:rPr>
          <w:rFonts w:cstheme="minorHAnsi"/>
        </w:rPr>
        <w:t xml:space="preserve">subsequently </w:t>
      </w:r>
      <w:r w:rsidR="000D7F50" w:rsidRPr="002F0AD3">
        <w:rPr>
          <w:rFonts w:cstheme="minorHAnsi"/>
        </w:rPr>
        <w:t xml:space="preserve">discussed </w:t>
      </w:r>
      <w:r w:rsidR="003A13CF" w:rsidRPr="002F0AD3">
        <w:rPr>
          <w:rFonts w:cstheme="minorHAnsi"/>
        </w:rPr>
        <w:t>at</w:t>
      </w:r>
      <w:r w:rsidR="000D7F50" w:rsidRPr="002F0AD3">
        <w:rPr>
          <w:rFonts w:cstheme="minorHAnsi"/>
        </w:rPr>
        <w:t xml:space="preserve"> SC54 and</w:t>
      </w:r>
      <w:r w:rsidR="00A52454" w:rsidRPr="002F0AD3">
        <w:rPr>
          <w:rFonts w:cstheme="minorHAnsi"/>
        </w:rPr>
        <w:t xml:space="preserve"> will be negotiated at</w:t>
      </w:r>
      <w:r w:rsidR="000D7F50" w:rsidRPr="002F0AD3">
        <w:rPr>
          <w:rFonts w:cstheme="minorHAnsi"/>
        </w:rPr>
        <w:t xml:space="preserve"> COP13. The</w:t>
      </w:r>
      <w:r w:rsidR="00BD1137" w:rsidRPr="002F0AD3">
        <w:rPr>
          <w:rFonts w:cstheme="minorHAnsi"/>
        </w:rPr>
        <w:t>se meetings</w:t>
      </w:r>
      <w:r w:rsidR="000D7F50" w:rsidRPr="002F0AD3">
        <w:rPr>
          <w:rFonts w:cstheme="minorHAnsi"/>
        </w:rPr>
        <w:t xml:space="preserve"> also provide an opportunity for Parties to share experiences in implementation of the Convention at the regional </w:t>
      </w:r>
      <w:r w:rsidR="00BD1137" w:rsidRPr="002F0AD3">
        <w:rPr>
          <w:rFonts w:cstheme="minorHAnsi"/>
        </w:rPr>
        <w:t xml:space="preserve">and national </w:t>
      </w:r>
      <w:r w:rsidR="000D7F50" w:rsidRPr="002F0AD3">
        <w:rPr>
          <w:rFonts w:cstheme="minorHAnsi"/>
        </w:rPr>
        <w:t>level</w:t>
      </w:r>
      <w:r w:rsidR="001522DA">
        <w:rPr>
          <w:rFonts w:cstheme="minorHAnsi"/>
        </w:rPr>
        <w:t>s</w:t>
      </w:r>
      <w:r w:rsidR="000D7F50" w:rsidRPr="002F0AD3">
        <w:rPr>
          <w:rFonts w:cstheme="minorHAnsi"/>
        </w:rPr>
        <w:t>, to raise issues of mutual interest and to hold preliminary discussions about the election of regional representatives to the Standing Committee.</w:t>
      </w:r>
    </w:p>
    <w:p w14:paraId="263ECFFD" w14:textId="77777777" w:rsidR="00B02D0F" w:rsidRPr="002F0AD3" w:rsidRDefault="00B02D0F" w:rsidP="00C81B75">
      <w:pPr>
        <w:ind w:left="0" w:firstLine="0"/>
        <w:rPr>
          <w:rFonts w:cstheme="minorHAnsi"/>
        </w:rPr>
      </w:pPr>
    </w:p>
    <w:p w14:paraId="52BDDCF9" w14:textId="22048964" w:rsidR="00110E53" w:rsidRPr="002F0AD3" w:rsidRDefault="00A34358" w:rsidP="00A34358">
      <w:pPr>
        <w:rPr>
          <w:rFonts w:cstheme="minorHAnsi"/>
        </w:rPr>
      </w:pPr>
      <w:r>
        <w:rPr>
          <w:rFonts w:cstheme="minorHAnsi"/>
        </w:rPr>
        <w:lastRenderedPageBreak/>
        <w:t>10.</w:t>
      </w:r>
      <w:r>
        <w:rPr>
          <w:rFonts w:cstheme="minorHAnsi"/>
        </w:rPr>
        <w:tab/>
      </w:r>
      <w:r w:rsidR="00B02D0F" w:rsidRPr="002F0AD3">
        <w:rPr>
          <w:rFonts w:cstheme="minorHAnsi"/>
        </w:rPr>
        <w:t xml:space="preserve">The Secretariat has been actively liaising with the United Arab Emirates as </w:t>
      </w:r>
      <w:r w:rsidR="0082111B" w:rsidRPr="002F0AD3">
        <w:rPr>
          <w:rFonts w:cstheme="minorHAnsi"/>
        </w:rPr>
        <w:t>the host country for COP13</w:t>
      </w:r>
      <w:r w:rsidR="00B02D0F" w:rsidRPr="002F0AD3">
        <w:rPr>
          <w:rFonts w:cstheme="minorHAnsi"/>
        </w:rPr>
        <w:t xml:space="preserve"> on event planning, logistics and communications. Key responsibilities include</w:t>
      </w:r>
      <w:r w:rsidR="00F72E95" w:rsidRPr="002F0AD3">
        <w:rPr>
          <w:rFonts w:cstheme="minorHAnsi"/>
        </w:rPr>
        <w:t>:</w:t>
      </w:r>
      <w:r w:rsidR="00B02D0F" w:rsidRPr="002F0AD3">
        <w:rPr>
          <w:rFonts w:cstheme="minorHAnsi"/>
        </w:rPr>
        <w:t xml:space="preserve"> </w:t>
      </w:r>
      <w:r w:rsidR="00F72E95" w:rsidRPr="002F0AD3">
        <w:rPr>
          <w:rFonts w:cstheme="minorHAnsi"/>
        </w:rPr>
        <w:t xml:space="preserve">development of a </w:t>
      </w:r>
      <w:r w:rsidR="001522DA" w:rsidRPr="002F0AD3">
        <w:rPr>
          <w:rFonts w:cstheme="minorHAnsi"/>
        </w:rPr>
        <w:t xml:space="preserve">memorandum of understanding </w:t>
      </w:r>
      <w:r w:rsidR="00F72E95" w:rsidRPr="002F0AD3">
        <w:rPr>
          <w:rFonts w:cstheme="minorHAnsi"/>
        </w:rPr>
        <w:t>including the statement of requirements; registration; sponsored delegate travel;</w:t>
      </w:r>
      <w:r w:rsidR="00B02D0F" w:rsidRPr="002F0AD3">
        <w:rPr>
          <w:rFonts w:cstheme="minorHAnsi"/>
        </w:rPr>
        <w:t xml:space="preserve"> coo</w:t>
      </w:r>
      <w:r w:rsidR="00F72E95" w:rsidRPr="002F0AD3">
        <w:rPr>
          <w:rFonts w:cstheme="minorHAnsi"/>
        </w:rPr>
        <w:t>rdination of side events;</w:t>
      </w:r>
      <w:r w:rsidR="00B02D0F" w:rsidRPr="002F0AD3">
        <w:rPr>
          <w:rFonts w:cstheme="minorHAnsi"/>
        </w:rPr>
        <w:t xml:space="preserve"> </w:t>
      </w:r>
      <w:r w:rsidR="00F72E95" w:rsidRPr="002F0AD3">
        <w:rPr>
          <w:rFonts w:cstheme="minorHAnsi"/>
        </w:rPr>
        <w:t xml:space="preserve">communications; and </w:t>
      </w:r>
      <w:r w:rsidR="00B02D0F" w:rsidRPr="002F0AD3">
        <w:rPr>
          <w:rFonts w:cstheme="minorHAnsi"/>
        </w:rPr>
        <w:t>prepar</w:t>
      </w:r>
      <w:r w:rsidR="00F72E95" w:rsidRPr="002F0AD3">
        <w:rPr>
          <w:rFonts w:cstheme="minorHAnsi"/>
        </w:rPr>
        <w:t xml:space="preserve">ation of </w:t>
      </w:r>
      <w:r w:rsidR="00B02D0F" w:rsidRPr="002F0AD3">
        <w:rPr>
          <w:rFonts w:cstheme="minorHAnsi"/>
        </w:rPr>
        <w:t>meeting documents</w:t>
      </w:r>
      <w:r w:rsidR="00CB6225" w:rsidRPr="002F0AD3">
        <w:rPr>
          <w:rFonts w:cstheme="minorHAnsi"/>
        </w:rPr>
        <w:t>.</w:t>
      </w:r>
    </w:p>
    <w:p w14:paraId="58D321E9" w14:textId="77777777" w:rsidR="00B02D0F" w:rsidRPr="00A34358" w:rsidRDefault="00B02D0F" w:rsidP="00A34358">
      <w:pPr>
        <w:rPr>
          <w:rFonts w:cstheme="minorHAnsi"/>
        </w:rPr>
      </w:pPr>
    </w:p>
    <w:p w14:paraId="36C8BF3D" w14:textId="7F5694C6" w:rsidR="009B7A0D" w:rsidRPr="00C81B75" w:rsidRDefault="00A34358" w:rsidP="00A34358">
      <w:pPr>
        <w:rPr>
          <w:rFonts w:cstheme="minorHAnsi"/>
        </w:rPr>
      </w:pPr>
      <w:r>
        <w:rPr>
          <w:rFonts w:cstheme="minorHAnsi"/>
        </w:rPr>
        <w:t>11.</w:t>
      </w:r>
      <w:r>
        <w:rPr>
          <w:rFonts w:cstheme="minorHAnsi"/>
        </w:rPr>
        <w:tab/>
      </w:r>
      <w:r w:rsidR="00F1771C" w:rsidRPr="002F0AD3">
        <w:rPr>
          <w:rFonts w:cstheme="minorHAnsi"/>
        </w:rPr>
        <w:t>T</w:t>
      </w:r>
      <w:r w:rsidR="00135192" w:rsidRPr="002F0AD3">
        <w:rPr>
          <w:rFonts w:cstheme="minorHAnsi"/>
        </w:rPr>
        <w:t>he Secretariat ha</w:t>
      </w:r>
      <w:r w:rsidR="00597507" w:rsidRPr="002F0AD3">
        <w:rPr>
          <w:rFonts w:cstheme="minorHAnsi"/>
        </w:rPr>
        <w:t>s</w:t>
      </w:r>
      <w:r w:rsidR="00F1771C" w:rsidRPr="002F0AD3">
        <w:rPr>
          <w:rFonts w:cstheme="minorHAnsi"/>
        </w:rPr>
        <w:t xml:space="preserve"> </w:t>
      </w:r>
      <w:r w:rsidR="00B02D0F" w:rsidRPr="002F0AD3">
        <w:rPr>
          <w:rFonts w:cstheme="minorHAnsi"/>
        </w:rPr>
        <w:t xml:space="preserve">also </w:t>
      </w:r>
      <w:r w:rsidR="00F1771C" w:rsidRPr="002F0AD3">
        <w:rPr>
          <w:rFonts w:cstheme="minorHAnsi"/>
        </w:rPr>
        <w:t>been active in</w:t>
      </w:r>
      <w:r w:rsidR="00AE0EC0" w:rsidRPr="002F0AD3">
        <w:rPr>
          <w:rFonts w:cstheme="minorHAnsi"/>
        </w:rPr>
        <w:t xml:space="preserve"> support</w:t>
      </w:r>
      <w:r w:rsidR="00F1771C" w:rsidRPr="002F0AD3">
        <w:rPr>
          <w:rFonts w:cstheme="minorHAnsi"/>
        </w:rPr>
        <w:t>ing</w:t>
      </w:r>
      <w:r w:rsidR="00A52454" w:rsidRPr="002F0AD3">
        <w:rPr>
          <w:rFonts w:cstheme="minorHAnsi"/>
        </w:rPr>
        <w:t xml:space="preserve"> implementation of </w:t>
      </w:r>
      <w:r w:rsidR="006E620E" w:rsidRPr="002F0AD3">
        <w:rPr>
          <w:rFonts w:cstheme="minorHAnsi"/>
        </w:rPr>
        <w:t>dec</w:t>
      </w:r>
      <w:r w:rsidR="00AE0EC0" w:rsidRPr="002F0AD3">
        <w:rPr>
          <w:rFonts w:cstheme="minorHAnsi"/>
        </w:rPr>
        <w:t>isions</w:t>
      </w:r>
      <w:r w:rsidR="00F1771C" w:rsidRPr="002F0AD3">
        <w:rPr>
          <w:rFonts w:cstheme="minorHAnsi"/>
        </w:rPr>
        <w:t xml:space="preserve"> made </w:t>
      </w:r>
      <w:r w:rsidR="00141530" w:rsidRPr="002F0AD3">
        <w:rPr>
          <w:rFonts w:cstheme="minorHAnsi"/>
        </w:rPr>
        <w:t xml:space="preserve">at </w:t>
      </w:r>
      <w:r w:rsidR="00B02D0F" w:rsidRPr="002F0AD3">
        <w:rPr>
          <w:rFonts w:cstheme="minorHAnsi"/>
        </w:rPr>
        <w:t xml:space="preserve">COP12 and </w:t>
      </w:r>
      <w:r w:rsidR="00141530" w:rsidRPr="002F0AD3">
        <w:rPr>
          <w:rFonts w:cstheme="minorHAnsi"/>
        </w:rPr>
        <w:t xml:space="preserve">by </w:t>
      </w:r>
      <w:r w:rsidR="00B02D0F" w:rsidRPr="002F0AD3">
        <w:rPr>
          <w:rFonts w:cstheme="minorHAnsi"/>
        </w:rPr>
        <w:t xml:space="preserve">the </w:t>
      </w:r>
      <w:r w:rsidR="00F1771C" w:rsidRPr="002F0AD3">
        <w:rPr>
          <w:rFonts w:cstheme="minorHAnsi"/>
        </w:rPr>
        <w:t>Standing Committee. This includes</w:t>
      </w:r>
      <w:r w:rsidR="00597507" w:rsidRPr="002F0AD3">
        <w:rPr>
          <w:rFonts w:cstheme="minorHAnsi"/>
        </w:rPr>
        <w:t xml:space="preserve"> support</w:t>
      </w:r>
      <w:r w:rsidR="00F1771C" w:rsidRPr="002F0AD3">
        <w:rPr>
          <w:rFonts w:cstheme="minorHAnsi"/>
        </w:rPr>
        <w:t>ing</w:t>
      </w:r>
      <w:r w:rsidR="00597507" w:rsidRPr="002F0AD3">
        <w:rPr>
          <w:rFonts w:cstheme="minorHAnsi"/>
        </w:rPr>
        <w:t xml:space="preserve"> several working groups </w:t>
      </w:r>
      <w:r w:rsidR="006E620E" w:rsidRPr="002F0AD3">
        <w:rPr>
          <w:rFonts w:cstheme="minorHAnsi"/>
        </w:rPr>
        <w:t xml:space="preserve">that were </w:t>
      </w:r>
      <w:r w:rsidR="00F1771C" w:rsidRPr="002F0AD3">
        <w:rPr>
          <w:rFonts w:cstheme="minorHAnsi"/>
        </w:rPr>
        <w:t xml:space="preserve">given specific tasks </w:t>
      </w:r>
      <w:r w:rsidR="00D538BC" w:rsidRPr="002F0AD3">
        <w:rPr>
          <w:rFonts w:cstheme="minorHAnsi"/>
        </w:rPr>
        <w:t>at</w:t>
      </w:r>
      <w:r w:rsidR="00F1771C" w:rsidRPr="002F0AD3">
        <w:rPr>
          <w:rFonts w:cstheme="minorHAnsi"/>
        </w:rPr>
        <w:t xml:space="preserve"> </w:t>
      </w:r>
      <w:r w:rsidR="00B02D0F" w:rsidRPr="002F0AD3">
        <w:rPr>
          <w:rFonts w:cstheme="minorHAnsi"/>
        </w:rPr>
        <w:t xml:space="preserve">COP12, </w:t>
      </w:r>
      <w:r w:rsidR="00F1771C" w:rsidRPr="002F0AD3">
        <w:rPr>
          <w:rFonts w:cstheme="minorHAnsi"/>
        </w:rPr>
        <w:t>SC52 and SC53</w:t>
      </w:r>
      <w:r w:rsidR="00597507" w:rsidRPr="002F0AD3">
        <w:rPr>
          <w:rFonts w:cstheme="minorHAnsi"/>
        </w:rPr>
        <w:t xml:space="preserve">. In particular, the Secretariat has provided considerable </w:t>
      </w:r>
      <w:r w:rsidR="006E620E" w:rsidRPr="002F0AD3">
        <w:rPr>
          <w:rFonts w:cstheme="minorHAnsi"/>
        </w:rPr>
        <w:t>assistance</w:t>
      </w:r>
      <w:r w:rsidR="00597507" w:rsidRPr="002F0AD3">
        <w:rPr>
          <w:rFonts w:cstheme="minorHAnsi"/>
        </w:rPr>
        <w:t xml:space="preserve"> to the Facilitation Working Group</w:t>
      </w:r>
      <w:r w:rsidR="00F36D96" w:rsidRPr="002F0AD3">
        <w:rPr>
          <w:rFonts w:cstheme="minorHAnsi"/>
        </w:rPr>
        <w:t xml:space="preserve"> (FWG)</w:t>
      </w:r>
      <w:r w:rsidR="00597507" w:rsidRPr="002F0AD3">
        <w:rPr>
          <w:rFonts w:cstheme="minorHAnsi"/>
        </w:rPr>
        <w:t xml:space="preserve"> in its task</w:t>
      </w:r>
      <w:r w:rsidR="006E620E" w:rsidRPr="002F0AD3">
        <w:rPr>
          <w:rFonts w:cstheme="minorHAnsi"/>
        </w:rPr>
        <w:t xml:space="preserve"> </w:t>
      </w:r>
      <w:r w:rsidR="00597507" w:rsidRPr="002F0AD3">
        <w:rPr>
          <w:rFonts w:cstheme="minorHAnsi"/>
        </w:rPr>
        <w:t>to review the effectiveness of the Convention</w:t>
      </w:r>
      <w:r w:rsidR="00F04B42" w:rsidRPr="002F0AD3">
        <w:rPr>
          <w:rFonts w:cstheme="minorHAnsi"/>
        </w:rPr>
        <w:t>’</w:t>
      </w:r>
      <w:r w:rsidR="00597507" w:rsidRPr="002F0AD3">
        <w:rPr>
          <w:rFonts w:cstheme="minorHAnsi"/>
        </w:rPr>
        <w:t>s governance</w:t>
      </w:r>
      <w:r w:rsidR="00C45C1E" w:rsidRPr="002F0AD3">
        <w:rPr>
          <w:rFonts w:cstheme="minorHAnsi"/>
        </w:rPr>
        <w:t>.</w:t>
      </w:r>
      <w:r w:rsidR="007B4132" w:rsidRPr="002F0AD3">
        <w:rPr>
          <w:rFonts w:cstheme="minorHAnsi"/>
        </w:rPr>
        <w:t xml:space="preserve"> S</w:t>
      </w:r>
      <w:r w:rsidR="0000494D" w:rsidRPr="002F0AD3">
        <w:rPr>
          <w:rFonts w:cstheme="minorHAnsi"/>
        </w:rPr>
        <w:t>ecretariat s</w:t>
      </w:r>
      <w:r w:rsidR="007B4132" w:rsidRPr="002F0AD3">
        <w:rPr>
          <w:rFonts w:cstheme="minorHAnsi"/>
        </w:rPr>
        <w:t>upport was provided to</w:t>
      </w:r>
      <w:r w:rsidR="0000494D" w:rsidRPr="002F0AD3">
        <w:rPr>
          <w:rFonts w:cstheme="minorHAnsi"/>
        </w:rPr>
        <w:t xml:space="preserve"> </w:t>
      </w:r>
      <w:r w:rsidR="007B4132" w:rsidRPr="002F0AD3">
        <w:rPr>
          <w:rFonts w:cstheme="minorHAnsi"/>
        </w:rPr>
        <w:t>the Standing Committee</w:t>
      </w:r>
      <w:r w:rsidR="00F04B42" w:rsidRPr="002F0AD3">
        <w:rPr>
          <w:rFonts w:cstheme="minorHAnsi"/>
        </w:rPr>
        <w:t>’</w:t>
      </w:r>
      <w:r w:rsidR="007B4132" w:rsidRPr="002F0AD3">
        <w:rPr>
          <w:rFonts w:cstheme="minorHAnsi"/>
        </w:rPr>
        <w:t>s Working Group on Language Strategy</w:t>
      </w:r>
      <w:r w:rsidR="00D538BC" w:rsidRPr="002F0AD3">
        <w:rPr>
          <w:rFonts w:cstheme="minorHAnsi"/>
        </w:rPr>
        <w:t>,</w:t>
      </w:r>
      <w:r w:rsidR="007B4132" w:rsidRPr="002F0AD3">
        <w:rPr>
          <w:rFonts w:cstheme="minorHAnsi"/>
        </w:rPr>
        <w:t xml:space="preserve"> in preparing a proposal </w:t>
      </w:r>
      <w:r w:rsidR="007B4132" w:rsidRPr="00C81B75">
        <w:rPr>
          <w:rFonts w:cstheme="minorHAnsi"/>
        </w:rPr>
        <w:t>for the Committee</w:t>
      </w:r>
      <w:r w:rsidR="00F04B42" w:rsidRPr="00C81B75">
        <w:rPr>
          <w:rFonts w:cstheme="minorHAnsi"/>
        </w:rPr>
        <w:t>’</w:t>
      </w:r>
      <w:r w:rsidR="007B4132" w:rsidRPr="00C81B75">
        <w:rPr>
          <w:rFonts w:cstheme="minorHAnsi"/>
        </w:rPr>
        <w:t>s consideratio</w:t>
      </w:r>
      <w:r w:rsidR="0000494D" w:rsidRPr="00C81B75">
        <w:rPr>
          <w:rFonts w:cstheme="minorHAnsi"/>
        </w:rPr>
        <w:t>n</w:t>
      </w:r>
      <w:r w:rsidR="00BD1137" w:rsidRPr="00C81B75">
        <w:rPr>
          <w:rFonts w:cstheme="minorHAnsi"/>
        </w:rPr>
        <w:t>.</w:t>
      </w:r>
      <w:r w:rsidR="00B31A2B" w:rsidRPr="00C81B75">
        <w:rPr>
          <w:rFonts w:cstheme="minorHAnsi"/>
        </w:rPr>
        <w:t xml:space="preserve"> </w:t>
      </w:r>
      <w:r w:rsidR="000D594F" w:rsidRPr="00C81B75">
        <w:rPr>
          <w:rFonts w:cstheme="minorHAnsi"/>
        </w:rPr>
        <w:t>Additional</w:t>
      </w:r>
      <w:r w:rsidR="00D538BC" w:rsidRPr="00C81B75">
        <w:rPr>
          <w:rFonts w:cstheme="minorHAnsi"/>
        </w:rPr>
        <w:t>l</w:t>
      </w:r>
      <w:r w:rsidR="000D594F" w:rsidRPr="00C81B75">
        <w:rPr>
          <w:rFonts w:cstheme="minorHAnsi"/>
        </w:rPr>
        <w:t>y, the Secretariat assisted t</w:t>
      </w:r>
      <w:r w:rsidR="007B4132" w:rsidRPr="00C81B75">
        <w:rPr>
          <w:rFonts w:cstheme="minorHAnsi"/>
        </w:rPr>
        <w:t xml:space="preserve">he Independent Advisory Committee to review the nominations for Wetland City Accreditation </w:t>
      </w:r>
      <w:r w:rsidR="0000494D" w:rsidRPr="00C81B75">
        <w:rPr>
          <w:rFonts w:cstheme="minorHAnsi"/>
        </w:rPr>
        <w:t xml:space="preserve">and the CEPA Oversight Panel and </w:t>
      </w:r>
      <w:r w:rsidR="00F04B42" w:rsidRPr="00C81B75">
        <w:rPr>
          <w:rFonts w:cstheme="minorHAnsi"/>
        </w:rPr>
        <w:t xml:space="preserve">its </w:t>
      </w:r>
      <w:r w:rsidR="0000494D" w:rsidRPr="00C81B75">
        <w:rPr>
          <w:rFonts w:cstheme="minorHAnsi"/>
        </w:rPr>
        <w:t>work to provide recommendations on the governance of</w:t>
      </w:r>
      <w:r w:rsidR="00226070" w:rsidRPr="00226070">
        <w:t xml:space="preserve"> </w:t>
      </w:r>
      <w:r w:rsidR="00226070" w:rsidRPr="00226070">
        <w:rPr>
          <w:rFonts w:cstheme="minorHAnsi"/>
        </w:rPr>
        <w:t>communication, capacity building, education, participation and awareness</w:t>
      </w:r>
      <w:r w:rsidR="0000494D" w:rsidRPr="00C81B75">
        <w:rPr>
          <w:rFonts w:cstheme="minorHAnsi"/>
        </w:rPr>
        <w:t xml:space="preserve"> </w:t>
      </w:r>
      <w:r w:rsidR="00226070">
        <w:rPr>
          <w:rFonts w:cstheme="minorHAnsi"/>
        </w:rPr>
        <w:t>(</w:t>
      </w:r>
      <w:r w:rsidR="0000494D" w:rsidRPr="00C81B75">
        <w:rPr>
          <w:rFonts w:cstheme="minorHAnsi"/>
        </w:rPr>
        <w:t>CEPA</w:t>
      </w:r>
      <w:r w:rsidR="00226070">
        <w:rPr>
          <w:rFonts w:cstheme="minorHAnsi"/>
        </w:rPr>
        <w:t>)</w:t>
      </w:r>
      <w:r w:rsidR="0000494D" w:rsidRPr="00C81B75">
        <w:rPr>
          <w:rFonts w:cstheme="minorHAnsi"/>
        </w:rPr>
        <w:t>.</w:t>
      </w:r>
      <w:r w:rsidR="00B31A2B" w:rsidRPr="00C81B75">
        <w:rPr>
          <w:rFonts w:cstheme="minorHAnsi"/>
        </w:rPr>
        <w:t xml:space="preserve"> </w:t>
      </w:r>
    </w:p>
    <w:p w14:paraId="3D23FDBC" w14:textId="77777777" w:rsidR="00C81B75" w:rsidRDefault="00C81B75" w:rsidP="00C81B75">
      <w:pPr>
        <w:ind w:left="360" w:firstLine="0"/>
        <w:rPr>
          <w:rFonts w:cstheme="minorHAnsi"/>
        </w:rPr>
      </w:pPr>
    </w:p>
    <w:p w14:paraId="6B909A83" w14:textId="0682A442" w:rsidR="00F72E95" w:rsidRPr="00C81B75" w:rsidRDefault="00C46385" w:rsidP="00C46385">
      <w:pPr>
        <w:rPr>
          <w:rFonts w:cstheme="minorHAnsi"/>
        </w:rPr>
      </w:pPr>
      <w:r>
        <w:rPr>
          <w:rFonts w:cstheme="minorHAnsi"/>
        </w:rPr>
        <w:t>12.</w:t>
      </w:r>
      <w:r>
        <w:rPr>
          <w:rFonts w:cstheme="minorHAnsi"/>
        </w:rPr>
        <w:tab/>
      </w:r>
      <w:r w:rsidR="000D594F" w:rsidRPr="00C81B75">
        <w:rPr>
          <w:rFonts w:cstheme="minorHAnsi"/>
        </w:rPr>
        <w:t>T</w:t>
      </w:r>
      <w:r w:rsidR="00F72E95" w:rsidRPr="00C81B75">
        <w:rPr>
          <w:rFonts w:cstheme="minorHAnsi"/>
        </w:rPr>
        <w:t xml:space="preserve">he Secretariat developed the National Reporting format </w:t>
      </w:r>
      <w:r w:rsidR="00D9536C" w:rsidRPr="00C81B75">
        <w:rPr>
          <w:rFonts w:cstheme="minorHAnsi"/>
        </w:rPr>
        <w:t xml:space="preserve">for COP13 </w:t>
      </w:r>
      <w:r w:rsidR="00F72E95" w:rsidRPr="00C81B75">
        <w:rPr>
          <w:rFonts w:cstheme="minorHAnsi"/>
        </w:rPr>
        <w:t>and made it available to all Parties through an online system together with an offline option. It</w:t>
      </w:r>
      <w:r w:rsidR="0082111B" w:rsidRPr="00C81B75">
        <w:rPr>
          <w:rFonts w:cstheme="minorHAnsi"/>
        </w:rPr>
        <w:t xml:space="preserve"> also</w:t>
      </w:r>
      <w:r w:rsidR="00F72E95" w:rsidRPr="00C81B75">
        <w:rPr>
          <w:rFonts w:cstheme="minorHAnsi"/>
        </w:rPr>
        <w:t xml:space="preserve"> provided guidance and training to Contracting Parties and analysed the submissions to get an over</w:t>
      </w:r>
      <w:r w:rsidR="00E03A75" w:rsidRPr="00C81B75">
        <w:rPr>
          <w:rFonts w:cstheme="minorHAnsi"/>
        </w:rPr>
        <w:t>view</w:t>
      </w:r>
      <w:r w:rsidR="00F72E95" w:rsidRPr="00C81B75">
        <w:rPr>
          <w:rFonts w:cstheme="minorHAnsi"/>
        </w:rPr>
        <w:t xml:space="preserve"> of the implementation of the Convention</w:t>
      </w:r>
      <w:r w:rsidR="00A411CF" w:rsidRPr="00C81B75">
        <w:rPr>
          <w:rFonts w:cstheme="minorHAnsi"/>
        </w:rPr>
        <w:t>,</w:t>
      </w:r>
      <w:r w:rsidR="00F72E95" w:rsidRPr="00C81B75">
        <w:rPr>
          <w:rFonts w:cstheme="minorHAnsi"/>
        </w:rPr>
        <w:t xml:space="preserve"> </w:t>
      </w:r>
      <w:r w:rsidR="00CB6225" w:rsidRPr="00C81B75">
        <w:rPr>
          <w:rFonts w:cstheme="minorHAnsi"/>
        </w:rPr>
        <w:t>which is provided in</w:t>
      </w:r>
      <w:r w:rsidR="00A411CF" w:rsidRPr="00C81B75">
        <w:rPr>
          <w:rFonts w:cstheme="minorHAnsi"/>
        </w:rPr>
        <w:t xml:space="preserve"> document</w:t>
      </w:r>
      <w:r w:rsidR="00CB6225" w:rsidRPr="00C81B75">
        <w:rPr>
          <w:rFonts w:cstheme="minorHAnsi"/>
        </w:rPr>
        <w:t xml:space="preserve"> </w:t>
      </w:r>
      <w:r w:rsidR="001522DA">
        <w:rPr>
          <w:rFonts w:cstheme="minorHAnsi"/>
        </w:rPr>
        <w:t>COP13 Doc.11.1</w:t>
      </w:r>
      <w:r w:rsidR="008A384C" w:rsidRPr="00C81B75">
        <w:rPr>
          <w:rFonts w:cstheme="minorHAnsi"/>
        </w:rPr>
        <w:t>.</w:t>
      </w:r>
    </w:p>
    <w:p w14:paraId="25847CF1" w14:textId="77777777" w:rsidR="005E5AD4" w:rsidRPr="002F0AD3" w:rsidRDefault="005E5AD4" w:rsidP="00C81B75">
      <w:pPr>
        <w:rPr>
          <w:rFonts w:cstheme="minorHAnsi"/>
        </w:rPr>
      </w:pPr>
    </w:p>
    <w:p w14:paraId="66B9EC03" w14:textId="182CD2A3" w:rsidR="008A35E8" w:rsidRPr="002F0AD3" w:rsidRDefault="00C46385" w:rsidP="00C46385">
      <w:pPr>
        <w:rPr>
          <w:rFonts w:cstheme="minorHAnsi"/>
        </w:rPr>
      </w:pPr>
      <w:r>
        <w:rPr>
          <w:rFonts w:cstheme="minorHAnsi"/>
        </w:rPr>
        <w:t>13.</w:t>
      </w:r>
      <w:r>
        <w:rPr>
          <w:rFonts w:cstheme="minorHAnsi"/>
        </w:rPr>
        <w:tab/>
      </w:r>
      <w:r w:rsidR="00A52454" w:rsidRPr="002F0AD3">
        <w:rPr>
          <w:rFonts w:cstheme="minorHAnsi"/>
        </w:rPr>
        <w:t xml:space="preserve">The Secretariat has made </w:t>
      </w:r>
      <w:r w:rsidR="00DF1D26" w:rsidRPr="002F0AD3">
        <w:rPr>
          <w:rFonts w:cstheme="minorHAnsi"/>
        </w:rPr>
        <w:t>efforts to enhance i</w:t>
      </w:r>
      <w:r w:rsidR="00B700A4" w:rsidRPr="002F0AD3">
        <w:rPr>
          <w:rFonts w:cstheme="minorHAnsi"/>
        </w:rPr>
        <w:t>t</w:t>
      </w:r>
      <w:r w:rsidR="00DF1D26" w:rsidRPr="002F0AD3">
        <w:rPr>
          <w:rFonts w:cstheme="minorHAnsi"/>
        </w:rPr>
        <w:t xml:space="preserve">s performance </w:t>
      </w:r>
      <w:r w:rsidR="00897D8E" w:rsidRPr="002F0AD3">
        <w:rPr>
          <w:rFonts w:cstheme="minorHAnsi"/>
        </w:rPr>
        <w:t xml:space="preserve">in strengthening services to </w:t>
      </w:r>
      <w:r w:rsidR="00F36D96" w:rsidRPr="002F0AD3">
        <w:rPr>
          <w:rFonts w:cstheme="minorHAnsi"/>
        </w:rPr>
        <w:t>C</w:t>
      </w:r>
      <w:r w:rsidR="00897D8E" w:rsidRPr="002F0AD3">
        <w:rPr>
          <w:rFonts w:cstheme="minorHAnsi"/>
        </w:rPr>
        <w:t>ontracting Parties</w:t>
      </w:r>
      <w:r w:rsidR="00F36D96" w:rsidRPr="002F0AD3">
        <w:rPr>
          <w:rFonts w:cstheme="minorHAnsi"/>
        </w:rPr>
        <w:t>’</w:t>
      </w:r>
      <w:r w:rsidR="00897D8E" w:rsidRPr="002F0AD3">
        <w:rPr>
          <w:rFonts w:cstheme="minorHAnsi"/>
        </w:rPr>
        <w:t xml:space="preserve"> decision-making and accountability</w:t>
      </w:r>
      <w:r w:rsidR="00DF1D26" w:rsidRPr="002F0AD3">
        <w:rPr>
          <w:rFonts w:cstheme="minorHAnsi"/>
        </w:rPr>
        <w:t xml:space="preserve">. Additional </w:t>
      </w:r>
      <w:r w:rsidR="00176BDF" w:rsidRPr="002F0AD3">
        <w:rPr>
          <w:rFonts w:cstheme="minorHAnsi"/>
        </w:rPr>
        <w:t>capabilities and experience were</w:t>
      </w:r>
      <w:r w:rsidR="00DF1D26" w:rsidRPr="002F0AD3">
        <w:rPr>
          <w:rFonts w:cstheme="minorHAnsi"/>
        </w:rPr>
        <w:t xml:space="preserve"> strengthened with the recruitment of the</w:t>
      </w:r>
      <w:r w:rsidR="00176BDF" w:rsidRPr="002F0AD3">
        <w:rPr>
          <w:rFonts w:cstheme="minorHAnsi"/>
        </w:rPr>
        <w:t xml:space="preserve"> </w:t>
      </w:r>
      <w:r w:rsidR="00251660" w:rsidRPr="002F0AD3">
        <w:rPr>
          <w:rFonts w:cstheme="minorHAnsi"/>
        </w:rPr>
        <w:t xml:space="preserve">new </w:t>
      </w:r>
      <w:r w:rsidR="00176BDF" w:rsidRPr="002F0AD3">
        <w:rPr>
          <w:rFonts w:cstheme="minorHAnsi"/>
        </w:rPr>
        <w:t>Deputy Secretary General</w:t>
      </w:r>
      <w:r w:rsidR="00F4144F" w:rsidRPr="002F0AD3">
        <w:rPr>
          <w:rFonts w:cstheme="minorHAnsi"/>
        </w:rPr>
        <w:t xml:space="preserve"> </w:t>
      </w:r>
      <w:r w:rsidR="000D594F" w:rsidRPr="002F0AD3">
        <w:rPr>
          <w:rFonts w:cstheme="minorHAnsi"/>
        </w:rPr>
        <w:t xml:space="preserve">in 2017 </w:t>
      </w:r>
      <w:r w:rsidR="00F4144F" w:rsidRPr="002F0AD3">
        <w:rPr>
          <w:rFonts w:cstheme="minorHAnsi"/>
        </w:rPr>
        <w:t>with responsibilities</w:t>
      </w:r>
      <w:r w:rsidR="00176BDF" w:rsidRPr="002F0AD3">
        <w:rPr>
          <w:rFonts w:cstheme="minorHAnsi"/>
        </w:rPr>
        <w:t xml:space="preserve"> </w:t>
      </w:r>
      <w:r w:rsidR="00CB6225" w:rsidRPr="002F0AD3">
        <w:rPr>
          <w:rFonts w:cstheme="minorHAnsi"/>
        </w:rPr>
        <w:t>focused on supporting governing and subsidiary bodies and overseeing implementation</w:t>
      </w:r>
      <w:r w:rsidR="000D594F" w:rsidRPr="002F0AD3">
        <w:rPr>
          <w:rFonts w:cstheme="minorHAnsi"/>
        </w:rPr>
        <w:t xml:space="preserve">, </w:t>
      </w:r>
      <w:r w:rsidR="00786102" w:rsidRPr="002F0AD3">
        <w:rPr>
          <w:rFonts w:cstheme="minorHAnsi"/>
        </w:rPr>
        <w:t>and a Conference Assistant</w:t>
      </w:r>
      <w:r w:rsidR="0082111B" w:rsidRPr="002F0AD3">
        <w:rPr>
          <w:rFonts w:cstheme="minorHAnsi"/>
        </w:rPr>
        <w:t xml:space="preserve"> in 2018</w:t>
      </w:r>
      <w:r w:rsidR="00F4144F" w:rsidRPr="002F0AD3">
        <w:rPr>
          <w:rFonts w:cstheme="minorHAnsi"/>
        </w:rPr>
        <w:t xml:space="preserve">. The </w:t>
      </w:r>
      <w:r w:rsidR="00251660" w:rsidRPr="002F0AD3">
        <w:rPr>
          <w:rFonts w:cstheme="minorHAnsi"/>
        </w:rPr>
        <w:t>Deputy</w:t>
      </w:r>
      <w:r w:rsidR="00176BDF" w:rsidRPr="002F0AD3">
        <w:rPr>
          <w:rFonts w:cstheme="minorHAnsi"/>
        </w:rPr>
        <w:t xml:space="preserve"> ha</w:t>
      </w:r>
      <w:r w:rsidR="00F4144F" w:rsidRPr="002F0AD3">
        <w:rPr>
          <w:rFonts w:cstheme="minorHAnsi"/>
        </w:rPr>
        <w:t>s</w:t>
      </w:r>
      <w:r w:rsidR="00176BDF" w:rsidRPr="002F0AD3">
        <w:rPr>
          <w:rFonts w:cstheme="minorHAnsi"/>
        </w:rPr>
        <w:t xml:space="preserve"> provided considerable expertise and capacity on </w:t>
      </w:r>
      <w:r w:rsidR="00251660" w:rsidRPr="002F0AD3">
        <w:rPr>
          <w:rFonts w:cstheme="minorHAnsi"/>
        </w:rPr>
        <w:t xml:space="preserve">matters of </w:t>
      </w:r>
      <w:r w:rsidR="00176BDF" w:rsidRPr="002F0AD3">
        <w:rPr>
          <w:rFonts w:cstheme="minorHAnsi"/>
        </w:rPr>
        <w:t>governance of the Convention.</w:t>
      </w:r>
      <w:r w:rsidR="00BA6D48" w:rsidRPr="002F0AD3">
        <w:rPr>
          <w:rFonts w:cstheme="minorHAnsi"/>
        </w:rPr>
        <w:t xml:space="preserve"> </w:t>
      </w:r>
      <w:r w:rsidR="00DF1D26" w:rsidRPr="002F0AD3">
        <w:rPr>
          <w:rFonts w:cstheme="minorHAnsi"/>
        </w:rPr>
        <w:t>Detailed guidance has been provided to the Secretariat</w:t>
      </w:r>
      <w:r w:rsidR="000D594F" w:rsidRPr="002F0AD3">
        <w:rPr>
          <w:rFonts w:cstheme="minorHAnsi"/>
        </w:rPr>
        <w:t xml:space="preserve"> with</w:t>
      </w:r>
      <w:r w:rsidR="00B700A4" w:rsidRPr="002F0AD3">
        <w:rPr>
          <w:rFonts w:cstheme="minorHAnsi"/>
        </w:rPr>
        <w:t xml:space="preserve"> planning sessions</w:t>
      </w:r>
      <w:r w:rsidR="00BA6D48" w:rsidRPr="002F0AD3">
        <w:rPr>
          <w:rFonts w:cstheme="minorHAnsi"/>
        </w:rPr>
        <w:t xml:space="preserve"> </w:t>
      </w:r>
      <w:r w:rsidR="00B700A4" w:rsidRPr="002F0AD3">
        <w:rPr>
          <w:rFonts w:cstheme="minorHAnsi"/>
        </w:rPr>
        <w:t>held</w:t>
      </w:r>
      <w:r w:rsidR="00F15C23" w:rsidRPr="002F0AD3">
        <w:rPr>
          <w:rFonts w:cstheme="minorHAnsi"/>
        </w:rPr>
        <w:t xml:space="preserve"> with all staff</w:t>
      </w:r>
      <w:r w:rsidR="00B700A4" w:rsidRPr="002F0AD3">
        <w:rPr>
          <w:rFonts w:cstheme="minorHAnsi"/>
        </w:rPr>
        <w:t xml:space="preserve"> in advance of the main meetings of governing and subsidiary bodies</w:t>
      </w:r>
      <w:r w:rsidR="00251660" w:rsidRPr="002F0AD3">
        <w:rPr>
          <w:rFonts w:cstheme="minorHAnsi"/>
        </w:rPr>
        <w:t>,</w:t>
      </w:r>
      <w:r w:rsidR="00B700A4" w:rsidRPr="002F0AD3">
        <w:rPr>
          <w:rFonts w:cstheme="minorHAnsi"/>
        </w:rPr>
        <w:t xml:space="preserve"> to </w:t>
      </w:r>
      <w:r w:rsidR="00176BDF" w:rsidRPr="002F0AD3">
        <w:rPr>
          <w:rFonts w:cstheme="minorHAnsi"/>
        </w:rPr>
        <w:t xml:space="preserve">further </w:t>
      </w:r>
      <w:r w:rsidR="00F15C23" w:rsidRPr="002F0AD3">
        <w:rPr>
          <w:rFonts w:cstheme="minorHAnsi"/>
        </w:rPr>
        <w:t xml:space="preserve">strengthen capacities </w:t>
      </w:r>
      <w:r w:rsidR="008A35E8" w:rsidRPr="002F0AD3">
        <w:rPr>
          <w:rFonts w:cstheme="minorHAnsi"/>
        </w:rPr>
        <w:t>and coordination</w:t>
      </w:r>
      <w:r w:rsidR="00A52454" w:rsidRPr="002F0AD3">
        <w:rPr>
          <w:rFonts w:cstheme="minorHAnsi"/>
        </w:rPr>
        <w:t xml:space="preserve"> of staff</w:t>
      </w:r>
      <w:r w:rsidR="008A35E8" w:rsidRPr="002F0AD3">
        <w:rPr>
          <w:rFonts w:cstheme="minorHAnsi"/>
        </w:rPr>
        <w:t>. However, t</w:t>
      </w:r>
      <w:r w:rsidR="002C7598" w:rsidRPr="002F0AD3">
        <w:rPr>
          <w:rFonts w:cstheme="minorHAnsi"/>
        </w:rPr>
        <w:t xml:space="preserve">he effective delivery of this core function </w:t>
      </w:r>
      <w:r w:rsidR="008A35E8" w:rsidRPr="002F0AD3">
        <w:rPr>
          <w:rFonts w:cstheme="minorHAnsi"/>
        </w:rPr>
        <w:t xml:space="preserve">is </w:t>
      </w:r>
      <w:r w:rsidR="002C7598" w:rsidRPr="002F0AD3">
        <w:rPr>
          <w:rFonts w:cstheme="minorHAnsi"/>
        </w:rPr>
        <w:t>challenged by various factors that the Secretariat has brought to the attention o</w:t>
      </w:r>
      <w:r w:rsidR="00176BDF" w:rsidRPr="002F0AD3">
        <w:rPr>
          <w:rFonts w:cstheme="minorHAnsi"/>
        </w:rPr>
        <w:t xml:space="preserve">f the FWG and </w:t>
      </w:r>
      <w:r w:rsidR="00251660" w:rsidRPr="002F0AD3">
        <w:rPr>
          <w:rFonts w:cstheme="minorHAnsi"/>
        </w:rPr>
        <w:t xml:space="preserve">the Standing Committee </w:t>
      </w:r>
      <w:r w:rsidR="008A35E8" w:rsidRPr="002F0AD3">
        <w:rPr>
          <w:rFonts w:cstheme="minorHAnsi"/>
        </w:rPr>
        <w:t>:</w:t>
      </w:r>
    </w:p>
    <w:p w14:paraId="05A00D5B" w14:textId="77777777" w:rsidR="000C6AC6" w:rsidRPr="002F0AD3" w:rsidRDefault="000C6AC6" w:rsidP="00C81B75">
      <w:pPr>
        <w:rPr>
          <w:rFonts w:cstheme="minorHAnsi"/>
        </w:rPr>
      </w:pPr>
    </w:p>
    <w:p w14:paraId="682CFC80" w14:textId="77777777" w:rsidR="00BA74D8" w:rsidRPr="002F0AD3" w:rsidRDefault="00296B78" w:rsidP="00DE0A31">
      <w:pPr>
        <w:pStyle w:val="ListParagraph"/>
        <w:numPr>
          <w:ilvl w:val="0"/>
          <w:numId w:val="2"/>
        </w:numPr>
        <w:ind w:left="850" w:hanging="425"/>
        <w:rPr>
          <w:rFonts w:cstheme="minorHAnsi"/>
        </w:rPr>
      </w:pPr>
      <w:r w:rsidRPr="002F0AD3">
        <w:rPr>
          <w:rFonts w:cstheme="minorHAnsi"/>
        </w:rPr>
        <w:t>T</w:t>
      </w:r>
      <w:r w:rsidR="004E737E" w:rsidRPr="002F0AD3">
        <w:rPr>
          <w:rFonts w:cstheme="minorHAnsi"/>
        </w:rPr>
        <w:t>here is an inconsistency in the deadlines for submission of documents for meetings of the Standing Committee, such that the deadline for submission of draft resolutions is a month after the deadline for publication of documents to be considered by the Committee</w:t>
      </w:r>
      <w:r w:rsidR="000C6AC6" w:rsidRPr="002F0AD3">
        <w:rPr>
          <w:rFonts w:cstheme="minorHAnsi"/>
        </w:rPr>
        <w:t>.</w:t>
      </w:r>
    </w:p>
    <w:p w14:paraId="20DFAD4B" w14:textId="77777777" w:rsidR="000C6AC6" w:rsidRPr="00DE0A31" w:rsidRDefault="000C6AC6" w:rsidP="00DE0A31">
      <w:pPr>
        <w:rPr>
          <w:rFonts w:cstheme="minorHAnsi"/>
        </w:rPr>
      </w:pPr>
    </w:p>
    <w:p w14:paraId="4007D436" w14:textId="35E45430" w:rsidR="00296B78" w:rsidRPr="002F0AD3" w:rsidRDefault="00296B78" w:rsidP="00DE0A31">
      <w:pPr>
        <w:pStyle w:val="ListParagraph"/>
        <w:numPr>
          <w:ilvl w:val="0"/>
          <w:numId w:val="2"/>
        </w:numPr>
        <w:ind w:left="850" w:hanging="425"/>
        <w:rPr>
          <w:rFonts w:cstheme="minorHAnsi"/>
        </w:rPr>
      </w:pPr>
      <w:r w:rsidRPr="002F0AD3">
        <w:rPr>
          <w:rFonts w:cstheme="minorHAnsi"/>
        </w:rPr>
        <w:t>A</w:t>
      </w:r>
      <w:r w:rsidR="00B37D16" w:rsidRPr="002F0AD3">
        <w:rPr>
          <w:rFonts w:cstheme="minorHAnsi"/>
        </w:rPr>
        <w:t xml:space="preserve"> considerable number of meetings </w:t>
      </w:r>
      <w:r w:rsidR="00B02D0F" w:rsidRPr="002F0AD3">
        <w:rPr>
          <w:rFonts w:cstheme="minorHAnsi"/>
        </w:rPr>
        <w:t>have been</w:t>
      </w:r>
      <w:r w:rsidR="000D7F50" w:rsidRPr="002F0AD3">
        <w:rPr>
          <w:rFonts w:cstheme="minorHAnsi"/>
        </w:rPr>
        <w:t xml:space="preserve"> scheduled</w:t>
      </w:r>
      <w:r w:rsidR="00B37D16" w:rsidRPr="002F0AD3">
        <w:rPr>
          <w:rFonts w:cstheme="minorHAnsi"/>
        </w:rPr>
        <w:t xml:space="preserve"> in 2018</w:t>
      </w:r>
      <w:r w:rsidR="008A35E8" w:rsidRPr="002F0AD3">
        <w:rPr>
          <w:rFonts w:cstheme="minorHAnsi"/>
        </w:rPr>
        <w:t>, namely</w:t>
      </w:r>
      <w:r w:rsidR="00B37D16" w:rsidRPr="002F0AD3">
        <w:rPr>
          <w:rFonts w:cstheme="minorHAnsi"/>
        </w:rPr>
        <w:t xml:space="preserve"> STRP21, five regional pre-COP meetin</w:t>
      </w:r>
      <w:r w:rsidR="00F15C23" w:rsidRPr="002F0AD3">
        <w:rPr>
          <w:rFonts w:cstheme="minorHAnsi"/>
        </w:rPr>
        <w:t xml:space="preserve">gs scheduled in February </w:t>
      </w:r>
      <w:r w:rsidR="00F36D96" w:rsidRPr="002F0AD3">
        <w:rPr>
          <w:rFonts w:cstheme="minorHAnsi"/>
        </w:rPr>
        <w:t xml:space="preserve">and </w:t>
      </w:r>
      <w:r w:rsidR="00F15C23" w:rsidRPr="002F0AD3">
        <w:rPr>
          <w:rFonts w:cstheme="minorHAnsi"/>
        </w:rPr>
        <w:t>March</w:t>
      </w:r>
      <w:r w:rsidR="00B37D16" w:rsidRPr="002F0AD3">
        <w:rPr>
          <w:rFonts w:cstheme="minorHAnsi"/>
        </w:rPr>
        <w:t>, SC54 from 23 to 27 April, COP13 from 21 to 29 October</w:t>
      </w:r>
      <w:r w:rsidR="00B02D0F" w:rsidRPr="002F0AD3">
        <w:rPr>
          <w:rFonts w:cstheme="minorHAnsi"/>
        </w:rPr>
        <w:t>, SC55 on</w:t>
      </w:r>
      <w:r w:rsidR="00E84D11" w:rsidRPr="002F0AD3">
        <w:rPr>
          <w:rFonts w:cstheme="minorHAnsi"/>
        </w:rPr>
        <w:t xml:space="preserve"> 21 October</w:t>
      </w:r>
      <w:r w:rsidR="00B02D0F" w:rsidRPr="002F0AD3">
        <w:rPr>
          <w:rFonts w:cstheme="minorHAnsi"/>
        </w:rPr>
        <w:t xml:space="preserve"> and SC56 on </w:t>
      </w:r>
      <w:r w:rsidR="00E84D11" w:rsidRPr="002F0AD3">
        <w:rPr>
          <w:rFonts w:cstheme="minorHAnsi"/>
        </w:rPr>
        <w:t>29 October</w:t>
      </w:r>
      <w:r w:rsidR="000D594F" w:rsidRPr="002F0AD3">
        <w:rPr>
          <w:rFonts w:cstheme="minorHAnsi"/>
        </w:rPr>
        <w:t>.</w:t>
      </w:r>
      <w:r w:rsidR="00B37D16" w:rsidRPr="002F0AD3">
        <w:rPr>
          <w:rFonts w:cstheme="minorHAnsi"/>
        </w:rPr>
        <w:t xml:space="preserve"> </w:t>
      </w:r>
      <w:r w:rsidR="004E737E" w:rsidRPr="002F0AD3">
        <w:rPr>
          <w:rFonts w:cstheme="minorHAnsi"/>
        </w:rPr>
        <w:t>This is a result of the</w:t>
      </w:r>
      <w:r w:rsidRPr="002F0AD3">
        <w:rPr>
          <w:rFonts w:cstheme="minorHAnsi"/>
        </w:rPr>
        <w:t xml:space="preserve"> timeline</w:t>
      </w:r>
      <w:r w:rsidR="005F4507" w:rsidRPr="002F0AD3">
        <w:rPr>
          <w:rFonts w:cstheme="minorHAnsi"/>
        </w:rPr>
        <w:t xml:space="preserve"> established with the COP being held in</w:t>
      </w:r>
      <w:r w:rsidR="0078142B">
        <w:rPr>
          <w:rFonts w:cstheme="minorHAnsi"/>
        </w:rPr>
        <w:t xml:space="preserve"> </w:t>
      </w:r>
      <w:r w:rsidRPr="002F0AD3">
        <w:rPr>
          <w:rFonts w:cstheme="minorHAnsi"/>
        </w:rPr>
        <w:t xml:space="preserve">October </w:t>
      </w:r>
      <w:r w:rsidR="00F15C23" w:rsidRPr="002F0AD3">
        <w:rPr>
          <w:rFonts w:cstheme="minorHAnsi"/>
        </w:rPr>
        <w:t xml:space="preserve">and the </w:t>
      </w:r>
      <w:r w:rsidR="004E737E" w:rsidRPr="002F0AD3">
        <w:rPr>
          <w:rFonts w:cstheme="minorHAnsi"/>
        </w:rPr>
        <w:t>expectation that DRs be considered in all these meetings, even if the rules of procedure only refer to consideration by the SC.</w:t>
      </w:r>
      <w:r w:rsidR="00B31A2B" w:rsidRPr="002F0AD3">
        <w:rPr>
          <w:rFonts w:cstheme="minorHAnsi"/>
        </w:rPr>
        <w:t xml:space="preserve"> </w:t>
      </w:r>
    </w:p>
    <w:p w14:paraId="0764FDC7" w14:textId="77777777" w:rsidR="000C6AC6" w:rsidRPr="002F0AD3" w:rsidRDefault="000C6AC6" w:rsidP="00C81B75">
      <w:pPr>
        <w:rPr>
          <w:rFonts w:cstheme="minorHAnsi"/>
        </w:rPr>
      </w:pPr>
    </w:p>
    <w:p w14:paraId="48686CD2" w14:textId="36409624" w:rsidR="00B37D16" w:rsidRPr="002F0AD3" w:rsidRDefault="00DE0A31" w:rsidP="00DE0A31">
      <w:pPr>
        <w:rPr>
          <w:rFonts w:cstheme="minorHAnsi"/>
        </w:rPr>
      </w:pPr>
      <w:r>
        <w:rPr>
          <w:rFonts w:cstheme="minorHAnsi"/>
        </w:rPr>
        <w:t>14.</w:t>
      </w:r>
      <w:r>
        <w:rPr>
          <w:rFonts w:cstheme="minorHAnsi"/>
        </w:rPr>
        <w:tab/>
      </w:r>
      <w:r w:rsidR="004E737E" w:rsidRPr="002F0AD3">
        <w:rPr>
          <w:rFonts w:cstheme="minorHAnsi"/>
        </w:rPr>
        <w:t xml:space="preserve">This puts a very heavy workload on the Secretariat in terms of </w:t>
      </w:r>
      <w:r w:rsidR="00093104" w:rsidRPr="002F0AD3">
        <w:rPr>
          <w:rFonts w:cstheme="minorHAnsi"/>
        </w:rPr>
        <w:t>preparation of documents and</w:t>
      </w:r>
      <w:r w:rsidR="004E737E" w:rsidRPr="002F0AD3">
        <w:rPr>
          <w:rFonts w:cstheme="minorHAnsi"/>
        </w:rPr>
        <w:t xml:space="preserve"> meeting organization</w:t>
      </w:r>
      <w:r w:rsidR="00093104" w:rsidRPr="002F0AD3">
        <w:rPr>
          <w:rFonts w:cstheme="minorHAnsi"/>
        </w:rPr>
        <w:t xml:space="preserve">, but also, in terms </w:t>
      </w:r>
      <w:r w:rsidR="00BF4CE2" w:rsidRPr="002F0AD3">
        <w:rPr>
          <w:rFonts w:cstheme="minorHAnsi"/>
        </w:rPr>
        <w:t>of seeking funds</w:t>
      </w:r>
      <w:r w:rsidR="00093104" w:rsidRPr="002F0AD3">
        <w:rPr>
          <w:rFonts w:cstheme="minorHAnsi"/>
        </w:rPr>
        <w:t xml:space="preserve"> for </w:t>
      </w:r>
      <w:r w:rsidR="00382C8C" w:rsidRPr="002F0AD3">
        <w:rPr>
          <w:rFonts w:cstheme="minorHAnsi"/>
        </w:rPr>
        <w:t xml:space="preserve">five </w:t>
      </w:r>
      <w:r w:rsidR="00093104" w:rsidRPr="002F0AD3">
        <w:rPr>
          <w:rFonts w:cstheme="minorHAnsi"/>
        </w:rPr>
        <w:t xml:space="preserve">regional pre-COPs and </w:t>
      </w:r>
      <w:r w:rsidR="00F15C23" w:rsidRPr="002F0AD3">
        <w:rPr>
          <w:rFonts w:cstheme="minorHAnsi"/>
        </w:rPr>
        <w:t xml:space="preserve">the </w:t>
      </w:r>
      <w:r w:rsidR="00093104" w:rsidRPr="002F0AD3">
        <w:rPr>
          <w:rFonts w:cstheme="minorHAnsi"/>
        </w:rPr>
        <w:t xml:space="preserve">COP </w:t>
      </w:r>
      <w:r w:rsidR="00897D8E" w:rsidRPr="002F0AD3">
        <w:rPr>
          <w:rFonts w:cstheme="minorHAnsi"/>
        </w:rPr>
        <w:t>i</w:t>
      </w:r>
      <w:r w:rsidR="00093104" w:rsidRPr="002F0AD3">
        <w:rPr>
          <w:rFonts w:cstheme="minorHAnsi"/>
        </w:rPr>
        <w:t xml:space="preserve">n the same year. </w:t>
      </w:r>
      <w:r w:rsidR="004E737E" w:rsidRPr="002F0AD3">
        <w:rPr>
          <w:rFonts w:cstheme="minorHAnsi"/>
        </w:rPr>
        <w:t xml:space="preserve">The Secretariat has </w:t>
      </w:r>
      <w:r w:rsidR="00BA74D8" w:rsidRPr="002F0AD3">
        <w:rPr>
          <w:rFonts w:cstheme="minorHAnsi"/>
        </w:rPr>
        <w:t xml:space="preserve">raised with the FWG </w:t>
      </w:r>
      <w:r w:rsidR="00B37D16" w:rsidRPr="002F0AD3">
        <w:rPr>
          <w:rFonts w:cstheme="minorHAnsi"/>
        </w:rPr>
        <w:t>the need to review the sequence of meetings and timelines</w:t>
      </w:r>
      <w:r w:rsidR="004E737E" w:rsidRPr="002F0AD3">
        <w:rPr>
          <w:rFonts w:cstheme="minorHAnsi"/>
        </w:rPr>
        <w:t xml:space="preserve"> </w:t>
      </w:r>
      <w:r w:rsidR="00BA74D8" w:rsidRPr="002F0AD3">
        <w:rPr>
          <w:rFonts w:cstheme="minorHAnsi"/>
        </w:rPr>
        <w:t xml:space="preserve">for submission of papers and </w:t>
      </w:r>
      <w:r w:rsidR="00C1601D" w:rsidRPr="002F0AD3">
        <w:rPr>
          <w:rFonts w:cstheme="minorHAnsi"/>
        </w:rPr>
        <w:t>draft resolutions</w:t>
      </w:r>
      <w:r w:rsidR="00BA74D8" w:rsidRPr="002F0AD3">
        <w:rPr>
          <w:rFonts w:cstheme="minorHAnsi"/>
        </w:rPr>
        <w:t xml:space="preserve"> </w:t>
      </w:r>
      <w:r w:rsidR="004E737E" w:rsidRPr="002F0AD3">
        <w:rPr>
          <w:rFonts w:cstheme="minorHAnsi"/>
        </w:rPr>
        <w:t>to enable the Secretariat to deliver efficiently on the Parties</w:t>
      </w:r>
      <w:r w:rsidR="00F04B42" w:rsidRPr="002F0AD3">
        <w:rPr>
          <w:rFonts w:cstheme="minorHAnsi"/>
        </w:rPr>
        <w:t>’</w:t>
      </w:r>
      <w:r w:rsidR="004E737E" w:rsidRPr="002F0AD3">
        <w:rPr>
          <w:rFonts w:cstheme="minorHAnsi"/>
        </w:rPr>
        <w:t xml:space="preserve"> expectations. </w:t>
      </w:r>
      <w:r w:rsidR="00BA74D8" w:rsidRPr="002F0AD3">
        <w:rPr>
          <w:rFonts w:cstheme="minorHAnsi"/>
        </w:rPr>
        <w:t>Other options s</w:t>
      </w:r>
      <w:r w:rsidR="004E737E" w:rsidRPr="002F0AD3">
        <w:rPr>
          <w:rFonts w:cstheme="minorHAnsi"/>
        </w:rPr>
        <w:t>uggest</w:t>
      </w:r>
      <w:r w:rsidR="00BA74D8" w:rsidRPr="002F0AD3">
        <w:rPr>
          <w:rFonts w:cstheme="minorHAnsi"/>
        </w:rPr>
        <w:t>ed</w:t>
      </w:r>
      <w:r w:rsidR="00F72E95" w:rsidRPr="002F0AD3">
        <w:rPr>
          <w:rFonts w:cstheme="minorHAnsi"/>
        </w:rPr>
        <w:t xml:space="preserve"> on the </w:t>
      </w:r>
      <w:r w:rsidR="001522DA">
        <w:rPr>
          <w:rFonts w:cstheme="minorHAnsi"/>
        </w:rPr>
        <w:t>G</w:t>
      </w:r>
      <w:r w:rsidR="00F72E95" w:rsidRPr="002F0AD3">
        <w:rPr>
          <w:rFonts w:cstheme="minorHAnsi"/>
        </w:rPr>
        <w:t>roup’s request and</w:t>
      </w:r>
      <w:r w:rsidR="004E737E" w:rsidRPr="002F0AD3">
        <w:rPr>
          <w:rFonts w:cstheme="minorHAnsi"/>
        </w:rPr>
        <w:t xml:space="preserve"> draw</w:t>
      </w:r>
      <w:r w:rsidR="0014100E">
        <w:rPr>
          <w:rFonts w:cstheme="minorHAnsi"/>
        </w:rPr>
        <w:t>n from the operations of other C</w:t>
      </w:r>
      <w:r w:rsidR="004E737E" w:rsidRPr="002F0AD3">
        <w:rPr>
          <w:rFonts w:cstheme="minorHAnsi"/>
        </w:rPr>
        <w:t>onventions, include</w:t>
      </w:r>
      <w:r w:rsidR="00093104" w:rsidRPr="002F0AD3">
        <w:rPr>
          <w:rFonts w:cstheme="minorHAnsi"/>
        </w:rPr>
        <w:t>: having</w:t>
      </w:r>
      <w:r w:rsidR="002061F9" w:rsidRPr="002F0AD3">
        <w:rPr>
          <w:rFonts w:cstheme="minorHAnsi"/>
        </w:rPr>
        <w:t xml:space="preserve"> full</w:t>
      </w:r>
      <w:r w:rsidR="00093104" w:rsidRPr="002F0AD3">
        <w:rPr>
          <w:rFonts w:cstheme="minorHAnsi"/>
        </w:rPr>
        <w:t xml:space="preserve"> SC meetings only in the years in which the COP does not meet; </w:t>
      </w:r>
      <w:r w:rsidR="00BA74D8" w:rsidRPr="002F0AD3">
        <w:rPr>
          <w:rFonts w:cstheme="minorHAnsi"/>
        </w:rPr>
        <w:t xml:space="preserve">and </w:t>
      </w:r>
      <w:r w:rsidR="00093104" w:rsidRPr="002F0AD3">
        <w:rPr>
          <w:rFonts w:cstheme="minorHAnsi"/>
        </w:rPr>
        <w:t xml:space="preserve">holding regional meetings </w:t>
      </w:r>
      <w:r w:rsidR="00B75BC6" w:rsidRPr="002F0AD3">
        <w:rPr>
          <w:rFonts w:cstheme="minorHAnsi"/>
        </w:rPr>
        <w:t xml:space="preserve">immediately </w:t>
      </w:r>
      <w:r w:rsidR="00093104" w:rsidRPr="002F0AD3">
        <w:rPr>
          <w:rFonts w:cstheme="minorHAnsi"/>
        </w:rPr>
        <w:lastRenderedPageBreak/>
        <w:t>before the COP</w:t>
      </w:r>
      <w:r w:rsidR="002061F9" w:rsidRPr="002F0AD3">
        <w:rPr>
          <w:rFonts w:cstheme="minorHAnsi"/>
        </w:rPr>
        <w:t xml:space="preserve"> (and at the same venue)</w:t>
      </w:r>
      <w:r w:rsidR="00093104" w:rsidRPr="002F0AD3">
        <w:rPr>
          <w:rFonts w:cstheme="minorHAnsi"/>
        </w:rPr>
        <w:t xml:space="preserve"> </w:t>
      </w:r>
      <w:r w:rsidR="00560ED9" w:rsidRPr="002F0AD3">
        <w:rPr>
          <w:rFonts w:cstheme="minorHAnsi"/>
        </w:rPr>
        <w:t>with</w:t>
      </w:r>
      <w:r w:rsidR="00093104" w:rsidRPr="002F0AD3">
        <w:rPr>
          <w:rFonts w:cstheme="minorHAnsi"/>
        </w:rPr>
        <w:t xml:space="preserve"> the option of </w:t>
      </w:r>
      <w:r w:rsidR="00560ED9" w:rsidRPr="002F0AD3">
        <w:rPr>
          <w:rFonts w:cstheme="minorHAnsi"/>
        </w:rPr>
        <w:t xml:space="preserve">holding </w:t>
      </w:r>
      <w:r w:rsidR="00093104" w:rsidRPr="002F0AD3">
        <w:rPr>
          <w:rFonts w:cstheme="minorHAnsi"/>
        </w:rPr>
        <w:t xml:space="preserve">other regional meetings to share experience in implementation, for interested hosts to organize, including in the context of </w:t>
      </w:r>
      <w:r w:rsidR="001522DA">
        <w:rPr>
          <w:rFonts w:cstheme="minorHAnsi"/>
        </w:rPr>
        <w:t xml:space="preserve">Ramsar </w:t>
      </w:r>
      <w:r w:rsidR="001522DA" w:rsidRPr="002F0AD3">
        <w:rPr>
          <w:rFonts w:cstheme="minorHAnsi"/>
        </w:rPr>
        <w:t>Regional Initiatives</w:t>
      </w:r>
      <w:r w:rsidR="00093104" w:rsidRPr="002F0AD3">
        <w:rPr>
          <w:rFonts w:cstheme="minorHAnsi"/>
        </w:rPr>
        <w:t xml:space="preserve">. </w:t>
      </w:r>
      <w:r w:rsidR="00261BD8" w:rsidRPr="002F0AD3">
        <w:rPr>
          <w:rFonts w:cstheme="minorHAnsi"/>
        </w:rPr>
        <w:t xml:space="preserve">The Secretariat welcomes the work of </w:t>
      </w:r>
      <w:r w:rsidR="00B02D0F" w:rsidRPr="002F0AD3">
        <w:rPr>
          <w:rFonts w:cstheme="minorHAnsi"/>
        </w:rPr>
        <w:t xml:space="preserve">Contracting Parties at SC54 and COP13 </w:t>
      </w:r>
      <w:r w:rsidR="00261BD8" w:rsidRPr="002F0AD3">
        <w:rPr>
          <w:rFonts w:cstheme="minorHAnsi"/>
        </w:rPr>
        <w:t>in thi</w:t>
      </w:r>
      <w:r w:rsidR="0059345B" w:rsidRPr="002F0AD3">
        <w:rPr>
          <w:rFonts w:cstheme="minorHAnsi"/>
        </w:rPr>
        <w:t xml:space="preserve">s regard and looks forward to </w:t>
      </w:r>
      <w:r w:rsidR="00B02D0F" w:rsidRPr="002F0AD3">
        <w:rPr>
          <w:rFonts w:cstheme="minorHAnsi"/>
        </w:rPr>
        <w:t xml:space="preserve">their </w:t>
      </w:r>
      <w:r w:rsidR="00261BD8" w:rsidRPr="002F0AD3">
        <w:rPr>
          <w:rFonts w:cstheme="minorHAnsi"/>
        </w:rPr>
        <w:t>consideration of ways to</w:t>
      </w:r>
      <w:r w:rsidR="00296B78" w:rsidRPr="002F0AD3">
        <w:rPr>
          <w:rFonts w:cstheme="minorHAnsi"/>
        </w:rPr>
        <w:t xml:space="preserve"> address these challenges so</w:t>
      </w:r>
      <w:r w:rsidR="00261BD8" w:rsidRPr="002F0AD3">
        <w:rPr>
          <w:rFonts w:cstheme="minorHAnsi"/>
        </w:rPr>
        <w:t xml:space="preserve"> that </w:t>
      </w:r>
      <w:r w:rsidR="00F36D96" w:rsidRPr="002F0AD3">
        <w:rPr>
          <w:rFonts w:cstheme="minorHAnsi"/>
        </w:rPr>
        <w:t xml:space="preserve">the </w:t>
      </w:r>
      <w:r w:rsidR="00261BD8" w:rsidRPr="002F0AD3">
        <w:rPr>
          <w:rFonts w:cstheme="minorHAnsi"/>
        </w:rPr>
        <w:t xml:space="preserve">Convention can improve its effectiveness </w:t>
      </w:r>
      <w:r w:rsidR="00296B78" w:rsidRPr="002F0AD3">
        <w:rPr>
          <w:rFonts w:cstheme="minorHAnsi"/>
        </w:rPr>
        <w:t>and to enable the Secretariat to deliver on this function in an efficient way.</w:t>
      </w:r>
    </w:p>
    <w:p w14:paraId="146F3565" w14:textId="77777777" w:rsidR="00F72E95" w:rsidRPr="002F0AD3" w:rsidRDefault="00F72E95" w:rsidP="00C81B75">
      <w:pPr>
        <w:ind w:left="0" w:firstLine="0"/>
        <w:rPr>
          <w:rFonts w:cstheme="minorHAnsi"/>
          <w:b/>
          <w:bCs/>
        </w:rPr>
      </w:pPr>
    </w:p>
    <w:p w14:paraId="0960282E" w14:textId="77777777" w:rsidR="001D3E01" w:rsidRPr="00DE0A31" w:rsidRDefault="31B94901" w:rsidP="00C81B75">
      <w:pPr>
        <w:ind w:left="0" w:firstLine="0"/>
        <w:rPr>
          <w:rFonts w:cstheme="minorHAnsi"/>
          <w:bCs/>
          <w:u w:val="single"/>
        </w:rPr>
      </w:pPr>
      <w:r w:rsidRPr="00DE0A31">
        <w:rPr>
          <w:rFonts w:cstheme="minorHAnsi"/>
          <w:bCs/>
          <w:u w:val="single"/>
        </w:rPr>
        <w:t>Increasing relevance of wetlands and the Convention to global sustainable development policy objectives</w:t>
      </w:r>
    </w:p>
    <w:p w14:paraId="48F220F0" w14:textId="77777777" w:rsidR="001D3E01" w:rsidRPr="002F0AD3" w:rsidRDefault="001D3E01" w:rsidP="00C81B75">
      <w:pPr>
        <w:rPr>
          <w:rFonts w:cstheme="minorHAnsi"/>
        </w:rPr>
      </w:pPr>
    </w:p>
    <w:p w14:paraId="0BE661D2" w14:textId="2E225C04" w:rsidR="00626FDB" w:rsidRPr="002F0AD3" w:rsidRDefault="00DE0A31" w:rsidP="00DE0A31">
      <w:pPr>
        <w:rPr>
          <w:rFonts w:cstheme="minorHAnsi"/>
        </w:rPr>
      </w:pPr>
      <w:r>
        <w:rPr>
          <w:rFonts w:cstheme="minorHAnsi"/>
        </w:rPr>
        <w:t>15.</w:t>
      </w:r>
      <w:r>
        <w:rPr>
          <w:rFonts w:cstheme="minorHAnsi"/>
        </w:rPr>
        <w:tab/>
      </w:r>
      <w:r w:rsidR="00AF1376" w:rsidRPr="002F0AD3">
        <w:rPr>
          <w:rFonts w:cstheme="minorHAnsi"/>
        </w:rPr>
        <w:t>The Secretariat</w:t>
      </w:r>
      <w:r w:rsidR="00F72E95" w:rsidRPr="002F0AD3">
        <w:rPr>
          <w:rFonts w:cstheme="minorHAnsi"/>
        </w:rPr>
        <w:t xml:space="preserve"> </w:t>
      </w:r>
      <w:r w:rsidR="00D165F1" w:rsidRPr="002F0AD3">
        <w:rPr>
          <w:rFonts w:cstheme="minorHAnsi"/>
        </w:rPr>
        <w:t xml:space="preserve">has </w:t>
      </w:r>
      <w:r w:rsidR="00A2116E" w:rsidRPr="002F0AD3">
        <w:rPr>
          <w:rFonts w:cstheme="minorHAnsi"/>
        </w:rPr>
        <w:t>strengthen</w:t>
      </w:r>
      <w:r w:rsidR="00F72E95" w:rsidRPr="002F0AD3">
        <w:rPr>
          <w:rFonts w:cstheme="minorHAnsi"/>
        </w:rPr>
        <w:t>ed</w:t>
      </w:r>
      <w:r w:rsidR="00A2116E" w:rsidRPr="002F0AD3">
        <w:rPr>
          <w:rFonts w:cstheme="minorHAnsi"/>
        </w:rPr>
        <w:t xml:space="preserve"> i</w:t>
      </w:r>
      <w:r w:rsidR="005011F1" w:rsidRPr="002F0AD3">
        <w:rPr>
          <w:rFonts w:cstheme="minorHAnsi"/>
        </w:rPr>
        <w:t xml:space="preserve">ts work in supporting international cooperation and </w:t>
      </w:r>
      <w:r w:rsidR="00AF1376" w:rsidRPr="002F0AD3">
        <w:rPr>
          <w:rFonts w:cstheme="minorHAnsi"/>
        </w:rPr>
        <w:t>enhanc</w:t>
      </w:r>
      <w:r w:rsidR="005011F1" w:rsidRPr="002F0AD3">
        <w:rPr>
          <w:rFonts w:cstheme="minorHAnsi"/>
        </w:rPr>
        <w:t xml:space="preserve">ing </w:t>
      </w:r>
      <w:r w:rsidR="00AF1376" w:rsidRPr="002F0AD3">
        <w:rPr>
          <w:rFonts w:cstheme="minorHAnsi"/>
        </w:rPr>
        <w:t>the relevance of wetlands and the Convent</w:t>
      </w:r>
      <w:r w:rsidR="004C1037" w:rsidRPr="002F0AD3">
        <w:rPr>
          <w:rFonts w:cstheme="minorHAnsi"/>
        </w:rPr>
        <w:t>ion in the global policy agenda</w:t>
      </w:r>
      <w:r w:rsidR="005011F1" w:rsidRPr="002F0AD3">
        <w:rPr>
          <w:rFonts w:cstheme="minorHAnsi"/>
        </w:rPr>
        <w:t xml:space="preserve">. </w:t>
      </w:r>
      <w:r w:rsidR="0082111B" w:rsidRPr="002F0AD3">
        <w:rPr>
          <w:rFonts w:cstheme="minorHAnsi"/>
        </w:rPr>
        <w:t xml:space="preserve">Capacities for this are being reinforced with the recruitment of a Director of Science and Policy (see below paragraph </w:t>
      </w:r>
      <w:r w:rsidR="00253D47">
        <w:rPr>
          <w:rFonts w:cstheme="minorHAnsi"/>
        </w:rPr>
        <w:t>38</w:t>
      </w:r>
      <w:r w:rsidR="0082111B" w:rsidRPr="00DE0A31">
        <w:rPr>
          <w:rFonts w:cstheme="minorHAnsi"/>
        </w:rPr>
        <w:t>)</w:t>
      </w:r>
      <w:r w:rsidR="009B6670" w:rsidRPr="002F0AD3">
        <w:rPr>
          <w:rFonts w:cstheme="minorHAnsi"/>
        </w:rPr>
        <w:t xml:space="preserve"> and with the engagement of the</w:t>
      </w:r>
      <w:r w:rsidR="0078142B">
        <w:rPr>
          <w:rFonts w:cstheme="minorHAnsi"/>
        </w:rPr>
        <w:t xml:space="preserve"> </w:t>
      </w:r>
      <w:r w:rsidR="005F4507" w:rsidRPr="002F0AD3">
        <w:rPr>
          <w:rFonts w:cstheme="minorHAnsi"/>
        </w:rPr>
        <w:t>Secretariat’s professional</w:t>
      </w:r>
      <w:r w:rsidR="009B6670" w:rsidRPr="002F0AD3">
        <w:rPr>
          <w:rFonts w:cstheme="minorHAnsi"/>
        </w:rPr>
        <w:t xml:space="preserve"> team in relevant policy processes.</w:t>
      </w:r>
      <w:r w:rsidR="0082111B" w:rsidRPr="002F0AD3">
        <w:rPr>
          <w:rFonts w:cstheme="minorHAnsi"/>
        </w:rPr>
        <w:t xml:space="preserve"> </w:t>
      </w:r>
      <w:r w:rsidR="005011F1" w:rsidRPr="002F0AD3">
        <w:rPr>
          <w:rFonts w:cstheme="minorHAnsi"/>
        </w:rPr>
        <w:t xml:space="preserve">Given that </w:t>
      </w:r>
      <w:r w:rsidR="004C1037" w:rsidRPr="002F0AD3">
        <w:rPr>
          <w:rFonts w:cstheme="minorHAnsi"/>
        </w:rPr>
        <w:t>the 2030 Sustainable Development Agenda and the Paris Agreement on Climate Change</w:t>
      </w:r>
      <w:r w:rsidR="00086DDE" w:rsidRPr="002F0AD3">
        <w:rPr>
          <w:rFonts w:cstheme="minorHAnsi"/>
        </w:rPr>
        <w:t xml:space="preserve"> are</w:t>
      </w:r>
      <w:r w:rsidR="004C1037" w:rsidRPr="002F0AD3">
        <w:rPr>
          <w:rFonts w:cstheme="minorHAnsi"/>
        </w:rPr>
        <w:t xml:space="preserve"> driving national and international planning and funding efforts</w:t>
      </w:r>
      <w:r w:rsidR="005011F1" w:rsidRPr="002F0AD3">
        <w:rPr>
          <w:rFonts w:cstheme="minorHAnsi"/>
        </w:rPr>
        <w:t xml:space="preserve">, </w:t>
      </w:r>
      <w:r w:rsidR="00D31EAD" w:rsidRPr="002F0AD3">
        <w:rPr>
          <w:rFonts w:cstheme="minorHAnsi"/>
        </w:rPr>
        <w:t xml:space="preserve">increased </w:t>
      </w:r>
      <w:r w:rsidR="005011F1" w:rsidRPr="002F0AD3">
        <w:rPr>
          <w:rFonts w:cstheme="minorHAnsi"/>
        </w:rPr>
        <w:t>a</w:t>
      </w:r>
      <w:r w:rsidR="003B18F4" w:rsidRPr="002F0AD3">
        <w:rPr>
          <w:rFonts w:cstheme="minorHAnsi"/>
        </w:rPr>
        <w:t xml:space="preserve">ttention </w:t>
      </w:r>
      <w:r w:rsidR="00D31EAD" w:rsidRPr="002F0AD3">
        <w:rPr>
          <w:rFonts w:cstheme="minorHAnsi"/>
        </w:rPr>
        <w:t xml:space="preserve">has been </w:t>
      </w:r>
      <w:r w:rsidR="003B18F4" w:rsidRPr="002F0AD3">
        <w:rPr>
          <w:rFonts w:cstheme="minorHAnsi"/>
        </w:rPr>
        <w:t>given</w:t>
      </w:r>
      <w:r w:rsidR="005011F1" w:rsidRPr="002F0AD3">
        <w:rPr>
          <w:rFonts w:cstheme="minorHAnsi"/>
        </w:rPr>
        <w:t xml:space="preserve"> to ensure that wetlands and the work of Contracting Parties under the </w:t>
      </w:r>
      <w:r w:rsidR="003B18F4" w:rsidRPr="002F0AD3">
        <w:rPr>
          <w:rFonts w:cstheme="minorHAnsi"/>
        </w:rPr>
        <w:t>C</w:t>
      </w:r>
      <w:r w:rsidR="005011F1" w:rsidRPr="002F0AD3">
        <w:rPr>
          <w:rFonts w:cstheme="minorHAnsi"/>
        </w:rPr>
        <w:t>onvention contribute to these policy frameworks</w:t>
      </w:r>
      <w:r w:rsidR="004C1037" w:rsidRPr="002F0AD3">
        <w:rPr>
          <w:rFonts w:cstheme="minorHAnsi"/>
        </w:rPr>
        <w:t>.</w:t>
      </w:r>
      <w:r w:rsidR="005C682A" w:rsidRPr="002F0AD3">
        <w:rPr>
          <w:rFonts w:cstheme="minorHAnsi"/>
        </w:rPr>
        <w:t xml:space="preserve"> The Secretariat has </w:t>
      </w:r>
      <w:r w:rsidR="00E00F03" w:rsidRPr="002F0AD3">
        <w:rPr>
          <w:rFonts w:cstheme="minorHAnsi"/>
        </w:rPr>
        <w:t>therefore</w:t>
      </w:r>
      <w:r w:rsidR="005C682A" w:rsidRPr="002F0AD3">
        <w:rPr>
          <w:rFonts w:cstheme="minorHAnsi"/>
        </w:rPr>
        <w:t xml:space="preserve"> </w:t>
      </w:r>
      <w:r w:rsidR="009B6670" w:rsidRPr="002F0AD3">
        <w:rPr>
          <w:rFonts w:cstheme="minorHAnsi"/>
        </w:rPr>
        <w:t xml:space="preserve">actively engaged </w:t>
      </w:r>
      <w:r w:rsidR="00626FDB" w:rsidRPr="002F0AD3">
        <w:rPr>
          <w:rFonts w:cstheme="minorHAnsi"/>
        </w:rPr>
        <w:t xml:space="preserve">in </w:t>
      </w:r>
      <w:r w:rsidR="00E00F03" w:rsidRPr="002F0AD3">
        <w:rPr>
          <w:rFonts w:cstheme="minorHAnsi"/>
        </w:rPr>
        <w:t xml:space="preserve">discussions regarding achievement of </w:t>
      </w:r>
      <w:r w:rsidR="005C682A" w:rsidRPr="002F0AD3">
        <w:rPr>
          <w:rFonts w:cstheme="minorHAnsi"/>
        </w:rPr>
        <w:t>the Sustainable Development Goals (S</w:t>
      </w:r>
      <w:r w:rsidR="00A2116E" w:rsidRPr="002F0AD3">
        <w:rPr>
          <w:rFonts w:cstheme="minorHAnsi"/>
        </w:rPr>
        <w:t xml:space="preserve">DGs), including with regard to </w:t>
      </w:r>
      <w:r w:rsidR="00F36D96" w:rsidRPr="002F0AD3">
        <w:rPr>
          <w:rFonts w:cstheme="minorHAnsi"/>
        </w:rPr>
        <w:t>SDG</w:t>
      </w:r>
      <w:r w:rsidR="00127E63" w:rsidRPr="002F0AD3">
        <w:rPr>
          <w:rFonts w:cstheme="minorHAnsi"/>
        </w:rPr>
        <w:t xml:space="preserve"> </w:t>
      </w:r>
      <w:r w:rsidR="00142557">
        <w:rPr>
          <w:rFonts w:cstheme="minorHAnsi"/>
        </w:rPr>
        <w:t>I</w:t>
      </w:r>
      <w:r w:rsidR="00A2116E" w:rsidRPr="002F0AD3">
        <w:rPr>
          <w:rFonts w:cstheme="minorHAnsi"/>
        </w:rPr>
        <w:t>ndicator 6.6.1</w:t>
      </w:r>
      <w:r w:rsidR="00681058" w:rsidRPr="002F0AD3">
        <w:rPr>
          <w:rFonts w:cstheme="minorHAnsi"/>
        </w:rPr>
        <w:t xml:space="preserve"> (on change in extent of water-related ecosystems)</w:t>
      </w:r>
      <w:r w:rsidR="00A2116E" w:rsidRPr="002F0AD3">
        <w:rPr>
          <w:rFonts w:cstheme="minorHAnsi"/>
        </w:rPr>
        <w:t xml:space="preserve">, as requested in </w:t>
      </w:r>
      <w:r w:rsidR="003C64E9" w:rsidRPr="002F0AD3">
        <w:rPr>
          <w:rFonts w:cstheme="minorHAnsi"/>
        </w:rPr>
        <w:t>D</w:t>
      </w:r>
      <w:r w:rsidR="005C682A" w:rsidRPr="002F0AD3">
        <w:rPr>
          <w:rFonts w:cstheme="minorHAnsi"/>
        </w:rPr>
        <w:t>ecision</w:t>
      </w:r>
      <w:r w:rsidR="003C64E9" w:rsidRPr="002F0AD3">
        <w:rPr>
          <w:rFonts w:cstheme="minorHAnsi"/>
        </w:rPr>
        <w:t xml:space="preserve"> SC53-17</w:t>
      </w:r>
      <w:r w:rsidR="00E21B43" w:rsidRPr="002F0AD3">
        <w:rPr>
          <w:rFonts w:cstheme="minorHAnsi"/>
        </w:rPr>
        <w:t>. It participated</w:t>
      </w:r>
      <w:r w:rsidR="005C682A" w:rsidRPr="002F0AD3">
        <w:rPr>
          <w:rFonts w:cstheme="minorHAnsi"/>
        </w:rPr>
        <w:t xml:space="preserve"> in </w:t>
      </w:r>
      <w:r w:rsidR="00626FDB" w:rsidRPr="002F0AD3">
        <w:rPr>
          <w:rFonts w:cstheme="minorHAnsi"/>
        </w:rPr>
        <w:t xml:space="preserve">the 6th </w:t>
      </w:r>
      <w:r w:rsidR="007A4EF3" w:rsidRPr="002F0AD3">
        <w:rPr>
          <w:rFonts w:cstheme="minorHAnsi"/>
        </w:rPr>
        <w:t xml:space="preserve">and 7th </w:t>
      </w:r>
      <w:r w:rsidR="00626FDB" w:rsidRPr="002F0AD3">
        <w:rPr>
          <w:rFonts w:cstheme="minorHAnsi"/>
        </w:rPr>
        <w:t>meeting</w:t>
      </w:r>
      <w:r w:rsidR="007A4EF3" w:rsidRPr="002F0AD3">
        <w:rPr>
          <w:rFonts w:cstheme="minorHAnsi"/>
        </w:rPr>
        <w:t>s</w:t>
      </w:r>
      <w:r w:rsidR="00626FDB" w:rsidRPr="002F0AD3">
        <w:rPr>
          <w:rFonts w:cstheme="minorHAnsi"/>
        </w:rPr>
        <w:t xml:space="preserve"> of the Inter-Agency and Expert Group on Sustainable Development Goal Indicators (IAEG-SDGs</w:t>
      </w:r>
      <w:r w:rsidR="003B18F4" w:rsidRPr="002F0AD3">
        <w:rPr>
          <w:rFonts w:cstheme="minorHAnsi"/>
        </w:rPr>
        <w:t>)</w:t>
      </w:r>
      <w:r w:rsidR="007324EE" w:rsidRPr="002F0AD3">
        <w:rPr>
          <w:rFonts w:cstheme="minorHAnsi"/>
        </w:rPr>
        <w:t xml:space="preserve"> in </w:t>
      </w:r>
      <w:r w:rsidR="003B18F4" w:rsidRPr="002F0AD3">
        <w:rPr>
          <w:rFonts w:cstheme="minorHAnsi"/>
        </w:rPr>
        <w:t>Manama, Bahr</w:t>
      </w:r>
      <w:r w:rsidR="005A3333" w:rsidRPr="002F0AD3">
        <w:rPr>
          <w:rFonts w:cstheme="minorHAnsi"/>
        </w:rPr>
        <w:t>a</w:t>
      </w:r>
      <w:r w:rsidR="003B18F4" w:rsidRPr="002F0AD3">
        <w:rPr>
          <w:rFonts w:cstheme="minorHAnsi"/>
        </w:rPr>
        <w:t xml:space="preserve">in </w:t>
      </w:r>
      <w:r w:rsidR="00E21B43" w:rsidRPr="002F0AD3">
        <w:rPr>
          <w:rFonts w:cstheme="minorHAnsi"/>
        </w:rPr>
        <w:t>(</w:t>
      </w:r>
      <w:r w:rsidR="003B18F4" w:rsidRPr="002F0AD3">
        <w:rPr>
          <w:rFonts w:cstheme="minorHAnsi"/>
        </w:rPr>
        <w:t>11-14</w:t>
      </w:r>
      <w:r w:rsidR="00A82791" w:rsidRPr="002F0AD3">
        <w:rPr>
          <w:rFonts w:cstheme="minorHAnsi"/>
        </w:rPr>
        <w:t> </w:t>
      </w:r>
      <w:r w:rsidR="003B18F4" w:rsidRPr="002F0AD3">
        <w:rPr>
          <w:rFonts w:cstheme="minorHAnsi"/>
        </w:rPr>
        <w:t>November 2017</w:t>
      </w:r>
      <w:r w:rsidR="00A2116E" w:rsidRPr="002F0AD3">
        <w:rPr>
          <w:rFonts w:cstheme="minorHAnsi"/>
        </w:rPr>
        <w:t xml:space="preserve">) </w:t>
      </w:r>
      <w:r w:rsidR="007A4EF3" w:rsidRPr="002F0AD3">
        <w:rPr>
          <w:rFonts w:cstheme="minorHAnsi"/>
        </w:rPr>
        <w:t xml:space="preserve">and Vienna, Austria (9-12 April 2018) </w:t>
      </w:r>
      <w:r w:rsidR="00A2116E" w:rsidRPr="002F0AD3">
        <w:rPr>
          <w:rFonts w:cstheme="minorHAnsi"/>
        </w:rPr>
        <w:t xml:space="preserve">and continued its engagement in </w:t>
      </w:r>
      <w:r w:rsidR="00142557">
        <w:rPr>
          <w:rFonts w:cstheme="minorHAnsi"/>
        </w:rPr>
        <w:t>the work of the target team on I</w:t>
      </w:r>
      <w:r w:rsidR="00A2116E" w:rsidRPr="002F0AD3">
        <w:rPr>
          <w:rFonts w:cstheme="minorHAnsi"/>
        </w:rPr>
        <w:t>ndicator</w:t>
      </w:r>
      <w:r w:rsidR="00A82791" w:rsidRPr="002F0AD3">
        <w:rPr>
          <w:rFonts w:cstheme="minorHAnsi"/>
        </w:rPr>
        <w:t> </w:t>
      </w:r>
      <w:r w:rsidR="00A2116E" w:rsidRPr="002F0AD3">
        <w:rPr>
          <w:rFonts w:cstheme="minorHAnsi"/>
        </w:rPr>
        <w:t xml:space="preserve">6.6.1 led by </w:t>
      </w:r>
      <w:r w:rsidR="00D31EAD" w:rsidRPr="002F0AD3">
        <w:rPr>
          <w:rFonts w:cstheme="minorHAnsi"/>
        </w:rPr>
        <w:t xml:space="preserve">the </w:t>
      </w:r>
      <w:r w:rsidR="00A2116E" w:rsidRPr="002F0AD3">
        <w:rPr>
          <w:rFonts w:cstheme="minorHAnsi"/>
        </w:rPr>
        <w:t>U</w:t>
      </w:r>
      <w:r w:rsidR="00D31EAD" w:rsidRPr="002F0AD3">
        <w:rPr>
          <w:rFonts w:cstheme="minorHAnsi"/>
        </w:rPr>
        <w:t xml:space="preserve">nited </w:t>
      </w:r>
      <w:r w:rsidR="00A2116E" w:rsidRPr="002F0AD3">
        <w:rPr>
          <w:rFonts w:cstheme="minorHAnsi"/>
        </w:rPr>
        <w:t>N</w:t>
      </w:r>
      <w:r w:rsidR="00D31EAD" w:rsidRPr="002F0AD3">
        <w:rPr>
          <w:rFonts w:cstheme="minorHAnsi"/>
        </w:rPr>
        <w:t>ations</w:t>
      </w:r>
      <w:r w:rsidR="00681058" w:rsidRPr="002F0AD3">
        <w:rPr>
          <w:rFonts w:cstheme="minorHAnsi"/>
        </w:rPr>
        <w:t xml:space="preserve"> </w:t>
      </w:r>
      <w:r w:rsidR="00A2116E" w:rsidRPr="002F0AD3">
        <w:rPr>
          <w:rFonts w:cstheme="minorHAnsi"/>
        </w:rPr>
        <w:t>Environment</w:t>
      </w:r>
      <w:r w:rsidR="00D31EAD" w:rsidRPr="002F0AD3">
        <w:rPr>
          <w:rFonts w:cstheme="minorHAnsi"/>
        </w:rPr>
        <w:t xml:space="preserve"> Programme (UNEP)</w:t>
      </w:r>
      <w:r w:rsidR="00A2116E" w:rsidRPr="002F0AD3">
        <w:rPr>
          <w:rFonts w:cstheme="minorHAnsi"/>
        </w:rPr>
        <w:t>. The Secretariat also participated in</w:t>
      </w:r>
      <w:r w:rsidR="007324EE" w:rsidRPr="002F0AD3">
        <w:rPr>
          <w:rFonts w:cstheme="minorHAnsi"/>
        </w:rPr>
        <w:t xml:space="preserve"> </w:t>
      </w:r>
      <w:r w:rsidR="00626FDB" w:rsidRPr="002F0AD3">
        <w:rPr>
          <w:rFonts w:cstheme="minorHAnsi"/>
        </w:rPr>
        <w:t xml:space="preserve">the </w:t>
      </w:r>
      <w:r w:rsidR="00A2116E" w:rsidRPr="002F0AD3">
        <w:rPr>
          <w:rFonts w:cstheme="minorHAnsi"/>
        </w:rPr>
        <w:t>g</w:t>
      </w:r>
      <w:r w:rsidR="29E6AAA0" w:rsidRPr="002F0AD3">
        <w:rPr>
          <w:rFonts w:cstheme="minorHAnsi"/>
        </w:rPr>
        <w:t xml:space="preserve">lobal workshop for integrated monitoring of </w:t>
      </w:r>
      <w:r w:rsidR="00F36D96" w:rsidRPr="002F0AD3">
        <w:rPr>
          <w:rFonts w:cstheme="minorHAnsi"/>
        </w:rPr>
        <w:t>SDG</w:t>
      </w:r>
      <w:r w:rsidR="00E25439">
        <w:rPr>
          <w:rFonts w:cstheme="minorHAnsi"/>
        </w:rPr>
        <w:t xml:space="preserve"> </w:t>
      </w:r>
      <w:r w:rsidR="00F15C23" w:rsidRPr="002F0AD3">
        <w:rPr>
          <w:rFonts w:cstheme="minorHAnsi"/>
        </w:rPr>
        <w:t>6 on water and sanitation,</w:t>
      </w:r>
      <w:r w:rsidR="29E6AAA0" w:rsidRPr="002F0AD3">
        <w:rPr>
          <w:rFonts w:cstheme="minorHAnsi"/>
        </w:rPr>
        <w:t xml:space="preserve"> organized by UN-Water Technical Advisory Unit an</w:t>
      </w:r>
      <w:r w:rsidR="007324EE" w:rsidRPr="002F0AD3">
        <w:rPr>
          <w:rFonts w:cstheme="minorHAnsi"/>
        </w:rPr>
        <w:t>d eight United Nations agencies</w:t>
      </w:r>
      <w:r w:rsidR="00E21B43" w:rsidRPr="002F0AD3">
        <w:rPr>
          <w:rFonts w:cstheme="minorHAnsi"/>
        </w:rPr>
        <w:t xml:space="preserve"> </w:t>
      </w:r>
      <w:r w:rsidR="00F15C23" w:rsidRPr="002F0AD3">
        <w:rPr>
          <w:rFonts w:cstheme="minorHAnsi"/>
        </w:rPr>
        <w:t xml:space="preserve">in The Hague, the Netherlands </w:t>
      </w:r>
      <w:r w:rsidR="00E25439">
        <w:rPr>
          <w:rFonts w:cstheme="minorHAnsi"/>
        </w:rPr>
        <w:t>(21-</w:t>
      </w:r>
      <w:r w:rsidR="00E21B43" w:rsidRPr="002F0AD3">
        <w:rPr>
          <w:rFonts w:cstheme="minorHAnsi"/>
        </w:rPr>
        <w:t>23 November</w:t>
      </w:r>
      <w:r w:rsidR="00E21B43" w:rsidRPr="00DE0A31">
        <w:rPr>
          <w:rFonts w:cstheme="minorHAnsi"/>
        </w:rPr>
        <w:t xml:space="preserve"> 2017)</w:t>
      </w:r>
      <w:r w:rsidR="00626FDB" w:rsidRPr="002F0AD3">
        <w:rPr>
          <w:rFonts w:cstheme="minorHAnsi"/>
        </w:rPr>
        <w:t>. The aim</w:t>
      </w:r>
      <w:r w:rsidR="00DB187E" w:rsidRPr="002F0AD3">
        <w:rPr>
          <w:rFonts w:cstheme="minorHAnsi"/>
        </w:rPr>
        <w:t xml:space="preserve"> has been</w:t>
      </w:r>
      <w:r w:rsidR="00626FDB" w:rsidRPr="002F0AD3">
        <w:rPr>
          <w:rFonts w:cstheme="minorHAnsi"/>
        </w:rPr>
        <w:t xml:space="preserve"> to ensure that </w:t>
      </w:r>
      <w:r w:rsidR="00F315D9" w:rsidRPr="002F0AD3">
        <w:rPr>
          <w:rFonts w:cstheme="minorHAnsi"/>
        </w:rPr>
        <w:t xml:space="preserve">the process for monitoring achievement of the SDGs, especially on water-related ecosystems, takes account of </w:t>
      </w:r>
      <w:r w:rsidR="00626FDB" w:rsidRPr="002F0AD3">
        <w:rPr>
          <w:rFonts w:cstheme="minorHAnsi"/>
        </w:rPr>
        <w:t>Contracting Parties</w:t>
      </w:r>
      <w:r w:rsidR="00F04B42" w:rsidRPr="002F0AD3">
        <w:rPr>
          <w:rFonts w:cstheme="minorHAnsi"/>
        </w:rPr>
        <w:t>’</w:t>
      </w:r>
      <w:r w:rsidR="00626FDB" w:rsidRPr="002F0AD3">
        <w:rPr>
          <w:rFonts w:cstheme="minorHAnsi"/>
        </w:rPr>
        <w:t xml:space="preserve"> commitment to reporting on the extent of wetlands</w:t>
      </w:r>
      <w:r w:rsidR="007324EE" w:rsidRPr="002F0AD3">
        <w:rPr>
          <w:rFonts w:cstheme="minorHAnsi"/>
        </w:rPr>
        <w:t>.</w:t>
      </w:r>
      <w:r w:rsidR="00DB187E" w:rsidRPr="002F0AD3">
        <w:rPr>
          <w:rFonts w:cstheme="minorHAnsi"/>
        </w:rPr>
        <w:t xml:space="preserve"> </w:t>
      </w:r>
      <w:r w:rsidR="00681058" w:rsidRPr="002F0AD3">
        <w:rPr>
          <w:rFonts w:cstheme="minorHAnsi"/>
        </w:rPr>
        <w:t>An important development</w:t>
      </w:r>
      <w:r w:rsidR="00DB187E" w:rsidRPr="002F0AD3">
        <w:rPr>
          <w:rFonts w:cstheme="minorHAnsi"/>
        </w:rPr>
        <w:t xml:space="preserve"> is that</w:t>
      </w:r>
      <w:r w:rsidR="0074193F" w:rsidRPr="002F0AD3">
        <w:rPr>
          <w:rFonts w:cstheme="minorHAnsi"/>
        </w:rPr>
        <w:t>,</w:t>
      </w:r>
      <w:r w:rsidR="00DB187E" w:rsidRPr="002F0AD3">
        <w:rPr>
          <w:rFonts w:cstheme="minorHAnsi"/>
        </w:rPr>
        <w:t xml:space="preserve"> </w:t>
      </w:r>
      <w:r w:rsidR="00667680" w:rsidRPr="002F0AD3">
        <w:rPr>
          <w:rFonts w:cstheme="minorHAnsi"/>
        </w:rPr>
        <w:t>because</w:t>
      </w:r>
      <w:r w:rsidR="00DB187E" w:rsidRPr="002F0AD3">
        <w:rPr>
          <w:rFonts w:cstheme="minorHAnsi"/>
        </w:rPr>
        <w:t xml:space="preserve"> of this work</w:t>
      </w:r>
      <w:r w:rsidR="0074193F" w:rsidRPr="002F0AD3">
        <w:rPr>
          <w:rFonts w:cstheme="minorHAnsi"/>
        </w:rPr>
        <w:t>,</w:t>
      </w:r>
      <w:r w:rsidR="00DB187E" w:rsidRPr="002F0AD3">
        <w:rPr>
          <w:rFonts w:cstheme="minorHAnsi"/>
        </w:rPr>
        <w:t xml:space="preserve"> the IAEG-SDG </w:t>
      </w:r>
      <w:r w:rsidR="00F4144F" w:rsidRPr="002F0AD3">
        <w:rPr>
          <w:rFonts w:cstheme="minorHAnsi"/>
        </w:rPr>
        <w:t xml:space="preserve">decided in </w:t>
      </w:r>
      <w:r w:rsidR="00DB187E" w:rsidRPr="002F0AD3">
        <w:rPr>
          <w:rFonts w:cstheme="minorHAnsi"/>
        </w:rPr>
        <w:t xml:space="preserve">November 2017 </w:t>
      </w:r>
      <w:r w:rsidR="007C2446" w:rsidRPr="002F0AD3">
        <w:rPr>
          <w:rFonts w:cstheme="minorHAnsi"/>
        </w:rPr>
        <w:t xml:space="preserve">to make </w:t>
      </w:r>
      <w:r w:rsidR="00DB187E" w:rsidRPr="002F0AD3">
        <w:rPr>
          <w:rFonts w:cstheme="minorHAnsi"/>
        </w:rPr>
        <w:t xml:space="preserve">the </w:t>
      </w:r>
      <w:r w:rsidR="0074193F" w:rsidRPr="002F0AD3">
        <w:rPr>
          <w:rFonts w:cstheme="minorHAnsi"/>
        </w:rPr>
        <w:t xml:space="preserve">Ramsar </w:t>
      </w:r>
      <w:r w:rsidR="00DB187E" w:rsidRPr="002F0AD3">
        <w:rPr>
          <w:rFonts w:cstheme="minorHAnsi"/>
        </w:rPr>
        <w:t>Conven</w:t>
      </w:r>
      <w:r w:rsidR="00496CF9" w:rsidRPr="002F0AD3">
        <w:rPr>
          <w:rFonts w:cstheme="minorHAnsi"/>
        </w:rPr>
        <w:t>tion</w:t>
      </w:r>
      <w:r w:rsidR="00DB187E" w:rsidRPr="002F0AD3">
        <w:rPr>
          <w:rFonts w:cstheme="minorHAnsi"/>
        </w:rPr>
        <w:t xml:space="preserve"> a co-custodian for this indicator</w:t>
      </w:r>
      <w:r w:rsidR="007C2446" w:rsidRPr="002F0AD3">
        <w:rPr>
          <w:rFonts w:cstheme="minorHAnsi"/>
        </w:rPr>
        <w:t>, together</w:t>
      </w:r>
      <w:r w:rsidR="00DB187E" w:rsidRPr="002F0AD3">
        <w:rPr>
          <w:rFonts w:cstheme="minorHAnsi"/>
        </w:rPr>
        <w:t xml:space="preserve"> </w:t>
      </w:r>
      <w:r w:rsidR="00496CF9" w:rsidRPr="002F0AD3">
        <w:rPr>
          <w:rFonts w:cstheme="minorHAnsi"/>
        </w:rPr>
        <w:t>with UN</w:t>
      </w:r>
      <w:r w:rsidR="007D2D84" w:rsidRPr="002F0AD3">
        <w:rPr>
          <w:rFonts w:cstheme="minorHAnsi"/>
        </w:rPr>
        <w:t>EP</w:t>
      </w:r>
      <w:r w:rsidR="00496CF9" w:rsidRPr="002F0AD3">
        <w:rPr>
          <w:rFonts w:cstheme="minorHAnsi"/>
        </w:rPr>
        <w:t>.</w:t>
      </w:r>
      <w:r w:rsidR="00F4144F" w:rsidRPr="002F0AD3">
        <w:rPr>
          <w:rFonts w:cstheme="minorHAnsi"/>
        </w:rPr>
        <w:t xml:space="preserve"> It further decided </w:t>
      </w:r>
      <w:r w:rsidR="00763CD6" w:rsidRPr="002F0AD3">
        <w:rPr>
          <w:rFonts w:cstheme="minorHAnsi"/>
        </w:rPr>
        <w:t xml:space="preserve">to approve two </w:t>
      </w:r>
      <w:r w:rsidR="005F4507" w:rsidRPr="002F0AD3">
        <w:rPr>
          <w:rFonts w:cstheme="minorHAnsi"/>
        </w:rPr>
        <w:t xml:space="preserve">parallel </w:t>
      </w:r>
      <w:r w:rsidR="00763CD6" w:rsidRPr="002F0AD3">
        <w:rPr>
          <w:rFonts w:cstheme="minorHAnsi"/>
        </w:rPr>
        <w:t>reporting lines to the global SDG database hosted by the UN Statistics Division</w:t>
      </w:r>
      <w:r w:rsidR="00BF4CE2" w:rsidRPr="00DE0A31">
        <w:rPr>
          <w:rFonts w:cstheme="minorHAnsi"/>
        </w:rPr>
        <w:t>. T</w:t>
      </w:r>
      <w:r w:rsidR="00763CD6" w:rsidRPr="00DE0A31">
        <w:rPr>
          <w:rFonts w:cstheme="minorHAnsi"/>
        </w:rPr>
        <w:t xml:space="preserve">he Ramsar Convention on Wetlands will contribute data from </w:t>
      </w:r>
      <w:r w:rsidR="00763CD6" w:rsidRPr="002F0AD3">
        <w:rPr>
          <w:rFonts w:cstheme="minorHAnsi"/>
        </w:rPr>
        <w:t>National Reports</w:t>
      </w:r>
      <w:r w:rsidR="00BA6D48" w:rsidRPr="00DE0A31">
        <w:rPr>
          <w:rFonts w:cstheme="minorHAnsi"/>
        </w:rPr>
        <w:t xml:space="preserve"> </w:t>
      </w:r>
      <w:r w:rsidR="00763CD6" w:rsidRPr="002F0AD3">
        <w:rPr>
          <w:rFonts w:cstheme="minorHAnsi"/>
        </w:rPr>
        <w:t>based on Ramsar definitions and requirements</w:t>
      </w:r>
      <w:r w:rsidR="008A384C" w:rsidRPr="002F0AD3">
        <w:rPr>
          <w:rFonts w:cstheme="minorHAnsi"/>
        </w:rPr>
        <w:t xml:space="preserve">; </w:t>
      </w:r>
      <w:r w:rsidR="00763CD6" w:rsidRPr="00DE0A31">
        <w:rPr>
          <w:rFonts w:cstheme="minorHAnsi"/>
        </w:rPr>
        <w:t>UNEP will be resp</w:t>
      </w:r>
      <w:r w:rsidR="008A384C" w:rsidRPr="00DE0A31">
        <w:rPr>
          <w:rFonts w:cstheme="minorHAnsi"/>
        </w:rPr>
        <w:t xml:space="preserve">onsible for the internationally </w:t>
      </w:r>
      <w:r w:rsidR="00763CD6" w:rsidRPr="00DE0A31">
        <w:rPr>
          <w:rFonts w:cstheme="minorHAnsi"/>
        </w:rPr>
        <w:t>comparable methodology with national data, regional and global aggregations for Indicator 6.6.1.</w:t>
      </w:r>
      <w:r w:rsidR="008A384C" w:rsidRPr="002F0AD3">
        <w:rPr>
          <w:rFonts w:cstheme="minorHAnsi"/>
        </w:rPr>
        <w:t xml:space="preserve"> </w:t>
      </w:r>
      <w:r w:rsidR="00C01089" w:rsidRPr="002F0AD3">
        <w:rPr>
          <w:rFonts w:cstheme="minorHAnsi"/>
        </w:rPr>
        <w:t>In July 2018, t</w:t>
      </w:r>
      <w:r w:rsidR="00496CF9" w:rsidRPr="002F0AD3">
        <w:rPr>
          <w:rFonts w:cstheme="minorHAnsi"/>
        </w:rPr>
        <w:t>he Secretar</w:t>
      </w:r>
      <w:r w:rsidR="00881872" w:rsidRPr="002F0AD3">
        <w:rPr>
          <w:rFonts w:cstheme="minorHAnsi"/>
        </w:rPr>
        <w:t>iat</w:t>
      </w:r>
      <w:r w:rsidR="009B6670" w:rsidRPr="002F0AD3">
        <w:rPr>
          <w:rFonts w:cstheme="minorHAnsi"/>
        </w:rPr>
        <w:t xml:space="preserve"> </w:t>
      </w:r>
      <w:r w:rsidR="00496CF9" w:rsidRPr="002F0AD3">
        <w:rPr>
          <w:rFonts w:cstheme="minorHAnsi"/>
        </w:rPr>
        <w:t>participated in th</w:t>
      </w:r>
      <w:r w:rsidR="00960836" w:rsidRPr="002F0AD3">
        <w:rPr>
          <w:rFonts w:cstheme="minorHAnsi"/>
        </w:rPr>
        <w:t>e High</w:t>
      </w:r>
      <w:r w:rsidR="004D2127">
        <w:rPr>
          <w:rFonts w:cstheme="minorHAnsi"/>
        </w:rPr>
        <w:t>-l</w:t>
      </w:r>
      <w:r w:rsidR="00960836" w:rsidRPr="002F0AD3">
        <w:rPr>
          <w:rFonts w:cstheme="minorHAnsi"/>
        </w:rPr>
        <w:t>evel Political Forum</w:t>
      </w:r>
      <w:r w:rsidR="00C01089" w:rsidRPr="002F0AD3">
        <w:rPr>
          <w:rFonts w:cstheme="minorHAnsi"/>
        </w:rPr>
        <w:t>,</w:t>
      </w:r>
      <w:r w:rsidR="00960836" w:rsidRPr="002F0AD3">
        <w:rPr>
          <w:rFonts w:cstheme="minorHAnsi"/>
        </w:rPr>
        <w:t xml:space="preserve"> </w:t>
      </w:r>
      <w:r w:rsidR="00C01089" w:rsidRPr="002F0AD3">
        <w:rPr>
          <w:rFonts w:cstheme="minorHAnsi"/>
        </w:rPr>
        <w:t xml:space="preserve">in New York, </w:t>
      </w:r>
      <w:r w:rsidR="00D31EAD" w:rsidRPr="002F0AD3">
        <w:rPr>
          <w:rFonts w:cstheme="minorHAnsi"/>
        </w:rPr>
        <w:t xml:space="preserve">which </w:t>
      </w:r>
      <w:r w:rsidR="00960836" w:rsidRPr="002F0AD3">
        <w:rPr>
          <w:rFonts w:cstheme="minorHAnsi"/>
        </w:rPr>
        <w:t>review</w:t>
      </w:r>
      <w:r w:rsidR="00D31EAD" w:rsidRPr="002F0AD3">
        <w:rPr>
          <w:rFonts w:cstheme="minorHAnsi"/>
        </w:rPr>
        <w:t>ed</w:t>
      </w:r>
      <w:r w:rsidR="00E25439">
        <w:rPr>
          <w:rFonts w:cstheme="minorHAnsi"/>
        </w:rPr>
        <w:t xml:space="preserve"> implementation of SDG </w:t>
      </w:r>
      <w:r w:rsidR="00960836" w:rsidRPr="002F0AD3">
        <w:rPr>
          <w:rFonts w:cstheme="minorHAnsi"/>
        </w:rPr>
        <w:t>6</w:t>
      </w:r>
      <w:r w:rsidR="00766FB5" w:rsidRPr="002F0AD3">
        <w:rPr>
          <w:rFonts w:cstheme="minorHAnsi"/>
        </w:rPr>
        <w:t xml:space="preserve"> </w:t>
      </w:r>
      <w:r w:rsidR="00D31EAD" w:rsidRPr="002F0AD3">
        <w:rPr>
          <w:rFonts w:cstheme="minorHAnsi"/>
        </w:rPr>
        <w:t xml:space="preserve">and </w:t>
      </w:r>
      <w:r w:rsidR="00E25439">
        <w:rPr>
          <w:rFonts w:cstheme="minorHAnsi"/>
        </w:rPr>
        <w:t xml:space="preserve">SDG </w:t>
      </w:r>
      <w:r w:rsidR="00D31EAD" w:rsidRPr="002F0AD3">
        <w:rPr>
          <w:rFonts w:cstheme="minorHAnsi"/>
        </w:rPr>
        <w:t>15</w:t>
      </w:r>
      <w:r w:rsidR="00960836" w:rsidRPr="002F0AD3">
        <w:rPr>
          <w:rFonts w:cstheme="minorHAnsi"/>
        </w:rPr>
        <w:t>.</w:t>
      </w:r>
      <w:r w:rsidR="00626FDB" w:rsidRPr="002F0AD3">
        <w:rPr>
          <w:rFonts w:cstheme="minorHAnsi"/>
        </w:rPr>
        <w:t xml:space="preserve"> </w:t>
      </w:r>
    </w:p>
    <w:p w14:paraId="734A5541" w14:textId="0FF54C05" w:rsidR="008A384C" w:rsidRPr="002F0AD3" w:rsidRDefault="008A384C" w:rsidP="00C81B75">
      <w:pPr>
        <w:rPr>
          <w:rFonts w:cstheme="minorHAnsi"/>
        </w:rPr>
      </w:pPr>
    </w:p>
    <w:p w14:paraId="54987E90" w14:textId="52F7282C" w:rsidR="001D3733" w:rsidRPr="002F0AD3" w:rsidRDefault="00DE0A31" w:rsidP="00DE0A31">
      <w:pPr>
        <w:rPr>
          <w:rFonts w:cstheme="minorHAnsi"/>
        </w:rPr>
      </w:pPr>
      <w:r>
        <w:rPr>
          <w:rFonts w:cstheme="minorHAnsi"/>
        </w:rPr>
        <w:t>16.</w:t>
      </w:r>
      <w:r>
        <w:rPr>
          <w:rFonts w:cstheme="minorHAnsi"/>
        </w:rPr>
        <w:tab/>
      </w:r>
      <w:r w:rsidR="207F27EF" w:rsidRPr="002F0AD3">
        <w:rPr>
          <w:rFonts w:cstheme="minorHAnsi"/>
        </w:rPr>
        <w:t xml:space="preserve">The Secretariat </w:t>
      </w:r>
      <w:r w:rsidR="00403F48" w:rsidRPr="002F0AD3">
        <w:rPr>
          <w:rFonts w:cstheme="minorHAnsi"/>
        </w:rPr>
        <w:t xml:space="preserve">has been </w:t>
      </w:r>
      <w:r w:rsidR="207F27EF" w:rsidRPr="002F0AD3">
        <w:rPr>
          <w:rFonts w:cstheme="minorHAnsi"/>
        </w:rPr>
        <w:t xml:space="preserve">active in supporting </w:t>
      </w:r>
      <w:r w:rsidR="00394574" w:rsidRPr="002F0AD3">
        <w:rPr>
          <w:rFonts w:cstheme="minorHAnsi"/>
        </w:rPr>
        <w:t xml:space="preserve">the </w:t>
      </w:r>
      <w:r w:rsidR="00403F48" w:rsidRPr="002F0AD3">
        <w:rPr>
          <w:rFonts w:cstheme="minorHAnsi"/>
        </w:rPr>
        <w:t xml:space="preserve">achievement of </w:t>
      </w:r>
      <w:r w:rsidR="207F27EF" w:rsidRPr="002F0AD3">
        <w:rPr>
          <w:rFonts w:cstheme="minorHAnsi"/>
        </w:rPr>
        <w:t>SDG</w:t>
      </w:r>
      <w:r w:rsidR="00E25439">
        <w:rPr>
          <w:rFonts w:cstheme="minorHAnsi"/>
        </w:rPr>
        <w:t xml:space="preserve"> </w:t>
      </w:r>
      <w:r w:rsidR="207F27EF" w:rsidRPr="002F0AD3">
        <w:rPr>
          <w:rFonts w:cstheme="minorHAnsi"/>
        </w:rPr>
        <w:t>14 (</w:t>
      </w:r>
      <w:r>
        <w:rPr>
          <w:rFonts w:cstheme="minorHAnsi"/>
        </w:rPr>
        <w:t>“</w:t>
      </w:r>
      <w:r w:rsidR="207F27EF" w:rsidRPr="00DE0A31">
        <w:rPr>
          <w:rFonts w:cstheme="minorHAnsi"/>
        </w:rPr>
        <w:t>Conserve and sustainably use the oceans, seas and marine resources for sustainable development</w:t>
      </w:r>
      <w:r>
        <w:rPr>
          <w:rFonts w:cstheme="minorHAnsi"/>
        </w:rPr>
        <w:t>”</w:t>
      </w:r>
      <w:r w:rsidR="207F27EF" w:rsidRPr="002F0AD3">
        <w:rPr>
          <w:rFonts w:cstheme="minorHAnsi"/>
        </w:rPr>
        <w:t>). The Secretar</w:t>
      </w:r>
      <w:r w:rsidR="00394574" w:rsidRPr="002F0AD3">
        <w:rPr>
          <w:rFonts w:cstheme="minorHAnsi"/>
        </w:rPr>
        <w:t>iat</w:t>
      </w:r>
      <w:r w:rsidR="207F27EF" w:rsidRPr="002F0AD3">
        <w:rPr>
          <w:rFonts w:cstheme="minorHAnsi"/>
        </w:rPr>
        <w:t xml:space="preserve"> participated in the first UN Ocean Conference (New Y</w:t>
      </w:r>
      <w:r w:rsidR="00394574" w:rsidRPr="002F0AD3">
        <w:rPr>
          <w:rFonts w:cstheme="minorHAnsi"/>
        </w:rPr>
        <w:t>ork, 5-9 June 2017) in which</w:t>
      </w:r>
      <w:r w:rsidR="00772F85" w:rsidRPr="002F0AD3">
        <w:rPr>
          <w:rFonts w:cstheme="minorHAnsi"/>
        </w:rPr>
        <w:t xml:space="preserve"> </w:t>
      </w:r>
      <w:r w:rsidR="00394574" w:rsidRPr="002F0AD3">
        <w:rPr>
          <w:rFonts w:cstheme="minorHAnsi"/>
        </w:rPr>
        <w:t>the Secretary General</w:t>
      </w:r>
      <w:r w:rsidR="207F27EF" w:rsidRPr="002F0AD3">
        <w:rPr>
          <w:rFonts w:cstheme="minorHAnsi"/>
        </w:rPr>
        <w:t xml:space="preserve"> moderated the Partnership Dialogue on Coastal an</w:t>
      </w:r>
      <w:r w:rsidR="00667680" w:rsidRPr="002F0AD3">
        <w:rPr>
          <w:rFonts w:cstheme="minorHAnsi"/>
        </w:rPr>
        <w:t>d Marine Ecosystems</w:t>
      </w:r>
      <w:r w:rsidR="0092718C" w:rsidRPr="002F0AD3">
        <w:rPr>
          <w:rFonts w:cstheme="minorHAnsi"/>
        </w:rPr>
        <w:t xml:space="preserve">, </w:t>
      </w:r>
      <w:r w:rsidR="00E24324" w:rsidRPr="002F0AD3">
        <w:rPr>
          <w:rFonts w:cstheme="minorHAnsi"/>
        </w:rPr>
        <w:t>and served as</w:t>
      </w:r>
      <w:r w:rsidR="00D06BF9" w:rsidRPr="002F0AD3">
        <w:rPr>
          <w:rFonts w:cstheme="minorHAnsi"/>
        </w:rPr>
        <w:t xml:space="preserve"> a panellist at two side events</w:t>
      </w:r>
      <w:r w:rsidR="0092718C" w:rsidRPr="002F0AD3">
        <w:rPr>
          <w:rFonts w:cstheme="minorHAnsi"/>
        </w:rPr>
        <w:t xml:space="preserve">, </w:t>
      </w:r>
      <w:r w:rsidR="00D06BF9" w:rsidRPr="002F0AD3">
        <w:rPr>
          <w:rFonts w:cstheme="minorHAnsi"/>
        </w:rPr>
        <w:t>participated in a press conference on the Partnership Dialogue</w:t>
      </w:r>
      <w:r w:rsidR="0092718C" w:rsidRPr="002F0AD3">
        <w:rPr>
          <w:rFonts w:cstheme="minorHAnsi"/>
        </w:rPr>
        <w:t xml:space="preserve">, and </w:t>
      </w:r>
      <w:r w:rsidR="00D06BF9" w:rsidRPr="002F0AD3">
        <w:rPr>
          <w:rFonts w:cstheme="minorHAnsi"/>
        </w:rPr>
        <w:t>delivered a statement to the plenary of the Ocean Conference in the UN General Assembly Hall</w:t>
      </w:r>
      <w:r w:rsidR="00C958E8" w:rsidRPr="002F0AD3">
        <w:rPr>
          <w:rFonts w:cstheme="minorHAnsi"/>
        </w:rPr>
        <w:t>,</w:t>
      </w:r>
      <w:r w:rsidR="00D06BF9" w:rsidRPr="002F0AD3">
        <w:rPr>
          <w:rFonts w:cstheme="minorHAnsi"/>
        </w:rPr>
        <w:t xml:space="preserve"> emphasi</w:t>
      </w:r>
      <w:r w:rsidR="00C958E8" w:rsidRPr="002F0AD3">
        <w:rPr>
          <w:rFonts w:cstheme="minorHAnsi"/>
        </w:rPr>
        <w:t>z</w:t>
      </w:r>
      <w:r w:rsidR="00D06BF9" w:rsidRPr="002F0AD3">
        <w:rPr>
          <w:rFonts w:cstheme="minorHAnsi"/>
        </w:rPr>
        <w:t>ing the important role of the Convention</w:t>
      </w:r>
      <w:r w:rsidR="0092718C" w:rsidRPr="002F0AD3">
        <w:rPr>
          <w:rFonts w:cstheme="minorHAnsi"/>
        </w:rPr>
        <w:t xml:space="preserve"> to help achieve SDG</w:t>
      </w:r>
      <w:r w:rsidR="00F36D96" w:rsidRPr="002F0AD3">
        <w:rPr>
          <w:rFonts w:cstheme="minorHAnsi"/>
        </w:rPr>
        <w:t xml:space="preserve"> </w:t>
      </w:r>
      <w:r w:rsidR="0092718C" w:rsidRPr="002F0AD3">
        <w:rPr>
          <w:rFonts w:cstheme="minorHAnsi"/>
        </w:rPr>
        <w:t>14</w:t>
      </w:r>
      <w:r w:rsidR="207F27EF" w:rsidRPr="002F0AD3">
        <w:rPr>
          <w:rFonts w:cstheme="minorHAnsi"/>
        </w:rPr>
        <w:t xml:space="preserve">. As a follow up, </w:t>
      </w:r>
      <w:r w:rsidR="0092718C" w:rsidRPr="002F0AD3">
        <w:rPr>
          <w:rFonts w:cstheme="minorHAnsi"/>
        </w:rPr>
        <w:t xml:space="preserve">the </w:t>
      </w:r>
      <w:r w:rsidR="207F27EF" w:rsidRPr="002F0AD3">
        <w:rPr>
          <w:rFonts w:cstheme="minorHAnsi"/>
        </w:rPr>
        <w:t>S</w:t>
      </w:r>
      <w:r w:rsidR="009D32B0" w:rsidRPr="002F0AD3">
        <w:rPr>
          <w:rFonts w:cstheme="minorHAnsi"/>
        </w:rPr>
        <w:t xml:space="preserve">ecretary </w:t>
      </w:r>
      <w:r w:rsidR="0092718C" w:rsidRPr="002F0AD3">
        <w:rPr>
          <w:rFonts w:cstheme="minorHAnsi"/>
        </w:rPr>
        <w:t>G</w:t>
      </w:r>
      <w:r w:rsidR="009D32B0" w:rsidRPr="002F0AD3">
        <w:rPr>
          <w:rFonts w:cstheme="minorHAnsi"/>
        </w:rPr>
        <w:t>eneral</w:t>
      </w:r>
      <w:r w:rsidR="008A384C" w:rsidRPr="002F0AD3">
        <w:rPr>
          <w:rFonts w:cstheme="minorHAnsi"/>
        </w:rPr>
        <w:t xml:space="preserve"> was invited to act as one</w:t>
      </w:r>
      <w:r w:rsidR="00D31EAD" w:rsidRPr="002F0AD3">
        <w:rPr>
          <w:rFonts w:cstheme="minorHAnsi"/>
        </w:rPr>
        <w:t xml:space="preserve"> of the two </w:t>
      </w:r>
      <w:r w:rsidR="207F27EF" w:rsidRPr="002F0AD3">
        <w:rPr>
          <w:rFonts w:cstheme="minorHAnsi"/>
        </w:rPr>
        <w:t>focal point</w:t>
      </w:r>
      <w:r w:rsidR="00D31EAD" w:rsidRPr="002F0AD3">
        <w:rPr>
          <w:rFonts w:cstheme="minorHAnsi"/>
        </w:rPr>
        <w:t>s</w:t>
      </w:r>
      <w:r w:rsidR="207F27EF" w:rsidRPr="002F0AD3">
        <w:rPr>
          <w:rFonts w:cstheme="minorHAnsi"/>
        </w:rPr>
        <w:t xml:space="preserve"> </w:t>
      </w:r>
      <w:r w:rsidR="009B6670" w:rsidRPr="002F0AD3">
        <w:rPr>
          <w:rFonts w:cstheme="minorHAnsi"/>
        </w:rPr>
        <w:t>for</w:t>
      </w:r>
      <w:r w:rsidR="207F27EF" w:rsidRPr="002F0AD3">
        <w:rPr>
          <w:rFonts w:cstheme="minorHAnsi"/>
        </w:rPr>
        <w:t xml:space="preserve"> the </w:t>
      </w:r>
      <w:r w:rsidR="00652DF0" w:rsidRPr="002F0AD3">
        <w:rPr>
          <w:rFonts w:cstheme="minorHAnsi"/>
        </w:rPr>
        <w:t>“</w:t>
      </w:r>
      <w:r w:rsidR="207F27EF" w:rsidRPr="002F0AD3">
        <w:rPr>
          <w:rFonts w:cstheme="minorHAnsi"/>
        </w:rPr>
        <w:t>Community of Ocean Action on Mangroves</w:t>
      </w:r>
      <w:r w:rsidR="00652DF0" w:rsidRPr="002F0AD3">
        <w:rPr>
          <w:rFonts w:cstheme="minorHAnsi"/>
        </w:rPr>
        <w:t>”</w:t>
      </w:r>
      <w:r w:rsidR="207F27EF" w:rsidRPr="002F0AD3">
        <w:rPr>
          <w:rFonts w:cstheme="minorHAnsi"/>
        </w:rPr>
        <w:t xml:space="preserve">, which is one of </w:t>
      </w:r>
      <w:r w:rsidR="00667680" w:rsidRPr="002F0AD3">
        <w:rPr>
          <w:rFonts w:cstheme="minorHAnsi"/>
        </w:rPr>
        <w:t>nine</w:t>
      </w:r>
      <w:r w:rsidR="207F27EF" w:rsidRPr="002F0AD3">
        <w:rPr>
          <w:rFonts w:cstheme="minorHAnsi"/>
        </w:rPr>
        <w:t xml:space="preserve"> communities established by the UN Secretary General</w:t>
      </w:r>
      <w:r w:rsidR="00E25439">
        <w:rPr>
          <w:rFonts w:cstheme="minorHAnsi"/>
        </w:rPr>
        <w:t>’</w:t>
      </w:r>
      <w:r w:rsidR="00C958E8" w:rsidRPr="002F0AD3">
        <w:rPr>
          <w:rFonts w:cstheme="minorHAnsi"/>
        </w:rPr>
        <w:t>s</w:t>
      </w:r>
      <w:r w:rsidR="207F27EF" w:rsidRPr="002F0AD3">
        <w:rPr>
          <w:rFonts w:cstheme="minorHAnsi"/>
        </w:rPr>
        <w:t xml:space="preserve"> Special Envoy for Oceans, Ambassador </w:t>
      </w:r>
      <w:r w:rsidR="00C958E8" w:rsidRPr="002F0AD3">
        <w:rPr>
          <w:rFonts w:cstheme="minorHAnsi"/>
        </w:rPr>
        <w:t xml:space="preserve">Peter </w:t>
      </w:r>
      <w:r w:rsidR="207F27EF" w:rsidRPr="002F0AD3">
        <w:rPr>
          <w:rFonts w:cstheme="minorHAnsi"/>
        </w:rPr>
        <w:t xml:space="preserve">Thomson. The Community will mobilize and expand the implementation of more than 1,300 </w:t>
      </w:r>
      <w:r w:rsidR="207F27EF" w:rsidRPr="002F0AD3">
        <w:rPr>
          <w:rFonts w:cstheme="minorHAnsi"/>
        </w:rPr>
        <w:lastRenderedPageBreak/>
        <w:t>commitments made at the Ocean Conference, including through the Ramsar Convention</w:t>
      </w:r>
      <w:r w:rsidR="0092718C" w:rsidRPr="002F0AD3">
        <w:rPr>
          <w:rFonts w:cstheme="minorHAnsi"/>
        </w:rPr>
        <w:t xml:space="preserve"> on Wetlands</w:t>
      </w:r>
      <w:r w:rsidR="207F27EF" w:rsidRPr="002F0AD3">
        <w:rPr>
          <w:rFonts w:cstheme="minorHAnsi"/>
        </w:rPr>
        <w:t>.</w:t>
      </w:r>
    </w:p>
    <w:p w14:paraId="793C4F92" w14:textId="77777777" w:rsidR="001D3733" w:rsidRPr="002F0AD3" w:rsidRDefault="001D3733" w:rsidP="00C81B75">
      <w:pPr>
        <w:rPr>
          <w:rFonts w:cstheme="minorHAnsi"/>
        </w:rPr>
      </w:pPr>
    </w:p>
    <w:p w14:paraId="19C59E82" w14:textId="3EE5DBF0" w:rsidR="00E4717E" w:rsidRPr="002F0AD3" w:rsidRDefault="00E25439" w:rsidP="00E25439">
      <w:pPr>
        <w:rPr>
          <w:rFonts w:cstheme="minorHAnsi"/>
        </w:rPr>
      </w:pPr>
      <w:r>
        <w:rPr>
          <w:rFonts w:cstheme="minorHAnsi"/>
        </w:rPr>
        <w:t>17.</w:t>
      </w:r>
      <w:r>
        <w:rPr>
          <w:rFonts w:cstheme="minorHAnsi"/>
        </w:rPr>
        <w:tab/>
      </w:r>
      <w:r w:rsidR="207F27EF" w:rsidRPr="002F0AD3">
        <w:rPr>
          <w:rFonts w:cstheme="minorHAnsi"/>
        </w:rPr>
        <w:t xml:space="preserve">The Secretariat </w:t>
      </w:r>
      <w:r w:rsidR="00540CE0" w:rsidRPr="002F0AD3">
        <w:rPr>
          <w:rFonts w:cstheme="minorHAnsi"/>
        </w:rPr>
        <w:t>h</w:t>
      </w:r>
      <w:r w:rsidR="207F27EF" w:rsidRPr="002F0AD3">
        <w:rPr>
          <w:rFonts w:cstheme="minorHAnsi"/>
        </w:rPr>
        <w:t xml:space="preserve">as also </w:t>
      </w:r>
      <w:r w:rsidR="00540CE0" w:rsidRPr="002F0AD3">
        <w:rPr>
          <w:rFonts w:cstheme="minorHAnsi"/>
        </w:rPr>
        <w:t xml:space="preserve">been </w:t>
      </w:r>
      <w:r w:rsidR="207F27EF" w:rsidRPr="002F0AD3">
        <w:rPr>
          <w:rFonts w:cstheme="minorHAnsi"/>
        </w:rPr>
        <w:t>active in supporting SDG 15 (</w:t>
      </w:r>
      <w:r w:rsidR="007F61F4">
        <w:rPr>
          <w:rFonts w:cstheme="minorHAnsi"/>
        </w:rPr>
        <w:t>“</w:t>
      </w:r>
      <w:r w:rsidR="207F27EF" w:rsidRPr="007F61F4">
        <w:rPr>
          <w:rFonts w:cstheme="minorHAnsi"/>
        </w:rPr>
        <w:t>Sustainably manage forests, combat desertification, halt and reverse land degradation, halt biodiversity loss</w:t>
      </w:r>
      <w:r w:rsidR="007F61F4">
        <w:rPr>
          <w:rFonts w:cstheme="minorHAnsi"/>
        </w:rPr>
        <w:t>”</w:t>
      </w:r>
      <w:r w:rsidR="207F27EF" w:rsidRPr="002F0AD3">
        <w:rPr>
          <w:rFonts w:cstheme="minorHAnsi"/>
        </w:rPr>
        <w:t>)</w:t>
      </w:r>
      <w:r w:rsidR="009B0849" w:rsidRPr="002F0AD3">
        <w:rPr>
          <w:rFonts w:cstheme="minorHAnsi"/>
        </w:rPr>
        <w:t xml:space="preserve"> and the biodiversity agenda</w:t>
      </w:r>
      <w:r w:rsidR="207F27EF" w:rsidRPr="002F0AD3">
        <w:rPr>
          <w:rFonts w:cstheme="minorHAnsi"/>
        </w:rPr>
        <w:t xml:space="preserve">. The Ramsar Secretariat </w:t>
      </w:r>
      <w:r w:rsidR="008A384C" w:rsidRPr="002F0AD3">
        <w:rPr>
          <w:rFonts w:cstheme="minorHAnsi"/>
        </w:rPr>
        <w:t xml:space="preserve">has significantly </w:t>
      </w:r>
      <w:r w:rsidR="207F27EF" w:rsidRPr="002F0AD3">
        <w:rPr>
          <w:rFonts w:cstheme="minorHAnsi"/>
        </w:rPr>
        <w:t>strengthen</w:t>
      </w:r>
      <w:r w:rsidR="00D31EAD" w:rsidRPr="002F0AD3">
        <w:rPr>
          <w:rFonts w:cstheme="minorHAnsi"/>
        </w:rPr>
        <w:t>ed</w:t>
      </w:r>
      <w:r w:rsidR="207F27EF" w:rsidRPr="002F0AD3">
        <w:rPr>
          <w:rFonts w:cstheme="minorHAnsi"/>
        </w:rPr>
        <w:t xml:space="preserve"> </w:t>
      </w:r>
      <w:r w:rsidR="00884C89" w:rsidRPr="002F0AD3">
        <w:rPr>
          <w:rFonts w:cstheme="minorHAnsi"/>
        </w:rPr>
        <w:t>its engagement</w:t>
      </w:r>
      <w:r w:rsidR="0078142B">
        <w:rPr>
          <w:rFonts w:cstheme="minorHAnsi"/>
        </w:rPr>
        <w:t xml:space="preserve"> </w:t>
      </w:r>
      <w:r w:rsidR="00884C89" w:rsidRPr="002F0AD3">
        <w:rPr>
          <w:rFonts w:cstheme="minorHAnsi"/>
        </w:rPr>
        <w:t>in</w:t>
      </w:r>
      <w:r w:rsidR="207F27EF" w:rsidRPr="002F0AD3">
        <w:rPr>
          <w:rFonts w:cstheme="minorHAnsi"/>
        </w:rPr>
        <w:t xml:space="preserve"> the</w:t>
      </w:r>
      <w:r w:rsidR="0078142B">
        <w:rPr>
          <w:rFonts w:cstheme="minorHAnsi"/>
        </w:rPr>
        <w:t xml:space="preserve"> </w:t>
      </w:r>
      <w:r w:rsidR="207F27EF" w:rsidRPr="002F0AD3">
        <w:rPr>
          <w:rFonts w:cstheme="minorHAnsi"/>
        </w:rPr>
        <w:t>CBD</w:t>
      </w:r>
      <w:r w:rsidR="00A47DFB" w:rsidRPr="002F0AD3">
        <w:rPr>
          <w:rFonts w:cstheme="minorHAnsi"/>
        </w:rPr>
        <w:t>. In 2016, the Secretariat participated and engaged Contracting Parties in a workshop on cooperation among Conve</w:t>
      </w:r>
      <w:r w:rsidR="00D31EAD" w:rsidRPr="002F0AD3">
        <w:rPr>
          <w:rFonts w:cstheme="minorHAnsi"/>
        </w:rPr>
        <w:t>ntions</w:t>
      </w:r>
      <w:r w:rsidR="00A47DFB" w:rsidRPr="002F0AD3">
        <w:rPr>
          <w:rFonts w:cstheme="minorHAnsi"/>
        </w:rPr>
        <w:t xml:space="preserve"> led by the CBD. The </w:t>
      </w:r>
      <w:r w:rsidR="005A37B8" w:rsidRPr="002F0AD3">
        <w:rPr>
          <w:rFonts w:cstheme="minorHAnsi"/>
        </w:rPr>
        <w:t xml:space="preserve">Ramsar </w:t>
      </w:r>
      <w:r w:rsidR="00A47DFB" w:rsidRPr="002F0AD3">
        <w:rPr>
          <w:rFonts w:cstheme="minorHAnsi"/>
        </w:rPr>
        <w:t xml:space="preserve">Secretariat </w:t>
      </w:r>
      <w:r w:rsidR="207F27EF" w:rsidRPr="002F0AD3">
        <w:rPr>
          <w:rFonts w:cstheme="minorHAnsi"/>
        </w:rPr>
        <w:t>identifi</w:t>
      </w:r>
      <w:r w:rsidR="00A47DFB" w:rsidRPr="002F0AD3">
        <w:rPr>
          <w:rFonts w:cstheme="minorHAnsi"/>
        </w:rPr>
        <w:t>ed</w:t>
      </w:r>
      <w:r w:rsidR="207F27EF" w:rsidRPr="002F0AD3">
        <w:rPr>
          <w:rFonts w:cstheme="minorHAnsi"/>
        </w:rPr>
        <w:t xml:space="preserve"> strategic areas of joint work and provid</w:t>
      </w:r>
      <w:r w:rsidR="00A47DFB" w:rsidRPr="002F0AD3">
        <w:rPr>
          <w:rFonts w:cstheme="minorHAnsi"/>
        </w:rPr>
        <w:t>ed</w:t>
      </w:r>
      <w:r w:rsidR="207F27EF" w:rsidRPr="002F0AD3">
        <w:rPr>
          <w:rFonts w:cstheme="minorHAnsi"/>
        </w:rPr>
        <w:t xml:space="preserve"> inputs to different processes</w:t>
      </w:r>
      <w:r w:rsidR="00540CE0" w:rsidRPr="002F0AD3">
        <w:rPr>
          <w:rFonts w:cstheme="minorHAnsi"/>
        </w:rPr>
        <w:t>,</w:t>
      </w:r>
      <w:r w:rsidR="207F27EF" w:rsidRPr="002F0AD3">
        <w:rPr>
          <w:rFonts w:cstheme="minorHAnsi"/>
        </w:rPr>
        <w:t xml:space="preserve"> such as the follow-up to the Strategic Plan for Biodiversity 2011-2020</w:t>
      </w:r>
      <w:r w:rsidR="00077D72" w:rsidRPr="002F0AD3">
        <w:rPr>
          <w:rFonts w:cstheme="minorHAnsi"/>
        </w:rPr>
        <w:t xml:space="preserve">. </w:t>
      </w:r>
      <w:r w:rsidR="00C0307B" w:rsidRPr="002F0AD3">
        <w:rPr>
          <w:rFonts w:cstheme="minorHAnsi"/>
        </w:rPr>
        <w:t>The Se</w:t>
      </w:r>
      <w:r w:rsidR="008A384C" w:rsidRPr="002F0AD3">
        <w:rPr>
          <w:rFonts w:cstheme="minorHAnsi"/>
        </w:rPr>
        <w:t>cretariat participated actively</w:t>
      </w:r>
      <w:r w:rsidR="00C0307B" w:rsidRPr="002F0AD3">
        <w:rPr>
          <w:rFonts w:cstheme="minorHAnsi"/>
        </w:rPr>
        <w:t xml:space="preserve"> in </w:t>
      </w:r>
      <w:r w:rsidR="0014100E">
        <w:rPr>
          <w:rFonts w:cstheme="minorHAnsi"/>
        </w:rPr>
        <w:t>CBD</w:t>
      </w:r>
      <w:r w:rsidR="00C0307B" w:rsidRPr="002F0AD3">
        <w:rPr>
          <w:rFonts w:cstheme="minorHAnsi"/>
        </w:rPr>
        <w:t xml:space="preserve"> COP13 in Cancun (4-17 December 2016) raising the visibility of the Ramsar Convention in the High Level Segment, round tables on agriculture and fisheries and in two side</w:t>
      </w:r>
      <w:r w:rsidR="0014100E">
        <w:rPr>
          <w:rFonts w:cstheme="minorHAnsi"/>
        </w:rPr>
        <w:t xml:space="preserve"> </w:t>
      </w:r>
      <w:r w:rsidR="00C0307B" w:rsidRPr="002F0AD3">
        <w:rPr>
          <w:rFonts w:cstheme="minorHAnsi"/>
        </w:rPr>
        <w:t xml:space="preserve">events </w:t>
      </w:r>
      <w:r w:rsidR="0014100E">
        <w:rPr>
          <w:rFonts w:cstheme="minorHAnsi"/>
        </w:rPr>
        <w:t xml:space="preserve">which it </w:t>
      </w:r>
      <w:r w:rsidR="00C0307B" w:rsidRPr="002F0AD3">
        <w:rPr>
          <w:rFonts w:cstheme="minorHAnsi"/>
        </w:rPr>
        <w:t xml:space="preserve">organized. It also participated in various </w:t>
      </w:r>
      <w:r w:rsidR="005F2999" w:rsidRPr="002F0AD3">
        <w:rPr>
          <w:rFonts w:cstheme="minorHAnsi"/>
        </w:rPr>
        <w:t xml:space="preserve">meetings of the subsidiary bodies </w:t>
      </w:r>
      <w:r w:rsidR="00B10AF4" w:rsidRPr="002F0AD3">
        <w:rPr>
          <w:rFonts w:cstheme="minorHAnsi"/>
        </w:rPr>
        <w:t xml:space="preserve">of CBD </w:t>
      </w:r>
      <w:r w:rsidR="005F2999" w:rsidRPr="002F0AD3">
        <w:rPr>
          <w:rFonts w:cstheme="minorHAnsi"/>
        </w:rPr>
        <w:t xml:space="preserve">and initiatives to enhance the profile of </w:t>
      </w:r>
      <w:r w:rsidR="00D31EAD" w:rsidRPr="002F0AD3">
        <w:rPr>
          <w:rFonts w:cstheme="minorHAnsi"/>
        </w:rPr>
        <w:t xml:space="preserve">wetlands in </w:t>
      </w:r>
      <w:r w:rsidR="005F2999" w:rsidRPr="002F0AD3">
        <w:rPr>
          <w:rFonts w:cstheme="minorHAnsi"/>
        </w:rPr>
        <w:t>the biodiversity agenda</w:t>
      </w:r>
      <w:r w:rsidR="00D31EAD" w:rsidRPr="002F0AD3">
        <w:rPr>
          <w:rFonts w:cstheme="minorHAnsi"/>
        </w:rPr>
        <w:t xml:space="preserve"> and contribute to the </w:t>
      </w:r>
      <w:r w:rsidR="0014100E" w:rsidRPr="002F0AD3">
        <w:rPr>
          <w:rFonts w:cstheme="minorHAnsi"/>
        </w:rPr>
        <w:t>post</w:t>
      </w:r>
      <w:r w:rsidR="0014100E">
        <w:rPr>
          <w:rFonts w:cstheme="minorHAnsi"/>
        </w:rPr>
        <w:t>-</w:t>
      </w:r>
      <w:r w:rsidR="00D31EAD" w:rsidRPr="002F0AD3">
        <w:rPr>
          <w:rFonts w:cstheme="minorHAnsi"/>
        </w:rPr>
        <w:t>2010 biodiversity framework</w:t>
      </w:r>
      <w:r w:rsidR="005F2999" w:rsidRPr="002F0AD3">
        <w:rPr>
          <w:rFonts w:cstheme="minorHAnsi"/>
        </w:rPr>
        <w:t xml:space="preserve">. </w:t>
      </w:r>
      <w:r w:rsidR="207F27EF" w:rsidRPr="002F0AD3">
        <w:rPr>
          <w:rFonts w:cstheme="minorHAnsi"/>
        </w:rPr>
        <w:t xml:space="preserve">The Secretariat </w:t>
      </w:r>
      <w:r w:rsidR="00077D72" w:rsidRPr="002F0AD3">
        <w:rPr>
          <w:rFonts w:cstheme="minorHAnsi"/>
        </w:rPr>
        <w:t xml:space="preserve">is also collaborating with </w:t>
      </w:r>
      <w:r w:rsidR="207F27EF" w:rsidRPr="002F0AD3">
        <w:rPr>
          <w:rFonts w:cstheme="minorHAnsi"/>
        </w:rPr>
        <w:t xml:space="preserve">UNEP-WCMC to ensure that </w:t>
      </w:r>
      <w:r w:rsidR="00127E63" w:rsidRPr="002F0AD3">
        <w:rPr>
          <w:rFonts w:cstheme="minorHAnsi"/>
        </w:rPr>
        <w:t>Ramsar Site</w:t>
      </w:r>
      <w:r w:rsidR="207F27EF" w:rsidRPr="002F0AD3">
        <w:rPr>
          <w:rFonts w:cstheme="minorHAnsi"/>
        </w:rPr>
        <w:t>s are included in the World Protected Areas Database, which provide</w:t>
      </w:r>
      <w:r w:rsidR="00540CE0" w:rsidRPr="002F0AD3">
        <w:rPr>
          <w:rFonts w:cstheme="minorHAnsi"/>
        </w:rPr>
        <w:t>s</w:t>
      </w:r>
      <w:r w:rsidR="207F27EF" w:rsidRPr="002F0AD3">
        <w:rPr>
          <w:rFonts w:cstheme="minorHAnsi"/>
        </w:rPr>
        <w:t xml:space="preserve"> the information for SDG </w:t>
      </w:r>
      <w:r w:rsidR="00127E63" w:rsidRPr="002F0AD3">
        <w:rPr>
          <w:rFonts w:cstheme="minorHAnsi"/>
        </w:rPr>
        <w:t xml:space="preserve">indicator </w:t>
      </w:r>
      <w:r w:rsidR="207F27EF" w:rsidRPr="002F0AD3">
        <w:rPr>
          <w:rFonts w:cstheme="minorHAnsi"/>
        </w:rPr>
        <w:t>15.1.2</w:t>
      </w:r>
      <w:r w:rsidR="009D32B0" w:rsidRPr="002F0AD3">
        <w:rPr>
          <w:rFonts w:cstheme="minorHAnsi"/>
        </w:rPr>
        <w:t>.</w:t>
      </w:r>
      <w:r w:rsidR="00D31EAD" w:rsidRPr="002F0AD3">
        <w:rPr>
          <w:rFonts w:cstheme="minorHAnsi"/>
        </w:rPr>
        <w:t xml:space="preserve"> </w:t>
      </w:r>
      <w:r w:rsidR="009116C0" w:rsidRPr="002F0AD3">
        <w:rPr>
          <w:rFonts w:cstheme="minorHAnsi"/>
        </w:rPr>
        <w:t xml:space="preserve">The Secretary General participated in the plenary panel on this issue at the </w:t>
      </w:r>
      <w:r w:rsidR="00960836" w:rsidRPr="002F0AD3">
        <w:rPr>
          <w:rFonts w:cstheme="minorHAnsi"/>
        </w:rPr>
        <w:t>High</w:t>
      </w:r>
      <w:r w:rsidR="004D2127">
        <w:rPr>
          <w:rFonts w:cstheme="minorHAnsi"/>
        </w:rPr>
        <w:t>-l</w:t>
      </w:r>
      <w:r w:rsidR="00960836" w:rsidRPr="002F0AD3">
        <w:rPr>
          <w:rFonts w:cstheme="minorHAnsi"/>
        </w:rPr>
        <w:t>evel Political Forum review on the implementation of SDG 15</w:t>
      </w:r>
      <w:r w:rsidR="0078142B">
        <w:rPr>
          <w:rFonts w:cstheme="minorHAnsi"/>
        </w:rPr>
        <w:t xml:space="preserve"> </w:t>
      </w:r>
      <w:r w:rsidR="00960836" w:rsidRPr="002F0AD3">
        <w:rPr>
          <w:rFonts w:cstheme="minorHAnsi"/>
        </w:rPr>
        <w:t>(13 July 2018).</w:t>
      </w:r>
    </w:p>
    <w:p w14:paraId="4D5EAE7A" w14:textId="77777777" w:rsidR="00E4717E" w:rsidRPr="002F0AD3" w:rsidRDefault="00E4717E" w:rsidP="00C81B75">
      <w:pPr>
        <w:rPr>
          <w:rFonts w:cstheme="minorHAnsi"/>
        </w:rPr>
      </w:pPr>
    </w:p>
    <w:p w14:paraId="3359B22B" w14:textId="40A44094" w:rsidR="009B0849" w:rsidRPr="002F0AD3" w:rsidRDefault="007F61F4" w:rsidP="007F61F4">
      <w:pPr>
        <w:rPr>
          <w:rFonts w:cstheme="minorHAnsi"/>
        </w:rPr>
      </w:pPr>
      <w:r>
        <w:rPr>
          <w:rFonts w:cstheme="minorHAnsi"/>
        </w:rPr>
        <w:t>1</w:t>
      </w:r>
      <w:r w:rsidR="00E25439">
        <w:rPr>
          <w:rFonts w:cstheme="minorHAnsi"/>
        </w:rPr>
        <w:t>8</w:t>
      </w:r>
      <w:r>
        <w:rPr>
          <w:rFonts w:cstheme="minorHAnsi"/>
        </w:rPr>
        <w:t>.</w:t>
      </w:r>
      <w:r>
        <w:rPr>
          <w:rFonts w:cstheme="minorHAnsi"/>
        </w:rPr>
        <w:tab/>
      </w:r>
      <w:r w:rsidR="6A1F65DE" w:rsidRPr="002F0AD3">
        <w:rPr>
          <w:rFonts w:cstheme="minorHAnsi"/>
        </w:rPr>
        <w:t xml:space="preserve">The Secretariat </w:t>
      </w:r>
      <w:r w:rsidR="00960836" w:rsidRPr="002F0AD3">
        <w:rPr>
          <w:rFonts w:cstheme="minorHAnsi"/>
        </w:rPr>
        <w:t>has continued</w:t>
      </w:r>
      <w:r w:rsidR="6A1F65DE" w:rsidRPr="002F0AD3">
        <w:rPr>
          <w:rFonts w:cstheme="minorHAnsi"/>
        </w:rPr>
        <w:t xml:space="preserve"> to participate actively in the Biodiversity Liaison Group (BLG), in particu</w:t>
      </w:r>
      <w:r w:rsidR="00077D72" w:rsidRPr="002F0AD3">
        <w:rPr>
          <w:rFonts w:cstheme="minorHAnsi"/>
        </w:rPr>
        <w:t>lar through the S</w:t>
      </w:r>
      <w:r w:rsidR="009D32B0" w:rsidRPr="002F0AD3">
        <w:rPr>
          <w:rFonts w:cstheme="minorHAnsi"/>
        </w:rPr>
        <w:t xml:space="preserve">ecretary </w:t>
      </w:r>
      <w:r w:rsidR="00077D72" w:rsidRPr="002F0AD3">
        <w:rPr>
          <w:rFonts w:cstheme="minorHAnsi"/>
        </w:rPr>
        <w:t>G</w:t>
      </w:r>
      <w:r w:rsidR="009D32B0" w:rsidRPr="002F0AD3">
        <w:rPr>
          <w:rFonts w:cstheme="minorHAnsi"/>
        </w:rPr>
        <w:t>eneral</w:t>
      </w:r>
      <w:r w:rsidR="00F04B42" w:rsidRPr="002F0AD3">
        <w:rPr>
          <w:rFonts w:cstheme="minorHAnsi"/>
        </w:rPr>
        <w:t>’</w:t>
      </w:r>
      <w:r w:rsidR="6A1F65DE" w:rsidRPr="002F0AD3">
        <w:rPr>
          <w:rFonts w:cstheme="minorHAnsi"/>
        </w:rPr>
        <w:t xml:space="preserve">s attendance </w:t>
      </w:r>
      <w:r w:rsidR="00880264" w:rsidRPr="002F0AD3">
        <w:rPr>
          <w:rFonts w:cstheme="minorHAnsi"/>
        </w:rPr>
        <w:t>at</w:t>
      </w:r>
      <w:r w:rsidR="6A1F65DE" w:rsidRPr="002F0AD3">
        <w:rPr>
          <w:rFonts w:cstheme="minorHAnsi"/>
        </w:rPr>
        <w:t xml:space="preserve"> the 12th Ordinary Meeting of the BLG (28 September 2017), in which a major focus was how to increase the visibilit</w:t>
      </w:r>
      <w:r w:rsidR="009D32B0" w:rsidRPr="002F0AD3">
        <w:rPr>
          <w:rFonts w:cstheme="minorHAnsi"/>
        </w:rPr>
        <w:t>y and relevance of biodiversity</w:t>
      </w:r>
      <w:r w:rsidR="00960836" w:rsidRPr="002F0AD3">
        <w:rPr>
          <w:rFonts w:cstheme="minorHAnsi"/>
        </w:rPr>
        <w:t xml:space="preserve">. </w:t>
      </w:r>
      <w:r w:rsidR="009B6670" w:rsidRPr="002F0AD3">
        <w:rPr>
          <w:rFonts w:cstheme="minorHAnsi"/>
        </w:rPr>
        <w:t>The Secretariat also co-hosted an event w</w:t>
      </w:r>
      <w:r w:rsidR="0014100E">
        <w:rPr>
          <w:rFonts w:cstheme="minorHAnsi"/>
        </w:rPr>
        <w:t>ith other biodiversity-related C</w:t>
      </w:r>
      <w:r w:rsidR="009B6670" w:rsidRPr="002F0AD3">
        <w:rPr>
          <w:rFonts w:cstheme="minorHAnsi"/>
        </w:rPr>
        <w:t>onventions at the High</w:t>
      </w:r>
      <w:r w:rsidR="004D2127">
        <w:rPr>
          <w:rFonts w:cstheme="minorHAnsi"/>
        </w:rPr>
        <w:t>-l</w:t>
      </w:r>
      <w:r w:rsidR="009B6670" w:rsidRPr="002F0AD3">
        <w:rPr>
          <w:rFonts w:cstheme="minorHAnsi"/>
        </w:rPr>
        <w:t xml:space="preserve">evel Political Forum in New York </w:t>
      </w:r>
      <w:r w:rsidR="00BC6BD8" w:rsidRPr="002F0AD3">
        <w:rPr>
          <w:rFonts w:cstheme="minorHAnsi"/>
        </w:rPr>
        <w:t>on 10</w:t>
      </w:r>
      <w:r w:rsidR="008A384C" w:rsidRPr="002F0AD3">
        <w:rPr>
          <w:rFonts w:cstheme="minorHAnsi"/>
        </w:rPr>
        <w:t xml:space="preserve"> </w:t>
      </w:r>
      <w:r w:rsidR="009B6670" w:rsidRPr="002F0AD3">
        <w:rPr>
          <w:rFonts w:cstheme="minorHAnsi"/>
        </w:rPr>
        <w:t xml:space="preserve">July 2018. </w:t>
      </w:r>
    </w:p>
    <w:p w14:paraId="39358700" w14:textId="77777777" w:rsidR="008A384C" w:rsidRPr="002F0AD3" w:rsidRDefault="008A384C" w:rsidP="007F61F4">
      <w:pPr>
        <w:rPr>
          <w:rFonts w:cstheme="minorHAnsi"/>
        </w:rPr>
      </w:pPr>
    </w:p>
    <w:p w14:paraId="2661D5F2" w14:textId="304412CF" w:rsidR="008A384C" w:rsidRPr="002F0AD3" w:rsidRDefault="00E25439" w:rsidP="007F61F4">
      <w:pPr>
        <w:rPr>
          <w:rFonts w:cstheme="minorHAnsi"/>
        </w:rPr>
      </w:pPr>
      <w:r>
        <w:rPr>
          <w:rFonts w:cstheme="minorHAnsi"/>
        </w:rPr>
        <w:t>19</w:t>
      </w:r>
      <w:r w:rsidR="007F61F4">
        <w:rPr>
          <w:rFonts w:cstheme="minorHAnsi"/>
        </w:rPr>
        <w:t>.</w:t>
      </w:r>
      <w:r w:rsidR="007F61F4">
        <w:rPr>
          <w:rFonts w:cstheme="minorHAnsi"/>
        </w:rPr>
        <w:tab/>
      </w:r>
      <w:r w:rsidR="009B6670" w:rsidRPr="002F0AD3">
        <w:rPr>
          <w:rFonts w:cstheme="minorHAnsi"/>
        </w:rPr>
        <w:t>The Secretariat</w:t>
      </w:r>
      <w:r w:rsidR="00BA6D48" w:rsidRPr="002F0AD3">
        <w:rPr>
          <w:rFonts w:cstheme="minorHAnsi"/>
        </w:rPr>
        <w:t xml:space="preserve"> </w:t>
      </w:r>
      <w:r w:rsidR="006E66CA" w:rsidRPr="002F0AD3">
        <w:rPr>
          <w:rFonts w:cstheme="minorHAnsi"/>
        </w:rPr>
        <w:t xml:space="preserve">signed an important Memorandum of Cooperation with the </w:t>
      </w:r>
      <w:r w:rsidR="00E94C2E" w:rsidRPr="002F0AD3">
        <w:rPr>
          <w:rFonts w:cstheme="minorHAnsi"/>
        </w:rPr>
        <w:t xml:space="preserve">Secretariat of </w:t>
      </w:r>
      <w:r w:rsidR="006E66CA" w:rsidRPr="002F0AD3">
        <w:rPr>
          <w:rFonts w:cstheme="minorHAnsi"/>
        </w:rPr>
        <w:t>IPBES and participated in the fifth session of the Platform</w:t>
      </w:r>
      <w:r>
        <w:rPr>
          <w:rFonts w:cstheme="minorHAnsi"/>
        </w:rPr>
        <w:t>’</w:t>
      </w:r>
      <w:r w:rsidR="006E66CA" w:rsidRPr="002F0AD3">
        <w:rPr>
          <w:rFonts w:cstheme="minorHAnsi"/>
        </w:rPr>
        <w:t xml:space="preserve">s Plenary </w:t>
      </w:r>
      <w:r w:rsidR="002C3699" w:rsidRPr="002F0AD3">
        <w:rPr>
          <w:rFonts w:cstheme="minorHAnsi"/>
        </w:rPr>
        <w:t xml:space="preserve">in Bonn </w:t>
      </w:r>
      <w:r w:rsidR="006E66CA" w:rsidRPr="002F0AD3">
        <w:rPr>
          <w:rFonts w:cstheme="minorHAnsi"/>
        </w:rPr>
        <w:t>(IPBES-5</w:t>
      </w:r>
      <w:r w:rsidR="002C3699">
        <w:rPr>
          <w:rFonts w:cstheme="minorHAnsi"/>
        </w:rPr>
        <w:t>, 7-</w:t>
      </w:r>
      <w:r w:rsidR="006E66CA" w:rsidRPr="002F0AD3">
        <w:rPr>
          <w:rFonts w:cstheme="minorHAnsi"/>
        </w:rPr>
        <w:t>10 March 2017</w:t>
      </w:r>
      <w:r w:rsidR="002C3699">
        <w:rPr>
          <w:rFonts w:cstheme="minorHAnsi"/>
        </w:rPr>
        <w:t>)</w:t>
      </w:r>
      <w:r w:rsidR="006E66CA" w:rsidRPr="002F0AD3">
        <w:rPr>
          <w:rFonts w:cstheme="minorHAnsi"/>
        </w:rPr>
        <w:t xml:space="preserve">. </w:t>
      </w:r>
      <w:r w:rsidR="009B0849" w:rsidRPr="002F0AD3">
        <w:rPr>
          <w:rFonts w:cstheme="minorHAnsi"/>
        </w:rPr>
        <w:t xml:space="preserve">It also coordinated input to the IPBES Global Biodiversity and Regional Assessments. </w:t>
      </w:r>
      <w:r w:rsidR="006E66CA" w:rsidRPr="002F0AD3">
        <w:rPr>
          <w:rFonts w:cstheme="minorHAnsi"/>
        </w:rPr>
        <w:t xml:space="preserve">Collaboration </w:t>
      </w:r>
      <w:r w:rsidR="00D31EAD" w:rsidRPr="002F0AD3">
        <w:rPr>
          <w:rFonts w:cstheme="minorHAnsi"/>
        </w:rPr>
        <w:t xml:space="preserve">with </w:t>
      </w:r>
      <w:r w:rsidR="006E66CA" w:rsidRPr="002F0AD3">
        <w:rPr>
          <w:rFonts w:cstheme="minorHAnsi"/>
        </w:rPr>
        <w:t>IBPES also included the joint launch of the Policy Brief on</w:t>
      </w:r>
      <w:r w:rsidR="00A4194C" w:rsidRPr="002F0AD3">
        <w:rPr>
          <w:rFonts w:cstheme="minorHAnsi"/>
        </w:rPr>
        <w:t xml:space="preserve"> </w:t>
      </w:r>
      <w:r w:rsidR="00A4194C" w:rsidRPr="007F61F4">
        <w:rPr>
          <w:rFonts w:cstheme="minorHAnsi"/>
          <w:i/>
        </w:rPr>
        <w:t>Integrating multiple wetland values into decision-making</w:t>
      </w:r>
      <w:r w:rsidR="00A4194C" w:rsidRPr="002F0AD3">
        <w:rPr>
          <w:rFonts w:cstheme="minorHAnsi"/>
        </w:rPr>
        <w:t>.</w:t>
      </w:r>
    </w:p>
    <w:p w14:paraId="12596DF9" w14:textId="77777777" w:rsidR="008A384C" w:rsidRPr="002F0AD3" w:rsidRDefault="008A384C" w:rsidP="00C81B75">
      <w:pPr>
        <w:pStyle w:val="ListParagraph"/>
        <w:rPr>
          <w:rFonts w:cstheme="minorHAnsi"/>
        </w:rPr>
      </w:pPr>
    </w:p>
    <w:p w14:paraId="11018897" w14:textId="4E57213C" w:rsidR="00E65BE2" w:rsidRPr="002F0AD3" w:rsidRDefault="00E25439" w:rsidP="007F61F4">
      <w:pPr>
        <w:rPr>
          <w:rFonts w:cstheme="minorHAnsi"/>
        </w:rPr>
      </w:pPr>
      <w:r>
        <w:rPr>
          <w:rFonts w:cstheme="minorHAnsi"/>
        </w:rPr>
        <w:t>20</w:t>
      </w:r>
      <w:r w:rsidR="007F61F4">
        <w:rPr>
          <w:rFonts w:cstheme="minorHAnsi"/>
        </w:rPr>
        <w:t>.</w:t>
      </w:r>
      <w:r w:rsidR="007F61F4">
        <w:rPr>
          <w:rFonts w:cstheme="minorHAnsi"/>
        </w:rPr>
        <w:tab/>
      </w:r>
      <w:r w:rsidR="207F27EF" w:rsidRPr="002F0AD3">
        <w:rPr>
          <w:rFonts w:cstheme="minorHAnsi"/>
        </w:rPr>
        <w:t xml:space="preserve">Given the critical role played by wetlands in climate change mitigation and adaptation, the Secretariat </w:t>
      </w:r>
      <w:r w:rsidR="00276784" w:rsidRPr="002F0AD3">
        <w:rPr>
          <w:rFonts w:cstheme="minorHAnsi"/>
        </w:rPr>
        <w:t xml:space="preserve">has </w:t>
      </w:r>
      <w:r w:rsidR="207F27EF" w:rsidRPr="002F0AD3">
        <w:rPr>
          <w:rFonts w:cstheme="minorHAnsi"/>
        </w:rPr>
        <w:t>engage</w:t>
      </w:r>
      <w:r w:rsidR="003910BE" w:rsidRPr="002F0AD3">
        <w:rPr>
          <w:rFonts w:cstheme="minorHAnsi"/>
        </w:rPr>
        <w:t>d</w:t>
      </w:r>
      <w:r w:rsidR="207F27EF" w:rsidRPr="002F0AD3">
        <w:rPr>
          <w:rFonts w:cstheme="minorHAnsi"/>
        </w:rPr>
        <w:t xml:space="preserve"> in</w:t>
      </w:r>
      <w:r w:rsidR="0078142B">
        <w:rPr>
          <w:rFonts w:cstheme="minorHAnsi"/>
        </w:rPr>
        <w:t xml:space="preserve"> </w:t>
      </w:r>
      <w:r w:rsidR="207F27EF" w:rsidRPr="002F0AD3">
        <w:rPr>
          <w:rFonts w:cstheme="minorHAnsi"/>
        </w:rPr>
        <w:t xml:space="preserve">the climate change </w:t>
      </w:r>
      <w:r w:rsidR="009116C0" w:rsidRPr="002F0AD3">
        <w:rPr>
          <w:rFonts w:cstheme="minorHAnsi"/>
        </w:rPr>
        <w:t xml:space="preserve">policy </w:t>
      </w:r>
      <w:r w:rsidR="207F27EF" w:rsidRPr="002F0AD3">
        <w:rPr>
          <w:rFonts w:cstheme="minorHAnsi"/>
        </w:rPr>
        <w:t xml:space="preserve">agenda. In particular, the Secretariat </w:t>
      </w:r>
      <w:r w:rsidR="009D32B0" w:rsidRPr="002F0AD3">
        <w:rPr>
          <w:rFonts w:cstheme="minorHAnsi"/>
        </w:rPr>
        <w:t>participated</w:t>
      </w:r>
      <w:r w:rsidR="207F27EF" w:rsidRPr="002F0AD3">
        <w:rPr>
          <w:rFonts w:cstheme="minorHAnsi"/>
        </w:rPr>
        <w:t xml:space="preserve"> in the </w:t>
      </w:r>
      <w:r w:rsidR="00C617C5" w:rsidRPr="002F0AD3">
        <w:rPr>
          <w:rFonts w:cstheme="minorHAnsi"/>
        </w:rPr>
        <w:t>UN Framework Convention on Climate Change (UNFCCC)</w:t>
      </w:r>
      <w:r w:rsidR="00705749" w:rsidRPr="002F0AD3">
        <w:rPr>
          <w:rFonts w:cstheme="minorHAnsi"/>
        </w:rPr>
        <w:t xml:space="preserve"> COP22 in Marrakech (7-18 November 2016)</w:t>
      </w:r>
      <w:r w:rsidR="00BF28CE" w:rsidRPr="002F0AD3">
        <w:rPr>
          <w:rFonts w:cstheme="minorHAnsi"/>
        </w:rPr>
        <w:t xml:space="preserve"> with the Secretary General publishing </w:t>
      </w:r>
      <w:r w:rsidR="00705749" w:rsidRPr="002F0AD3">
        <w:rPr>
          <w:rFonts w:cstheme="minorHAnsi"/>
        </w:rPr>
        <w:t xml:space="preserve">a joint </w:t>
      </w:r>
      <w:r w:rsidR="00BF28CE" w:rsidRPr="002F0AD3">
        <w:rPr>
          <w:rFonts w:cstheme="minorHAnsi"/>
        </w:rPr>
        <w:t>op</w:t>
      </w:r>
      <w:r w:rsidR="005F2999" w:rsidRPr="002F0AD3">
        <w:rPr>
          <w:rFonts w:cstheme="minorHAnsi"/>
        </w:rPr>
        <w:t>inion</w:t>
      </w:r>
      <w:r w:rsidR="00BF28CE" w:rsidRPr="002F0AD3">
        <w:rPr>
          <w:rFonts w:cstheme="minorHAnsi"/>
        </w:rPr>
        <w:t xml:space="preserve"> ed</w:t>
      </w:r>
      <w:r w:rsidR="005F2999" w:rsidRPr="002F0AD3">
        <w:rPr>
          <w:rFonts w:cstheme="minorHAnsi"/>
        </w:rPr>
        <w:t>itorial</w:t>
      </w:r>
      <w:r w:rsidR="008A384C" w:rsidRPr="002F0AD3">
        <w:rPr>
          <w:rFonts w:cstheme="minorHAnsi"/>
        </w:rPr>
        <w:t xml:space="preserve"> </w:t>
      </w:r>
      <w:r w:rsidR="00705749" w:rsidRPr="002F0AD3">
        <w:rPr>
          <w:rFonts w:cstheme="minorHAnsi"/>
        </w:rPr>
        <w:t>with the Executive Secretary of the UNFCCC</w:t>
      </w:r>
      <w:r w:rsidR="003D4C69" w:rsidRPr="002F0AD3">
        <w:rPr>
          <w:rFonts w:cstheme="minorHAnsi"/>
        </w:rPr>
        <w:t>,</w:t>
      </w:r>
      <w:r w:rsidR="00705749" w:rsidRPr="002F0AD3">
        <w:rPr>
          <w:rFonts w:cstheme="minorHAnsi"/>
        </w:rPr>
        <w:t xml:space="preserve"> highlighting the important role of </w:t>
      </w:r>
      <w:r w:rsidR="003D4C69" w:rsidRPr="002F0AD3">
        <w:rPr>
          <w:rFonts w:cstheme="minorHAnsi"/>
        </w:rPr>
        <w:t xml:space="preserve">wetlands and </w:t>
      </w:r>
      <w:r w:rsidR="00705749" w:rsidRPr="002F0AD3">
        <w:rPr>
          <w:rFonts w:cstheme="minorHAnsi"/>
        </w:rPr>
        <w:t xml:space="preserve">the Convention in mitigating and adapting to climate change and </w:t>
      </w:r>
      <w:r w:rsidR="207F27EF" w:rsidRPr="002F0AD3">
        <w:rPr>
          <w:rFonts w:cstheme="minorHAnsi"/>
        </w:rPr>
        <w:t>COP23 in Bonn (6 - 17 November 2017)</w:t>
      </w:r>
      <w:r w:rsidR="003D4C69" w:rsidRPr="002F0AD3">
        <w:rPr>
          <w:rFonts w:cstheme="minorHAnsi"/>
        </w:rPr>
        <w:t>,</w:t>
      </w:r>
      <w:r w:rsidR="207F27EF" w:rsidRPr="002F0AD3">
        <w:rPr>
          <w:rFonts w:cstheme="minorHAnsi"/>
        </w:rPr>
        <w:t xml:space="preserve"> with a </w:t>
      </w:r>
      <w:r w:rsidR="00336004" w:rsidRPr="002F0AD3">
        <w:rPr>
          <w:rFonts w:cstheme="minorHAnsi"/>
        </w:rPr>
        <w:t>focus</w:t>
      </w:r>
      <w:r w:rsidR="207F27EF" w:rsidRPr="002F0AD3">
        <w:rPr>
          <w:rFonts w:cstheme="minorHAnsi"/>
        </w:rPr>
        <w:t xml:space="preserve"> on peatlands, water and coastal and marine ecosystems. </w:t>
      </w:r>
      <w:r w:rsidR="005F2999" w:rsidRPr="002F0AD3">
        <w:rPr>
          <w:rFonts w:cstheme="minorHAnsi"/>
        </w:rPr>
        <w:t xml:space="preserve">The Secretariat has also stepped up the positioning of the Convention in the Global Peatlands Initiative (of which it is a founding member) to reduce global greenhouse gas emissions by </w:t>
      </w:r>
      <w:r w:rsidR="008A384C" w:rsidRPr="002F0AD3">
        <w:rPr>
          <w:rFonts w:cstheme="minorHAnsi"/>
        </w:rPr>
        <w:t>protecting peatlands, including by engaging i</w:t>
      </w:r>
      <w:r w:rsidR="207F27EF" w:rsidRPr="002F0AD3">
        <w:rPr>
          <w:rFonts w:cstheme="minorHAnsi"/>
        </w:rPr>
        <w:t xml:space="preserve">n the preparation, launch and follow-up of the rapid response assessment </w:t>
      </w:r>
      <w:r w:rsidR="207F27EF" w:rsidRPr="007F61F4">
        <w:rPr>
          <w:rFonts w:cstheme="minorHAnsi"/>
          <w:i/>
        </w:rPr>
        <w:t xml:space="preserve">Smoke on Water – countering global threats from peatland loss and </w:t>
      </w:r>
      <w:r w:rsidR="00667680" w:rsidRPr="007F61F4">
        <w:rPr>
          <w:rFonts w:cstheme="minorHAnsi"/>
          <w:i/>
        </w:rPr>
        <w:t>degradation</w:t>
      </w:r>
      <w:r w:rsidR="207F27EF" w:rsidRPr="002F0AD3">
        <w:rPr>
          <w:rFonts w:cstheme="minorHAnsi"/>
        </w:rPr>
        <w:t xml:space="preserve"> published </w:t>
      </w:r>
      <w:r w:rsidR="002C3699">
        <w:rPr>
          <w:rFonts w:cstheme="minorHAnsi"/>
        </w:rPr>
        <w:t>on</w:t>
      </w:r>
      <w:r w:rsidR="002C3699" w:rsidRPr="002F0AD3">
        <w:rPr>
          <w:rFonts w:cstheme="minorHAnsi"/>
        </w:rPr>
        <w:t xml:space="preserve"> </w:t>
      </w:r>
      <w:r w:rsidR="207F27EF" w:rsidRPr="002F0AD3">
        <w:rPr>
          <w:rFonts w:cstheme="minorHAnsi"/>
        </w:rPr>
        <w:t>the occasion of UNFCCC COP23</w:t>
      </w:r>
      <w:r w:rsidR="00077D72" w:rsidRPr="002F0AD3">
        <w:rPr>
          <w:rFonts w:cstheme="minorHAnsi"/>
        </w:rPr>
        <w:t>, as well as in events on water and other relevant issues</w:t>
      </w:r>
      <w:r w:rsidR="207F27EF" w:rsidRPr="002F0AD3">
        <w:rPr>
          <w:rFonts w:cstheme="minorHAnsi"/>
        </w:rPr>
        <w:t>.</w:t>
      </w:r>
      <w:r w:rsidR="005F2999" w:rsidRPr="002F0AD3">
        <w:rPr>
          <w:rFonts w:cstheme="minorHAnsi"/>
        </w:rPr>
        <w:t xml:space="preserve"> It also joined the International Partnership for Blue Carbon </w:t>
      </w:r>
      <w:r w:rsidR="003D4C69" w:rsidRPr="002F0AD3">
        <w:rPr>
          <w:rFonts w:cstheme="minorHAnsi"/>
        </w:rPr>
        <w:t>in 2017</w:t>
      </w:r>
      <w:r w:rsidR="002C3699">
        <w:rPr>
          <w:rFonts w:cstheme="minorHAnsi"/>
        </w:rPr>
        <w:t>,</w:t>
      </w:r>
      <w:r w:rsidR="003D4C69" w:rsidRPr="002F0AD3">
        <w:rPr>
          <w:rFonts w:cstheme="minorHAnsi"/>
        </w:rPr>
        <w:t xml:space="preserve"> </w:t>
      </w:r>
      <w:r w:rsidR="005F2999" w:rsidRPr="002F0AD3">
        <w:rPr>
          <w:rFonts w:cstheme="minorHAnsi"/>
        </w:rPr>
        <w:t xml:space="preserve">focusing on coastal </w:t>
      </w:r>
      <w:r w:rsidR="003D4C69" w:rsidRPr="002F0AD3">
        <w:rPr>
          <w:rFonts w:cstheme="minorHAnsi"/>
        </w:rPr>
        <w:t xml:space="preserve">and marine </w:t>
      </w:r>
      <w:r w:rsidR="005F2999" w:rsidRPr="002F0AD3">
        <w:rPr>
          <w:rFonts w:cstheme="minorHAnsi"/>
        </w:rPr>
        <w:t>ecosystems.</w:t>
      </w:r>
      <w:r w:rsidR="006E53B7" w:rsidRPr="002F0AD3">
        <w:rPr>
          <w:rFonts w:cstheme="minorHAnsi"/>
        </w:rPr>
        <w:t xml:space="preserve"> </w:t>
      </w:r>
    </w:p>
    <w:p w14:paraId="5DC7FE54" w14:textId="77777777" w:rsidR="009D4535" w:rsidRPr="002F0AD3" w:rsidRDefault="009D4535" w:rsidP="00C81B75">
      <w:pPr>
        <w:rPr>
          <w:rFonts w:cstheme="minorHAnsi"/>
        </w:rPr>
      </w:pPr>
    </w:p>
    <w:p w14:paraId="02E1B777" w14:textId="197E447C" w:rsidR="00296B78" w:rsidRPr="005D05E1" w:rsidRDefault="00E25439" w:rsidP="005D05E1">
      <w:pPr>
        <w:rPr>
          <w:rFonts w:cstheme="minorHAnsi"/>
        </w:rPr>
      </w:pPr>
      <w:r>
        <w:rPr>
          <w:rFonts w:cstheme="minorHAnsi"/>
        </w:rPr>
        <w:t>21</w:t>
      </w:r>
      <w:r w:rsidR="005D05E1">
        <w:rPr>
          <w:rFonts w:cstheme="minorHAnsi"/>
        </w:rPr>
        <w:t>.</w:t>
      </w:r>
      <w:r w:rsidR="005D05E1">
        <w:rPr>
          <w:rFonts w:cstheme="minorHAnsi"/>
        </w:rPr>
        <w:tab/>
      </w:r>
      <w:r w:rsidR="207F27EF" w:rsidRPr="002F0AD3">
        <w:rPr>
          <w:rFonts w:cstheme="minorHAnsi"/>
        </w:rPr>
        <w:t xml:space="preserve">The Secretariat engaged actively </w:t>
      </w:r>
      <w:r w:rsidR="00E25E60" w:rsidRPr="002F0AD3">
        <w:rPr>
          <w:rFonts w:cstheme="minorHAnsi"/>
        </w:rPr>
        <w:t>in</w:t>
      </w:r>
      <w:r w:rsidR="207F27EF" w:rsidRPr="002F0AD3">
        <w:rPr>
          <w:rFonts w:cstheme="minorHAnsi"/>
        </w:rPr>
        <w:t xml:space="preserve"> the third session of the United Nations Environment </w:t>
      </w:r>
      <w:r w:rsidR="207F27EF" w:rsidRPr="005D05E1">
        <w:rPr>
          <w:rFonts w:cstheme="minorHAnsi"/>
        </w:rPr>
        <w:t>Assembly</w:t>
      </w:r>
      <w:r w:rsidR="207F27EF" w:rsidRPr="002F0AD3">
        <w:rPr>
          <w:rFonts w:cstheme="minorHAnsi"/>
        </w:rPr>
        <w:t xml:space="preserve"> </w:t>
      </w:r>
      <w:r w:rsidR="0020311D" w:rsidRPr="002F0AD3">
        <w:rPr>
          <w:rFonts w:cstheme="minorHAnsi"/>
        </w:rPr>
        <w:t xml:space="preserve">in Nairobi </w:t>
      </w:r>
      <w:r w:rsidR="207F27EF" w:rsidRPr="002F0AD3">
        <w:rPr>
          <w:rFonts w:cstheme="minorHAnsi"/>
        </w:rPr>
        <w:t>(UNEA-3</w:t>
      </w:r>
      <w:r w:rsidR="0020311D">
        <w:rPr>
          <w:rFonts w:cstheme="minorHAnsi"/>
        </w:rPr>
        <w:t xml:space="preserve">, </w:t>
      </w:r>
      <w:r w:rsidR="207F27EF" w:rsidRPr="002F0AD3">
        <w:rPr>
          <w:rFonts w:cstheme="minorHAnsi"/>
        </w:rPr>
        <w:t>4-6 December 2017)</w:t>
      </w:r>
      <w:r w:rsidR="00666DC5" w:rsidRPr="002F0AD3">
        <w:rPr>
          <w:rFonts w:cstheme="minorHAnsi"/>
        </w:rPr>
        <w:t>,</w:t>
      </w:r>
      <w:r w:rsidR="00423F68" w:rsidRPr="002F0AD3">
        <w:rPr>
          <w:rFonts w:cstheme="minorHAnsi"/>
        </w:rPr>
        <w:t xml:space="preserve"> emphasizing the</w:t>
      </w:r>
      <w:r w:rsidR="207F27EF" w:rsidRPr="002F0AD3">
        <w:rPr>
          <w:rFonts w:cstheme="minorHAnsi"/>
        </w:rPr>
        <w:t xml:space="preserve"> role </w:t>
      </w:r>
      <w:r w:rsidR="00423F68" w:rsidRPr="002F0AD3">
        <w:rPr>
          <w:rFonts w:cstheme="minorHAnsi"/>
        </w:rPr>
        <w:t xml:space="preserve">of wetlands </w:t>
      </w:r>
      <w:r w:rsidR="207F27EF" w:rsidRPr="002F0AD3">
        <w:rPr>
          <w:rFonts w:cstheme="minorHAnsi"/>
        </w:rPr>
        <w:t>in pollution control and wat</w:t>
      </w:r>
      <w:r w:rsidR="00423F68" w:rsidRPr="002F0AD3">
        <w:rPr>
          <w:rFonts w:cstheme="minorHAnsi"/>
        </w:rPr>
        <w:t>er purification,</w:t>
      </w:r>
      <w:r w:rsidR="207F27EF" w:rsidRPr="002F0AD3">
        <w:rPr>
          <w:rFonts w:cstheme="minorHAnsi"/>
        </w:rPr>
        <w:t xml:space="preserve"> and </w:t>
      </w:r>
      <w:r w:rsidR="00423F68" w:rsidRPr="002F0AD3">
        <w:rPr>
          <w:rFonts w:cstheme="minorHAnsi"/>
        </w:rPr>
        <w:t xml:space="preserve">more broadly, their </w:t>
      </w:r>
      <w:r w:rsidR="207F27EF" w:rsidRPr="002F0AD3">
        <w:rPr>
          <w:rFonts w:cstheme="minorHAnsi"/>
        </w:rPr>
        <w:t xml:space="preserve">contribution to </w:t>
      </w:r>
      <w:r w:rsidR="0020311D">
        <w:rPr>
          <w:rFonts w:cstheme="minorHAnsi"/>
        </w:rPr>
        <w:t xml:space="preserve">the </w:t>
      </w:r>
      <w:r w:rsidR="207F27EF" w:rsidRPr="002F0AD3">
        <w:rPr>
          <w:rFonts w:cstheme="minorHAnsi"/>
        </w:rPr>
        <w:t>achiev</w:t>
      </w:r>
      <w:r w:rsidR="0020311D">
        <w:rPr>
          <w:rFonts w:cstheme="minorHAnsi"/>
        </w:rPr>
        <w:t xml:space="preserve">ement of </w:t>
      </w:r>
      <w:r w:rsidR="207F27EF" w:rsidRPr="0014100E">
        <w:t>SDG</w:t>
      </w:r>
      <w:r w:rsidR="0014100E">
        <w:t> </w:t>
      </w:r>
      <w:r w:rsidR="207F27EF" w:rsidRPr="0014100E">
        <w:t>6</w:t>
      </w:r>
      <w:r w:rsidR="207F27EF" w:rsidRPr="002F0AD3">
        <w:rPr>
          <w:rFonts w:cstheme="minorHAnsi"/>
        </w:rPr>
        <w:t xml:space="preserve">. </w:t>
      </w:r>
      <w:r w:rsidR="00423F68" w:rsidRPr="002F0AD3">
        <w:rPr>
          <w:rFonts w:cstheme="minorHAnsi"/>
        </w:rPr>
        <w:t xml:space="preserve">The </w:t>
      </w:r>
      <w:r w:rsidR="207F27EF" w:rsidRPr="002F0AD3">
        <w:rPr>
          <w:rFonts w:cstheme="minorHAnsi"/>
        </w:rPr>
        <w:t xml:space="preserve">Ramsar Convention </w:t>
      </w:r>
      <w:r w:rsidR="00423F68" w:rsidRPr="002F0AD3">
        <w:rPr>
          <w:rFonts w:cstheme="minorHAnsi"/>
        </w:rPr>
        <w:t xml:space="preserve">on Wetlands and its fourth Strategic Plan 2016-2024 are mentioned </w:t>
      </w:r>
      <w:r w:rsidR="207F27EF" w:rsidRPr="002F0AD3">
        <w:rPr>
          <w:rFonts w:cstheme="minorHAnsi"/>
        </w:rPr>
        <w:t>in the resolution</w:t>
      </w:r>
      <w:r w:rsidR="00E32679" w:rsidRPr="002F0AD3">
        <w:rPr>
          <w:rFonts w:cstheme="minorHAnsi"/>
        </w:rPr>
        <w:t>s</w:t>
      </w:r>
      <w:r w:rsidR="207F27EF" w:rsidRPr="002F0AD3">
        <w:rPr>
          <w:rFonts w:cstheme="minorHAnsi"/>
        </w:rPr>
        <w:t xml:space="preserve"> </w:t>
      </w:r>
      <w:r w:rsidR="00E32679" w:rsidRPr="002F0AD3">
        <w:rPr>
          <w:rFonts w:cstheme="minorHAnsi"/>
        </w:rPr>
        <w:t xml:space="preserve">on </w:t>
      </w:r>
      <w:r w:rsidR="00652DF0" w:rsidRPr="002F0AD3">
        <w:rPr>
          <w:rFonts w:cstheme="minorHAnsi"/>
        </w:rPr>
        <w:t>“</w:t>
      </w:r>
      <w:r w:rsidR="207F27EF" w:rsidRPr="002F0AD3">
        <w:rPr>
          <w:rFonts w:cstheme="minorHAnsi"/>
        </w:rPr>
        <w:t xml:space="preserve">Addressing water pollution to protect and restore </w:t>
      </w:r>
      <w:r w:rsidR="207F27EF" w:rsidRPr="002F0AD3">
        <w:rPr>
          <w:rFonts w:cstheme="minorHAnsi"/>
        </w:rPr>
        <w:lastRenderedPageBreak/>
        <w:t>water-related ecosystems</w:t>
      </w:r>
      <w:r w:rsidR="00652DF0" w:rsidRPr="002F0AD3">
        <w:rPr>
          <w:rFonts w:cstheme="minorHAnsi"/>
        </w:rPr>
        <w:t>”</w:t>
      </w:r>
      <w:r w:rsidR="00CC6FDF" w:rsidRPr="002F0AD3">
        <w:rPr>
          <w:rFonts w:cstheme="minorHAnsi"/>
        </w:rPr>
        <w:t xml:space="preserve"> and </w:t>
      </w:r>
      <w:r w:rsidR="00E32679" w:rsidRPr="002F0AD3">
        <w:rPr>
          <w:rFonts w:cstheme="minorHAnsi"/>
        </w:rPr>
        <w:t xml:space="preserve">on </w:t>
      </w:r>
      <w:r w:rsidR="00652DF0" w:rsidRPr="002F0AD3">
        <w:rPr>
          <w:rFonts w:cstheme="minorHAnsi"/>
        </w:rPr>
        <w:t>“</w:t>
      </w:r>
      <w:r w:rsidR="004B762C" w:rsidRPr="002F0AD3">
        <w:rPr>
          <w:rFonts w:cstheme="minorHAnsi"/>
        </w:rPr>
        <w:t>Pollution mitigation by mainstreaming biodiversity into key sectors</w:t>
      </w:r>
      <w:r w:rsidR="00652DF0" w:rsidRPr="002F0AD3">
        <w:rPr>
          <w:rFonts w:cstheme="minorHAnsi"/>
        </w:rPr>
        <w:t>”</w:t>
      </w:r>
      <w:r w:rsidR="00E32679" w:rsidRPr="002F0AD3">
        <w:rPr>
          <w:rFonts w:cstheme="minorHAnsi"/>
        </w:rPr>
        <w:t>.</w:t>
      </w:r>
      <w:r w:rsidR="207F27EF" w:rsidRPr="002F0AD3">
        <w:rPr>
          <w:rFonts w:cstheme="minorHAnsi"/>
        </w:rPr>
        <w:t xml:space="preserve"> The</w:t>
      </w:r>
      <w:r w:rsidR="009D32B0" w:rsidRPr="002F0AD3">
        <w:rPr>
          <w:rFonts w:cstheme="minorHAnsi"/>
        </w:rPr>
        <w:t xml:space="preserve"> Secretary General </w:t>
      </w:r>
      <w:r w:rsidR="00423F68" w:rsidRPr="005D05E1">
        <w:rPr>
          <w:rFonts w:cstheme="minorHAnsi"/>
        </w:rPr>
        <w:t xml:space="preserve">made interventions at the Leadership Dialogue on practical solutions for a </w:t>
      </w:r>
      <w:r w:rsidR="0020311D" w:rsidRPr="005D05E1">
        <w:rPr>
          <w:rFonts w:cstheme="minorHAnsi"/>
        </w:rPr>
        <w:t>pollution</w:t>
      </w:r>
      <w:r w:rsidR="0020311D">
        <w:rPr>
          <w:rFonts w:cstheme="minorHAnsi"/>
        </w:rPr>
        <w:t>-</w:t>
      </w:r>
      <w:r w:rsidR="00423F68" w:rsidRPr="005D05E1">
        <w:rPr>
          <w:rFonts w:cstheme="minorHAnsi"/>
        </w:rPr>
        <w:t xml:space="preserve">free planet, at a high-level panel discussion on the protection of coral reefs and mangroves, and at an event on gender and environment, notably speaking at the launch of the International Gender Champions. The </w:t>
      </w:r>
      <w:r w:rsidR="00E32679" w:rsidRPr="005D05E1">
        <w:rPr>
          <w:rFonts w:cstheme="minorHAnsi"/>
        </w:rPr>
        <w:t xml:space="preserve">Secretary General </w:t>
      </w:r>
      <w:r w:rsidR="00423F68" w:rsidRPr="005D05E1">
        <w:rPr>
          <w:rFonts w:cstheme="minorHAnsi"/>
        </w:rPr>
        <w:t xml:space="preserve">delivered a plenary statement </w:t>
      </w:r>
      <w:r w:rsidR="002F22AA" w:rsidRPr="005D05E1">
        <w:rPr>
          <w:rFonts w:cstheme="minorHAnsi"/>
        </w:rPr>
        <w:t xml:space="preserve">on the role of </w:t>
      </w:r>
      <w:r w:rsidR="0014100E" w:rsidRPr="005D05E1">
        <w:rPr>
          <w:rFonts w:cstheme="minorHAnsi"/>
        </w:rPr>
        <w:t xml:space="preserve">wetlands </w:t>
      </w:r>
      <w:r w:rsidR="002F22AA" w:rsidRPr="005D05E1">
        <w:rPr>
          <w:rFonts w:cstheme="minorHAnsi"/>
        </w:rPr>
        <w:t>as</w:t>
      </w:r>
      <w:r w:rsidR="009B0849" w:rsidRPr="005D05E1">
        <w:rPr>
          <w:rFonts w:cstheme="minorHAnsi"/>
        </w:rPr>
        <w:t xml:space="preserve"> </w:t>
      </w:r>
      <w:r w:rsidR="00423F68" w:rsidRPr="005D05E1">
        <w:rPr>
          <w:rFonts w:cstheme="minorHAnsi"/>
        </w:rPr>
        <w:t>a sustainable s</w:t>
      </w:r>
      <w:r w:rsidR="008A384C" w:rsidRPr="005D05E1">
        <w:rPr>
          <w:rFonts w:cstheme="minorHAnsi"/>
        </w:rPr>
        <w:t xml:space="preserve">olution for water purification </w:t>
      </w:r>
      <w:r w:rsidR="00423F68" w:rsidRPr="005D05E1">
        <w:rPr>
          <w:rFonts w:cstheme="minorHAnsi"/>
        </w:rPr>
        <w:t>and participated in</w:t>
      </w:r>
      <w:r w:rsidR="207F27EF" w:rsidRPr="002F0AD3">
        <w:rPr>
          <w:rFonts w:cstheme="minorHAnsi"/>
        </w:rPr>
        <w:t xml:space="preserve"> a meeting with the heads of the Secretariats of Multilateral Environmental Agreements </w:t>
      </w:r>
      <w:r w:rsidR="00652DF0" w:rsidRPr="002F0AD3">
        <w:rPr>
          <w:rFonts w:cstheme="minorHAnsi"/>
        </w:rPr>
        <w:t xml:space="preserve">(MEAs) </w:t>
      </w:r>
      <w:r w:rsidR="00423F68" w:rsidRPr="002F0AD3">
        <w:rPr>
          <w:rFonts w:cstheme="minorHAnsi"/>
        </w:rPr>
        <w:t xml:space="preserve">on </w:t>
      </w:r>
      <w:r w:rsidR="207F27EF" w:rsidRPr="005D05E1">
        <w:rPr>
          <w:rFonts w:cstheme="minorHAnsi"/>
        </w:rPr>
        <w:t>an integrated approach to delivery on the environmental dimension of the 2030 Agenda for Sustainable Development and the</w:t>
      </w:r>
      <w:r w:rsidR="00296B78" w:rsidRPr="005D05E1">
        <w:rPr>
          <w:rFonts w:cstheme="minorHAnsi"/>
        </w:rPr>
        <w:t xml:space="preserve"> </w:t>
      </w:r>
      <w:r w:rsidR="00652DF0" w:rsidRPr="005D05E1">
        <w:rPr>
          <w:rFonts w:cstheme="minorHAnsi"/>
        </w:rPr>
        <w:t>SDGs</w:t>
      </w:r>
      <w:r w:rsidR="00296B78" w:rsidRPr="005D05E1">
        <w:rPr>
          <w:rFonts w:cstheme="minorHAnsi"/>
        </w:rPr>
        <w:t>.</w:t>
      </w:r>
      <w:r w:rsidR="00CC6FDF" w:rsidRPr="005D05E1">
        <w:rPr>
          <w:rFonts w:cstheme="minorHAnsi"/>
        </w:rPr>
        <w:t xml:space="preserve"> </w:t>
      </w:r>
    </w:p>
    <w:p w14:paraId="284802F5" w14:textId="77777777" w:rsidR="00127E63" w:rsidRPr="002F0AD3" w:rsidRDefault="00127E63" w:rsidP="00C81B75">
      <w:pPr>
        <w:pStyle w:val="NormalNonumber"/>
        <w:spacing w:after="0"/>
        <w:ind w:left="425" w:hanging="425"/>
        <w:rPr>
          <w:rFonts w:asciiTheme="minorHAnsi" w:hAnsiTheme="minorHAnsi" w:cstheme="minorHAnsi"/>
          <w:iCs/>
          <w:snapToGrid w:val="0"/>
          <w:sz w:val="22"/>
          <w:szCs w:val="22"/>
          <w:lang w:val="en-US"/>
        </w:rPr>
      </w:pPr>
    </w:p>
    <w:p w14:paraId="6DA649B8" w14:textId="58DEECDD" w:rsidR="00DB1663" w:rsidRPr="002F0AD3" w:rsidRDefault="00E25439" w:rsidP="005D05E1">
      <w:pPr>
        <w:rPr>
          <w:rFonts w:cstheme="minorHAnsi"/>
        </w:rPr>
      </w:pPr>
      <w:r>
        <w:rPr>
          <w:rFonts w:cstheme="minorHAnsi"/>
        </w:rPr>
        <w:t>22</w:t>
      </w:r>
      <w:r w:rsidR="005D05E1">
        <w:rPr>
          <w:rFonts w:cstheme="minorHAnsi"/>
        </w:rPr>
        <w:t>.</w:t>
      </w:r>
      <w:r w:rsidR="005D05E1">
        <w:rPr>
          <w:rFonts w:cstheme="minorHAnsi"/>
        </w:rPr>
        <w:tab/>
      </w:r>
      <w:r w:rsidR="00DB1663" w:rsidRPr="002F0AD3">
        <w:rPr>
          <w:rFonts w:cstheme="minorHAnsi"/>
        </w:rPr>
        <w:t>During the reporting period, the Secretariat sought to strengthen its relationship with the Geneva-based missions and UN agencies. On 21 June 2017, the S</w:t>
      </w:r>
      <w:r w:rsidR="00E32679" w:rsidRPr="002F0AD3">
        <w:rPr>
          <w:rFonts w:cstheme="minorHAnsi"/>
        </w:rPr>
        <w:t xml:space="preserve">ecretary </w:t>
      </w:r>
      <w:r w:rsidR="00DB1663" w:rsidRPr="002F0AD3">
        <w:rPr>
          <w:rFonts w:cstheme="minorHAnsi"/>
        </w:rPr>
        <w:t>G</w:t>
      </w:r>
      <w:r w:rsidR="00E32679" w:rsidRPr="002F0AD3">
        <w:rPr>
          <w:rFonts w:cstheme="minorHAnsi"/>
        </w:rPr>
        <w:t>eneral</w:t>
      </w:r>
      <w:r w:rsidR="00DB1663" w:rsidRPr="002F0AD3">
        <w:rPr>
          <w:rFonts w:cstheme="minorHAnsi"/>
        </w:rPr>
        <w:t xml:space="preserve"> presented an Executive Briefing to the Permanent Missions </w:t>
      </w:r>
      <w:r w:rsidR="008A384C" w:rsidRPr="002F0AD3">
        <w:rPr>
          <w:rFonts w:cstheme="minorHAnsi"/>
        </w:rPr>
        <w:t xml:space="preserve">to </w:t>
      </w:r>
      <w:r w:rsidR="00DB1663" w:rsidRPr="002F0AD3">
        <w:rPr>
          <w:rFonts w:cstheme="minorHAnsi"/>
        </w:rPr>
        <w:t>the United Nations</w:t>
      </w:r>
      <w:r w:rsidR="009B0849" w:rsidRPr="002F0AD3">
        <w:rPr>
          <w:rFonts w:cstheme="minorHAnsi"/>
        </w:rPr>
        <w:t xml:space="preserve"> in Geneva, </w:t>
      </w:r>
      <w:r w:rsidR="00DB1663" w:rsidRPr="002F0AD3">
        <w:rPr>
          <w:rFonts w:cstheme="minorHAnsi"/>
        </w:rPr>
        <w:t xml:space="preserve">on </w:t>
      </w:r>
      <w:r w:rsidR="00652DF0" w:rsidRPr="002F0AD3">
        <w:rPr>
          <w:rFonts w:cstheme="minorHAnsi"/>
        </w:rPr>
        <w:t>“</w:t>
      </w:r>
      <w:r w:rsidR="00DB1663" w:rsidRPr="002F0AD3">
        <w:rPr>
          <w:rFonts w:cstheme="minorHAnsi"/>
        </w:rPr>
        <w:t>The Ramsar Convention on Wetlands towards the Sustainable Development Goals</w:t>
      </w:r>
      <w:r w:rsidR="00652DF0" w:rsidRPr="002F0AD3">
        <w:rPr>
          <w:rFonts w:cstheme="minorHAnsi"/>
        </w:rPr>
        <w:t>”</w:t>
      </w:r>
      <w:r w:rsidR="00DB1663" w:rsidRPr="002F0AD3">
        <w:rPr>
          <w:rFonts w:cstheme="minorHAnsi"/>
        </w:rPr>
        <w:t>, hosted by the Director of the UN Office</w:t>
      </w:r>
      <w:r w:rsidR="00E24324" w:rsidRPr="002F0AD3">
        <w:rPr>
          <w:rFonts w:cstheme="minorHAnsi"/>
        </w:rPr>
        <w:t xml:space="preserve"> of Geneva (UNOG)</w:t>
      </w:r>
      <w:r w:rsidR="00DB1663" w:rsidRPr="002F0AD3">
        <w:rPr>
          <w:rFonts w:cstheme="minorHAnsi"/>
        </w:rPr>
        <w:t>.</w:t>
      </w:r>
      <w:r w:rsidR="001F7F26" w:rsidRPr="002F0AD3">
        <w:rPr>
          <w:rFonts w:cstheme="minorHAnsi"/>
        </w:rPr>
        <w:t xml:space="preserve"> A briefing on COP13 to the Permanent Missions </w:t>
      </w:r>
      <w:r w:rsidR="008A384C" w:rsidRPr="002F0AD3">
        <w:rPr>
          <w:rFonts w:cstheme="minorHAnsi"/>
        </w:rPr>
        <w:t>to</w:t>
      </w:r>
      <w:r w:rsidR="001F7F26" w:rsidRPr="002F0AD3">
        <w:rPr>
          <w:rFonts w:cstheme="minorHAnsi"/>
        </w:rPr>
        <w:t xml:space="preserve"> the United Nations in Geneva also h</w:t>
      </w:r>
      <w:r w:rsidR="00A52454" w:rsidRPr="002F0AD3">
        <w:rPr>
          <w:rFonts w:cstheme="minorHAnsi"/>
        </w:rPr>
        <w:t>osted by UNOG is scheduled for 1</w:t>
      </w:r>
      <w:r w:rsidR="009B0849" w:rsidRPr="002F0AD3">
        <w:rPr>
          <w:rFonts w:cstheme="minorHAnsi"/>
        </w:rPr>
        <w:t>3</w:t>
      </w:r>
      <w:r w:rsidR="001F7F26" w:rsidRPr="002F0AD3">
        <w:rPr>
          <w:rFonts w:cstheme="minorHAnsi"/>
        </w:rPr>
        <w:t xml:space="preserve"> September</w:t>
      </w:r>
      <w:r w:rsidR="00A52454" w:rsidRPr="002F0AD3">
        <w:rPr>
          <w:rFonts w:cstheme="minorHAnsi"/>
        </w:rPr>
        <w:t xml:space="preserve"> 2018</w:t>
      </w:r>
      <w:r w:rsidR="001F7F26" w:rsidRPr="002F0AD3">
        <w:rPr>
          <w:rFonts w:cstheme="minorHAnsi"/>
        </w:rPr>
        <w:t xml:space="preserve">. </w:t>
      </w:r>
    </w:p>
    <w:p w14:paraId="1F670B16" w14:textId="77777777" w:rsidR="00DB1663" w:rsidRPr="002F0AD3" w:rsidRDefault="00DB1663" w:rsidP="00C81B75">
      <w:pPr>
        <w:pStyle w:val="NormalNonumber"/>
        <w:spacing w:after="0"/>
        <w:ind w:left="425" w:hanging="425"/>
        <w:rPr>
          <w:rFonts w:asciiTheme="minorHAnsi" w:hAnsiTheme="minorHAnsi" w:cstheme="minorHAnsi"/>
          <w:sz w:val="22"/>
          <w:szCs w:val="22"/>
        </w:rPr>
      </w:pPr>
    </w:p>
    <w:p w14:paraId="4F210C8E" w14:textId="230ADD80" w:rsidR="00DB1663" w:rsidRPr="002F0AD3" w:rsidRDefault="00E25439" w:rsidP="005D05E1">
      <w:pPr>
        <w:rPr>
          <w:rFonts w:cstheme="minorHAnsi"/>
        </w:rPr>
      </w:pPr>
      <w:r>
        <w:rPr>
          <w:rFonts w:cstheme="minorHAnsi"/>
        </w:rPr>
        <w:t>23</w:t>
      </w:r>
      <w:r w:rsidR="005D05E1">
        <w:rPr>
          <w:rFonts w:cstheme="minorHAnsi"/>
        </w:rPr>
        <w:t>.</w:t>
      </w:r>
      <w:r w:rsidR="005D05E1">
        <w:rPr>
          <w:rFonts w:cstheme="minorHAnsi"/>
        </w:rPr>
        <w:tab/>
      </w:r>
      <w:r w:rsidR="00DB1663" w:rsidRPr="002F0AD3">
        <w:rPr>
          <w:rFonts w:cstheme="minorHAnsi"/>
        </w:rPr>
        <w:t>Other highlights include:</w:t>
      </w:r>
    </w:p>
    <w:p w14:paraId="41EB7AF4" w14:textId="77777777" w:rsidR="0071474A" w:rsidRPr="002F0AD3" w:rsidRDefault="0071474A" w:rsidP="00C81B75">
      <w:pPr>
        <w:ind w:left="0" w:firstLine="0"/>
        <w:rPr>
          <w:rFonts w:cstheme="minorHAnsi"/>
        </w:rPr>
      </w:pPr>
    </w:p>
    <w:p w14:paraId="01D8B48B" w14:textId="1ED608D3" w:rsidR="00FF20E2" w:rsidRPr="002F0AD3" w:rsidRDefault="00DB1663" w:rsidP="005D05E1">
      <w:pPr>
        <w:pStyle w:val="ListParagraph"/>
        <w:numPr>
          <w:ilvl w:val="0"/>
          <w:numId w:val="2"/>
        </w:numPr>
        <w:ind w:left="850" w:hanging="425"/>
        <w:rPr>
          <w:rFonts w:cstheme="minorHAnsi"/>
        </w:rPr>
      </w:pPr>
      <w:r w:rsidRPr="002F0AD3">
        <w:rPr>
          <w:rFonts w:cstheme="minorHAnsi"/>
        </w:rPr>
        <w:t>P</w:t>
      </w:r>
      <w:r w:rsidR="009461BB" w:rsidRPr="002F0AD3">
        <w:rPr>
          <w:rFonts w:cstheme="minorHAnsi"/>
        </w:rPr>
        <w:t>articipat</w:t>
      </w:r>
      <w:r w:rsidRPr="002F0AD3">
        <w:rPr>
          <w:rFonts w:cstheme="minorHAnsi"/>
        </w:rPr>
        <w:t xml:space="preserve">ion </w:t>
      </w:r>
      <w:r w:rsidR="009461BB" w:rsidRPr="002F0AD3">
        <w:rPr>
          <w:rFonts w:cstheme="minorHAnsi"/>
        </w:rPr>
        <w:t xml:space="preserve">in the </w:t>
      </w:r>
      <w:r w:rsidR="6A1F65DE" w:rsidRPr="002F0AD3">
        <w:rPr>
          <w:rFonts w:cstheme="minorHAnsi"/>
        </w:rPr>
        <w:t xml:space="preserve">13th session of the Committee on Science and Technology </w:t>
      </w:r>
      <w:r w:rsidR="00E32679" w:rsidRPr="002F0AD3">
        <w:rPr>
          <w:rFonts w:cstheme="minorHAnsi"/>
        </w:rPr>
        <w:t>of UNCCD</w:t>
      </w:r>
      <w:r w:rsidR="00BB2402" w:rsidRPr="002F0AD3">
        <w:rPr>
          <w:rFonts w:cstheme="minorHAnsi"/>
        </w:rPr>
        <w:t>,</w:t>
      </w:r>
      <w:r w:rsidR="00E32679" w:rsidRPr="002F0AD3">
        <w:rPr>
          <w:rFonts w:cstheme="minorHAnsi"/>
        </w:rPr>
        <w:t xml:space="preserve"> </w:t>
      </w:r>
      <w:r w:rsidR="6A1F65DE" w:rsidRPr="002F0AD3">
        <w:rPr>
          <w:rFonts w:cstheme="minorHAnsi"/>
        </w:rPr>
        <w:t>in Ordos, China, 6</w:t>
      </w:r>
      <w:r w:rsidR="00E75F51" w:rsidRPr="002F0AD3">
        <w:rPr>
          <w:rFonts w:cstheme="minorHAnsi"/>
        </w:rPr>
        <w:t>-</w:t>
      </w:r>
      <w:r w:rsidR="6A1F65DE" w:rsidRPr="002F0AD3">
        <w:rPr>
          <w:rFonts w:cstheme="minorHAnsi"/>
        </w:rPr>
        <w:t>9 Septemb</w:t>
      </w:r>
      <w:r w:rsidR="00CC3412" w:rsidRPr="002F0AD3">
        <w:rPr>
          <w:rFonts w:cstheme="minorHAnsi"/>
        </w:rPr>
        <w:t>er 2017</w:t>
      </w:r>
      <w:r w:rsidR="009461BB" w:rsidRPr="002F0AD3">
        <w:rPr>
          <w:rFonts w:cstheme="minorHAnsi"/>
        </w:rPr>
        <w:t>, including a presentation at the IBPES Progress Briefing on the Comprehensive Assessment of Land Degradation and Restoration</w:t>
      </w:r>
      <w:r w:rsidR="00FF20E2" w:rsidRPr="002F0AD3">
        <w:rPr>
          <w:rFonts w:cstheme="minorHAnsi"/>
        </w:rPr>
        <w:t>. Di</w:t>
      </w:r>
      <w:r w:rsidR="009461BB" w:rsidRPr="002F0AD3">
        <w:rPr>
          <w:rFonts w:cstheme="minorHAnsi"/>
        </w:rPr>
        <w:t>scussion</w:t>
      </w:r>
      <w:r w:rsidR="00FF20E2" w:rsidRPr="002F0AD3">
        <w:rPr>
          <w:rFonts w:cstheme="minorHAnsi"/>
        </w:rPr>
        <w:t>s</w:t>
      </w:r>
      <w:r w:rsidR="009461BB" w:rsidRPr="002F0AD3">
        <w:rPr>
          <w:rFonts w:cstheme="minorHAnsi"/>
        </w:rPr>
        <w:t xml:space="preserve"> with</w:t>
      </w:r>
      <w:r w:rsidR="6A1F65DE" w:rsidRPr="002F0AD3">
        <w:rPr>
          <w:rFonts w:cstheme="minorHAnsi"/>
        </w:rPr>
        <w:t xml:space="preserve"> </w:t>
      </w:r>
      <w:r w:rsidR="0058770D">
        <w:rPr>
          <w:rFonts w:cstheme="minorHAnsi"/>
        </w:rPr>
        <w:t xml:space="preserve">the </w:t>
      </w:r>
      <w:r w:rsidR="6A1F65DE" w:rsidRPr="002F0AD3">
        <w:rPr>
          <w:rFonts w:cstheme="minorHAnsi"/>
        </w:rPr>
        <w:t>UNCCD Secretariat</w:t>
      </w:r>
      <w:r w:rsidR="00FF20E2" w:rsidRPr="002F0AD3">
        <w:rPr>
          <w:rFonts w:cstheme="minorHAnsi"/>
        </w:rPr>
        <w:t xml:space="preserve"> are ongoing </w:t>
      </w:r>
      <w:r w:rsidR="009461BB" w:rsidRPr="002F0AD3">
        <w:rPr>
          <w:rFonts w:cstheme="minorHAnsi"/>
        </w:rPr>
        <w:t>on</w:t>
      </w:r>
      <w:r w:rsidR="6A1F65DE" w:rsidRPr="002F0AD3">
        <w:rPr>
          <w:rFonts w:cstheme="minorHAnsi"/>
        </w:rPr>
        <w:t xml:space="preserve"> opportunities for collaboration</w:t>
      </w:r>
      <w:r w:rsidR="00B5326D" w:rsidRPr="002F0AD3">
        <w:rPr>
          <w:rFonts w:cstheme="minorHAnsi"/>
        </w:rPr>
        <w:t>;</w:t>
      </w:r>
    </w:p>
    <w:p w14:paraId="56CBE952" w14:textId="77777777" w:rsidR="009B0849" w:rsidRPr="005D05E1" w:rsidRDefault="009B0849" w:rsidP="005D05E1">
      <w:pPr>
        <w:rPr>
          <w:rFonts w:cstheme="minorHAnsi"/>
        </w:rPr>
      </w:pPr>
    </w:p>
    <w:p w14:paraId="585301A1" w14:textId="1FC45059" w:rsidR="009B0849" w:rsidRPr="002F0AD3" w:rsidRDefault="009B0849" w:rsidP="005D05E1">
      <w:pPr>
        <w:pStyle w:val="ListParagraph"/>
        <w:numPr>
          <w:ilvl w:val="0"/>
          <w:numId w:val="2"/>
        </w:numPr>
        <w:ind w:left="850" w:hanging="425"/>
        <w:rPr>
          <w:rFonts w:cstheme="minorHAnsi"/>
        </w:rPr>
      </w:pPr>
      <w:r w:rsidRPr="002F0AD3">
        <w:rPr>
          <w:rFonts w:cstheme="minorHAnsi"/>
        </w:rPr>
        <w:t xml:space="preserve">Participation in the COP of the Convention on Migratory Species (CMS) held on 23-28 October 2017, where the Secretariat was represented </w:t>
      </w:r>
      <w:r w:rsidR="00B5326D" w:rsidRPr="002F0AD3">
        <w:rPr>
          <w:rFonts w:cstheme="minorHAnsi"/>
        </w:rPr>
        <w:t>at</w:t>
      </w:r>
      <w:r w:rsidRPr="002F0AD3">
        <w:rPr>
          <w:rFonts w:cstheme="minorHAnsi"/>
        </w:rPr>
        <w:t xml:space="preserve"> the High Level Panel discussion on “Pollution and Wildlife” and in three side events</w:t>
      </w:r>
      <w:r w:rsidR="00B5326D" w:rsidRPr="002F0AD3">
        <w:rPr>
          <w:rFonts w:cstheme="minorHAnsi"/>
        </w:rPr>
        <w:t>;</w:t>
      </w:r>
    </w:p>
    <w:p w14:paraId="7192DA10" w14:textId="77777777" w:rsidR="00127E63" w:rsidRPr="005D05E1" w:rsidRDefault="00127E63" w:rsidP="005D05E1">
      <w:pPr>
        <w:rPr>
          <w:rFonts w:cstheme="minorHAnsi"/>
        </w:rPr>
      </w:pPr>
    </w:p>
    <w:p w14:paraId="0DEA984A" w14:textId="6C763853" w:rsidR="009D4535" w:rsidRPr="002F0AD3" w:rsidRDefault="0071474A" w:rsidP="005D05E1">
      <w:pPr>
        <w:pStyle w:val="ListParagraph"/>
        <w:numPr>
          <w:ilvl w:val="0"/>
          <w:numId w:val="2"/>
        </w:numPr>
        <w:ind w:left="850" w:hanging="425"/>
        <w:rPr>
          <w:rFonts w:cstheme="minorHAnsi"/>
        </w:rPr>
      </w:pPr>
      <w:r w:rsidRPr="002F0AD3">
        <w:rPr>
          <w:rFonts w:cstheme="minorHAnsi"/>
        </w:rPr>
        <w:t>Engagement in the water agenda including participation in</w:t>
      </w:r>
      <w:r w:rsidR="00AC3549" w:rsidRPr="002F0AD3">
        <w:rPr>
          <w:rFonts w:cstheme="minorHAnsi"/>
        </w:rPr>
        <w:t>:</w:t>
      </w:r>
      <w:r w:rsidRPr="002F0AD3">
        <w:rPr>
          <w:rFonts w:cstheme="minorHAnsi"/>
        </w:rPr>
        <w:t xml:space="preserve"> </w:t>
      </w:r>
      <w:r w:rsidR="00863509" w:rsidRPr="002F0AD3">
        <w:rPr>
          <w:rFonts w:cstheme="minorHAnsi"/>
        </w:rPr>
        <w:t>the 2016 International Water Summit in Abu Dhabi (18-21 January 2016)</w:t>
      </w:r>
      <w:r w:rsidR="009B0849" w:rsidRPr="002F0AD3">
        <w:rPr>
          <w:rFonts w:cstheme="minorHAnsi"/>
        </w:rPr>
        <w:t>;</w:t>
      </w:r>
      <w:r w:rsidR="00863509" w:rsidRPr="002F0AD3">
        <w:rPr>
          <w:rFonts w:cstheme="minorHAnsi"/>
        </w:rPr>
        <w:t xml:space="preserve"> Budapest Water Summit (28-30 November 2016)</w:t>
      </w:r>
      <w:r w:rsidR="009B0849" w:rsidRPr="002F0AD3">
        <w:rPr>
          <w:rFonts w:cstheme="minorHAnsi"/>
        </w:rPr>
        <w:t>;</w:t>
      </w:r>
      <w:r w:rsidR="00863509" w:rsidRPr="002F0AD3">
        <w:rPr>
          <w:rFonts w:cstheme="minorHAnsi"/>
        </w:rPr>
        <w:t xml:space="preserve"> Stockholm World Water Week 2016 (28 August – 2 September 2016) </w:t>
      </w:r>
      <w:r w:rsidR="009B0849" w:rsidRPr="002F0AD3">
        <w:rPr>
          <w:rFonts w:cstheme="minorHAnsi"/>
        </w:rPr>
        <w:t xml:space="preserve">and </w:t>
      </w:r>
      <w:r w:rsidR="00863509" w:rsidRPr="002F0AD3">
        <w:rPr>
          <w:rFonts w:cstheme="minorHAnsi"/>
        </w:rPr>
        <w:t>2017 (24</w:t>
      </w:r>
      <w:r w:rsidR="004D2127">
        <w:rPr>
          <w:rFonts w:cstheme="minorHAnsi"/>
        </w:rPr>
        <w:t>-</w:t>
      </w:r>
      <w:r w:rsidR="00863509" w:rsidRPr="002F0AD3">
        <w:rPr>
          <w:rFonts w:cstheme="minorHAnsi"/>
        </w:rPr>
        <w:t>31 August 2017)</w:t>
      </w:r>
      <w:r w:rsidR="00E25E60" w:rsidRPr="002F0AD3">
        <w:rPr>
          <w:rFonts w:cstheme="minorHAnsi"/>
        </w:rPr>
        <w:t xml:space="preserve"> </w:t>
      </w:r>
      <w:r w:rsidR="00863509" w:rsidRPr="002F0AD3">
        <w:rPr>
          <w:rFonts w:cstheme="minorHAnsi"/>
        </w:rPr>
        <w:t xml:space="preserve">including </w:t>
      </w:r>
      <w:r w:rsidR="009B0849" w:rsidRPr="002F0AD3">
        <w:rPr>
          <w:rFonts w:cstheme="minorHAnsi"/>
        </w:rPr>
        <w:t xml:space="preserve">meetings of </w:t>
      </w:r>
      <w:r w:rsidR="6A1F65DE" w:rsidRPr="002F0AD3">
        <w:rPr>
          <w:rFonts w:cstheme="minorHAnsi"/>
        </w:rPr>
        <w:t>UN-Water</w:t>
      </w:r>
      <w:r w:rsidR="00E25E60" w:rsidRPr="002F0AD3">
        <w:rPr>
          <w:rFonts w:cstheme="minorHAnsi"/>
        </w:rPr>
        <w:t xml:space="preserve"> and participation as panellists</w:t>
      </w:r>
      <w:r w:rsidR="0078142B">
        <w:rPr>
          <w:rFonts w:cstheme="minorHAnsi"/>
        </w:rPr>
        <w:t xml:space="preserve"> </w:t>
      </w:r>
      <w:r w:rsidR="00E25E60" w:rsidRPr="002F0AD3">
        <w:rPr>
          <w:rFonts w:cstheme="minorHAnsi"/>
        </w:rPr>
        <w:t>in the high-level dialogue session on Building a Resilient Future through Water and events on Alliance for Freshwater Life, Nature-Based Solutions for Better Climate Resistance, and Source-to-Sea Balancing Act</w:t>
      </w:r>
      <w:r w:rsidR="00DB1663" w:rsidRPr="002F0AD3">
        <w:rPr>
          <w:rFonts w:cstheme="minorHAnsi"/>
        </w:rPr>
        <w:t xml:space="preserve">; </w:t>
      </w:r>
      <w:r w:rsidR="00E25E60" w:rsidRPr="002F0AD3">
        <w:rPr>
          <w:rFonts w:cstheme="minorHAnsi"/>
        </w:rPr>
        <w:t>8</w:t>
      </w:r>
      <w:r w:rsidR="00E25E60" w:rsidRPr="005D05E1">
        <w:rPr>
          <w:rFonts w:cstheme="minorHAnsi"/>
        </w:rPr>
        <w:t>th</w:t>
      </w:r>
      <w:r w:rsidR="00E25E60" w:rsidRPr="002F0AD3">
        <w:rPr>
          <w:rFonts w:cstheme="minorHAnsi"/>
        </w:rPr>
        <w:t xml:space="preserve"> Water Forum in Brasilia 18-23 March 2018; </w:t>
      </w:r>
      <w:r w:rsidR="00DB1663" w:rsidRPr="002F0AD3">
        <w:rPr>
          <w:rFonts w:cstheme="minorHAnsi"/>
        </w:rPr>
        <w:t xml:space="preserve">and </w:t>
      </w:r>
      <w:r w:rsidR="009461BB" w:rsidRPr="002F0AD3">
        <w:rPr>
          <w:rFonts w:cstheme="minorHAnsi"/>
        </w:rPr>
        <w:t xml:space="preserve">input to </w:t>
      </w:r>
      <w:r w:rsidR="6A1F65DE" w:rsidRPr="002F0AD3">
        <w:rPr>
          <w:rFonts w:cstheme="minorHAnsi"/>
        </w:rPr>
        <w:t xml:space="preserve">the World Water Development Report 2018 focused on </w:t>
      </w:r>
      <w:r w:rsidR="00652DF0" w:rsidRPr="002F0AD3">
        <w:rPr>
          <w:rFonts w:cstheme="minorHAnsi"/>
        </w:rPr>
        <w:t>“</w:t>
      </w:r>
      <w:r w:rsidR="6A1F65DE" w:rsidRPr="002F0AD3">
        <w:rPr>
          <w:rFonts w:cstheme="minorHAnsi"/>
        </w:rPr>
        <w:t>Nature and Water</w:t>
      </w:r>
      <w:r w:rsidR="00652DF0" w:rsidRPr="002F0AD3">
        <w:rPr>
          <w:rFonts w:cstheme="minorHAnsi"/>
        </w:rPr>
        <w:t>”</w:t>
      </w:r>
      <w:r w:rsidR="00BA6D48" w:rsidRPr="002F0AD3">
        <w:rPr>
          <w:rFonts w:cstheme="minorHAnsi"/>
        </w:rPr>
        <w:t xml:space="preserve"> </w:t>
      </w:r>
      <w:r w:rsidR="009461BB" w:rsidRPr="002F0AD3">
        <w:rPr>
          <w:rFonts w:cstheme="minorHAnsi"/>
        </w:rPr>
        <w:t>launch</w:t>
      </w:r>
      <w:r w:rsidR="00B176C6" w:rsidRPr="002F0AD3">
        <w:rPr>
          <w:rFonts w:cstheme="minorHAnsi"/>
        </w:rPr>
        <w:t>ed</w:t>
      </w:r>
      <w:r w:rsidR="005D05E1">
        <w:rPr>
          <w:rFonts w:cstheme="minorHAnsi"/>
        </w:rPr>
        <w:t xml:space="preserve"> in March 2018</w:t>
      </w:r>
      <w:r w:rsidR="00231248" w:rsidRPr="002F0AD3">
        <w:rPr>
          <w:rFonts w:cstheme="minorHAnsi"/>
        </w:rPr>
        <w:t>;</w:t>
      </w:r>
    </w:p>
    <w:p w14:paraId="3F4D8C69" w14:textId="77777777" w:rsidR="005D05E1" w:rsidRPr="005D05E1" w:rsidRDefault="005D05E1" w:rsidP="005D05E1">
      <w:pPr>
        <w:rPr>
          <w:rFonts w:cstheme="minorHAnsi"/>
        </w:rPr>
      </w:pPr>
    </w:p>
    <w:p w14:paraId="619079F6" w14:textId="10128D9D" w:rsidR="009461BB" w:rsidRPr="002F0AD3" w:rsidRDefault="00DB1663" w:rsidP="004D2127">
      <w:pPr>
        <w:pStyle w:val="ListParagraph"/>
        <w:numPr>
          <w:ilvl w:val="0"/>
          <w:numId w:val="2"/>
        </w:numPr>
        <w:ind w:left="850" w:hanging="425"/>
        <w:rPr>
          <w:rFonts w:cstheme="minorHAnsi"/>
        </w:rPr>
      </w:pPr>
      <w:r w:rsidRPr="002F0AD3">
        <w:rPr>
          <w:rFonts w:cstheme="minorHAnsi"/>
        </w:rPr>
        <w:t xml:space="preserve">Contribution to </w:t>
      </w:r>
      <w:r w:rsidR="009B0849" w:rsidRPr="002F0AD3">
        <w:rPr>
          <w:rFonts w:cstheme="minorHAnsi"/>
        </w:rPr>
        <w:t xml:space="preserve">important </w:t>
      </w:r>
      <w:r w:rsidR="000C3B92" w:rsidRPr="002F0AD3">
        <w:rPr>
          <w:rFonts w:cstheme="minorHAnsi"/>
        </w:rPr>
        <w:t>assessments,</w:t>
      </w:r>
      <w:r w:rsidR="009B0849" w:rsidRPr="002F0AD3">
        <w:rPr>
          <w:rFonts w:cstheme="minorHAnsi"/>
        </w:rPr>
        <w:t xml:space="preserve"> in addition to those of IPBES, </w:t>
      </w:r>
      <w:r w:rsidR="000C3B92" w:rsidRPr="002F0AD3">
        <w:rPr>
          <w:rFonts w:cstheme="minorHAnsi"/>
        </w:rPr>
        <w:t>in particular</w:t>
      </w:r>
      <w:r w:rsidR="0096673C" w:rsidRPr="002F0AD3">
        <w:rPr>
          <w:rFonts w:cstheme="minorHAnsi"/>
        </w:rPr>
        <w:t>:</w:t>
      </w:r>
      <w:r w:rsidR="004D2127">
        <w:rPr>
          <w:rFonts w:cstheme="minorHAnsi"/>
        </w:rPr>
        <w:t xml:space="preserve"> the sixth </w:t>
      </w:r>
      <w:r w:rsidR="004D2127" w:rsidRPr="004D2127">
        <w:rPr>
          <w:rFonts w:cstheme="minorHAnsi"/>
        </w:rPr>
        <w:t>Global Environment Outlook</w:t>
      </w:r>
      <w:r w:rsidR="000C3B92" w:rsidRPr="004D2127">
        <w:rPr>
          <w:rFonts w:cstheme="minorHAnsi"/>
        </w:rPr>
        <w:t xml:space="preserve"> </w:t>
      </w:r>
      <w:r w:rsidR="004D2127">
        <w:rPr>
          <w:rFonts w:cstheme="minorHAnsi"/>
        </w:rPr>
        <w:t>(</w:t>
      </w:r>
      <w:r w:rsidR="000C3B92" w:rsidRPr="002F0AD3">
        <w:rPr>
          <w:rFonts w:cstheme="minorHAnsi"/>
        </w:rPr>
        <w:t>GEO-6</w:t>
      </w:r>
      <w:r w:rsidR="004D2127">
        <w:rPr>
          <w:rFonts w:cstheme="minorHAnsi"/>
        </w:rPr>
        <w:t>)</w:t>
      </w:r>
      <w:r w:rsidR="000C3B92" w:rsidRPr="002F0AD3">
        <w:rPr>
          <w:rFonts w:cstheme="minorHAnsi"/>
        </w:rPr>
        <w:t xml:space="preserve"> </w:t>
      </w:r>
      <w:r w:rsidR="004D2127" w:rsidRPr="002F0AD3">
        <w:rPr>
          <w:rFonts w:cstheme="minorHAnsi"/>
        </w:rPr>
        <w:t>freshwater chapter</w:t>
      </w:r>
      <w:r w:rsidR="004D2127">
        <w:rPr>
          <w:rFonts w:cstheme="minorHAnsi"/>
        </w:rPr>
        <w:t>;</w:t>
      </w:r>
      <w:r w:rsidRPr="002F0AD3">
        <w:rPr>
          <w:rFonts w:cstheme="minorHAnsi"/>
        </w:rPr>
        <w:t xml:space="preserve"> and </w:t>
      </w:r>
      <w:r w:rsidR="00FF20E2" w:rsidRPr="002F0AD3">
        <w:rPr>
          <w:rFonts w:cstheme="minorHAnsi"/>
        </w:rPr>
        <w:t xml:space="preserve">engagement of </w:t>
      </w:r>
      <w:r w:rsidR="00652DF0" w:rsidRPr="002F0AD3">
        <w:rPr>
          <w:rFonts w:cstheme="minorHAnsi"/>
        </w:rPr>
        <w:t xml:space="preserve">the </w:t>
      </w:r>
      <w:r w:rsidR="00FF20E2" w:rsidRPr="002F0AD3">
        <w:rPr>
          <w:rFonts w:cstheme="minorHAnsi"/>
        </w:rPr>
        <w:t xml:space="preserve">STRP in </w:t>
      </w:r>
      <w:r w:rsidR="000D63DF" w:rsidRPr="002F0AD3">
        <w:rPr>
          <w:rFonts w:cstheme="minorHAnsi"/>
        </w:rPr>
        <w:t>the call for reviewers of the I</w:t>
      </w:r>
      <w:r w:rsidR="003910BE" w:rsidRPr="002F0AD3">
        <w:rPr>
          <w:rFonts w:cstheme="minorHAnsi"/>
        </w:rPr>
        <w:t>ntergovernmental Panel on Climate Change (IP</w:t>
      </w:r>
      <w:r w:rsidR="000D63DF" w:rsidRPr="002F0AD3">
        <w:rPr>
          <w:rFonts w:cstheme="minorHAnsi"/>
        </w:rPr>
        <w:t>CC</w:t>
      </w:r>
      <w:r w:rsidR="003910BE" w:rsidRPr="002F0AD3">
        <w:rPr>
          <w:rFonts w:cstheme="minorHAnsi"/>
        </w:rPr>
        <w:t>)</w:t>
      </w:r>
      <w:r w:rsidR="000D63DF" w:rsidRPr="002F0AD3">
        <w:rPr>
          <w:rFonts w:cstheme="minorHAnsi"/>
        </w:rPr>
        <w:t xml:space="preserve"> first order draft of the 2019 Refinement to the 2006 IPCC Guidelines for Nati</w:t>
      </w:r>
      <w:r w:rsidR="00FF20E2" w:rsidRPr="002F0AD3">
        <w:rPr>
          <w:rFonts w:cstheme="minorHAnsi"/>
        </w:rPr>
        <w:t>onal Greenhouse Gas Inventories</w:t>
      </w:r>
      <w:r w:rsidR="00231248" w:rsidRPr="002F0AD3">
        <w:rPr>
          <w:rFonts w:cstheme="minorHAnsi"/>
        </w:rPr>
        <w:t>;</w:t>
      </w:r>
      <w:r w:rsidR="000D63DF" w:rsidRPr="002F0AD3">
        <w:rPr>
          <w:rFonts w:cstheme="minorHAnsi"/>
        </w:rPr>
        <w:t xml:space="preserve"> </w:t>
      </w:r>
      <w:r w:rsidR="00231248" w:rsidRPr="002F0AD3">
        <w:rPr>
          <w:rFonts w:cstheme="minorHAnsi"/>
        </w:rPr>
        <w:t>and</w:t>
      </w:r>
    </w:p>
    <w:p w14:paraId="7EA3B665" w14:textId="77777777" w:rsidR="00C72D5E" w:rsidRPr="005D05E1" w:rsidRDefault="00C72D5E" w:rsidP="005D05E1">
      <w:pPr>
        <w:rPr>
          <w:rFonts w:cstheme="minorHAnsi"/>
        </w:rPr>
      </w:pPr>
    </w:p>
    <w:p w14:paraId="69992D56" w14:textId="6F6D33E7" w:rsidR="0071474A" w:rsidRPr="002F0AD3" w:rsidRDefault="00E32679" w:rsidP="005D05E1">
      <w:pPr>
        <w:pStyle w:val="ListParagraph"/>
        <w:numPr>
          <w:ilvl w:val="0"/>
          <w:numId w:val="2"/>
        </w:numPr>
        <w:ind w:left="850" w:hanging="425"/>
        <w:rPr>
          <w:rFonts w:cstheme="minorHAnsi"/>
        </w:rPr>
      </w:pPr>
      <w:r w:rsidRPr="002F0AD3">
        <w:rPr>
          <w:rFonts w:cstheme="minorHAnsi"/>
        </w:rPr>
        <w:t xml:space="preserve">Collaboration with </w:t>
      </w:r>
      <w:r w:rsidR="00755739" w:rsidRPr="002F0AD3">
        <w:rPr>
          <w:rFonts w:cstheme="minorHAnsi"/>
        </w:rPr>
        <w:t xml:space="preserve">the Secretariat of AEWA as a member of the </w:t>
      </w:r>
      <w:r w:rsidR="00FC5A0A" w:rsidRPr="002F0AD3">
        <w:rPr>
          <w:rFonts w:cstheme="minorHAnsi"/>
        </w:rPr>
        <w:t xml:space="preserve">Steering Committee </w:t>
      </w:r>
      <w:r w:rsidR="00755739" w:rsidRPr="002F0AD3">
        <w:rPr>
          <w:rFonts w:cstheme="minorHAnsi"/>
        </w:rPr>
        <w:t xml:space="preserve">of the project </w:t>
      </w:r>
      <w:r w:rsidR="00652DF0" w:rsidRPr="002F0AD3">
        <w:rPr>
          <w:rFonts w:cstheme="minorHAnsi"/>
        </w:rPr>
        <w:t>“</w:t>
      </w:r>
      <w:r w:rsidR="00755739" w:rsidRPr="002F0AD3">
        <w:rPr>
          <w:rFonts w:cstheme="minorHAnsi"/>
        </w:rPr>
        <w:t>Renforcement d</w:t>
      </w:r>
      <w:r w:rsidR="00F04B42" w:rsidRPr="002F0AD3">
        <w:rPr>
          <w:rFonts w:cstheme="minorHAnsi"/>
        </w:rPr>
        <w:t>’</w:t>
      </w:r>
      <w:r w:rsidR="00755739" w:rsidRPr="002F0AD3">
        <w:rPr>
          <w:rFonts w:cstheme="minorHAnsi"/>
        </w:rPr>
        <w:t xml:space="preserve">Expertise au Sud du Sahara sur les Oiseaux </w:t>
      </w:r>
      <w:r w:rsidR="008A384C" w:rsidRPr="002F0AD3">
        <w:rPr>
          <w:rFonts w:cstheme="minorHAnsi"/>
        </w:rPr>
        <w:t xml:space="preserve">et leur Utilisation Rationnelle </w:t>
      </w:r>
      <w:r w:rsidR="00755739" w:rsidRPr="002F0AD3">
        <w:rPr>
          <w:rFonts w:cstheme="minorHAnsi"/>
        </w:rPr>
        <w:t>en faveur des Communautés et de leur Environnement</w:t>
      </w:r>
      <w:r w:rsidR="00652DF0" w:rsidRPr="002F0AD3">
        <w:rPr>
          <w:rFonts w:cstheme="minorHAnsi"/>
        </w:rPr>
        <w:t>”</w:t>
      </w:r>
      <w:r w:rsidRPr="002F0AD3">
        <w:rPr>
          <w:rFonts w:cstheme="minorHAnsi"/>
        </w:rPr>
        <w:t xml:space="preserve"> of the</w:t>
      </w:r>
      <w:r w:rsidR="00173630" w:rsidRPr="002F0AD3">
        <w:rPr>
          <w:rFonts w:cstheme="minorHAnsi"/>
        </w:rPr>
        <w:t xml:space="preserve"> UN</w:t>
      </w:r>
      <w:r w:rsidRPr="002F0AD3">
        <w:rPr>
          <w:rFonts w:cstheme="minorHAnsi"/>
        </w:rPr>
        <w:t xml:space="preserve"> Food and Agriculture Organization (FAO)</w:t>
      </w:r>
      <w:r w:rsidR="00FC5A0A" w:rsidRPr="002F0AD3">
        <w:rPr>
          <w:rFonts w:cstheme="minorHAnsi"/>
        </w:rPr>
        <w:t xml:space="preserve">. </w:t>
      </w:r>
    </w:p>
    <w:p w14:paraId="346D24C5" w14:textId="77777777" w:rsidR="009461BB" w:rsidRPr="002F0AD3" w:rsidRDefault="009461BB" w:rsidP="00C81B75">
      <w:pPr>
        <w:ind w:left="0" w:firstLine="0"/>
        <w:rPr>
          <w:rFonts w:cstheme="minorHAnsi"/>
        </w:rPr>
      </w:pPr>
    </w:p>
    <w:p w14:paraId="595C76EE" w14:textId="5EAA613A" w:rsidR="000D54A1" w:rsidRPr="002F0AD3" w:rsidRDefault="005D05E1" w:rsidP="005D05E1">
      <w:pPr>
        <w:rPr>
          <w:rFonts w:cstheme="minorHAnsi"/>
        </w:rPr>
      </w:pPr>
      <w:r>
        <w:rPr>
          <w:rFonts w:cstheme="minorHAnsi"/>
        </w:rPr>
        <w:t>2</w:t>
      </w:r>
      <w:r w:rsidR="00E25439">
        <w:rPr>
          <w:rFonts w:cstheme="minorHAnsi"/>
        </w:rPr>
        <w:t>4</w:t>
      </w:r>
      <w:r>
        <w:rPr>
          <w:rFonts w:cstheme="minorHAnsi"/>
        </w:rPr>
        <w:t>.</w:t>
      </w:r>
      <w:r>
        <w:rPr>
          <w:rFonts w:cstheme="minorHAnsi"/>
        </w:rPr>
        <w:tab/>
      </w:r>
      <w:r w:rsidR="006924FE" w:rsidRPr="005D05E1">
        <w:rPr>
          <w:rFonts w:cstheme="minorHAnsi"/>
        </w:rPr>
        <w:t>In fulfilment of its mandate, the Secretariat has enhanced its engagement with relevant M</w:t>
      </w:r>
      <w:r w:rsidR="001B53BE" w:rsidRPr="005D05E1">
        <w:rPr>
          <w:rFonts w:cstheme="minorHAnsi"/>
        </w:rPr>
        <w:t xml:space="preserve">ultilateral </w:t>
      </w:r>
      <w:r w:rsidR="006924FE" w:rsidRPr="005D05E1">
        <w:rPr>
          <w:rFonts w:cstheme="minorHAnsi"/>
        </w:rPr>
        <w:t>E</w:t>
      </w:r>
      <w:r w:rsidR="001B53BE" w:rsidRPr="005D05E1">
        <w:rPr>
          <w:rFonts w:cstheme="minorHAnsi"/>
        </w:rPr>
        <w:t xml:space="preserve">nvironmental </w:t>
      </w:r>
      <w:r w:rsidR="006924FE" w:rsidRPr="005D05E1">
        <w:rPr>
          <w:rFonts w:cstheme="minorHAnsi"/>
        </w:rPr>
        <w:t>A</w:t>
      </w:r>
      <w:r w:rsidR="001B53BE" w:rsidRPr="005D05E1">
        <w:rPr>
          <w:rFonts w:cstheme="minorHAnsi"/>
        </w:rPr>
        <w:t>greement</w:t>
      </w:r>
      <w:r w:rsidR="006924FE" w:rsidRPr="005D05E1">
        <w:rPr>
          <w:rFonts w:cstheme="minorHAnsi"/>
        </w:rPr>
        <w:t>s and United Nations processes. However, a</w:t>
      </w:r>
      <w:r w:rsidR="000D54A1" w:rsidRPr="002F0AD3">
        <w:rPr>
          <w:rFonts w:cstheme="minorHAnsi"/>
        </w:rPr>
        <w:t xml:space="preserve"> major challenge during the reporting period was that the Secretariat was denied </w:t>
      </w:r>
      <w:r w:rsidR="006924FE" w:rsidRPr="002F0AD3">
        <w:rPr>
          <w:rFonts w:cstheme="minorHAnsi"/>
        </w:rPr>
        <w:t xml:space="preserve">the right to </w:t>
      </w:r>
      <w:r w:rsidR="006924FE" w:rsidRPr="002F0AD3">
        <w:rPr>
          <w:rFonts w:cstheme="minorHAnsi"/>
        </w:rPr>
        <w:lastRenderedPageBreak/>
        <w:t>participate, on behalf of the</w:t>
      </w:r>
      <w:r w:rsidR="00144197" w:rsidRPr="002F0AD3">
        <w:rPr>
          <w:rFonts w:cstheme="minorHAnsi"/>
        </w:rPr>
        <w:t xml:space="preserve"> Conve</w:t>
      </w:r>
      <w:r w:rsidR="006924FE" w:rsidRPr="002F0AD3">
        <w:rPr>
          <w:rFonts w:cstheme="minorHAnsi"/>
        </w:rPr>
        <w:t>n</w:t>
      </w:r>
      <w:r w:rsidR="00144197" w:rsidRPr="002F0AD3">
        <w:rPr>
          <w:rFonts w:cstheme="minorHAnsi"/>
        </w:rPr>
        <w:t>tion</w:t>
      </w:r>
      <w:r w:rsidR="006924FE" w:rsidRPr="002F0AD3">
        <w:rPr>
          <w:rFonts w:cstheme="minorHAnsi"/>
        </w:rPr>
        <w:t>, in the UN</w:t>
      </w:r>
      <w:r w:rsidR="000D54A1" w:rsidRPr="002F0AD3">
        <w:rPr>
          <w:rFonts w:cstheme="minorHAnsi"/>
        </w:rPr>
        <w:t xml:space="preserve"> </w:t>
      </w:r>
      <w:r w:rsidR="00652DF0" w:rsidRPr="002F0AD3">
        <w:rPr>
          <w:rFonts w:cstheme="minorHAnsi"/>
        </w:rPr>
        <w:t>H</w:t>
      </w:r>
      <w:r w:rsidR="001B53BE" w:rsidRPr="002F0AD3">
        <w:rPr>
          <w:rFonts w:cstheme="minorHAnsi"/>
        </w:rPr>
        <w:t>igh</w:t>
      </w:r>
      <w:r w:rsidR="004D2127">
        <w:rPr>
          <w:rFonts w:cstheme="minorHAnsi"/>
        </w:rPr>
        <w:t>-l</w:t>
      </w:r>
      <w:r w:rsidR="001B53BE" w:rsidRPr="002F0AD3">
        <w:rPr>
          <w:rFonts w:cstheme="minorHAnsi"/>
        </w:rPr>
        <w:t xml:space="preserve">evel </w:t>
      </w:r>
      <w:r w:rsidR="00652DF0" w:rsidRPr="002F0AD3">
        <w:rPr>
          <w:rFonts w:cstheme="minorHAnsi"/>
        </w:rPr>
        <w:t>P</w:t>
      </w:r>
      <w:r w:rsidR="001B53BE" w:rsidRPr="002F0AD3">
        <w:rPr>
          <w:rFonts w:cstheme="minorHAnsi"/>
        </w:rPr>
        <w:t xml:space="preserve">olitical </w:t>
      </w:r>
      <w:r w:rsidR="00652DF0" w:rsidRPr="002F0AD3">
        <w:rPr>
          <w:rFonts w:cstheme="minorHAnsi"/>
        </w:rPr>
        <w:t>F</w:t>
      </w:r>
      <w:r w:rsidR="001B53BE" w:rsidRPr="002F0AD3">
        <w:rPr>
          <w:rFonts w:cstheme="minorHAnsi"/>
        </w:rPr>
        <w:t>orum</w:t>
      </w:r>
      <w:r w:rsidR="000D54A1" w:rsidRPr="002F0AD3">
        <w:rPr>
          <w:rFonts w:cstheme="minorHAnsi"/>
        </w:rPr>
        <w:t xml:space="preserve"> meeting in July 2017</w:t>
      </w:r>
      <w:r w:rsidR="006924FE" w:rsidRPr="002F0AD3">
        <w:rPr>
          <w:rFonts w:cstheme="minorHAnsi"/>
        </w:rPr>
        <w:t>, which reviews the implementation of the SDGs</w:t>
      </w:r>
      <w:r w:rsidR="006924FE" w:rsidRPr="005D05E1">
        <w:rPr>
          <w:rFonts w:cstheme="minorHAnsi"/>
        </w:rPr>
        <w:t xml:space="preserve"> and the broader 2030 Agenda for Sustainable Development</w:t>
      </w:r>
      <w:r w:rsidR="00D853CB" w:rsidRPr="005D05E1">
        <w:rPr>
          <w:rFonts w:cstheme="minorHAnsi"/>
        </w:rPr>
        <w:t>. This was because the Ramsar Secretariat</w:t>
      </w:r>
      <w:r w:rsidR="006924FE" w:rsidRPr="005D05E1">
        <w:rPr>
          <w:rFonts w:cstheme="minorHAnsi"/>
        </w:rPr>
        <w:t xml:space="preserve"> does not have observer status in the UN General Assembly</w:t>
      </w:r>
      <w:r w:rsidR="00616183" w:rsidRPr="005D05E1">
        <w:rPr>
          <w:rFonts w:cstheme="minorHAnsi"/>
        </w:rPr>
        <w:t xml:space="preserve"> (UNGA)</w:t>
      </w:r>
      <w:r w:rsidR="006924FE" w:rsidRPr="005D05E1">
        <w:rPr>
          <w:rFonts w:cstheme="minorHAnsi"/>
        </w:rPr>
        <w:t xml:space="preserve">, nor in the UN Economic and Social Council, which is the UN platform for debate on sustainable development. The Secretariat informed the Executive Team and </w:t>
      </w:r>
      <w:r w:rsidR="00F4144F" w:rsidRPr="005D05E1">
        <w:rPr>
          <w:rFonts w:cstheme="minorHAnsi"/>
        </w:rPr>
        <w:t>Co-</w:t>
      </w:r>
      <w:r w:rsidR="006924FE" w:rsidRPr="005D05E1">
        <w:rPr>
          <w:rFonts w:cstheme="minorHAnsi"/>
        </w:rPr>
        <w:t xml:space="preserve">Chairs of the FWG and, with the </w:t>
      </w:r>
      <w:r w:rsidR="0058770D" w:rsidRPr="005D05E1">
        <w:rPr>
          <w:rFonts w:cstheme="minorHAnsi"/>
        </w:rPr>
        <w:t>Legal Adviser</w:t>
      </w:r>
      <w:r w:rsidR="006924FE" w:rsidRPr="005D05E1">
        <w:rPr>
          <w:rFonts w:cstheme="minorHAnsi"/>
        </w:rPr>
        <w:t>, provided support to</w:t>
      </w:r>
      <w:r w:rsidR="00B4578B" w:rsidRPr="005D05E1">
        <w:rPr>
          <w:rFonts w:cstheme="minorHAnsi"/>
        </w:rPr>
        <w:t xml:space="preserve"> Uruguay, as</w:t>
      </w:r>
      <w:r w:rsidR="006924FE" w:rsidRPr="005D05E1">
        <w:rPr>
          <w:rFonts w:cstheme="minorHAnsi"/>
        </w:rPr>
        <w:t xml:space="preserve"> the Chair of the Standing Committee</w:t>
      </w:r>
      <w:r w:rsidR="00B4578B" w:rsidRPr="005D05E1">
        <w:rPr>
          <w:rFonts w:cstheme="minorHAnsi"/>
        </w:rPr>
        <w:t>,</w:t>
      </w:r>
      <w:r w:rsidR="006924FE" w:rsidRPr="005D05E1">
        <w:rPr>
          <w:rFonts w:cstheme="minorHAnsi"/>
        </w:rPr>
        <w:t xml:space="preserve"> for a request to the General Assembly </w:t>
      </w:r>
      <w:r w:rsidR="00B4578B" w:rsidRPr="005D05E1">
        <w:rPr>
          <w:rFonts w:cstheme="minorHAnsi"/>
        </w:rPr>
        <w:t xml:space="preserve">to grant </w:t>
      </w:r>
      <w:r w:rsidR="006924FE" w:rsidRPr="005D05E1">
        <w:rPr>
          <w:rFonts w:cstheme="minorHAnsi"/>
        </w:rPr>
        <w:t>observer status</w:t>
      </w:r>
      <w:r w:rsidR="00B4578B" w:rsidRPr="005D05E1">
        <w:rPr>
          <w:rFonts w:cstheme="minorHAnsi"/>
        </w:rPr>
        <w:t xml:space="preserve"> to the Ramsar Secretariat</w:t>
      </w:r>
      <w:r w:rsidR="006924FE" w:rsidRPr="005D05E1">
        <w:rPr>
          <w:rFonts w:cstheme="minorHAnsi"/>
        </w:rPr>
        <w:t>.</w:t>
      </w:r>
      <w:r w:rsidR="000D54A1" w:rsidRPr="002F0AD3">
        <w:rPr>
          <w:rFonts w:cstheme="minorHAnsi"/>
        </w:rPr>
        <w:t xml:space="preserve"> </w:t>
      </w:r>
      <w:r w:rsidR="00616183" w:rsidRPr="002F0AD3">
        <w:rPr>
          <w:rFonts w:cstheme="minorHAnsi"/>
        </w:rPr>
        <w:t>The request was deferred until the 73rd UNGA session</w:t>
      </w:r>
      <w:r w:rsidR="00B4578B" w:rsidRPr="002F0AD3">
        <w:rPr>
          <w:rFonts w:cstheme="minorHAnsi"/>
        </w:rPr>
        <w:t>, scheduled to start on 18 September 2018,</w:t>
      </w:r>
      <w:r w:rsidR="009D4535" w:rsidRPr="002F0AD3">
        <w:rPr>
          <w:rFonts w:cstheme="minorHAnsi"/>
        </w:rPr>
        <w:t xml:space="preserve"> </w:t>
      </w:r>
      <w:r w:rsidR="009B1AA7" w:rsidRPr="002F0AD3">
        <w:rPr>
          <w:rFonts w:cstheme="minorHAnsi"/>
        </w:rPr>
        <w:t>and is included in its agenda</w:t>
      </w:r>
      <w:r w:rsidR="00616183" w:rsidRPr="002F0AD3">
        <w:rPr>
          <w:rFonts w:cstheme="minorHAnsi"/>
        </w:rPr>
        <w:t>.</w:t>
      </w:r>
      <w:r w:rsidR="00243BD9" w:rsidRPr="002F0AD3">
        <w:rPr>
          <w:rFonts w:cstheme="minorHAnsi"/>
        </w:rPr>
        <w:t xml:space="preserve"> </w:t>
      </w:r>
      <w:r w:rsidR="00B4578B" w:rsidRPr="002F0AD3">
        <w:rPr>
          <w:rFonts w:cstheme="minorHAnsi"/>
        </w:rPr>
        <w:t xml:space="preserve">At </w:t>
      </w:r>
      <w:r w:rsidR="00452CB9" w:rsidRPr="002F0AD3">
        <w:rPr>
          <w:rFonts w:cstheme="minorHAnsi"/>
        </w:rPr>
        <w:t>SC54</w:t>
      </w:r>
      <w:r w:rsidR="001B53BE" w:rsidRPr="002F0AD3">
        <w:rPr>
          <w:rFonts w:cstheme="minorHAnsi"/>
        </w:rPr>
        <w:t>,</w:t>
      </w:r>
      <w:r w:rsidR="00452CB9" w:rsidRPr="002F0AD3">
        <w:rPr>
          <w:rFonts w:cstheme="minorHAnsi"/>
        </w:rPr>
        <w:t xml:space="preserve"> in </w:t>
      </w:r>
      <w:r w:rsidR="00B4578B" w:rsidRPr="002F0AD3">
        <w:rPr>
          <w:rFonts w:cstheme="minorHAnsi"/>
        </w:rPr>
        <w:t>D</w:t>
      </w:r>
      <w:r w:rsidR="00452CB9" w:rsidRPr="002F0AD3">
        <w:rPr>
          <w:rFonts w:cstheme="minorHAnsi"/>
        </w:rPr>
        <w:t>ecision SC54-07</w:t>
      </w:r>
      <w:r w:rsidR="001B53BE" w:rsidRPr="002F0AD3">
        <w:rPr>
          <w:rFonts w:cstheme="minorHAnsi"/>
        </w:rPr>
        <w:t>,</w:t>
      </w:r>
      <w:r w:rsidR="009D4535" w:rsidRPr="002F0AD3">
        <w:rPr>
          <w:rFonts w:cstheme="minorHAnsi"/>
        </w:rPr>
        <w:t xml:space="preserve"> </w:t>
      </w:r>
      <w:r w:rsidR="00B4578B" w:rsidRPr="002F0AD3">
        <w:rPr>
          <w:rFonts w:cstheme="minorHAnsi"/>
        </w:rPr>
        <w:t xml:space="preserve">the Standing Committee </w:t>
      </w:r>
      <w:r w:rsidR="009D4535" w:rsidRPr="002F0AD3">
        <w:rPr>
          <w:rFonts w:cstheme="minorHAnsi"/>
        </w:rPr>
        <w:t>“</w:t>
      </w:r>
      <w:r w:rsidR="00452CB9" w:rsidRPr="002F0AD3">
        <w:rPr>
          <w:rFonts w:cstheme="minorHAnsi"/>
        </w:rPr>
        <w:t xml:space="preserve">instructed the Secretariat, in conjunction with interested Parties, to continue exploring options for gaining access to meetings of the United Nations General Assembly and related high-level </w:t>
      </w:r>
      <w:r w:rsidR="00B4578B" w:rsidRPr="002F0AD3">
        <w:rPr>
          <w:rFonts w:cstheme="minorHAnsi"/>
        </w:rPr>
        <w:t>fora.</w:t>
      </w:r>
      <w:r w:rsidR="00452CB9" w:rsidRPr="002F0AD3">
        <w:rPr>
          <w:rFonts w:cstheme="minorHAnsi"/>
        </w:rPr>
        <w:t>” This issue is in the agenda for SC55 and COP13. In the meantime, t</w:t>
      </w:r>
      <w:r w:rsidR="00243BD9" w:rsidRPr="002F0AD3">
        <w:rPr>
          <w:rFonts w:cstheme="minorHAnsi"/>
        </w:rPr>
        <w:t xml:space="preserve">he Secretariat was able to </w:t>
      </w:r>
      <w:r w:rsidR="001B53BE" w:rsidRPr="002F0AD3">
        <w:rPr>
          <w:rFonts w:cstheme="minorHAnsi"/>
        </w:rPr>
        <w:t>attend</w:t>
      </w:r>
      <w:r w:rsidR="00243BD9" w:rsidRPr="002F0AD3">
        <w:rPr>
          <w:rFonts w:cstheme="minorHAnsi"/>
        </w:rPr>
        <w:t xml:space="preserve"> the HLPF in July 2018 as a member of the IUCN delegation</w:t>
      </w:r>
      <w:r w:rsidR="007D2D84" w:rsidRPr="002F0AD3">
        <w:rPr>
          <w:rFonts w:cstheme="minorHAnsi"/>
        </w:rPr>
        <w:t xml:space="preserve">. </w:t>
      </w:r>
      <w:r w:rsidR="001B53BE" w:rsidRPr="002F0AD3">
        <w:rPr>
          <w:rFonts w:cstheme="minorHAnsi"/>
        </w:rPr>
        <w:t xml:space="preserve">The Secretariat has also encountered limitations to </w:t>
      </w:r>
      <w:r w:rsidR="0058770D">
        <w:rPr>
          <w:rFonts w:cstheme="minorHAnsi"/>
        </w:rPr>
        <w:t>its engagement</w:t>
      </w:r>
      <w:r w:rsidR="0058770D" w:rsidRPr="002F0AD3">
        <w:rPr>
          <w:rFonts w:cstheme="minorHAnsi"/>
        </w:rPr>
        <w:t xml:space="preserve"> </w:t>
      </w:r>
      <w:r w:rsidR="001B53BE" w:rsidRPr="002F0AD3">
        <w:rPr>
          <w:rFonts w:cstheme="minorHAnsi"/>
        </w:rPr>
        <w:t xml:space="preserve">on the United Nations water agenda, which is coordinated across the UN system by </w:t>
      </w:r>
      <w:r w:rsidR="0058770D" w:rsidRPr="002F0AD3">
        <w:rPr>
          <w:rFonts w:cstheme="minorHAnsi"/>
        </w:rPr>
        <w:t>UN</w:t>
      </w:r>
      <w:r w:rsidR="0058770D">
        <w:rPr>
          <w:rFonts w:cstheme="minorHAnsi"/>
        </w:rPr>
        <w:t>-</w:t>
      </w:r>
      <w:r w:rsidR="001B53BE" w:rsidRPr="002F0AD3">
        <w:rPr>
          <w:rFonts w:cstheme="minorHAnsi"/>
        </w:rPr>
        <w:t xml:space="preserve">Water. </w:t>
      </w:r>
      <w:r w:rsidR="00F548F7" w:rsidRPr="002F0AD3">
        <w:rPr>
          <w:rFonts w:cstheme="minorHAnsi"/>
        </w:rPr>
        <w:t xml:space="preserve">Contrary to other </w:t>
      </w:r>
      <w:r w:rsidR="0058770D" w:rsidRPr="002F0AD3">
        <w:rPr>
          <w:rFonts w:cstheme="minorHAnsi"/>
        </w:rPr>
        <w:t>Multilateral Environmental Agreements</w:t>
      </w:r>
      <w:r w:rsidR="009B1AA7" w:rsidRPr="002F0AD3">
        <w:rPr>
          <w:rFonts w:cstheme="minorHAnsi"/>
        </w:rPr>
        <w:t xml:space="preserve">, </w:t>
      </w:r>
      <w:r w:rsidR="00F548F7" w:rsidRPr="002F0AD3">
        <w:rPr>
          <w:rFonts w:cstheme="minorHAnsi"/>
        </w:rPr>
        <w:t xml:space="preserve">the Ramsar Convention is not </w:t>
      </w:r>
      <w:r w:rsidR="001B53BE" w:rsidRPr="002F0AD3">
        <w:rPr>
          <w:rFonts w:cstheme="minorHAnsi"/>
        </w:rPr>
        <w:t xml:space="preserve">a </w:t>
      </w:r>
      <w:r w:rsidR="00EC64CE" w:rsidRPr="002F0AD3">
        <w:rPr>
          <w:rFonts w:cstheme="minorHAnsi"/>
        </w:rPr>
        <w:t>“</w:t>
      </w:r>
      <w:r w:rsidR="001B53BE" w:rsidRPr="002F0AD3">
        <w:rPr>
          <w:rFonts w:cstheme="minorHAnsi"/>
        </w:rPr>
        <w:t>member</w:t>
      </w:r>
      <w:r w:rsidR="00EC64CE" w:rsidRPr="002F0AD3">
        <w:rPr>
          <w:rFonts w:cstheme="minorHAnsi"/>
        </w:rPr>
        <w:t>”</w:t>
      </w:r>
      <w:r w:rsidR="001B53BE" w:rsidRPr="002F0AD3">
        <w:rPr>
          <w:rFonts w:cstheme="minorHAnsi"/>
        </w:rPr>
        <w:t xml:space="preserve"> of </w:t>
      </w:r>
      <w:r w:rsidR="0058770D" w:rsidRPr="002F0AD3">
        <w:rPr>
          <w:rFonts w:cstheme="minorHAnsi"/>
        </w:rPr>
        <w:t>UN</w:t>
      </w:r>
      <w:r w:rsidR="0058770D">
        <w:rPr>
          <w:rFonts w:cstheme="minorHAnsi"/>
        </w:rPr>
        <w:t>-</w:t>
      </w:r>
      <w:r w:rsidR="001B53BE" w:rsidRPr="002F0AD3">
        <w:rPr>
          <w:rFonts w:cstheme="minorHAnsi"/>
        </w:rPr>
        <w:t>Water</w:t>
      </w:r>
      <w:r w:rsidR="009B1AA7" w:rsidRPr="002F0AD3">
        <w:rPr>
          <w:rFonts w:cstheme="minorHAnsi"/>
        </w:rPr>
        <w:t>,</w:t>
      </w:r>
      <w:r w:rsidR="001B53BE" w:rsidRPr="002F0AD3">
        <w:rPr>
          <w:rFonts w:cstheme="minorHAnsi"/>
        </w:rPr>
        <w:t xml:space="preserve"> as it is not part of the United Nations</w:t>
      </w:r>
      <w:r w:rsidR="0036170A" w:rsidRPr="002F0AD3">
        <w:rPr>
          <w:rFonts w:cstheme="minorHAnsi"/>
        </w:rPr>
        <w:t xml:space="preserve"> system</w:t>
      </w:r>
      <w:r w:rsidR="00F548F7" w:rsidRPr="002F0AD3">
        <w:rPr>
          <w:rFonts w:cstheme="minorHAnsi"/>
        </w:rPr>
        <w:t>.</w:t>
      </w:r>
      <w:r w:rsidR="00BA6D48" w:rsidRPr="002F0AD3">
        <w:rPr>
          <w:rFonts w:cstheme="minorHAnsi"/>
        </w:rPr>
        <w:t xml:space="preserve"> </w:t>
      </w:r>
      <w:r w:rsidR="00F548F7" w:rsidRPr="002F0AD3">
        <w:rPr>
          <w:rFonts w:cstheme="minorHAnsi"/>
        </w:rPr>
        <w:t>The Secretariat c</w:t>
      </w:r>
      <w:r w:rsidR="001B53BE" w:rsidRPr="002F0AD3">
        <w:rPr>
          <w:rFonts w:cstheme="minorHAnsi"/>
        </w:rPr>
        <w:t xml:space="preserve">an only contribute as </w:t>
      </w:r>
      <w:r w:rsidR="00F548F7" w:rsidRPr="002F0AD3">
        <w:rPr>
          <w:rFonts w:cstheme="minorHAnsi"/>
        </w:rPr>
        <w:t xml:space="preserve">a </w:t>
      </w:r>
      <w:r w:rsidR="00EC64CE" w:rsidRPr="002F0AD3">
        <w:rPr>
          <w:rFonts w:cstheme="minorHAnsi"/>
        </w:rPr>
        <w:t>“</w:t>
      </w:r>
      <w:r w:rsidR="001B53BE" w:rsidRPr="002F0AD3">
        <w:rPr>
          <w:rFonts w:cstheme="minorHAnsi"/>
        </w:rPr>
        <w:t>partner</w:t>
      </w:r>
      <w:r w:rsidR="00EC64CE" w:rsidRPr="002F0AD3">
        <w:rPr>
          <w:rFonts w:cstheme="minorHAnsi"/>
        </w:rPr>
        <w:t>”, which implies limitations to its engagement.</w:t>
      </w:r>
    </w:p>
    <w:p w14:paraId="6F470F48" w14:textId="77777777" w:rsidR="009D4535" w:rsidRPr="002F0AD3" w:rsidRDefault="009D4535" w:rsidP="00C81B75">
      <w:pPr>
        <w:ind w:left="0" w:firstLine="0"/>
        <w:rPr>
          <w:rFonts w:cstheme="minorHAnsi"/>
          <w:b/>
          <w:bCs/>
        </w:rPr>
      </w:pPr>
    </w:p>
    <w:p w14:paraId="4B4B79C1" w14:textId="659DBC20" w:rsidR="001D3E01" w:rsidRPr="005D05E1" w:rsidRDefault="31B94901" w:rsidP="00C81B75">
      <w:pPr>
        <w:ind w:left="0" w:firstLine="0"/>
        <w:rPr>
          <w:rFonts w:cstheme="minorHAnsi"/>
          <w:bCs/>
          <w:u w:val="single"/>
        </w:rPr>
      </w:pPr>
      <w:r w:rsidRPr="005D05E1">
        <w:rPr>
          <w:rFonts w:cstheme="minorHAnsi"/>
          <w:bCs/>
          <w:u w:val="single"/>
        </w:rPr>
        <w:t>Strengthening support and enabling implementation</w:t>
      </w:r>
    </w:p>
    <w:p w14:paraId="298AAD2B" w14:textId="77777777" w:rsidR="0091414E" w:rsidRPr="002F0AD3" w:rsidRDefault="0091414E" w:rsidP="00C81B75">
      <w:pPr>
        <w:keepNext/>
        <w:rPr>
          <w:rFonts w:cstheme="minorHAnsi"/>
        </w:rPr>
      </w:pPr>
    </w:p>
    <w:p w14:paraId="48220C1C" w14:textId="32C643D1" w:rsidR="00ED1D30" w:rsidRPr="002F0AD3" w:rsidRDefault="00E25439" w:rsidP="0058733D">
      <w:pPr>
        <w:rPr>
          <w:rFonts w:cstheme="minorHAnsi"/>
        </w:rPr>
      </w:pPr>
      <w:r>
        <w:rPr>
          <w:rFonts w:cstheme="minorHAnsi"/>
        </w:rPr>
        <w:t>25</w:t>
      </w:r>
      <w:r w:rsidR="0058733D">
        <w:rPr>
          <w:rFonts w:cstheme="minorHAnsi"/>
        </w:rPr>
        <w:t>.</w:t>
      </w:r>
      <w:r w:rsidR="0058733D">
        <w:rPr>
          <w:rFonts w:cstheme="minorHAnsi"/>
        </w:rPr>
        <w:tab/>
      </w:r>
      <w:r w:rsidR="00ED1D30" w:rsidRPr="002F0AD3">
        <w:rPr>
          <w:rFonts w:cstheme="minorHAnsi"/>
        </w:rPr>
        <w:t xml:space="preserve">Over the triennium the Secretariat has provided support in the designation </w:t>
      </w:r>
      <w:r w:rsidR="00D825EB" w:rsidRPr="002F0AD3">
        <w:rPr>
          <w:rFonts w:cstheme="minorHAnsi"/>
        </w:rPr>
        <w:t>of</w:t>
      </w:r>
      <w:r w:rsidR="00ED1D30" w:rsidRPr="002F0AD3">
        <w:rPr>
          <w:rFonts w:cstheme="minorHAnsi"/>
        </w:rPr>
        <w:t xml:space="preserve"> 131 Ramsar Sites and the update of information for 299 existing Ramsar Sites, including support in data transfer into the new Ramsar Sites Information System (RSIS), publication and translations. The Secretariat supported Contracting Parties with nine Ramsar Advisory Missions (RAMs): Plurinational State of Bolivia (Los Lípez), Colombia (Sistema Delta Estuarino de Río Madgalena, Ciénaga Grande de Santa Marta), Indonesia (Berbak National Park),</w:t>
      </w:r>
      <w:r w:rsidR="004823C2" w:rsidRPr="004823C2">
        <w:rPr>
          <w:rFonts w:cstheme="minorHAnsi"/>
        </w:rPr>
        <w:t xml:space="preserve"> </w:t>
      </w:r>
      <w:r w:rsidR="004823C2" w:rsidRPr="002F0AD3">
        <w:rPr>
          <w:rFonts w:cstheme="minorHAnsi"/>
        </w:rPr>
        <w:t>Iraq and the Islamic Republic of Iran (Hawizeh Marsh, Central Marsh and Hammar Marsh)</w:t>
      </w:r>
      <w:r w:rsidR="004823C2">
        <w:rPr>
          <w:rFonts w:cstheme="minorHAnsi"/>
        </w:rPr>
        <w:t>,</w:t>
      </w:r>
      <w:r w:rsidR="00ED1D30" w:rsidRPr="002F0AD3">
        <w:rPr>
          <w:rFonts w:cstheme="minorHAnsi"/>
        </w:rPr>
        <w:t xml:space="preserve"> Italy (Laguna di Venezia: Valle Averto jointly with World Heritage Centre), Nicaragua (Sistema de Humedales de San Miguelito), Norway (Nordre Tyrifjord Wetland System), United Arab Emirates (Ras Al Khor), </w:t>
      </w:r>
      <w:r w:rsidR="004823C2">
        <w:rPr>
          <w:rFonts w:cstheme="minorHAnsi"/>
        </w:rPr>
        <w:t xml:space="preserve">and </w:t>
      </w:r>
      <w:r w:rsidR="00ED1D30" w:rsidRPr="002F0AD3">
        <w:rPr>
          <w:rFonts w:cstheme="minorHAnsi"/>
        </w:rPr>
        <w:t xml:space="preserve">the United Republic of Tanzania (Kilombero Valley Floodplain). SC53 approved funds for </w:t>
      </w:r>
      <w:r w:rsidR="004823C2">
        <w:rPr>
          <w:rFonts w:cstheme="minorHAnsi"/>
        </w:rPr>
        <w:t xml:space="preserve">further </w:t>
      </w:r>
      <w:r w:rsidR="00ED1D30" w:rsidRPr="002F0AD3">
        <w:rPr>
          <w:rFonts w:cstheme="minorHAnsi"/>
        </w:rPr>
        <w:t xml:space="preserve">RAMs that include Côte d’Ivoire (Grand Bassam Ramsar Site), </w:t>
      </w:r>
      <w:r w:rsidR="004823C2" w:rsidRPr="002F0AD3">
        <w:rPr>
          <w:rFonts w:cstheme="minorHAnsi"/>
        </w:rPr>
        <w:t xml:space="preserve">Nicaragua (Bluefield Ramsar Site and Corn Island) </w:t>
      </w:r>
      <w:r w:rsidR="00ED1D30" w:rsidRPr="002F0AD3">
        <w:rPr>
          <w:rFonts w:cstheme="minorHAnsi"/>
        </w:rPr>
        <w:t>and Uganda (Murchison Falls-Albert Delta Wetland System Ramsar Site and Lake George Ramsar Site) that will take place in</w:t>
      </w:r>
      <w:r w:rsidR="00CA6453" w:rsidRPr="002F0AD3">
        <w:rPr>
          <w:rFonts w:cstheme="minorHAnsi"/>
        </w:rPr>
        <w:t xml:space="preserve"> October</w:t>
      </w:r>
      <w:r w:rsidR="00ED1D30" w:rsidRPr="002F0AD3">
        <w:rPr>
          <w:rFonts w:cstheme="minorHAnsi"/>
        </w:rPr>
        <w:t xml:space="preserve"> 2018. </w:t>
      </w:r>
      <w:r w:rsidR="00ED5980" w:rsidRPr="002F0AD3">
        <w:rPr>
          <w:rFonts w:cstheme="minorHAnsi"/>
        </w:rPr>
        <w:t>Thirty Contracting Parties were supported in the development of wetland inventories. There will be new opportunities to support Contracting Parties in this area with the appointment of the Ramsar Convention as co-custodian of SDG 6.6.1 on wet</w:t>
      </w:r>
      <w:r w:rsidR="008A4D61" w:rsidRPr="002F0AD3">
        <w:rPr>
          <w:rFonts w:cstheme="minorHAnsi"/>
        </w:rPr>
        <w:t>l</w:t>
      </w:r>
      <w:r w:rsidR="00ED5980" w:rsidRPr="002F0AD3">
        <w:rPr>
          <w:rFonts w:cstheme="minorHAnsi"/>
        </w:rPr>
        <w:t>and extent.</w:t>
      </w:r>
      <w:r w:rsidR="00BA6D48" w:rsidRPr="002F0AD3">
        <w:rPr>
          <w:rFonts w:cstheme="minorHAnsi"/>
        </w:rPr>
        <w:t xml:space="preserve"> </w:t>
      </w:r>
    </w:p>
    <w:p w14:paraId="5D375E92" w14:textId="77777777" w:rsidR="00D352B8" w:rsidRPr="002F0AD3" w:rsidRDefault="00D352B8" w:rsidP="00C81B75">
      <w:pPr>
        <w:rPr>
          <w:rFonts w:cstheme="minorHAnsi"/>
        </w:rPr>
      </w:pPr>
    </w:p>
    <w:p w14:paraId="3033DD0F" w14:textId="25276DF3" w:rsidR="001D3733" w:rsidRPr="002F0AD3" w:rsidRDefault="00E25439" w:rsidP="0058733D">
      <w:pPr>
        <w:rPr>
          <w:rFonts w:cstheme="minorHAnsi"/>
        </w:rPr>
      </w:pPr>
      <w:r>
        <w:rPr>
          <w:rFonts w:cstheme="minorHAnsi"/>
        </w:rPr>
        <w:t>26</w:t>
      </w:r>
      <w:r w:rsidR="0058733D">
        <w:rPr>
          <w:rFonts w:cstheme="minorHAnsi"/>
        </w:rPr>
        <w:t>.</w:t>
      </w:r>
      <w:r w:rsidR="0058733D">
        <w:rPr>
          <w:rFonts w:cstheme="minorHAnsi"/>
        </w:rPr>
        <w:tab/>
      </w:r>
      <w:r w:rsidR="00205F78" w:rsidRPr="002F0AD3">
        <w:rPr>
          <w:rFonts w:cstheme="minorHAnsi"/>
        </w:rPr>
        <w:t>T</w:t>
      </w:r>
      <w:r w:rsidR="00853EF2" w:rsidRPr="002F0AD3">
        <w:rPr>
          <w:rFonts w:cstheme="minorHAnsi"/>
        </w:rPr>
        <w:t>he Secretariat</w:t>
      </w:r>
      <w:r w:rsidR="00205F78" w:rsidRPr="002F0AD3">
        <w:rPr>
          <w:rFonts w:cstheme="minorHAnsi"/>
        </w:rPr>
        <w:t xml:space="preserve"> has prioritized</w:t>
      </w:r>
      <w:r w:rsidR="00ED1D30" w:rsidRPr="002F0AD3">
        <w:rPr>
          <w:rFonts w:cstheme="minorHAnsi"/>
        </w:rPr>
        <w:t xml:space="preserve"> transfer</w:t>
      </w:r>
      <w:r w:rsidR="00853EF2" w:rsidRPr="002F0AD3">
        <w:rPr>
          <w:rFonts w:cstheme="minorHAnsi"/>
        </w:rPr>
        <w:t xml:space="preserve"> of data in </w:t>
      </w:r>
      <w:r w:rsidR="00ED1D30" w:rsidRPr="002F0AD3">
        <w:rPr>
          <w:rFonts w:cstheme="minorHAnsi"/>
        </w:rPr>
        <w:t xml:space="preserve">the new </w:t>
      </w:r>
      <w:r w:rsidR="00853EF2" w:rsidRPr="002F0AD3">
        <w:rPr>
          <w:rFonts w:cstheme="minorHAnsi"/>
        </w:rPr>
        <w:t>R</w:t>
      </w:r>
      <w:r w:rsidR="00210935" w:rsidRPr="002F0AD3">
        <w:rPr>
          <w:rFonts w:cstheme="minorHAnsi"/>
        </w:rPr>
        <w:t>SIS</w:t>
      </w:r>
      <w:r w:rsidR="00D742E9" w:rsidRPr="002F0AD3">
        <w:rPr>
          <w:rFonts w:cstheme="minorHAnsi"/>
        </w:rPr>
        <w:t xml:space="preserve">. </w:t>
      </w:r>
      <w:r w:rsidR="00ED1D30" w:rsidRPr="002F0AD3">
        <w:rPr>
          <w:rFonts w:cstheme="minorHAnsi"/>
        </w:rPr>
        <w:t>D</w:t>
      </w:r>
      <w:r w:rsidR="00D742E9" w:rsidRPr="002F0AD3">
        <w:rPr>
          <w:rFonts w:cstheme="minorHAnsi"/>
        </w:rPr>
        <w:t>ata completion has been</w:t>
      </w:r>
      <w:r w:rsidR="00853EF2" w:rsidRPr="002F0AD3">
        <w:rPr>
          <w:rFonts w:cstheme="minorHAnsi"/>
        </w:rPr>
        <w:t xml:space="preserve"> finalized for 1,09</w:t>
      </w:r>
      <w:r w:rsidR="00ED1D30" w:rsidRPr="002F0AD3">
        <w:rPr>
          <w:rFonts w:cstheme="minorHAnsi"/>
        </w:rPr>
        <w:t xml:space="preserve">6 </w:t>
      </w:r>
      <w:r w:rsidR="00853EF2" w:rsidRPr="002F0AD3">
        <w:rPr>
          <w:rFonts w:cstheme="minorHAnsi"/>
        </w:rPr>
        <w:t>Ramsar Sites</w:t>
      </w:r>
      <w:r w:rsidR="00E07BEE" w:rsidRPr="002F0AD3">
        <w:rPr>
          <w:rFonts w:cstheme="minorHAnsi"/>
        </w:rPr>
        <w:t xml:space="preserve"> and all data from the old database migrated to the new RSIS platform.</w:t>
      </w:r>
      <w:r w:rsidR="00D742E9" w:rsidRPr="002F0AD3">
        <w:rPr>
          <w:rFonts w:cstheme="minorHAnsi"/>
        </w:rPr>
        <w:t xml:space="preserve"> </w:t>
      </w:r>
    </w:p>
    <w:p w14:paraId="50B45001" w14:textId="77777777" w:rsidR="001D3733" w:rsidRPr="002F0AD3" w:rsidRDefault="001D3733" w:rsidP="00C81B75">
      <w:pPr>
        <w:rPr>
          <w:rFonts w:cstheme="minorHAnsi"/>
        </w:rPr>
      </w:pPr>
    </w:p>
    <w:p w14:paraId="306E221D" w14:textId="224C226D" w:rsidR="00C17218" w:rsidRPr="002F0AD3" w:rsidRDefault="00E25439" w:rsidP="0058733D">
      <w:pPr>
        <w:rPr>
          <w:rFonts w:cstheme="minorHAnsi"/>
        </w:rPr>
      </w:pPr>
      <w:r>
        <w:rPr>
          <w:rFonts w:cstheme="minorHAnsi"/>
        </w:rPr>
        <w:t>27</w:t>
      </w:r>
      <w:r w:rsidR="0058733D">
        <w:rPr>
          <w:rFonts w:cstheme="minorHAnsi"/>
        </w:rPr>
        <w:t>.</w:t>
      </w:r>
      <w:r w:rsidR="0058733D">
        <w:rPr>
          <w:rFonts w:cstheme="minorHAnsi"/>
        </w:rPr>
        <w:tab/>
      </w:r>
      <w:r w:rsidR="00604D41" w:rsidRPr="002F0AD3">
        <w:rPr>
          <w:rFonts w:cstheme="minorHAnsi"/>
        </w:rPr>
        <w:t xml:space="preserve">The Secretariat continues its efforts to strengthen its </w:t>
      </w:r>
      <w:r w:rsidR="00652DF0" w:rsidRPr="002F0AD3">
        <w:rPr>
          <w:rFonts w:cstheme="minorHAnsi"/>
        </w:rPr>
        <w:t>“</w:t>
      </w:r>
      <w:r w:rsidR="00604D41" w:rsidRPr="002F0AD3">
        <w:rPr>
          <w:rFonts w:cstheme="minorHAnsi"/>
        </w:rPr>
        <w:t>enabling</w:t>
      </w:r>
      <w:r w:rsidR="00652DF0" w:rsidRPr="002F0AD3">
        <w:rPr>
          <w:rFonts w:cstheme="minorHAnsi"/>
        </w:rPr>
        <w:t>”</w:t>
      </w:r>
      <w:r w:rsidR="00604D41" w:rsidRPr="002F0AD3">
        <w:rPr>
          <w:rFonts w:cstheme="minorHAnsi"/>
        </w:rPr>
        <w:t xml:space="preserve"> role (vis-à-vis direct support to individual Contracting Parties), to use its limited capacit</w:t>
      </w:r>
      <w:r w:rsidR="0054298A" w:rsidRPr="002F0AD3">
        <w:rPr>
          <w:rFonts w:cstheme="minorHAnsi"/>
        </w:rPr>
        <w:t>y</w:t>
      </w:r>
      <w:r w:rsidR="00604D41" w:rsidRPr="002F0AD3">
        <w:rPr>
          <w:rFonts w:cstheme="minorHAnsi"/>
        </w:rPr>
        <w:t xml:space="preserve"> and resources in a more efficient and strategic way. Regarding capacity building, </w:t>
      </w:r>
      <w:r w:rsidR="006722D1" w:rsidRPr="002F0AD3">
        <w:rPr>
          <w:rFonts w:cstheme="minorHAnsi"/>
        </w:rPr>
        <w:t>the Secretariat engaged in numerous capacity building efforts including training sessions and workshops. In looking at enhancing effectiveness and reach, t</w:t>
      </w:r>
      <w:r w:rsidR="00604D41" w:rsidRPr="002F0AD3">
        <w:rPr>
          <w:rFonts w:cstheme="minorHAnsi"/>
        </w:rPr>
        <w:t xml:space="preserve">he Secretariat introduced internet-based approaches and in particular the use of </w:t>
      </w:r>
      <w:r w:rsidR="00B31A2B" w:rsidRPr="002F0AD3">
        <w:rPr>
          <w:rFonts w:cstheme="minorHAnsi"/>
        </w:rPr>
        <w:t>webinars</w:t>
      </w:r>
      <w:r w:rsidR="009C3352" w:rsidRPr="002F0AD3">
        <w:rPr>
          <w:rFonts w:cstheme="minorHAnsi"/>
        </w:rPr>
        <w:t>. In late 2017, f</w:t>
      </w:r>
      <w:r w:rsidR="00604D41" w:rsidRPr="002F0AD3">
        <w:rPr>
          <w:rFonts w:cstheme="minorHAnsi"/>
        </w:rPr>
        <w:t xml:space="preserve">our sessions were organized to provide training on the use of </w:t>
      </w:r>
      <w:r w:rsidR="00C63CC9">
        <w:rPr>
          <w:rFonts w:cstheme="minorHAnsi"/>
        </w:rPr>
        <w:t xml:space="preserve">the </w:t>
      </w:r>
      <w:r w:rsidR="00604D41" w:rsidRPr="002F0AD3">
        <w:rPr>
          <w:rFonts w:cstheme="minorHAnsi"/>
        </w:rPr>
        <w:t xml:space="preserve">RSIS with 53 attendees from 23 Contracting Parties. </w:t>
      </w:r>
      <w:r w:rsidR="000D5902" w:rsidRPr="002F0AD3">
        <w:rPr>
          <w:rFonts w:cstheme="minorHAnsi"/>
        </w:rPr>
        <w:t xml:space="preserve">In order to support Contracting Parties in the preparation of National Reports and to progress reporting on </w:t>
      </w:r>
      <w:r w:rsidR="00652DF0" w:rsidRPr="002F0AD3">
        <w:rPr>
          <w:rFonts w:cstheme="minorHAnsi"/>
        </w:rPr>
        <w:t>“</w:t>
      </w:r>
      <w:r w:rsidR="000D5902" w:rsidRPr="002F0AD3">
        <w:rPr>
          <w:rFonts w:cstheme="minorHAnsi"/>
        </w:rPr>
        <w:t>wetland extent</w:t>
      </w:r>
      <w:r w:rsidR="00652DF0" w:rsidRPr="002F0AD3">
        <w:rPr>
          <w:rFonts w:cstheme="minorHAnsi"/>
        </w:rPr>
        <w:t>”</w:t>
      </w:r>
      <w:r w:rsidR="000D5902" w:rsidRPr="002F0AD3">
        <w:rPr>
          <w:rFonts w:cstheme="minorHAnsi"/>
        </w:rPr>
        <w:t xml:space="preserve"> as a contribution to SDG </w:t>
      </w:r>
      <w:r w:rsidR="00C63CC9">
        <w:rPr>
          <w:rFonts w:cstheme="minorHAnsi"/>
        </w:rPr>
        <w:t xml:space="preserve">Indicator </w:t>
      </w:r>
      <w:r w:rsidR="000D5902" w:rsidRPr="002F0AD3">
        <w:rPr>
          <w:rFonts w:cstheme="minorHAnsi"/>
        </w:rPr>
        <w:t>6.6.1, t</w:t>
      </w:r>
      <w:r w:rsidR="001D3733" w:rsidRPr="002F0AD3">
        <w:rPr>
          <w:rFonts w:cstheme="minorHAnsi"/>
        </w:rPr>
        <w:t xml:space="preserve">he Secretariat </w:t>
      </w:r>
      <w:r w:rsidR="000D5902" w:rsidRPr="002F0AD3">
        <w:rPr>
          <w:rFonts w:cstheme="minorHAnsi"/>
        </w:rPr>
        <w:t xml:space="preserve">developed a tutorial </w:t>
      </w:r>
      <w:r w:rsidR="001D3733" w:rsidRPr="002F0AD3">
        <w:rPr>
          <w:rFonts w:cstheme="minorHAnsi"/>
        </w:rPr>
        <w:t xml:space="preserve">for the National </w:t>
      </w:r>
      <w:r w:rsidR="001D3733" w:rsidRPr="002F0AD3">
        <w:rPr>
          <w:rFonts w:cstheme="minorHAnsi"/>
        </w:rPr>
        <w:lastRenderedPageBreak/>
        <w:t xml:space="preserve">Reports Online Reporting </w:t>
      </w:r>
      <w:r w:rsidR="00B31A2B" w:rsidRPr="002F0AD3">
        <w:rPr>
          <w:rFonts w:cstheme="minorHAnsi"/>
        </w:rPr>
        <w:t xml:space="preserve">System </w:t>
      </w:r>
      <w:r w:rsidR="001D3733" w:rsidRPr="002F0AD3">
        <w:rPr>
          <w:rFonts w:cstheme="minorHAnsi"/>
        </w:rPr>
        <w:t xml:space="preserve">and guidelines on information to be provided in Target 8 </w:t>
      </w:r>
      <w:r w:rsidR="00652DF0" w:rsidRPr="002F0AD3">
        <w:rPr>
          <w:rFonts w:cstheme="minorHAnsi"/>
        </w:rPr>
        <w:t>“</w:t>
      </w:r>
      <w:r w:rsidR="001D3733" w:rsidRPr="002F0AD3">
        <w:rPr>
          <w:rFonts w:cstheme="minorHAnsi"/>
        </w:rPr>
        <w:t>National Wetlands Inventory</w:t>
      </w:r>
      <w:r w:rsidR="00652DF0" w:rsidRPr="002F0AD3">
        <w:rPr>
          <w:rFonts w:cstheme="minorHAnsi"/>
        </w:rPr>
        <w:t>”</w:t>
      </w:r>
      <w:r w:rsidR="001D3733" w:rsidRPr="002F0AD3">
        <w:rPr>
          <w:rFonts w:cstheme="minorHAnsi"/>
        </w:rPr>
        <w:t xml:space="preserve"> and in particular on </w:t>
      </w:r>
      <w:r w:rsidR="00652DF0" w:rsidRPr="002F0AD3">
        <w:rPr>
          <w:rFonts w:cstheme="minorHAnsi"/>
        </w:rPr>
        <w:t>“</w:t>
      </w:r>
      <w:r w:rsidR="001D3733" w:rsidRPr="002F0AD3">
        <w:rPr>
          <w:rFonts w:cstheme="minorHAnsi"/>
        </w:rPr>
        <w:t>wetland extent</w:t>
      </w:r>
      <w:r w:rsidR="00652DF0" w:rsidRPr="002F0AD3">
        <w:rPr>
          <w:rFonts w:cstheme="minorHAnsi"/>
        </w:rPr>
        <w:t>”</w:t>
      </w:r>
      <w:r w:rsidR="001D3733" w:rsidRPr="002F0AD3">
        <w:rPr>
          <w:rFonts w:cstheme="minorHAnsi"/>
        </w:rPr>
        <w:t>.</w:t>
      </w:r>
      <w:r w:rsidR="00ED6271" w:rsidRPr="002F0AD3">
        <w:rPr>
          <w:rFonts w:cstheme="minorHAnsi"/>
        </w:rPr>
        <w:t xml:space="preserve"> T</w:t>
      </w:r>
      <w:r w:rsidR="00210935" w:rsidRPr="002F0AD3">
        <w:rPr>
          <w:rFonts w:cstheme="minorHAnsi"/>
        </w:rPr>
        <w:t xml:space="preserve">his tutorial was delivered via </w:t>
      </w:r>
      <w:r w:rsidR="00ED6271" w:rsidRPr="002F0AD3">
        <w:rPr>
          <w:rFonts w:cstheme="minorHAnsi"/>
        </w:rPr>
        <w:t xml:space="preserve">webinars </w:t>
      </w:r>
      <w:r w:rsidR="00604D41" w:rsidRPr="002F0AD3">
        <w:rPr>
          <w:rFonts w:cstheme="minorHAnsi"/>
        </w:rPr>
        <w:t xml:space="preserve">and </w:t>
      </w:r>
      <w:r w:rsidR="00C63CC9">
        <w:rPr>
          <w:rFonts w:cstheme="minorHAnsi"/>
        </w:rPr>
        <w:t>S</w:t>
      </w:r>
      <w:r w:rsidR="00604D41" w:rsidRPr="002F0AD3">
        <w:rPr>
          <w:rFonts w:cstheme="minorHAnsi"/>
        </w:rPr>
        <w:t>kype calls</w:t>
      </w:r>
      <w:r w:rsidR="00ED6271" w:rsidRPr="002F0AD3">
        <w:rPr>
          <w:rFonts w:cstheme="minorHAnsi"/>
        </w:rPr>
        <w:t>.</w:t>
      </w:r>
      <w:r w:rsidR="00B31A2B" w:rsidRPr="002F0AD3">
        <w:rPr>
          <w:rFonts w:cstheme="minorHAnsi"/>
        </w:rPr>
        <w:t xml:space="preserve"> </w:t>
      </w:r>
      <w:r w:rsidR="005910E4" w:rsidRPr="002F0AD3">
        <w:rPr>
          <w:rFonts w:cstheme="minorHAnsi"/>
        </w:rPr>
        <w:t>Another area in which capacit</w:t>
      </w:r>
      <w:r w:rsidR="003072A6" w:rsidRPr="002F0AD3">
        <w:rPr>
          <w:rFonts w:cstheme="minorHAnsi"/>
        </w:rPr>
        <w:t>y was</w:t>
      </w:r>
      <w:r w:rsidR="005910E4" w:rsidRPr="002F0AD3">
        <w:rPr>
          <w:rFonts w:cstheme="minorHAnsi"/>
        </w:rPr>
        <w:t xml:space="preserve"> strengthened include</w:t>
      </w:r>
      <w:r w:rsidR="003072A6" w:rsidRPr="002F0AD3">
        <w:rPr>
          <w:rFonts w:cstheme="minorHAnsi"/>
        </w:rPr>
        <w:t>d</w:t>
      </w:r>
      <w:r w:rsidR="005910E4" w:rsidRPr="002F0AD3">
        <w:rPr>
          <w:rFonts w:cstheme="minorHAnsi"/>
        </w:rPr>
        <w:t xml:space="preserve"> the use of earth observation tools for wetland mapping and inventory (GlobWetland Africa Toolbox).</w:t>
      </w:r>
      <w:r w:rsidR="00107EF9" w:rsidRPr="002F0AD3">
        <w:rPr>
          <w:rFonts w:cstheme="minorHAnsi"/>
        </w:rPr>
        <w:t xml:space="preserve"> </w:t>
      </w:r>
      <w:r w:rsidR="00EA3B95" w:rsidRPr="002F0AD3">
        <w:rPr>
          <w:rFonts w:cstheme="minorHAnsi"/>
        </w:rPr>
        <w:t>E</w:t>
      </w:r>
      <w:r w:rsidR="00E65A27" w:rsidRPr="002F0AD3">
        <w:rPr>
          <w:rFonts w:cstheme="minorHAnsi"/>
        </w:rPr>
        <w:t xml:space="preserve">fforts are underway to put in place a more coordinated </w:t>
      </w:r>
      <w:r w:rsidR="008A4D61" w:rsidRPr="002F0AD3">
        <w:rPr>
          <w:rFonts w:cstheme="minorHAnsi"/>
        </w:rPr>
        <w:t xml:space="preserve">whole-of-Secretariat </w:t>
      </w:r>
      <w:r w:rsidR="00E65A27" w:rsidRPr="002F0AD3">
        <w:rPr>
          <w:rFonts w:cstheme="minorHAnsi"/>
        </w:rPr>
        <w:t>approach to capacity building across the regions</w:t>
      </w:r>
      <w:r w:rsidR="00210935" w:rsidRPr="002F0AD3">
        <w:rPr>
          <w:rFonts w:cstheme="minorHAnsi"/>
        </w:rPr>
        <w:t>.</w:t>
      </w:r>
      <w:r w:rsidR="00700762" w:rsidRPr="002F0AD3">
        <w:rPr>
          <w:rFonts w:cstheme="minorHAnsi"/>
        </w:rPr>
        <w:t xml:space="preserve"> </w:t>
      </w:r>
      <w:r w:rsidR="007D2348" w:rsidRPr="002F0AD3">
        <w:rPr>
          <w:rFonts w:cstheme="minorHAnsi"/>
        </w:rPr>
        <w:t>Th</w:t>
      </w:r>
      <w:r w:rsidR="008A4D61" w:rsidRPr="002F0AD3">
        <w:rPr>
          <w:rFonts w:cstheme="minorHAnsi"/>
        </w:rPr>
        <w:t>is</w:t>
      </w:r>
      <w:r w:rsidR="008A384C" w:rsidRPr="002F0AD3">
        <w:rPr>
          <w:rFonts w:cstheme="minorHAnsi"/>
        </w:rPr>
        <w:t xml:space="preserve"> </w:t>
      </w:r>
      <w:r w:rsidR="00E65A27" w:rsidRPr="002F0AD3">
        <w:rPr>
          <w:rFonts w:cstheme="minorHAnsi"/>
        </w:rPr>
        <w:t>includ</w:t>
      </w:r>
      <w:r w:rsidR="007D2348" w:rsidRPr="002F0AD3">
        <w:rPr>
          <w:rFonts w:cstheme="minorHAnsi"/>
        </w:rPr>
        <w:t>es</w:t>
      </w:r>
      <w:r w:rsidR="00E65A27" w:rsidRPr="002F0AD3">
        <w:rPr>
          <w:rFonts w:cstheme="minorHAnsi"/>
        </w:rPr>
        <w:t xml:space="preserve"> the identification of needs and priority areas in which capacities are needed, development and use of common </w:t>
      </w:r>
      <w:r w:rsidR="00EA3B95" w:rsidRPr="002F0AD3">
        <w:rPr>
          <w:rFonts w:cstheme="minorHAnsi"/>
        </w:rPr>
        <w:t xml:space="preserve">approaches, </w:t>
      </w:r>
      <w:r w:rsidR="00E65A27" w:rsidRPr="002F0AD3">
        <w:rPr>
          <w:rFonts w:cstheme="minorHAnsi"/>
        </w:rPr>
        <w:t>materials and tools</w:t>
      </w:r>
      <w:r w:rsidR="00EA3B95" w:rsidRPr="002F0AD3">
        <w:rPr>
          <w:rFonts w:cstheme="minorHAnsi"/>
        </w:rPr>
        <w:t xml:space="preserve"> (such as the use of </w:t>
      </w:r>
      <w:r w:rsidR="00B31A2B" w:rsidRPr="002F0AD3">
        <w:rPr>
          <w:rFonts w:cstheme="minorHAnsi"/>
        </w:rPr>
        <w:t>webinars</w:t>
      </w:r>
      <w:r w:rsidR="00EA3B95" w:rsidRPr="002F0AD3">
        <w:rPr>
          <w:rFonts w:cstheme="minorHAnsi"/>
        </w:rPr>
        <w:t>)</w:t>
      </w:r>
      <w:r w:rsidR="00E65A27" w:rsidRPr="002F0AD3">
        <w:rPr>
          <w:rFonts w:cstheme="minorHAnsi"/>
        </w:rPr>
        <w:t>, development of partnerships for capacity building, and moni</w:t>
      </w:r>
      <w:r w:rsidR="003C427C" w:rsidRPr="002F0AD3">
        <w:rPr>
          <w:rFonts w:cstheme="minorHAnsi"/>
        </w:rPr>
        <w:t>toring of outcomes.</w:t>
      </w:r>
      <w:r w:rsidR="000D5902" w:rsidRPr="002F0AD3">
        <w:rPr>
          <w:rFonts w:cstheme="minorHAnsi"/>
        </w:rPr>
        <w:t xml:space="preserve"> </w:t>
      </w:r>
    </w:p>
    <w:p w14:paraId="0C1F6DA8" w14:textId="77777777" w:rsidR="003C427C" w:rsidRPr="002F0AD3" w:rsidRDefault="003C427C" w:rsidP="00C81B75">
      <w:pPr>
        <w:rPr>
          <w:rFonts w:cstheme="minorHAnsi"/>
        </w:rPr>
      </w:pPr>
    </w:p>
    <w:p w14:paraId="2CBE8592" w14:textId="5DD1671E" w:rsidR="00F46B68" w:rsidRPr="002F0AD3" w:rsidRDefault="00E25439" w:rsidP="0058733D">
      <w:pPr>
        <w:rPr>
          <w:rFonts w:cstheme="minorHAnsi"/>
        </w:rPr>
      </w:pPr>
      <w:r>
        <w:rPr>
          <w:rFonts w:cstheme="minorHAnsi"/>
        </w:rPr>
        <w:t>28</w:t>
      </w:r>
      <w:r w:rsidR="0058733D">
        <w:rPr>
          <w:rFonts w:cstheme="minorHAnsi"/>
        </w:rPr>
        <w:t>.</w:t>
      </w:r>
      <w:r w:rsidR="0058733D">
        <w:rPr>
          <w:rFonts w:cstheme="minorHAnsi"/>
        </w:rPr>
        <w:tab/>
      </w:r>
      <w:r w:rsidR="008D32F3" w:rsidRPr="002F0AD3">
        <w:rPr>
          <w:rFonts w:cstheme="minorHAnsi"/>
        </w:rPr>
        <w:t>In th</w:t>
      </w:r>
      <w:r w:rsidR="00604D41" w:rsidRPr="002F0AD3">
        <w:rPr>
          <w:rFonts w:cstheme="minorHAnsi"/>
        </w:rPr>
        <w:t>e</w:t>
      </w:r>
      <w:r w:rsidR="008D32F3" w:rsidRPr="002F0AD3">
        <w:rPr>
          <w:rFonts w:cstheme="minorHAnsi"/>
        </w:rPr>
        <w:t xml:space="preserve"> context</w:t>
      </w:r>
      <w:r w:rsidR="00604D41" w:rsidRPr="002F0AD3">
        <w:rPr>
          <w:rFonts w:cstheme="minorHAnsi"/>
        </w:rPr>
        <w:t xml:space="preserve"> of furthering its enabling role</w:t>
      </w:r>
      <w:r w:rsidR="008D32F3" w:rsidRPr="002F0AD3">
        <w:rPr>
          <w:rFonts w:cstheme="minorHAnsi"/>
        </w:rPr>
        <w:t xml:space="preserve">, </w:t>
      </w:r>
      <w:r w:rsidR="00604D41" w:rsidRPr="002F0AD3">
        <w:rPr>
          <w:rFonts w:cstheme="minorHAnsi"/>
        </w:rPr>
        <w:t xml:space="preserve">the Secretariat </w:t>
      </w:r>
      <w:r w:rsidR="008D32F3" w:rsidRPr="002F0AD3">
        <w:rPr>
          <w:rFonts w:cstheme="minorHAnsi"/>
        </w:rPr>
        <w:t>continue</w:t>
      </w:r>
      <w:r w:rsidR="00D74A26" w:rsidRPr="002F0AD3">
        <w:rPr>
          <w:rFonts w:cstheme="minorHAnsi"/>
        </w:rPr>
        <w:t>s</w:t>
      </w:r>
      <w:r w:rsidR="008D32F3" w:rsidRPr="002F0AD3">
        <w:rPr>
          <w:rFonts w:cstheme="minorHAnsi"/>
        </w:rPr>
        <w:t xml:space="preserve"> to support </w:t>
      </w:r>
      <w:r w:rsidR="00443191">
        <w:rPr>
          <w:rFonts w:cstheme="minorHAnsi"/>
        </w:rPr>
        <w:t xml:space="preserve">Ramsar </w:t>
      </w:r>
      <w:r w:rsidR="008D32F3" w:rsidRPr="002F0AD3">
        <w:rPr>
          <w:rFonts w:cstheme="minorHAnsi"/>
        </w:rPr>
        <w:t>Regional Initiatives</w:t>
      </w:r>
      <w:r w:rsidR="00A419DB" w:rsidRPr="002F0AD3">
        <w:rPr>
          <w:rFonts w:cstheme="minorHAnsi"/>
        </w:rPr>
        <w:t xml:space="preserve"> which remain active, including by</w:t>
      </w:r>
      <w:r w:rsidR="00F9043A" w:rsidRPr="002F0AD3">
        <w:rPr>
          <w:rFonts w:cstheme="minorHAnsi"/>
        </w:rPr>
        <w:t>:</w:t>
      </w:r>
      <w:r w:rsidR="00A419DB" w:rsidRPr="002F0AD3">
        <w:rPr>
          <w:rFonts w:cstheme="minorHAnsi"/>
        </w:rPr>
        <w:t xml:space="preserve"> participating in their coordination meetings; advising on and supporting the implementation of their activities; supporting their fundraising efforts in line with the </w:t>
      </w:r>
      <w:r w:rsidR="00F4464F" w:rsidRPr="002F0AD3">
        <w:rPr>
          <w:rFonts w:cstheme="minorHAnsi"/>
        </w:rPr>
        <w:t>COP12</w:t>
      </w:r>
      <w:r w:rsidR="00F4464F">
        <w:rPr>
          <w:rFonts w:cstheme="minorHAnsi"/>
        </w:rPr>
        <w:t>-</w:t>
      </w:r>
      <w:r w:rsidR="00A419DB" w:rsidRPr="002F0AD3">
        <w:rPr>
          <w:rFonts w:cstheme="minorHAnsi"/>
        </w:rPr>
        <w:t xml:space="preserve">approved priorities; facilitating and compiling their reports to the Standing Committee; and providing support to the Standing Committee’s Working Group on </w:t>
      </w:r>
      <w:r w:rsidR="00447092" w:rsidRPr="002F0AD3">
        <w:rPr>
          <w:rFonts w:cstheme="minorHAnsi"/>
        </w:rPr>
        <w:t>R</w:t>
      </w:r>
      <w:r w:rsidR="00A419DB" w:rsidRPr="002F0AD3">
        <w:rPr>
          <w:rFonts w:cstheme="minorHAnsi"/>
        </w:rPr>
        <w:t xml:space="preserve">egional </w:t>
      </w:r>
      <w:r w:rsidR="00447092" w:rsidRPr="002F0AD3">
        <w:rPr>
          <w:rFonts w:cstheme="minorHAnsi"/>
        </w:rPr>
        <w:t>I</w:t>
      </w:r>
      <w:r w:rsidR="00A419DB" w:rsidRPr="002F0AD3">
        <w:rPr>
          <w:rFonts w:cstheme="minorHAnsi"/>
        </w:rPr>
        <w:t>nitiatives.</w:t>
      </w:r>
      <w:r w:rsidR="00BA6D48" w:rsidRPr="002F0AD3">
        <w:rPr>
          <w:rFonts w:cstheme="minorHAnsi"/>
        </w:rPr>
        <w:t xml:space="preserve"> </w:t>
      </w:r>
      <w:r w:rsidR="00A419DB" w:rsidRPr="002F0AD3">
        <w:rPr>
          <w:rFonts w:cstheme="minorHAnsi"/>
        </w:rPr>
        <w:t>The Secretariat has also</w:t>
      </w:r>
      <w:r w:rsidR="00266AF0" w:rsidRPr="002F0AD3">
        <w:rPr>
          <w:rFonts w:cstheme="minorHAnsi"/>
        </w:rPr>
        <w:t xml:space="preserve"> engage</w:t>
      </w:r>
      <w:r w:rsidR="00A419DB" w:rsidRPr="002F0AD3">
        <w:rPr>
          <w:rFonts w:cstheme="minorHAnsi"/>
        </w:rPr>
        <w:t>d</w:t>
      </w:r>
      <w:r w:rsidR="00266AF0" w:rsidRPr="002F0AD3">
        <w:rPr>
          <w:rFonts w:cstheme="minorHAnsi"/>
        </w:rPr>
        <w:t xml:space="preserve"> in strategic partnerships. The Secretariat renewed its partnership with Danone for three</w:t>
      </w:r>
      <w:r w:rsidR="00B31A2B" w:rsidRPr="002F0AD3">
        <w:rPr>
          <w:rFonts w:cstheme="minorHAnsi"/>
        </w:rPr>
        <w:t xml:space="preserve"> </w:t>
      </w:r>
      <w:r w:rsidR="00266AF0" w:rsidRPr="002F0AD3">
        <w:rPr>
          <w:rFonts w:cstheme="minorHAnsi"/>
        </w:rPr>
        <w:t>years</w:t>
      </w:r>
      <w:r w:rsidR="009C3352" w:rsidRPr="002F0AD3">
        <w:rPr>
          <w:rFonts w:cstheme="minorHAnsi"/>
        </w:rPr>
        <w:t xml:space="preserve"> (2017 – 2019)</w:t>
      </w:r>
      <w:r w:rsidR="00266AF0" w:rsidRPr="002F0AD3">
        <w:rPr>
          <w:rFonts w:cstheme="minorHAnsi"/>
        </w:rPr>
        <w:t xml:space="preserve">. This partnership extension provides resources for World Wetlands Day and the Ramsar Awards, as well as for other activities to increase visibility and awareness of wetlands and the Convention. The partnership also provides for collaboration towards sustainable watershed management and climate change with validated tools and methodologies. </w:t>
      </w:r>
      <w:r w:rsidR="00700762" w:rsidRPr="002F0AD3">
        <w:rPr>
          <w:rFonts w:cstheme="minorHAnsi"/>
        </w:rPr>
        <w:t xml:space="preserve">Given the </w:t>
      </w:r>
      <w:r w:rsidR="00EC1F95" w:rsidRPr="002F0AD3">
        <w:rPr>
          <w:rFonts w:cstheme="minorHAnsi"/>
        </w:rPr>
        <w:t>shift in Danone</w:t>
      </w:r>
      <w:r w:rsidR="00F04B42" w:rsidRPr="002F0AD3">
        <w:rPr>
          <w:rFonts w:cstheme="minorHAnsi"/>
        </w:rPr>
        <w:t>’</w:t>
      </w:r>
      <w:r w:rsidR="00EC1F95" w:rsidRPr="002F0AD3">
        <w:rPr>
          <w:rFonts w:cstheme="minorHAnsi"/>
        </w:rPr>
        <w:t>s priorities</w:t>
      </w:r>
      <w:r w:rsidR="00B06E7B" w:rsidRPr="002F0AD3">
        <w:rPr>
          <w:rFonts w:cstheme="minorHAnsi"/>
        </w:rPr>
        <w:t>,</w:t>
      </w:r>
      <w:r w:rsidR="00EC1F95" w:rsidRPr="002F0AD3">
        <w:rPr>
          <w:rFonts w:cstheme="minorHAnsi"/>
        </w:rPr>
        <w:t xml:space="preserve"> </w:t>
      </w:r>
      <w:r w:rsidR="00447092" w:rsidRPr="002F0AD3">
        <w:rPr>
          <w:rFonts w:cstheme="minorHAnsi"/>
        </w:rPr>
        <w:t xml:space="preserve">the Secretariat </w:t>
      </w:r>
      <w:r w:rsidR="00EC1F95" w:rsidRPr="002F0AD3">
        <w:rPr>
          <w:rFonts w:cstheme="minorHAnsi"/>
        </w:rPr>
        <w:t>expect</w:t>
      </w:r>
      <w:r w:rsidR="00447092" w:rsidRPr="002F0AD3">
        <w:rPr>
          <w:rFonts w:cstheme="minorHAnsi"/>
        </w:rPr>
        <w:t>s</w:t>
      </w:r>
      <w:r w:rsidR="00EC1F95" w:rsidRPr="002F0AD3">
        <w:rPr>
          <w:rFonts w:cstheme="minorHAnsi"/>
        </w:rPr>
        <w:t xml:space="preserve"> that</w:t>
      </w:r>
      <w:r w:rsidR="00447092" w:rsidRPr="002F0AD3">
        <w:rPr>
          <w:rFonts w:cstheme="minorHAnsi"/>
        </w:rPr>
        <w:t>,</w:t>
      </w:r>
      <w:r w:rsidR="00EC1F95" w:rsidRPr="002F0AD3">
        <w:rPr>
          <w:rFonts w:cstheme="minorHAnsi"/>
        </w:rPr>
        <w:t xml:space="preserve"> starting </w:t>
      </w:r>
      <w:r w:rsidR="00447092" w:rsidRPr="002F0AD3">
        <w:rPr>
          <w:rFonts w:cstheme="minorHAnsi"/>
        </w:rPr>
        <w:t xml:space="preserve">in </w:t>
      </w:r>
      <w:r w:rsidR="00EC1F95" w:rsidRPr="002F0AD3">
        <w:rPr>
          <w:rFonts w:cstheme="minorHAnsi"/>
        </w:rPr>
        <w:t>2019</w:t>
      </w:r>
      <w:r w:rsidR="00447092" w:rsidRPr="002F0AD3">
        <w:rPr>
          <w:rFonts w:cstheme="minorHAnsi"/>
        </w:rPr>
        <w:t>,</w:t>
      </w:r>
      <w:r w:rsidR="00EC1F95" w:rsidRPr="002F0AD3">
        <w:rPr>
          <w:rFonts w:cstheme="minorHAnsi"/>
        </w:rPr>
        <w:t xml:space="preserve"> </w:t>
      </w:r>
      <w:r w:rsidR="00447092" w:rsidRPr="002F0AD3">
        <w:rPr>
          <w:rFonts w:cstheme="minorHAnsi"/>
        </w:rPr>
        <w:t>it</w:t>
      </w:r>
      <w:r w:rsidR="00EC1F95" w:rsidRPr="002F0AD3">
        <w:rPr>
          <w:rFonts w:cstheme="minorHAnsi"/>
        </w:rPr>
        <w:t xml:space="preserve"> will need to raise addition</w:t>
      </w:r>
      <w:r w:rsidR="00B06E7B" w:rsidRPr="002F0AD3">
        <w:rPr>
          <w:rFonts w:cstheme="minorHAnsi"/>
        </w:rPr>
        <w:t>al funds for World Wetlands Day</w:t>
      </w:r>
      <w:r w:rsidR="008610FE" w:rsidRPr="002F0AD3">
        <w:rPr>
          <w:rFonts w:cstheme="minorHAnsi"/>
        </w:rPr>
        <w:t xml:space="preserve"> celebrations</w:t>
      </w:r>
      <w:r w:rsidR="0078142B">
        <w:rPr>
          <w:rFonts w:cstheme="minorHAnsi"/>
        </w:rPr>
        <w:t xml:space="preserve"> </w:t>
      </w:r>
      <w:r w:rsidR="00EC1F95" w:rsidRPr="002F0AD3">
        <w:rPr>
          <w:rFonts w:cstheme="minorHAnsi"/>
        </w:rPr>
        <w:t>and for the Ramsar Award</w:t>
      </w:r>
      <w:r w:rsidR="00B06E7B" w:rsidRPr="002F0AD3">
        <w:rPr>
          <w:rFonts w:cstheme="minorHAnsi"/>
        </w:rPr>
        <w:t>s</w:t>
      </w:r>
      <w:r w:rsidR="008610FE" w:rsidRPr="002F0AD3">
        <w:rPr>
          <w:rFonts w:cstheme="minorHAnsi"/>
        </w:rPr>
        <w:t xml:space="preserve"> programme</w:t>
      </w:r>
      <w:r w:rsidR="00EC1F95" w:rsidRPr="002F0AD3">
        <w:rPr>
          <w:rFonts w:cstheme="minorHAnsi"/>
        </w:rPr>
        <w:t xml:space="preserve">. </w:t>
      </w:r>
      <w:r w:rsidR="00B06E7B" w:rsidRPr="002F0AD3">
        <w:rPr>
          <w:rFonts w:cstheme="minorHAnsi"/>
        </w:rPr>
        <w:t xml:space="preserve">The Danone partnership continues to open doors to </w:t>
      </w:r>
      <w:r w:rsidR="00EC1F95" w:rsidRPr="002F0AD3">
        <w:rPr>
          <w:rFonts w:cstheme="minorHAnsi"/>
        </w:rPr>
        <w:t>new opportunities</w:t>
      </w:r>
      <w:r w:rsidR="00F848F0" w:rsidRPr="002F0AD3">
        <w:rPr>
          <w:rFonts w:cstheme="minorHAnsi"/>
        </w:rPr>
        <w:t>,</w:t>
      </w:r>
      <w:r w:rsidR="00EC1F95" w:rsidRPr="002F0AD3">
        <w:rPr>
          <w:rFonts w:cstheme="minorHAnsi"/>
        </w:rPr>
        <w:t xml:space="preserve"> </w:t>
      </w:r>
      <w:r w:rsidR="00B06E7B" w:rsidRPr="002F0AD3">
        <w:rPr>
          <w:rFonts w:cstheme="minorHAnsi"/>
        </w:rPr>
        <w:t>such as</w:t>
      </w:r>
      <w:r w:rsidR="00EC1F95" w:rsidRPr="002F0AD3">
        <w:rPr>
          <w:rFonts w:cstheme="minorHAnsi"/>
        </w:rPr>
        <w:t xml:space="preserve"> potential collaboration with the Livelihoods Fund</w:t>
      </w:r>
      <w:r w:rsidR="00B06E7B" w:rsidRPr="002F0AD3">
        <w:rPr>
          <w:rFonts w:cstheme="minorHAnsi"/>
        </w:rPr>
        <w:t xml:space="preserve"> and the CEO Water Mandate</w:t>
      </w:r>
      <w:r w:rsidR="00EC1F95" w:rsidRPr="002F0AD3">
        <w:rPr>
          <w:rFonts w:cstheme="minorHAnsi"/>
        </w:rPr>
        <w:t xml:space="preserve">. </w:t>
      </w:r>
      <w:r w:rsidR="00266AF0" w:rsidRPr="002F0AD3">
        <w:rPr>
          <w:rFonts w:cstheme="minorHAnsi"/>
        </w:rPr>
        <w:t xml:space="preserve">The Star Alliance partnership with both the Convention and IUCN was terminated in 2017 </w:t>
      </w:r>
      <w:r w:rsidR="00F848F0" w:rsidRPr="002F0AD3">
        <w:rPr>
          <w:rFonts w:cstheme="minorHAnsi"/>
        </w:rPr>
        <w:t>owing</w:t>
      </w:r>
      <w:r w:rsidR="00266AF0" w:rsidRPr="002F0AD3">
        <w:rPr>
          <w:rFonts w:cstheme="minorHAnsi"/>
        </w:rPr>
        <w:t xml:space="preserve"> to a change in management priorities at Star Alliance.</w:t>
      </w:r>
      <w:r w:rsidR="00971CF5" w:rsidRPr="002F0AD3">
        <w:rPr>
          <w:rFonts w:cstheme="minorHAnsi"/>
        </w:rPr>
        <w:t xml:space="preserve"> </w:t>
      </w:r>
      <w:r w:rsidR="00ED5980" w:rsidRPr="002F0AD3">
        <w:rPr>
          <w:rFonts w:cstheme="minorHAnsi"/>
        </w:rPr>
        <w:t>T</w:t>
      </w:r>
      <w:r w:rsidR="00A334B5" w:rsidRPr="002F0AD3">
        <w:rPr>
          <w:rFonts w:cstheme="minorHAnsi"/>
        </w:rPr>
        <w:t xml:space="preserve">he MAVA </w:t>
      </w:r>
      <w:r w:rsidR="00971CF5" w:rsidRPr="002F0AD3">
        <w:rPr>
          <w:rFonts w:cstheme="minorHAnsi"/>
        </w:rPr>
        <w:t xml:space="preserve">project on </w:t>
      </w:r>
      <w:r w:rsidR="00253288" w:rsidRPr="002F0AD3">
        <w:rPr>
          <w:rFonts w:cstheme="minorHAnsi"/>
        </w:rPr>
        <w:t xml:space="preserve">Conservation of the Natural and Cultural Heritage in Wetlands </w:t>
      </w:r>
      <w:r w:rsidR="00A334B5" w:rsidRPr="002F0AD3">
        <w:rPr>
          <w:rFonts w:cstheme="minorHAnsi"/>
        </w:rPr>
        <w:t>c</w:t>
      </w:r>
      <w:r w:rsidR="00ED5980" w:rsidRPr="002F0AD3">
        <w:rPr>
          <w:rFonts w:cstheme="minorHAnsi"/>
        </w:rPr>
        <w:t>ame</w:t>
      </w:r>
      <w:r w:rsidR="00A334B5" w:rsidRPr="002F0AD3">
        <w:rPr>
          <w:rFonts w:cstheme="minorHAnsi"/>
        </w:rPr>
        <w:t xml:space="preserve"> to an end in March 2018</w:t>
      </w:r>
      <w:r w:rsidR="00ED5980" w:rsidRPr="002F0AD3">
        <w:rPr>
          <w:rFonts w:cstheme="minorHAnsi"/>
        </w:rPr>
        <w:t xml:space="preserve"> and the Standing Committee provided guidance for its final stages</w:t>
      </w:r>
      <w:r w:rsidR="009C3352" w:rsidRPr="002F0AD3">
        <w:rPr>
          <w:rFonts w:cstheme="minorHAnsi"/>
        </w:rPr>
        <w:t>.</w:t>
      </w:r>
      <w:r w:rsidR="00A334B5" w:rsidRPr="002F0AD3">
        <w:rPr>
          <w:rFonts w:cstheme="minorHAnsi"/>
        </w:rPr>
        <w:t xml:space="preserve"> The Secretariat has reviewed the existing partnerships for which </w:t>
      </w:r>
      <w:r w:rsidR="00C76C6B" w:rsidRPr="002F0AD3">
        <w:rPr>
          <w:rFonts w:cstheme="minorHAnsi"/>
        </w:rPr>
        <w:t>cooperative agreements (e.g. Memorand</w:t>
      </w:r>
      <w:r w:rsidR="00971CF5" w:rsidRPr="002F0AD3">
        <w:rPr>
          <w:rFonts w:cstheme="minorHAnsi"/>
        </w:rPr>
        <w:t>a</w:t>
      </w:r>
      <w:r w:rsidR="00C76C6B" w:rsidRPr="002F0AD3">
        <w:rPr>
          <w:rFonts w:cstheme="minorHAnsi"/>
        </w:rPr>
        <w:t xml:space="preserve"> of Cooperation, Memorand</w:t>
      </w:r>
      <w:r w:rsidR="00971CF5" w:rsidRPr="002F0AD3">
        <w:rPr>
          <w:rFonts w:cstheme="minorHAnsi"/>
        </w:rPr>
        <w:t>a</w:t>
      </w:r>
      <w:r w:rsidR="00C76C6B" w:rsidRPr="002F0AD3">
        <w:rPr>
          <w:rFonts w:cstheme="minorHAnsi"/>
        </w:rPr>
        <w:t xml:space="preserve"> of Understanding) are utilized and presented its findings </w:t>
      </w:r>
      <w:r w:rsidR="009505E9" w:rsidRPr="002F0AD3">
        <w:rPr>
          <w:rFonts w:cstheme="minorHAnsi"/>
        </w:rPr>
        <w:t>at</w:t>
      </w:r>
      <w:r w:rsidR="00C76C6B" w:rsidRPr="002F0AD3">
        <w:rPr>
          <w:rFonts w:cstheme="minorHAnsi"/>
        </w:rPr>
        <w:t xml:space="preserve"> SC54. </w:t>
      </w:r>
      <w:r w:rsidR="009505E9" w:rsidRPr="002F0AD3">
        <w:rPr>
          <w:rFonts w:cstheme="minorHAnsi"/>
        </w:rPr>
        <w:t>The Standing Committee</w:t>
      </w:r>
      <w:r w:rsidR="00C76C6B" w:rsidRPr="002F0AD3">
        <w:rPr>
          <w:rFonts w:cstheme="minorHAnsi"/>
        </w:rPr>
        <w:t xml:space="preserve"> endorsed the proposed approach and accompanying decision</w:t>
      </w:r>
      <w:r w:rsidR="009505E9" w:rsidRPr="002F0AD3">
        <w:rPr>
          <w:rFonts w:cstheme="minorHAnsi"/>
        </w:rPr>
        <w:t>-</w:t>
      </w:r>
      <w:r w:rsidR="00C76C6B" w:rsidRPr="002F0AD3">
        <w:rPr>
          <w:rFonts w:cstheme="minorHAnsi"/>
        </w:rPr>
        <w:t>tree for determining when cooperation agreements should be used.</w:t>
      </w:r>
    </w:p>
    <w:p w14:paraId="24170D14" w14:textId="77777777" w:rsidR="001A0ACF" w:rsidRPr="002F0AD3" w:rsidRDefault="001A0ACF" w:rsidP="00C81B75">
      <w:pPr>
        <w:rPr>
          <w:rFonts w:cstheme="minorHAnsi"/>
        </w:rPr>
      </w:pPr>
    </w:p>
    <w:p w14:paraId="235D8658" w14:textId="656863AF" w:rsidR="001A0ACF" w:rsidRPr="00E44D71" w:rsidRDefault="00E25439" w:rsidP="0058733D">
      <w:pPr>
        <w:rPr>
          <w:rFonts w:cstheme="minorHAnsi"/>
        </w:rPr>
      </w:pPr>
      <w:r>
        <w:rPr>
          <w:rFonts w:cstheme="minorHAnsi"/>
        </w:rPr>
        <w:t>29</w:t>
      </w:r>
      <w:r w:rsidR="0058733D">
        <w:rPr>
          <w:rFonts w:cstheme="minorHAnsi"/>
        </w:rPr>
        <w:t>.</w:t>
      </w:r>
      <w:r w:rsidR="0058733D">
        <w:rPr>
          <w:rFonts w:cstheme="minorHAnsi"/>
        </w:rPr>
        <w:tab/>
      </w:r>
      <w:r w:rsidR="001A0ACF" w:rsidRPr="002F0AD3">
        <w:rPr>
          <w:rFonts w:cstheme="minorHAnsi"/>
        </w:rPr>
        <w:t xml:space="preserve">On 2 May 2017 the Secretariat organized a meeting </w:t>
      </w:r>
      <w:r w:rsidR="001F04E0" w:rsidRPr="002F0AD3">
        <w:rPr>
          <w:rFonts w:cstheme="minorHAnsi"/>
        </w:rPr>
        <w:t xml:space="preserve">of the heads of IOPs to </w:t>
      </w:r>
      <w:r w:rsidR="00ED5980" w:rsidRPr="002F0AD3">
        <w:rPr>
          <w:rFonts w:cstheme="minorHAnsi"/>
        </w:rPr>
        <w:t xml:space="preserve">renew the existing </w:t>
      </w:r>
      <w:r w:rsidR="001F04E0" w:rsidRPr="002F0AD3">
        <w:rPr>
          <w:rFonts w:cstheme="minorHAnsi"/>
        </w:rPr>
        <w:t xml:space="preserve">Memorandum of Cooperation </w:t>
      </w:r>
      <w:r w:rsidR="00C24D86" w:rsidRPr="002F0AD3">
        <w:rPr>
          <w:rFonts w:cstheme="minorHAnsi"/>
        </w:rPr>
        <w:t xml:space="preserve">(MOC) </w:t>
      </w:r>
      <w:r w:rsidR="001F04E0" w:rsidRPr="002F0AD3">
        <w:rPr>
          <w:rFonts w:cstheme="minorHAnsi"/>
        </w:rPr>
        <w:t xml:space="preserve">and </w:t>
      </w:r>
      <w:r w:rsidR="00ED5980" w:rsidRPr="002F0AD3">
        <w:rPr>
          <w:rFonts w:cstheme="minorHAnsi"/>
        </w:rPr>
        <w:t xml:space="preserve">specify </w:t>
      </w:r>
      <w:r w:rsidR="001F04E0" w:rsidRPr="002F0AD3">
        <w:rPr>
          <w:rFonts w:cstheme="minorHAnsi"/>
        </w:rPr>
        <w:t xml:space="preserve">more strategic ways of working together. This meeting resulted in </w:t>
      </w:r>
      <w:r w:rsidR="00C24D86" w:rsidRPr="002F0AD3">
        <w:rPr>
          <w:rFonts w:cstheme="minorHAnsi"/>
        </w:rPr>
        <w:t xml:space="preserve">agreement on </w:t>
      </w:r>
      <w:r w:rsidR="001F04E0" w:rsidRPr="002F0AD3">
        <w:rPr>
          <w:rFonts w:cstheme="minorHAnsi"/>
        </w:rPr>
        <w:t xml:space="preserve">joint activities that would enable the partnership to become </w:t>
      </w:r>
      <w:r w:rsidR="001F04E0" w:rsidRPr="00E44D71">
        <w:rPr>
          <w:rFonts w:cstheme="minorHAnsi"/>
        </w:rPr>
        <w:t>a “whole greater than the sum of its parts”</w:t>
      </w:r>
      <w:r w:rsidR="00CF448B" w:rsidRPr="00E44D71">
        <w:rPr>
          <w:rFonts w:cstheme="minorHAnsi"/>
        </w:rPr>
        <w:t>. These joint activities</w:t>
      </w:r>
      <w:r w:rsidR="001F04E0" w:rsidRPr="00E44D71">
        <w:rPr>
          <w:rFonts w:cstheme="minorHAnsi"/>
        </w:rPr>
        <w:t xml:space="preserve"> were subsequently </w:t>
      </w:r>
      <w:r w:rsidR="00ED5980" w:rsidRPr="00E44D71">
        <w:rPr>
          <w:rFonts w:cstheme="minorHAnsi"/>
        </w:rPr>
        <w:t>reflected</w:t>
      </w:r>
      <w:r w:rsidR="001F04E0" w:rsidRPr="00E44D71">
        <w:rPr>
          <w:rFonts w:cstheme="minorHAnsi"/>
        </w:rPr>
        <w:t xml:space="preserve"> in </w:t>
      </w:r>
      <w:r w:rsidR="00ED5980" w:rsidRPr="00E44D71">
        <w:rPr>
          <w:rFonts w:cstheme="minorHAnsi"/>
        </w:rPr>
        <w:t>the revised</w:t>
      </w:r>
      <w:r w:rsidR="001F04E0" w:rsidRPr="00E44D71">
        <w:rPr>
          <w:rFonts w:cstheme="minorHAnsi"/>
        </w:rPr>
        <w:t xml:space="preserve"> MOC for the </w:t>
      </w:r>
      <w:r w:rsidR="00971CF5" w:rsidRPr="00E44D71">
        <w:rPr>
          <w:rFonts w:cstheme="minorHAnsi"/>
        </w:rPr>
        <w:t>period</w:t>
      </w:r>
      <w:r w:rsidR="001F04E0" w:rsidRPr="00E44D71">
        <w:rPr>
          <w:rFonts w:cstheme="minorHAnsi"/>
        </w:rPr>
        <w:t xml:space="preserve"> 2018 – 2024.</w:t>
      </w:r>
    </w:p>
    <w:p w14:paraId="34A70B0B" w14:textId="77777777" w:rsidR="00D74A26" w:rsidRPr="00E44D71" w:rsidRDefault="00D74A26" w:rsidP="0058733D">
      <w:pPr>
        <w:ind w:left="0" w:firstLine="0"/>
        <w:rPr>
          <w:rFonts w:cstheme="minorHAnsi"/>
        </w:rPr>
      </w:pPr>
    </w:p>
    <w:p w14:paraId="4199643B" w14:textId="4AAFAE78" w:rsidR="00D74A26" w:rsidRDefault="00E25439" w:rsidP="0058733D">
      <w:pPr>
        <w:rPr>
          <w:rFonts w:cstheme="minorHAnsi"/>
        </w:rPr>
      </w:pPr>
      <w:r w:rsidRPr="00E44D71">
        <w:rPr>
          <w:rFonts w:cstheme="minorHAnsi"/>
        </w:rPr>
        <w:t>30</w:t>
      </w:r>
      <w:r w:rsidR="0058733D" w:rsidRPr="00E44D71">
        <w:rPr>
          <w:rFonts w:cstheme="minorHAnsi"/>
        </w:rPr>
        <w:t>.</w:t>
      </w:r>
      <w:r w:rsidR="0058733D" w:rsidRPr="00E44D71">
        <w:rPr>
          <w:rFonts w:cstheme="minorHAnsi"/>
        </w:rPr>
        <w:tab/>
      </w:r>
      <w:r w:rsidR="00D74A26" w:rsidRPr="00E44D71">
        <w:rPr>
          <w:rFonts w:cstheme="minorHAnsi"/>
        </w:rPr>
        <w:t>Regarding resource mobilization, duri</w:t>
      </w:r>
      <w:r w:rsidR="00C11A77" w:rsidRPr="00E44D71">
        <w:rPr>
          <w:rFonts w:cstheme="minorHAnsi"/>
        </w:rPr>
        <w:t>ng the triennium</w:t>
      </w:r>
      <w:r w:rsidR="00C3788D" w:rsidRPr="00E44D71">
        <w:rPr>
          <w:rFonts w:cstheme="minorHAnsi"/>
        </w:rPr>
        <w:t xml:space="preserve"> the non-core resources amounted to</w:t>
      </w:r>
      <w:r w:rsidR="00D74A26" w:rsidRPr="00E44D71">
        <w:rPr>
          <w:rFonts w:cstheme="minorHAnsi"/>
        </w:rPr>
        <w:t xml:space="preserve"> CHF</w:t>
      </w:r>
      <w:r w:rsidR="0058733D" w:rsidRPr="00E44D71">
        <w:rPr>
          <w:rFonts w:cstheme="minorHAnsi"/>
        </w:rPr>
        <w:t xml:space="preserve"> </w:t>
      </w:r>
      <w:r w:rsidR="00D74A26" w:rsidRPr="00E44D71">
        <w:rPr>
          <w:rFonts w:cstheme="minorHAnsi"/>
        </w:rPr>
        <w:t>2,312,000 to support the priorities established by the COP in Resolution XII.7 Annex 3. During this period</w:t>
      </w:r>
      <w:r w:rsidR="002362AE" w:rsidRPr="00E44D71">
        <w:rPr>
          <w:rFonts w:cstheme="minorHAnsi"/>
        </w:rPr>
        <w:t>,</w:t>
      </w:r>
      <w:r w:rsidR="00D74A26" w:rsidRPr="00E44D71">
        <w:rPr>
          <w:rFonts w:cstheme="minorHAnsi"/>
        </w:rPr>
        <w:t xml:space="preserve"> CHF 157,000 has been raised for RAMs, CHF</w:t>
      </w:r>
      <w:r w:rsidR="0058733D" w:rsidRPr="00E44D71">
        <w:rPr>
          <w:rFonts w:cstheme="minorHAnsi"/>
        </w:rPr>
        <w:t xml:space="preserve"> </w:t>
      </w:r>
      <w:r w:rsidR="00D74A26" w:rsidRPr="00E44D71">
        <w:rPr>
          <w:rFonts w:cstheme="minorHAnsi"/>
        </w:rPr>
        <w:t>221,000 for sponsored delegate travel to COP13 and pre-COP meetings, and CHF</w:t>
      </w:r>
      <w:r w:rsidR="0058733D" w:rsidRPr="00E44D71">
        <w:rPr>
          <w:rFonts w:cstheme="minorHAnsi"/>
        </w:rPr>
        <w:t xml:space="preserve"> </w:t>
      </w:r>
      <w:r w:rsidR="00D74A26" w:rsidRPr="00E44D71">
        <w:rPr>
          <w:rFonts w:cstheme="minorHAnsi"/>
        </w:rPr>
        <w:t xml:space="preserve">33,000 has been raised for </w:t>
      </w:r>
      <w:r w:rsidR="001B29E7" w:rsidRPr="00E44D71">
        <w:rPr>
          <w:rFonts w:cstheme="minorHAnsi"/>
        </w:rPr>
        <w:t>R</w:t>
      </w:r>
      <w:r w:rsidR="00D74A26" w:rsidRPr="00E44D71">
        <w:rPr>
          <w:rFonts w:cstheme="minorHAnsi"/>
        </w:rPr>
        <w:t xml:space="preserve">egional </w:t>
      </w:r>
      <w:r w:rsidR="001B29E7" w:rsidRPr="00E44D71">
        <w:rPr>
          <w:rFonts w:cstheme="minorHAnsi"/>
        </w:rPr>
        <w:t>I</w:t>
      </w:r>
      <w:r w:rsidR="00D74A26" w:rsidRPr="00E44D71">
        <w:rPr>
          <w:rFonts w:cstheme="minorHAnsi"/>
        </w:rPr>
        <w:t>nitiatives. A major highlight in the reporting period was the recruitment of</w:t>
      </w:r>
      <w:r w:rsidR="00D74A26" w:rsidRPr="002F0AD3">
        <w:rPr>
          <w:rFonts w:cstheme="minorHAnsi"/>
        </w:rPr>
        <w:t xml:space="preserve"> the Director of Resource Mobilization and Outreach. A first important step was the development of a Resource Mobilization Strategy as requested in Decision SC52-23. This plan was presented </w:t>
      </w:r>
      <w:r w:rsidR="00BD2553" w:rsidRPr="002F0AD3">
        <w:rPr>
          <w:rFonts w:cstheme="minorHAnsi"/>
        </w:rPr>
        <w:t>at</w:t>
      </w:r>
      <w:r w:rsidR="00D74A26" w:rsidRPr="002F0AD3">
        <w:rPr>
          <w:rFonts w:cstheme="minorHAnsi"/>
        </w:rPr>
        <w:t xml:space="preserve"> SC54 and endorsed</w:t>
      </w:r>
      <w:r w:rsidR="00BD2553" w:rsidRPr="002F0AD3">
        <w:rPr>
          <w:rFonts w:cstheme="minorHAnsi"/>
        </w:rPr>
        <w:t xml:space="preserve"> by the Standing Committee</w:t>
      </w:r>
      <w:r w:rsidR="00D74A26" w:rsidRPr="002F0AD3">
        <w:rPr>
          <w:rFonts w:cstheme="minorHAnsi"/>
        </w:rPr>
        <w:t>. This will enable a more strategic approach for this important area of work of the Secretariat.</w:t>
      </w:r>
    </w:p>
    <w:p w14:paraId="50C50D15" w14:textId="77777777" w:rsidR="00CE1AF2" w:rsidRDefault="00CE1AF2" w:rsidP="0058733D">
      <w:pPr>
        <w:rPr>
          <w:rFonts w:cstheme="minorHAnsi"/>
        </w:rPr>
      </w:pPr>
    </w:p>
    <w:p w14:paraId="14EB03B1" w14:textId="2D8F8294" w:rsidR="00620259" w:rsidRPr="002F0AD3" w:rsidRDefault="00E25439" w:rsidP="0058733D">
      <w:pPr>
        <w:rPr>
          <w:rFonts w:cstheme="minorHAnsi"/>
        </w:rPr>
      </w:pPr>
      <w:r>
        <w:rPr>
          <w:rFonts w:cstheme="minorHAnsi"/>
        </w:rPr>
        <w:lastRenderedPageBreak/>
        <w:t>31</w:t>
      </w:r>
      <w:r w:rsidR="0058733D">
        <w:rPr>
          <w:rFonts w:cstheme="minorHAnsi"/>
        </w:rPr>
        <w:t>.</w:t>
      </w:r>
      <w:r w:rsidR="0058733D">
        <w:rPr>
          <w:rFonts w:cstheme="minorHAnsi"/>
        </w:rPr>
        <w:tab/>
      </w:r>
      <w:r w:rsidR="00670185" w:rsidRPr="002F0AD3">
        <w:rPr>
          <w:rFonts w:cstheme="minorHAnsi"/>
        </w:rPr>
        <w:t xml:space="preserve">The Secretariat </w:t>
      </w:r>
      <w:r w:rsidR="00C3788D" w:rsidRPr="002F0AD3">
        <w:rPr>
          <w:rFonts w:cstheme="minorHAnsi"/>
        </w:rPr>
        <w:t xml:space="preserve">also </w:t>
      </w:r>
      <w:r w:rsidR="00CF448B" w:rsidRPr="002F0AD3">
        <w:rPr>
          <w:rFonts w:cstheme="minorHAnsi"/>
        </w:rPr>
        <w:t>has</w:t>
      </w:r>
      <w:r w:rsidR="00CD7EF2" w:rsidRPr="002F0AD3">
        <w:rPr>
          <w:rFonts w:cstheme="minorHAnsi"/>
        </w:rPr>
        <w:t xml:space="preserve"> provided support to Contracting Parties in their fund</w:t>
      </w:r>
      <w:r w:rsidR="001F04E0" w:rsidRPr="002F0AD3">
        <w:rPr>
          <w:rFonts w:cstheme="minorHAnsi"/>
        </w:rPr>
        <w:t>raising efforts. In</w:t>
      </w:r>
      <w:r w:rsidR="00CD7EF2" w:rsidRPr="002F0AD3">
        <w:rPr>
          <w:rFonts w:cstheme="minorHAnsi"/>
        </w:rPr>
        <w:t xml:space="preserve"> Africa, it </w:t>
      </w:r>
      <w:r w:rsidR="00670185" w:rsidRPr="002F0AD3">
        <w:rPr>
          <w:rFonts w:cstheme="minorHAnsi"/>
        </w:rPr>
        <w:t xml:space="preserve">assisted Gabon to develop a </w:t>
      </w:r>
      <w:r w:rsidR="00CD7EF2" w:rsidRPr="002F0AD3">
        <w:rPr>
          <w:rFonts w:cstheme="minorHAnsi"/>
        </w:rPr>
        <w:t xml:space="preserve">GEF-funded </w:t>
      </w:r>
      <w:r w:rsidR="00670185" w:rsidRPr="002F0AD3">
        <w:rPr>
          <w:rFonts w:cstheme="minorHAnsi"/>
        </w:rPr>
        <w:t xml:space="preserve">project entitled </w:t>
      </w:r>
      <w:r w:rsidR="00652DF0" w:rsidRPr="002F0AD3">
        <w:rPr>
          <w:rFonts w:cstheme="minorHAnsi"/>
        </w:rPr>
        <w:t>“</w:t>
      </w:r>
      <w:r w:rsidR="00670185" w:rsidRPr="002F0AD3">
        <w:rPr>
          <w:rFonts w:cstheme="minorHAnsi"/>
        </w:rPr>
        <w:t>Project on Sustainable Management of Critical Wetland Ecosystems</w:t>
      </w:r>
      <w:r w:rsidR="00652DF0" w:rsidRPr="002F0AD3">
        <w:rPr>
          <w:rFonts w:cstheme="minorHAnsi"/>
        </w:rPr>
        <w:t>”</w:t>
      </w:r>
      <w:r w:rsidR="00670185" w:rsidRPr="002F0AD3">
        <w:rPr>
          <w:rFonts w:cstheme="minorHAnsi"/>
        </w:rPr>
        <w:t xml:space="preserve"> </w:t>
      </w:r>
      <w:r w:rsidR="00CD7EF2" w:rsidRPr="002F0AD3">
        <w:rPr>
          <w:rFonts w:cstheme="minorHAnsi"/>
        </w:rPr>
        <w:t xml:space="preserve">for </w:t>
      </w:r>
      <w:r w:rsidR="00670185" w:rsidRPr="002F0AD3">
        <w:rPr>
          <w:rFonts w:cstheme="minorHAnsi"/>
        </w:rPr>
        <w:t>US</w:t>
      </w:r>
      <w:r w:rsidR="0098136A" w:rsidRPr="002F0AD3">
        <w:rPr>
          <w:rFonts w:cstheme="minorHAnsi"/>
        </w:rPr>
        <w:t xml:space="preserve">D </w:t>
      </w:r>
      <w:r w:rsidR="00670185" w:rsidRPr="002F0AD3">
        <w:rPr>
          <w:rFonts w:cstheme="minorHAnsi"/>
        </w:rPr>
        <w:t>7.521 million</w:t>
      </w:r>
      <w:r w:rsidR="00CD7EF2" w:rsidRPr="002F0AD3">
        <w:rPr>
          <w:rFonts w:cstheme="minorHAnsi"/>
        </w:rPr>
        <w:t xml:space="preserve"> and is currently assisting </w:t>
      </w:r>
      <w:r w:rsidR="00670185" w:rsidRPr="002F0AD3">
        <w:rPr>
          <w:rFonts w:cstheme="minorHAnsi"/>
        </w:rPr>
        <w:t xml:space="preserve">Benin, </w:t>
      </w:r>
      <w:r w:rsidR="0098136A" w:rsidRPr="002F0AD3">
        <w:rPr>
          <w:rFonts w:cstheme="minorHAnsi"/>
        </w:rPr>
        <w:t xml:space="preserve">Burkina Faso and </w:t>
      </w:r>
      <w:r w:rsidR="00670185" w:rsidRPr="002F0AD3">
        <w:rPr>
          <w:rFonts w:cstheme="minorHAnsi"/>
        </w:rPr>
        <w:t xml:space="preserve">Guinea to develop wetland projects to be submitted to </w:t>
      </w:r>
      <w:r w:rsidR="00173630" w:rsidRPr="002F0AD3">
        <w:rPr>
          <w:rFonts w:cstheme="minorHAnsi"/>
        </w:rPr>
        <w:t xml:space="preserve">the </w:t>
      </w:r>
      <w:r w:rsidR="00670185" w:rsidRPr="002F0AD3">
        <w:rPr>
          <w:rFonts w:cstheme="minorHAnsi"/>
        </w:rPr>
        <w:t>Green Climate Fund.</w:t>
      </w:r>
      <w:r w:rsidR="00CD7EF2" w:rsidRPr="002F0AD3">
        <w:rPr>
          <w:rFonts w:cstheme="minorHAnsi"/>
        </w:rPr>
        <w:t xml:space="preserve"> </w:t>
      </w:r>
      <w:r w:rsidR="001F04E0" w:rsidRPr="002F0AD3">
        <w:rPr>
          <w:rFonts w:cstheme="minorHAnsi"/>
        </w:rPr>
        <w:t>In Asia</w:t>
      </w:r>
      <w:r w:rsidR="003B50AF" w:rsidRPr="002F0AD3">
        <w:rPr>
          <w:rFonts w:cstheme="minorHAnsi"/>
        </w:rPr>
        <w:t>,</w:t>
      </w:r>
      <w:r w:rsidR="001F04E0" w:rsidRPr="002F0AD3">
        <w:rPr>
          <w:rFonts w:cstheme="minorHAnsi"/>
        </w:rPr>
        <w:t xml:space="preserve"> </w:t>
      </w:r>
      <w:r w:rsidR="003B50AF" w:rsidRPr="002F0AD3">
        <w:rPr>
          <w:rFonts w:cstheme="minorHAnsi"/>
        </w:rPr>
        <w:t>it worked with the IUCN Asia Regional Office on a project worth EUR 2,530,000</w:t>
      </w:r>
      <w:r w:rsidR="00CD75C3" w:rsidRPr="002F0AD3">
        <w:rPr>
          <w:rFonts w:cstheme="minorHAnsi"/>
        </w:rPr>
        <w:t>,</w:t>
      </w:r>
      <w:r w:rsidR="003B50AF" w:rsidRPr="002F0AD3">
        <w:rPr>
          <w:rFonts w:cstheme="minorHAnsi"/>
        </w:rPr>
        <w:t xml:space="preserve"> entitled “Building Resilience of Wetlands in the Lower Mekong Region through a Ramsar Regional Initiative”. </w:t>
      </w:r>
      <w:r w:rsidR="00670185" w:rsidRPr="002F0AD3">
        <w:rPr>
          <w:rFonts w:cstheme="minorHAnsi"/>
        </w:rPr>
        <w:t xml:space="preserve">In the Americas, fundraising has been focused on the </w:t>
      </w:r>
      <w:r w:rsidR="00CD7EF2" w:rsidRPr="002F0AD3">
        <w:rPr>
          <w:rFonts w:cstheme="minorHAnsi"/>
        </w:rPr>
        <w:t>priorities ident</w:t>
      </w:r>
      <w:r w:rsidR="007D2348" w:rsidRPr="002F0AD3">
        <w:rPr>
          <w:rFonts w:cstheme="minorHAnsi"/>
        </w:rPr>
        <w:t>i</w:t>
      </w:r>
      <w:r w:rsidR="00F46B68" w:rsidRPr="002F0AD3">
        <w:rPr>
          <w:rFonts w:cstheme="minorHAnsi"/>
        </w:rPr>
        <w:t>fi</w:t>
      </w:r>
      <w:r w:rsidR="00CD7EF2" w:rsidRPr="002F0AD3">
        <w:rPr>
          <w:rFonts w:cstheme="minorHAnsi"/>
        </w:rPr>
        <w:t xml:space="preserve">ed by </w:t>
      </w:r>
      <w:r w:rsidR="00670185" w:rsidRPr="002F0AD3">
        <w:rPr>
          <w:rFonts w:cstheme="minorHAnsi"/>
        </w:rPr>
        <w:t>Contracting Parties</w:t>
      </w:r>
      <w:r w:rsidR="00CD7EF2" w:rsidRPr="002F0AD3">
        <w:rPr>
          <w:rFonts w:cstheme="minorHAnsi"/>
        </w:rPr>
        <w:t>, namely, the</w:t>
      </w:r>
      <w:r w:rsidR="00670185" w:rsidRPr="002F0AD3">
        <w:rPr>
          <w:rFonts w:cstheme="minorHAnsi"/>
        </w:rPr>
        <w:t xml:space="preserve"> Regional Initiatives. The Secretariat and Contracting Parties are looking for </w:t>
      </w:r>
      <w:r w:rsidR="00173CE7" w:rsidRPr="002F0AD3">
        <w:rPr>
          <w:rFonts w:cstheme="minorHAnsi"/>
        </w:rPr>
        <w:t>donors for</w:t>
      </w:r>
      <w:r w:rsidR="00670185" w:rsidRPr="002F0AD3">
        <w:rPr>
          <w:rFonts w:cstheme="minorHAnsi"/>
        </w:rPr>
        <w:t xml:space="preserve"> </w:t>
      </w:r>
      <w:r w:rsidR="00FC5CA4" w:rsidRPr="002F0AD3">
        <w:rPr>
          <w:rFonts w:cstheme="minorHAnsi"/>
        </w:rPr>
        <w:t xml:space="preserve">High Andean, </w:t>
      </w:r>
      <w:r w:rsidR="00670185" w:rsidRPr="002F0AD3">
        <w:rPr>
          <w:rFonts w:cstheme="minorHAnsi"/>
        </w:rPr>
        <w:t>La Plata River Basin and Mangroves and Coral Reefs Regional Initiatives.</w:t>
      </w:r>
      <w:r w:rsidR="00971CF5" w:rsidRPr="002F0AD3">
        <w:rPr>
          <w:rFonts w:cstheme="minorHAnsi"/>
        </w:rPr>
        <w:t xml:space="preserve"> In Europe, it facilitated exchanges between the European Commission (major donor), wetland-related project coordinators and Ramsar A</w:t>
      </w:r>
      <w:r w:rsidR="00C3788D" w:rsidRPr="002F0AD3">
        <w:rPr>
          <w:rFonts w:cstheme="minorHAnsi"/>
        </w:rPr>
        <w:t xml:space="preserve">dministrative </w:t>
      </w:r>
      <w:r w:rsidR="00971CF5" w:rsidRPr="002F0AD3">
        <w:rPr>
          <w:rFonts w:cstheme="minorHAnsi"/>
        </w:rPr>
        <w:t>A</w:t>
      </w:r>
      <w:r w:rsidR="00C3788D" w:rsidRPr="002F0AD3">
        <w:rPr>
          <w:rFonts w:cstheme="minorHAnsi"/>
        </w:rPr>
        <w:t>uthoritie</w:t>
      </w:r>
      <w:r w:rsidR="00971CF5" w:rsidRPr="002F0AD3">
        <w:rPr>
          <w:rFonts w:cstheme="minorHAnsi"/>
        </w:rPr>
        <w:t>s in order that maximum benefits can be provided from EU-financed projects for wetland management, restoration and policy development at all levels.</w:t>
      </w:r>
    </w:p>
    <w:p w14:paraId="16F964B6" w14:textId="77777777" w:rsidR="00670185" w:rsidRPr="002F0AD3" w:rsidRDefault="00670185" w:rsidP="00C81B75">
      <w:pPr>
        <w:pStyle w:val="ListParagraph"/>
        <w:ind w:left="425"/>
        <w:rPr>
          <w:rFonts w:cstheme="minorHAnsi"/>
        </w:rPr>
      </w:pPr>
    </w:p>
    <w:p w14:paraId="78995190" w14:textId="77777777" w:rsidR="00AA58E0" w:rsidRPr="0058733D" w:rsidRDefault="31B94901" w:rsidP="00C81B75">
      <w:pPr>
        <w:ind w:left="0" w:firstLine="0"/>
        <w:rPr>
          <w:rFonts w:cstheme="minorHAnsi"/>
          <w:bCs/>
          <w:u w:val="single"/>
        </w:rPr>
      </w:pPr>
      <w:r w:rsidRPr="0058733D">
        <w:rPr>
          <w:rFonts w:cstheme="minorHAnsi"/>
          <w:bCs/>
          <w:u w:val="single"/>
        </w:rPr>
        <w:t>Enhancing the visibility of wetlands and the Convention</w:t>
      </w:r>
    </w:p>
    <w:p w14:paraId="2CDAEB0A" w14:textId="77777777" w:rsidR="00D352B8" w:rsidRPr="002F0AD3" w:rsidRDefault="00D352B8" w:rsidP="00C81B75">
      <w:pPr>
        <w:rPr>
          <w:rFonts w:cstheme="minorHAnsi"/>
        </w:rPr>
      </w:pPr>
    </w:p>
    <w:p w14:paraId="65779D7F" w14:textId="0B430BBA" w:rsidR="008B18E1" w:rsidRPr="005C28FB" w:rsidRDefault="00E25439" w:rsidP="005C28FB">
      <w:pPr>
        <w:rPr>
          <w:rFonts w:cstheme="minorHAnsi"/>
        </w:rPr>
      </w:pPr>
      <w:r>
        <w:rPr>
          <w:rFonts w:cstheme="minorHAnsi"/>
        </w:rPr>
        <w:t>32</w:t>
      </w:r>
      <w:r w:rsidR="005C28FB">
        <w:rPr>
          <w:rFonts w:cstheme="minorHAnsi"/>
        </w:rPr>
        <w:t>.</w:t>
      </w:r>
      <w:r w:rsidR="005C28FB">
        <w:rPr>
          <w:rFonts w:cstheme="minorHAnsi"/>
        </w:rPr>
        <w:tab/>
      </w:r>
      <w:r w:rsidR="001B29E7">
        <w:rPr>
          <w:rFonts w:cstheme="minorHAnsi"/>
        </w:rPr>
        <w:t>The v</w:t>
      </w:r>
      <w:r w:rsidR="0035234F" w:rsidRPr="002F0AD3">
        <w:rPr>
          <w:rFonts w:cstheme="minorHAnsi"/>
        </w:rPr>
        <w:t xml:space="preserve">isibility </w:t>
      </w:r>
      <w:r w:rsidR="001B29E7">
        <w:rPr>
          <w:rFonts w:cstheme="minorHAnsi"/>
        </w:rPr>
        <w:t>of</w:t>
      </w:r>
      <w:r w:rsidR="001B29E7" w:rsidRPr="002F0AD3">
        <w:rPr>
          <w:rFonts w:cstheme="minorHAnsi"/>
        </w:rPr>
        <w:t xml:space="preserve"> </w:t>
      </w:r>
      <w:r w:rsidR="0035234F" w:rsidRPr="002F0AD3">
        <w:rPr>
          <w:rFonts w:cstheme="minorHAnsi"/>
        </w:rPr>
        <w:t>wetlands and the Conv</w:t>
      </w:r>
      <w:r w:rsidR="009E3419" w:rsidRPr="002F0AD3">
        <w:rPr>
          <w:rFonts w:cstheme="minorHAnsi"/>
        </w:rPr>
        <w:t>ention are being raised through</w:t>
      </w:r>
      <w:r w:rsidR="009D26E5" w:rsidRPr="002F0AD3">
        <w:rPr>
          <w:rFonts w:cstheme="minorHAnsi"/>
        </w:rPr>
        <w:t xml:space="preserve"> </w:t>
      </w:r>
      <w:r w:rsidR="00B85491" w:rsidRPr="002F0AD3">
        <w:rPr>
          <w:rFonts w:cstheme="minorHAnsi"/>
        </w:rPr>
        <w:t xml:space="preserve">a variety of </w:t>
      </w:r>
      <w:r w:rsidR="008F13EC" w:rsidRPr="002F0AD3">
        <w:rPr>
          <w:rFonts w:cstheme="minorHAnsi"/>
        </w:rPr>
        <w:t xml:space="preserve">communications </w:t>
      </w:r>
      <w:r w:rsidR="009D26E5" w:rsidRPr="002F0AD3">
        <w:rPr>
          <w:rFonts w:cstheme="minorHAnsi"/>
        </w:rPr>
        <w:t>outreach efforts</w:t>
      </w:r>
      <w:r w:rsidR="00FF0121" w:rsidRPr="002F0AD3">
        <w:rPr>
          <w:rFonts w:cstheme="minorHAnsi"/>
        </w:rPr>
        <w:t>.</w:t>
      </w:r>
      <w:r w:rsidR="207F27EF" w:rsidRPr="005C28FB">
        <w:rPr>
          <w:rFonts w:cstheme="minorHAnsi"/>
        </w:rPr>
        <w:t xml:space="preserve"> The Secretariat </w:t>
      </w:r>
      <w:r w:rsidR="00C14D58" w:rsidRPr="005C28FB">
        <w:rPr>
          <w:rFonts w:cstheme="minorHAnsi"/>
        </w:rPr>
        <w:t>has strengthened</w:t>
      </w:r>
      <w:r w:rsidR="207F27EF" w:rsidRPr="005C28FB">
        <w:rPr>
          <w:rFonts w:cstheme="minorHAnsi"/>
        </w:rPr>
        <w:t xml:space="preserve"> information sharing among the stakeholders of the Convention and increasing public awareness about wetland services and benefits through the Ramsar website, social media, newsletter, a broa</w:t>
      </w:r>
      <w:r w:rsidR="009E3419" w:rsidRPr="005C28FB">
        <w:rPr>
          <w:rFonts w:cstheme="minorHAnsi"/>
        </w:rPr>
        <w:t xml:space="preserve">d range of e-lists and </w:t>
      </w:r>
      <w:r w:rsidR="207F27EF" w:rsidRPr="005C28FB">
        <w:rPr>
          <w:rFonts w:cstheme="minorHAnsi"/>
        </w:rPr>
        <w:t>outre</w:t>
      </w:r>
      <w:r w:rsidR="009E3419" w:rsidRPr="005C28FB">
        <w:rPr>
          <w:rFonts w:cstheme="minorHAnsi"/>
        </w:rPr>
        <w:t>ach campaigns</w:t>
      </w:r>
      <w:r w:rsidR="207F27EF" w:rsidRPr="005C28FB">
        <w:rPr>
          <w:rFonts w:cstheme="minorHAnsi"/>
        </w:rPr>
        <w:t xml:space="preserve"> such as World Wetlands Day.</w:t>
      </w:r>
      <w:r w:rsidR="00B31A2B" w:rsidRPr="005C28FB">
        <w:rPr>
          <w:rFonts w:cstheme="minorHAnsi"/>
        </w:rPr>
        <w:t xml:space="preserve"> </w:t>
      </w:r>
      <w:r w:rsidR="008B18E1" w:rsidRPr="005C28FB">
        <w:rPr>
          <w:rFonts w:cstheme="minorHAnsi"/>
        </w:rPr>
        <w:t xml:space="preserve">The Secretariat </w:t>
      </w:r>
      <w:r w:rsidR="00BB2F77" w:rsidRPr="005C28FB">
        <w:rPr>
          <w:rFonts w:cstheme="minorHAnsi"/>
        </w:rPr>
        <w:t>has taken</w:t>
      </w:r>
      <w:r w:rsidR="00327A95" w:rsidRPr="005C28FB">
        <w:rPr>
          <w:rFonts w:cstheme="minorHAnsi"/>
        </w:rPr>
        <w:t xml:space="preserve"> an approach to speak with “one voice” across the Secretariat to </w:t>
      </w:r>
      <w:r w:rsidR="00785F30" w:rsidRPr="005C28FB">
        <w:rPr>
          <w:rFonts w:cstheme="minorHAnsi"/>
        </w:rPr>
        <w:t>our target audiences</w:t>
      </w:r>
      <w:r w:rsidR="00327A95" w:rsidRPr="005C28FB">
        <w:rPr>
          <w:rFonts w:cstheme="minorHAnsi"/>
        </w:rPr>
        <w:t xml:space="preserve"> about wetlands issues and linking wetlands to </w:t>
      </w:r>
      <w:r w:rsidR="00C14D58" w:rsidRPr="005C28FB">
        <w:rPr>
          <w:rFonts w:cstheme="minorHAnsi"/>
        </w:rPr>
        <w:t xml:space="preserve">relevant policy frameworks such as </w:t>
      </w:r>
      <w:r w:rsidR="00327A95" w:rsidRPr="005C28FB">
        <w:rPr>
          <w:rFonts w:cstheme="minorHAnsi"/>
        </w:rPr>
        <w:t>SDGs and climate change</w:t>
      </w:r>
      <w:r w:rsidR="00E6304F" w:rsidRPr="005C28FB">
        <w:rPr>
          <w:rFonts w:cstheme="minorHAnsi"/>
        </w:rPr>
        <w:t>.</w:t>
      </w:r>
      <w:r w:rsidR="00443B2A" w:rsidRPr="005C28FB">
        <w:rPr>
          <w:rFonts w:cstheme="minorHAnsi"/>
        </w:rPr>
        <w:t xml:space="preserve"> Since the launch of the new Ramsar website </w:t>
      </w:r>
      <w:r w:rsidR="00E534BB" w:rsidRPr="005C28FB">
        <w:rPr>
          <w:rFonts w:cstheme="minorHAnsi"/>
        </w:rPr>
        <w:t>i</w:t>
      </w:r>
      <w:r w:rsidR="00443B2A" w:rsidRPr="005C28FB">
        <w:rPr>
          <w:rFonts w:cstheme="minorHAnsi"/>
        </w:rPr>
        <w:t>n 2015 website traffic has increased by 10% annually. The site has received more than 1.</w:t>
      </w:r>
      <w:r w:rsidR="00226070" w:rsidRPr="005C28FB">
        <w:rPr>
          <w:rFonts w:cstheme="minorHAnsi"/>
        </w:rPr>
        <w:t>3</w:t>
      </w:r>
      <w:r w:rsidR="00226070">
        <w:rPr>
          <w:rFonts w:cstheme="minorHAnsi"/>
        </w:rPr>
        <w:t xml:space="preserve"> million</w:t>
      </w:r>
      <w:r w:rsidR="00226070" w:rsidRPr="005C28FB">
        <w:rPr>
          <w:rFonts w:cstheme="minorHAnsi"/>
        </w:rPr>
        <w:t xml:space="preserve"> </w:t>
      </w:r>
      <w:r w:rsidR="00443B2A" w:rsidRPr="005C28FB">
        <w:rPr>
          <w:rFonts w:cstheme="minorHAnsi"/>
        </w:rPr>
        <w:t>visitors since its launch.</w:t>
      </w:r>
    </w:p>
    <w:p w14:paraId="38E1FA30" w14:textId="77777777" w:rsidR="00EE515A" w:rsidRPr="002F0AD3" w:rsidRDefault="00EE515A" w:rsidP="00C81B75">
      <w:pPr>
        <w:rPr>
          <w:rFonts w:cstheme="minorHAnsi"/>
        </w:rPr>
      </w:pPr>
    </w:p>
    <w:p w14:paraId="5047D03D" w14:textId="7DC14DC6" w:rsidR="00EE515A" w:rsidRPr="002F0AD3" w:rsidRDefault="00E25439" w:rsidP="005C28FB">
      <w:pPr>
        <w:rPr>
          <w:rFonts w:cstheme="minorHAnsi"/>
        </w:rPr>
      </w:pPr>
      <w:r>
        <w:rPr>
          <w:rFonts w:cstheme="minorHAnsi"/>
        </w:rPr>
        <w:t>33</w:t>
      </w:r>
      <w:r w:rsidR="005C28FB">
        <w:rPr>
          <w:rFonts w:cstheme="minorHAnsi"/>
        </w:rPr>
        <w:t>.</w:t>
      </w:r>
      <w:r w:rsidR="005C28FB">
        <w:rPr>
          <w:rFonts w:cstheme="minorHAnsi"/>
        </w:rPr>
        <w:tab/>
      </w:r>
      <w:r w:rsidR="00443B2A" w:rsidRPr="002F0AD3">
        <w:rPr>
          <w:rFonts w:cstheme="minorHAnsi"/>
        </w:rPr>
        <w:t>C</w:t>
      </w:r>
      <w:r w:rsidR="207F27EF" w:rsidRPr="002F0AD3">
        <w:rPr>
          <w:rFonts w:cstheme="minorHAnsi"/>
        </w:rPr>
        <w:t>ommunications outreach</w:t>
      </w:r>
      <w:r w:rsidR="00064A2F" w:rsidRPr="002F0AD3">
        <w:rPr>
          <w:rFonts w:cstheme="minorHAnsi"/>
        </w:rPr>
        <w:t xml:space="preserve"> activities </w:t>
      </w:r>
      <w:r w:rsidR="000145B1" w:rsidRPr="002F0AD3">
        <w:rPr>
          <w:rFonts w:cstheme="minorHAnsi"/>
        </w:rPr>
        <w:t>have increased</w:t>
      </w:r>
      <w:r w:rsidR="00064A2F" w:rsidRPr="002F0AD3">
        <w:rPr>
          <w:rFonts w:cstheme="minorHAnsi"/>
        </w:rPr>
        <w:t xml:space="preserve"> in support of the Secretariat</w:t>
      </w:r>
      <w:r w:rsidR="00F04B42" w:rsidRPr="002F0AD3">
        <w:rPr>
          <w:rFonts w:cstheme="minorHAnsi"/>
        </w:rPr>
        <w:t>’</w:t>
      </w:r>
      <w:r w:rsidR="00064A2F" w:rsidRPr="002F0AD3">
        <w:rPr>
          <w:rFonts w:cstheme="minorHAnsi"/>
        </w:rPr>
        <w:t xml:space="preserve">s participation in </w:t>
      </w:r>
      <w:r w:rsidR="00E534BB" w:rsidRPr="002F0AD3">
        <w:rPr>
          <w:rFonts w:cstheme="minorHAnsi"/>
        </w:rPr>
        <w:t xml:space="preserve">more than 60 </w:t>
      </w:r>
      <w:r w:rsidR="008134D3" w:rsidRPr="002F0AD3">
        <w:rPr>
          <w:rFonts w:cstheme="minorHAnsi"/>
        </w:rPr>
        <w:t>global fora and events</w:t>
      </w:r>
      <w:r w:rsidR="00E534BB" w:rsidRPr="002F0AD3">
        <w:rPr>
          <w:rFonts w:cstheme="minorHAnsi"/>
        </w:rPr>
        <w:t xml:space="preserve"> over the triennium</w:t>
      </w:r>
      <w:r w:rsidR="008134D3" w:rsidRPr="002F0AD3">
        <w:rPr>
          <w:rFonts w:cstheme="minorHAnsi"/>
        </w:rPr>
        <w:t xml:space="preserve">. </w:t>
      </w:r>
      <w:r w:rsidR="00E534BB" w:rsidRPr="002F0AD3">
        <w:rPr>
          <w:rFonts w:cstheme="minorHAnsi"/>
        </w:rPr>
        <w:t xml:space="preserve">Key Ramsar Convention messages delivered via social media and other communication channels have included </w:t>
      </w:r>
      <w:r w:rsidR="207F27EF" w:rsidRPr="002F0AD3">
        <w:rPr>
          <w:rFonts w:cstheme="minorHAnsi"/>
        </w:rPr>
        <w:t>the role of wetlands in climate change adaptation and mitigation</w:t>
      </w:r>
      <w:r w:rsidR="00785F30" w:rsidRPr="002F0AD3">
        <w:rPr>
          <w:rFonts w:cstheme="minorHAnsi"/>
        </w:rPr>
        <w:t xml:space="preserve">, water quality and quantity, and </w:t>
      </w:r>
      <w:r w:rsidR="207F27EF" w:rsidRPr="002F0AD3">
        <w:rPr>
          <w:rFonts w:cstheme="minorHAnsi"/>
        </w:rPr>
        <w:t>disaster risk reduction</w:t>
      </w:r>
      <w:r w:rsidR="00E534BB" w:rsidRPr="002F0AD3">
        <w:rPr>
          <w:rFonts w:cstheme="minorHAnsi"/>
        </w:rPr>
        <w:t>.</w:t>
      </w:r>
      <w:r w:rsidR="00BA6D48" w:rsidRPr="002F0AD3">
        <w:rPr>
          <w:rFonts w:cstheme="minorHAnsi"/>
        </w:rPr>
        <w:t xml:space="preserve"> </w:t>
      </w:r>
      <w:r w:rsidR="00E534BB" w:rsidRPr="002F0AD3">
        <w:rPr>
          <w:rFonts w:cstheme="minorHAnsi"/>
        </w:rPr>
        <w:t>M</w:t>
      </w:r>
      <w:r w:rsidR="207F27EF" w:rsidRPr="002F0AD3">
        <w:rPr>
          <w:rFonts w:cstheme="minorHAnsi"/>
        </w:rPr>
        <w:t xml:space="preserve">ore </w:t>
      </w:r>
      <w:r w:rsidR="000C3354" w:rsidRPr="002F0AD3">
        <w:rPr>
          <w:rFonts w:cstheme="minorHAnsi"/>
        </w:rPr>
        <w:t xml:space="preserve">than </w:t>
      </w:r>
      <w:r w:rsidR="000145B1" w:rsidRPr="002F0AD3">
        <w:rPr>
          <w:rFonts w:cstheme="minorHAnsi"/>
        </w:rPr>
        <w:t xml:space="preserve">800,000 </w:t>
      </w:r>
      <w:r w:rsidR="207F27EF" w:rsidRPr="002F0AD3">
        <w:rPr>
          <w:rFonts w:cstheme="minorHAnsi"/>
        </w:rPr>
        <w:t>people worldwide</w:t>
      </w:r>
      <w:r w:rsidR="00E534BB" w:rsidRPr="002F0AD3">
        <w:rPr>
          <w:rFonts w:cstheme="minorHAnsi"/>
        </w:rPr>
        <w:t xml:space="preserve"> have been directly reached</w:t>
      </w:r>
      <w:r w:rsidR="207F27EF" w:rsidRPr="002F0AD3">
        <w:rPr>
          <w:rFonts w:cstheme="minorHAnsi"/>
        </w:rPr>
        <w:t xml:space="preserve"> via social media.</w:t>
      </w:r>
      <w:r w:rsidR="000145B1" w:rsidRPr="002F0AD3">
        <w:rPr>
          <w:rFonts w:cstheme="minorHAnsi"/>
        </w:rPr>
        <w:t xml:space="preserve"> A joint opinion editorial by the Ramsar Secretary General and </w:t>
      </w:r>
      <w:r w:rsidR="00785F30" w:rsidRPr="002F0AD3">
        <w:rPr>
          <w:rFonts w:cstheme="minorHAnsi"/>
        </w:rPr>
        <w:t xml:space="preserve">the </w:t>
      </w:r>
      <w:r w:rsidR="000145B1" w:rsidRPr="002F0AD3">
        <w:rPr>
          <w:rFonts w:cstheme="minorHAnsi"/>
        </w:rPr>
        <w:t>Executive Secretary of UNFCCC was published in more than 30 media outlets</w:t>
      </w:r>
      <w:r w:rsidR="001B29E7">
        <w:rPr>
          <w:rFonts w:cstheme="minorHAnsi"/>
        </w:rPr>
        <w:t>,</w:t>
      </w:r>
      <w:r w:rsidR="000145B1" w:rsidRPr="002F0AD3">
        <w:rPr>
          <w:rFonts w:cstheme="minorHAnsi"/>
        </w:rPr>
        <w:t xml:space="preserve"> generating a potential viewership of 10 million people.</w:t>
      </w:r>
    </w:p>
    <w:p w14:paraId="6E0C94F7" w14:textId="77777777" w:rsidR="00F56172" w:rsidRPr="002F0AD3" w:rsidRDefault="00F56172" w:rsidP="005C28FB">
      <w:pPr>
        <w:rPr>
          <w:rFonts w:cstheme="minorHAnsi"/>
        </w:rPr>
      </w:pPr>
    </w:p>
    <w:p w14:paraId="73BBBBA4" w14:textId="2625A89A" w:rsidR="00F56172" w:rsidRPr="002F0AD3" w:rsidRDefault="00E25439" w:rsidP="005C28FB">
      <w:pPr>
        <w:rPr>
          <w:rFonts w:cstheme="minorHAnsi"/>
        </w:rPr>
      </w:pPr>
      <w:r>
        <w:rPr>
          <w:rFonts w:cstheme="minorHAnsi"/>
        </w:rPr>
        <w:t>34</w:t>
      </w:r>
      <w:r w:rsidR="005C28FB">
        <w:rPr>
          <w:rFonts w:cstheme="minorHAnsi"/>
        </w:rPr>
        <w:t>.</w:t>
      </w:r>
      <w:r w:rsidR="005C28FB">
        <w:rPr>
          <w:rFonts w:cstheme="minorHAnsi"/>
        </w:rPr>
        <w:tab/>
      </w:r>
      <w:r w:rsidR="00F56172" w:rsidRPr="002F0AD3">
        <w:rPr>
          <w:rFonts w:cstheme="minorHAnsi"/>
        </w:rPr>
        <w:t xml:space="preserve">The </w:t>
      </w:r>
      <w:r w:rsidR="002D5BAB" w:rsidRPr="002F0AD3">
        <w:rPr>
          <w:rFonts w:cstheme="minorHAnsi"/>
        </w:rPr>
        <w:t xml:space="preserve">Communications team </w:t>
      </w:r>
      <w:r w:rsidR="008A384C" w:rsidRPr="002F0AD3">
        <w:rPr>
          <w:rFonts w:cstheme="minorHAnsi"/>
        </w:rPr>
        <w:t>work</w:t>
      </w:r>
      <w:r w:rsidR="00E534BB" w:rsidRPr="002F0AD3">
        <w:rPr>
          <w:rFonts w:cstheme="minorHAnsi"/>
        </w:rPr>
        <w:t>ed closely</w:t>
      </w:r>
      <w:r w:rsidR="008A384C" w:rsidRPr="002F0AD3">
        <w:rPr>
          <w:rFonts w:cstheme="minorHAnsi"/>
        </w:rPr>
        <w:t xml:space="preserve"> with </w:t>
      </w:r>
      <w:r w:rsidR="002645C7" w:rsidRPr="002F0AD3">
        <w:rPr>
          <w:rFonts w:cstheme="minorHAnsi"/>
        </w:rPr>
        <w:t xml:space="preserve">the STRP Chair </w:t>
      </w:r>
      <w:r w:rsidR="00E534BB" w:rsidRPr="002F0AD3">
        <w:rPr>
          <w:rFonts w:cstheme="minorHAnsi"/>
        </w:rPr>
        <w:t xml:space="preserve">to </w:t>
      </w:r>
      <w:r w:rsidR="002D5BAB" w:rsidRPr="002F0AD3">
        <w:rPr>
          <w:rFonts w:cstheme="minorHAnsi"/>
        </w:rPr>
        <w:t>develop outreach activities for each STRP product</w:t>
      </w:r>
      <w:r w:rsidR="002645C7" w:rsidRPr="002F0AD3">
        <w:rPr>
          <w:rFonts w:cstheme="minorHAnsi"/>
        </w:rPr>
        <w:t xml:space="preserve"> and provided guidance on making these products more </w:t>
      </w:r>
      <w:r w:rsidR="001B29E7" w:rsidRPr="002F0AD3">
        <w:rPr>
          <w:rFonts w:cstheme="minorHAnsi"/>
        </w:rPr>
        <w:t>policy</w:t>
      </w:r>
      <w:r w:rsidR="001B29E7">
        <w:rPr>
          <w:rFonts w:cstheme="minorHAnsi"/>
        </w:rPr>
        <w:t>-</w:t>
      </w:r>
      <w:r w:rsidR="002645C7" w:rsidRPr="002F0AD3">
        <w:rPr>
          <w:rFonts w:cstheme="minorHAnsi"/>
        </w:rPr>
        <w:t xml:space="preserve">relevant and appropriate for communications purposes. </w:t>
      </w:r>
      <w:r w:rsidR="00785F30" w:rsidRPr="002F0AD3">
        <w:rPr>
          <w:rFonts w:cstheme="minorHAnsi"/>
        </w:rPr>
        <w:t xml:space="preserve">A major area of work has been the preparation and </w:t>
      </w:r>
      <w:r w:rsidR="002D5BAB" w:rsidRPr="002F0AD3">
        <w:rPr>
          <w:rFonts w:cstheme="minorHAnsi"/>
        </w:rPr>
        <w:t>launch</w:t>
      </w:r>
      <w:r w:rsidR="00BB2F77" w:rsidRPr="002F0AD3">
        <w:rPr>
          <w:rFonts w:cstheme="minorHAnsi"/>
        </w:rPr>
        <w:t xml:space="preserve"> of the Global Wetlands Outlook</w:t>
      </w:r>
      <w:r w:rsidR="008A384C" w:rsidRPr="002F0AD3">
        <w:rPr>
          <w:rFonts w:cstheme="minorHAnsi"/>
        </w:rPr>
        <w:t xml:space="preserve">, including </w:t>
      </w:r>
      <w:r w:rsidR="002D5BAB" w:rsidRPr="002F0AD3">
        <w:rPr>
          <w:rFonts w:cstheme="minorHAnsi"/>
        </w:rPr>
        <w:t>a media</w:t>
      </w:r>
      <w:r w:rsidR="008B18E1" w:rsidRPr="002F0AD3">
        <w:rPr>
          <w:rFonts w:cstheme="minorHAnsi"/>
        </w:rPr>
        <w:t xml:space="preserve"> and social media</w:t>
      </w:r>
      <w:r w:rsidR="002D5BAB" w:rsidRPr="002F0AD3">
        <w:rPr>
          <w:rFonts w:cstheme="minorHAnsi"/>
        </w:rPr>
        <w:t xml:space="preserve"> outreach plan</w:t>
      </w:r>
      <w:r w:rsidR="00BB2F77" w:rsidRPr="002F0AD3">
        <w:rPr>
          <w:rFonts w:cstheme="minorHAnsi"/>
        </w:rPr>
        <w:t xml:space="preserve"> </w:t>
      </w:r>
      <w:r w:rsidR="002D5BAB" w:rsidRPr="002F0AD3">
        <w:rPr>
          <w:rFonts w:cstheme="minorHAnsi"/>
        </w:rPr>
        <w:t xml:space="preserve">developed </w:t>
      </w:r>
      <w:r w:rsidR="00BB2F77" w:rsidRPr="002F0AD3">
        <w:rPr>
          <w:rFonts w:cstheme="minorHAnsi"/>
        </w:rPr>
        <w:t>and implemented</w:t>
      </w:r>
      <w:r w:rsidR="008B18E1" w:rsidRPr="002F0AD3">
        <w:rPr>
          <w:rFonts w:cstheme="minorHAnsi"/>
        </w:rPr>
        <w:t>. A</w:t>
      </w:r>
      <w:r w:rsidR="00BB2F77" w:rsidRPr="002F0AD3">
        <w:rPr>
          <w:rFonts w:cstheme="minorHAnsi"/>
        </w:rPr>
        <w:t xml:space="preserve"> separate micro</w:t>
      </w:r>
      <w:r w:rsidR="002D5BAB" w:rsidRPr="002F0AD3">
        <w:rPr>
          <w:rFonts w:cstheme="minorHAnsi"/>
        </w:rPr>
        <w:t xml:space="preserve">site for </w:t>
      </w:r>
      <w:r w:rsidR="008B18E1" w:rsidRPr="002F0AD3">
        <w:rPr>
          <w:rFonts w:cstheme="minorHAnsi"/>
        </w:rPr>
        <w:t xml:space="preserve">the </w:t>
      </w:r>
      <w:r w:rsidR="00BB2F77" w:rsidRPr="002F0AD3">
        <w:rPr>
          <w:rFonts w:cstheme="minorHAnsi"/>
        </w:rPr>
        <w:t>Global Wetland Outlook and associated products was created</w:t>
      </w:r>
      <w:r w:rsidR="008B18E1" w:rsidRPr="002F0AD3">
        <w:rPr>
          <w:rFonts w:cstheme="minorHAnsi"/>
        </w:rPr>
        <w:t xml:space="preserve"> and communicated to global media and </w:t>
      </w:r>
      <w:r w:rsidR="00BB2F77" w:rsidRPr="002F0AD3">
        <w:rPr>
          <w:rFonts w:cstheme="minorHAnsi"/>
        </w:rPr>
        <w:t xml:space="preserve">the </w:t>
      </w:r>
      <w:r w:rsidR="008B18E1" w:rsidRPr="002F0AD3">
        <w:rPr>
          <w:rFonts w:cstheme="minorHAnsi"/>
        </w:rPr>
        <w:t>public.</w:t>
      </w:r>
      <w:r w:rsidR="00BA6D48" w:rsidRPr="002F0AD3">
        <w:rPr>
          <w:rFonts w:cstheme="minorHAnsi"/>
        </w:rPr>
        <w:t xml:space="preserve"> </w:t>
      </w:r>
    </w:p>
    <w:p w14:paraId="041A82C9" w14:textId="77777777" w:rsidR="00EE515A" w:rsidRPr="005C28FB" w:rsidRDefault="00EE515A" w:rsidP="00C81B75">
      <w:pPr>
        <w:rPr>
          <w:rFonts w:cstheme="minorHAnsi"/>
        </w:rPr>
      </w:pPr>
    </w:p>
    <w:p w14:paraId="08180468" w14:textId="08E13569" w:rsidR="00EE515A" w:rsidRPr="002F0AD3" w:rsidRDefault="00E25439" w:rsidP="005C28FB">
      <w:pPr>
        <w:rPr>
          <w:rFonts w:cstheme="minorHAnsi"/>
        </w:rPr>
      </w:pPr>
      <w:r>
        <w:rPr>
          <w:rFonts w:cstheme="minorHAnsi"/>
        </w:rPr>
        <w:t>35</w:t>
      </w:r>
      <w:r w:rsidR="005C28FB">
        <w:rPr>
          <w:rFonts w:cstheme="minorHAnsi"/>
        </w:rPr>
        <w:t>.</w:t>
      </w:r>
      <w:r w:rsidR="005C28FB">
        <w:rPr>
          <w:rFonts w:cstheme="minorHAnsi"/>
        </w:rPr>
        <w:tab/>
      </w:r>
      <w:r w:rsidR="637F26AC" w:rsidRPr="005C28FB">
        <w:rPr>
          <w:rFonts w:cstheme="minorHAnsi"/>
        </w:rPr>
        <w:t xml:space="preserve">These </w:t>
      </w:r>
      <w:r w:rsidR="00064A2F" w:rsidRPr="005C28FB">
        <w:rPr>
          <w:rFonts w:cstheme="minorHAnsi"/>
        </w:rPr>
        <w:t xml:space="preserve">communications </w:t>
      </w:r>
      <w:r w:rsidR="637F26AC" w:rsidRPr="005C28FB">
        <w:rPr>
          <w:rFonts w:cstheme="minorHAnsi"/>
        </w:rPr>
        <w:t>efforts have been part of the Secretariat</w:t>
      </w:r>
      <w:r w:rsidR="00F04B42" w:rsidRPr="005C28FB">
        <w:rPr>
          <w:rFonts w:cstheme="minorHAnsi"/>
        </w:rPr>
        <w:t>’</w:t>
      </w:r>
      <w:r w:rsidR="637F26AC" w:rsidRPr="005C28FB">
        <w:rPr>
          <w:rFonts w:cstheme="minorHAnsi"/>
        </w:rPr>
        <w:t>s implementation of the CEPA Action Plan. The Secretariat assessed the status of implementation of the Plan, and reviewed expected outcomes in line with its capacity and taking a whole-of-Secretariat approach. The Secretariat integrated the Plan</w:t>
      </w:r>
      <w:r w:rsidR="00F04B42" w:rsidRPr="005C28FB">
        <w:rPr>
          <w:rFonts w:cstheme="minorHAnsi"/>
        </w:rPr>
        <w:t>’</w:t>
      </w:r>
      <w:r w:rsidR="637F26AC" w:rsidRPr="005C28FB">
        <w:rPr>
          <w:rFonts w:cstheme="minorHAnsi"/>
        </w:rPr>
        <w:t>s outcomes into its triennial and annual work plans to align and streamline its w</w:t>
      </w:r>
      <w:r w:rsidR="005926DF" w:rsidRPr="005C28FB">
        <w:rPr>
          <w:rFonts w:cstheme="minorHAnsi"/>
        </w:rPr>
        <w:t>ork</w:t>
      </w:r>
      <w:r w:rsidR="00C14D58" w:rsidRPr="005C28FB">
        <w:rPr>
          <w:rFonts w:cstheme="minorHAnsi"/>
        </w:rPr>
        <w:t xml:space="preserve">, with approval from </w:t>
      </w:r>
      <w:r w:rsidR="002F0AD3" w:rsidRPr="005C28FB">
        <w:rPr>
          <w:rFonts w:cstheme="minorHAnsi"/>
        </w:rPr>
        <w:t>SC</w:t>
      </w:r>
      <w:r w:rsidR="00C3788D" w:rsidRPr="005C28FB">
        <w:rPr>
          <w:rFonts w:cstheme="minorHAnsi"/>
        </w:rPr>
        <w:t xml:space="preserve">53 and </w:t>
      </w:r>
      <w:r w:rsidR="00C14D58" w:rsidRPr="005C28FB">
        <w:rPr>
          <w:rFonts w:cstheme="minorHAnsi"/>
        </w:rPr>
        <w:t>SC54.</w:t>
      </w:r>
    </w:p>
    <w:p w14:paraId="1C6DC3C7" w14:textId="77777777" w:rsidR="00EE515A" w:rsidRPr="002F0AD3" w:rsidRDefault="00EE515A" w:rsidP="005C28FB">
      <w:pPr>
        <w:rPr>
          <w:rFonts w:cstheme="minorHAnsi"/>
        </w:rPr>
      </w:pPr>
    </w:p>
    <w:p w14:paraId="39FC7366" w14:textId="27F41953" w:rsidR="00B02C5C" w:rsidRPr="002F0AD3" w:rsidRDefault="00E25439" w:rsidP="005C28FB">
      <w:pPr>
        <w:rPr>
          <w:rFonts w:cstheme="minorHAnsi"/>
        </w:rPr>
      </w:pPr>
      <w:r>
        <w:rPr>
          <w:rFonts w:cstheme="minorHAnsi"/>
        </w:rPr>
        <w:t>36</w:t>
      </w:r>
      <w:r w:rsidR="005C28FB">
        <w:rPr>
          <w:rFonts w:cstheme="minorHAnsi"/>
        </w:rPr>
        <w:t>.</w:t>
      </w:r>
      <w:r w:rsidR="005C28FB">
        <w:rPr>
          <w:rFonts w:cstheme="minorHAnsi"/>
        </w:rPr>
        <w:tab/>
      </w:r>
      <w:r w:rsidR="00B02C5C" w:rsidRPr="002F0AD3">
        <w:rPr>
          <w:rFonts w:cstheme="minorHAnsi"/>
        </w:rPr>
        <w:t xml:space="preserve">World Wetlands Day continues to be a powerful outreach platform from which to raise global and national awareness about wetlands. Over the triennium the Secretariat noted a steady increase in the number of events organized by Parties and other environment organizations </w:t>
      </w:r>
      <w:r w:rsidR="00B02C5C" w:rsidRPr="002F0AD3">
        <w:rPr>
          <w:rFonts w:cstheme="minorHAnsi"/>
        </w:rPr>
        <w:lastRenderedPageBreak/>
        <w:t xml:space="preserve">from 1346 (2016) to 1507 (2018). With funding provided by the Danone Group, the Secretariat produced a range of information materials to support the outreach efforts of Parties on the themes of livelihoods (2016), disaster risk reduction (2017) and urban wetlands (2018). Furthermore, the Secretariat sought out strategic collaboration with the IOPs and relevant United Nations agencies to capitalize on their networks and reach a broader audience. These included </w:t>
      </w:r>
      <w:r w:rsidR="003709D4" w:rsidRPr="002F0AD3">
        <w:rPr>
          <w:rFonts w:cstheme="minorHAnsi"/>
        </w:rPr>
        <w:t>United Nations Environmental Program (UNEP)</w:t>
      </w:r>
      <w:r w:rsidR="00B02C5C" w:rsidRPr="002F0AD3">
        <w:rPr>
          <w:rFonts w:cstheme="minorHAnsi"/>
        </w:rPr>
        <w:t>,</w:t>
      </w:r>
      <w:r w:rsidR="003709D4" w:rsidRPr="002F0AD3">
        <w:rPr>
          <w:rFonts w:cstheme="minorHAnsi"/>
        </w:rPr>
        <w:t xml:space="preserve"> United Nations Office for Disaster Risk Reduction (</w:t>
      </w:r>
      <w:r w:rsidR="00B02C5C" w:rsidRPr="002F0AD3">
        <w:rPr>
          <w:rFonts w:cstheme="minorHAnsi"/>
        </w:rPr>
        <w:t xml:space="preserve"> UNISDR</w:t>
      </w:r>
      <w:r w:rsidR="003709D4" w:rsidRPr="002F0AD3">
        <w:rPr>
          <w:rFonts w:cstheme="minorHAnsi"/>
        </w:rPr>
        <w:t>)</w:t>
      </w:r>
      <w:r w:rsidR="00B02C5C" w:rsidRPr="002F0AD3">
        <w:rPr>
          <w:rFonts w:cstheme="minorHAnsi"/>
        </w:rPr>
        <w:t xml:space="preserve">, </w:t>
      </w:r>
      <w:r w:rsidR="003709D4" w:rsidRPr="002F0AD3">
        <w:rPr>
          <w:rFonts w:cstheme="minorHAnsi"/>
        </w:rPr>
        <w:t xml:space="preserve">and </w:t>
      </w:r>
      <w:r w:rsidR="00B02C5C" w:rsidRPr="002F0AD3">
        <w:rPr>
          <w:rFonts w:cstheme="minorHAnsi"/>
        </w:rPr>
        <w:t xml:space="preserve">UN Habitat. Social Media as well as the Global Wetlands Youth Photo Contest held in 2016 and 2017, were other important channels employed to increase youth awareness and engagement on World Wetlands Day. More specifically, during the triennium the combined use of the social media platforms Facebook, Twitter, </w:t>
      </w:r>
      <w:r w:rsidR="00B02C5C" w:rsidRPr="00226070">
        <w:rPr>
          <w:rFonts w:cstheme="minorHAnsi"/>
        </w:rPr>
        <w:t>Youtube</w:t>
      </w:r>
      <w:r w:rsidR="00B02C5C" w:rsidRPr="002F0AD3">
        <w:rPr>
          <w:rFonts w:cstheme="minorHAnsi"/>
        </w:rPr>
        <w:t xml:space="preserve"> and Instagram potentially reached 16 million in 2016, 25 million in 2017 and 9 million </w:t>
      </w:r>
      <w:r w:rsidR="003709D4" w:rsidRPr="002F0AD3">
        <w:rPr>
          <w:rFonts w:cstheme="minorHAnsi"/>
        </w:rPr>
        <w:t>to date in</w:t>
      </w:r>
      <w:r w:rsidR="00B02C5C" w:rsidRPr="002F0AD3">
        <w:rPr>
          <w:rFonts w:cstheme="minorHAnsi"/>
        </w:rPr>
        <w:t xml:space="preserve"> 2018. </w:t>
      </w:r>
    </w:p>
    <w:p w14:paraId="24E3DC2F" w14:textId="77777777" w:rsidR="207F27EF" w:rsidRPr="002F0AD3" w:rsidRDefault="207F27EF" w:rsidP="00C81B75">
      <w:pPr>
        <w:pStyle w:val="ListParagraph"/>
        <w:ind w:firstLine="0"/>
        <w:rPr>
          <w:rFonts w:eastAsia="Calibri" w:cstheme="minorHAnsi"/>
        </w:rPr>
      </w:pPr>
    </w:p>
    <w:p w14:paraId="5482BF87" w14:textId="77777777" w:rsidR="00561D51" w:rsidRPr="006A3761" w:rsidRDefault="31B94901" w:rsidP="006A3761">
      <w:pPr>
        <w:rPr>
          <w:rFonts w:cstheme="minorHAnsi"/>
          <w:bCs/>
          <w:u w:val="single"/>
        </w:rPr>
      </w:pPr>
      <w:r w:rsidRPr="006A3761">
        <w:rPr>
          <w:rFonts w:cstheme="minorHAnsi"/>
          <w:bCs/>
          <w:u w:val="single"/>
        </w:rPr>
        <w:t>Strengthening the Secretariat</w:t>
      </w:r>
      <w:r w:rsidR="00F04B42" w:rsidRPr="006A3761">
        <w:rPr>
          <w:rFonts w:cstheme="minorHAnsi"/>
          <w:bCs/>
          <w:u w:val="single"/>
        </w:rPr>
        <w:t>’</w:t>
      </w:r>
      <w:r w:rsidRPr="006A3761">
        <w:rPr>
          <w:rFonts w:cstheme="minorHAnsi"/>
          <w:bCs/>
          <w:u w:val="single"/>
        </w:rPr>
        <w:t>s efficiency and effectiveness</w:t>
      </w:r>
    </w:p>
    <w:p w14:paraId="36FA90AF" w14:textId="77777777" w:rsidR="00D352B8" w:rsidRPr="002F0AD3" w:rsidRDefault="00D352B8" w:rsidP="006A3761">
      <w:pPr>
        <w:rPr>
          <w:rFonts w:cstheme="minorHAnsi"/>
        </w:rPr>
      </w:pPr>
    </w:p>
    <w:p w14:paraId="458D5FF7" w14:textId="3AEA97D0" w:rsidR="00E036FC" w:rsidRPr="002F0AD3" w:rsidRDefault="00E25439" w:rsidP="006A3761">
      <w:pPr>
        <w:rPr>
          <w:rFonts w:cstheme="minorHAnsi"/>
        </w:rPr>
      </w:pPr>
      <w:r>
        <w:rPr>
          <w:rFonts w:cstheme="minorHAnsi"/>
        </w:rPr>
        <w:t>37</w:t>
      </w:r>
      <w:r w:rsidR="006A3761">
        <w:rPr>
          <w:rFonts w:cstheme="minorHAnsi"/>
        </w:rPr>
        <w:t>.</w:t>
      </w:r>
      <w:r w:rsidR="006A3761">
        <w:rPr>
          <w:rFonts w:cstheme="minorHAnsi"/>
        </w:rPr>
        <w:tab/>
      </w:r>
      <w:r w:rsidR="00E7322F" w:rsidRPr="002F0AD3">
        <w:rPr>
          <w:rFonts w:cstheme="minorHAnsi"/>
        </w:rPr>
        <w:t>The gui</w:t>
      </w:r>
      <w:r w:rsidR="00EE1495" w:rsidRPr="002F0AD3">
        <w:rPr>
          <w:rFonts w:cstheme="minorHAnsi"/>
        </w:rPr>
        <w:t xml:space="preserve">ding objective </w:t>
      </w:r>
      <w:r w:rsidR="00785F30" w:rsidRPr="002F0AD3">
        <w:rPr>
          <w:rFonts w:cstheme="minorHAnsi"/>
        </w:rPr>
        <w:t xml:space="preserve">since the current Secretary General took office </w:t>
      </w:r>
      <w:r w:rsidR="00E7322F" w:rsidRPr="002F0AD3">
        <w:rPr>
          <w:rFonts w:cstheme="minorHAnsi"/>
        </w:rPr>
        <w:t xml:space="preserve">has been to </w:t>
      </w:r>
      <w:r w:rsidR="00652DF0" w:rsidRPr="002F0AD3">
        <w:rPr>
          <w:rFonts w:cstheme="minorHAnsi"/>
        </w:rPr>
        <w:t>“</w:t>
      </w:r>
      <w:r w:rsidR="00E7322F" w:rsidRPr="002F0AD3">
        <w:rPr>
          <w:rFonts w:cstheme="minorHAnsi"/>
        </w:rPr>
        <w:t>organize to deliver</w:t>
      </w:r>
      <w:r w:rsidR="00652DF0" w:rsidRPr="002F0AD3">
        <w:rPr>
          <w:rFonts w:cstheme="minorHAnsi"/>
        </w:rPr>
        <w:t>”</w:t>
      </w:r>
      <w:r w:rsidR="00E7322F" w:rsidRPr="002F0AD3">
        <w:rPr>
          <w:rFonts w:cstheme="minorHAnsi"/>
        </w:rPr>
        <w:t xml:space="preserve"> on the Strategic Plan of the Convention and the mandate of the Contracting Parties, and to use in the most efficient way the limited resources of the Convention and the</w:t>
      </w:r>
      <w:r w:rsidR="00843F44" w:rsidRPr="002F0AD3">
        <w:rPr>
          <w:rFonts w:cstheme="minorHAnsi"/>
        </w:rPr>
        <w:t xml:space="preserve"> capacities of the Secretariat. </w:t>
      </w:r>
    </w:p>
    <w:p w14:paraId="4CCFE62D" w14:textId="77777777" w:rsidR="009D4535" w:rsidRPr="002F0AD3" w:rsidRDefault="009D4535" w:rsidP="006A3761">
      <w:pPr>
        <w:rPr>
          <w:rFonts w:cstheme="minorHAnsi"/>
        </w:rPr>
      </w:pPr>
    </w:p>
    <w:p w14:paraId="41ABD621" w14:textId="1AA5AFB5" w:rsidR="00843F44" w:rsidRDefault="00E25439" w:rsidP="006A3761">
      <w:pPr>
        <w:rPr>
          <w:rFonts w:cstheme="minorHAnsi"/>
        </w:rPr>
      </w:pPr>
      <w:r>
        <w:rPr>
          <w:rFonts w:cstheme="minorHAnsi"/>
        </w:rPr>
        <w:t>38</w:t>
      </w:r>
      <w:r w:rsidR="006A3761">
        <w:rPr>
          <w:rFonts w:cstheme="minorHAnsi"/>
        </w:rPr>
        <w:t>.</w:t>
      </w:r>
      <w:r w:rsidR="006A3761">
        <w:rPr>
          <w:rFonts w:cstheme="minorHAnsi"/>
        </w:rPr>
        <w:tab/>
      </w:r>
      <w:r w:rsidR="00843F44" w:rsidRPr="002F0AD3">
        <w:rPr>
          <w:rFonts w:cstheme="minorHAnsi"/>
        </w:rPr>
        <w:t xml:space="preserve">Capacity gaps </w:t>
      </w:r>
      <w:r w:rsidR="00E036FC" w:rsidRPr="002F0AD3">
        <w:rPr>
          <w:rFonts w:cstheme="minorHAnsi"/>
        </w:rPr>
        <w:t>were identified especially in</w:t>
      </w:r>
      <w:r w:rsidR="00843F44" w:rsidRPr="002F0AD3">
        <w:rPr>
          <w:rFonts w:cstheme="minorHAnsi"/>
        </w:rPr>
        <w:t xml:space="preserve"> two areas, namely the core function of supporting the governing and subsidiary bodies and the linkage with relevant policy processes through policy-relevant science</w:t>
      </w:r>
      <w:r w:rsidR="00843F44" w:rsidRPr="006A3761">
        <w:rPr>
          <w:rFonts w:cstheme="minorHAnsi"/>
        </w:rPr>
        <w:t>.</w:t>
      </w:r>
      <w:r w:rsidR="00843F44" w:rsidRPr="002F0AD3">
        <w:rPr>
          <w:rFonts w:cstheme="minorHAnsi"/>
        </w:rPr>
        <w:t xml:space="preserve"> </w:t>
      </w:r>
      <w:r w:rsidR="004C7D32" w:rsidRPr="002F0AD3">
        <w:rPr>
          <w:rFonts w:cstheme="minorHAnsi"/>
        </w:rPr>
        <w:t>Adjustments have been made to job descriptions of vacant posts</w:t>
      </w:r>
      <w:r w:rsidR="00B65BBC" w:rsidRPr="002F0AD3">
        <w:rPr>
          <w:rFonts w:cstheme="minorHAnsi"/>
        </w:rPr>
        <w:t>, including after retirement of the incumbents,</w:t>
      </w:r>
      <w:r w:rsidR="004C7D32" w:rsidRPr="002F0AD3">
        <w:rPr>
          <w:rFonts w:cstheme="minorHAnsi"/>
        </w:rPr>
        <w:t xml:space="preserve"> and administrative staff to cover capacity gaps. In the last two years, the Secretary General has recruited </w:t>
      </w:r>
      <w:r w:rsidR="00E036FC" w:rsidRPr="002F0AD3">
        <w:rPr>
          <w:rFonts w:cstheme="minorHAnsi"/>
        </w:rPr>
        <w:t>the following positions:</w:t>
      </w:r>
      <w:r w:rsidR="00E036FC" w:rsidRPr="006A3761">
        <w:rPr>
          <w:rFonts w:cstheme="minorHAnsi"/>
        </w:rPr>
        <w:t xml:space="preserve"> Deputy Secretary General, with a job description</w:t>
      </w:r>
      <w:r w:rsidR="00E036FC" w:rsidRPr="002F0AD3">
        <w:rPr>
          <w:rFonts w:cstheme="minorHAnsi"/>
        </w:rPr>
        <w:t xml:space="preserve"> refocused on governing and subsidiary bodies and ensuring overall accountability to the Contracting Parties; Director of Resource Mobilization and Outreach (with advice from the Resource Mobilization Working Group in the development of the job description); Finance Officer; Senior Regional Advisor for Asia and Oceania; </w:t>
      </w:r>
      <w:r w:rsidR="000B5B21">
        <w:rPr>
          <w:rFonts w:cstheme="minorHAnsi"/>
        </w:rPr>
        <w:t xml:space="preserve">Director of Science and Policy; </w:t>
      </w:r>
      <w:r w:rsidR="00E036FC" w:rsidRPr="002F0AD3">
        <w:rPr>
          <w:rFonts w:cstheme="minorHAnsi"/>
        </w:rPr>
        <w:t xml:space="preserve">Conference Assistant, </w:t>
      </w:r>
      <w:r w:rsidR="00B65BBC" w:rsidRPr="002F0AD3">
        <w:rPr>
          <w:rFonts w:cstheme="minorHAnsi"/>
        </w:rPr>
        <w:t>(to further strengthen capacities in supporting subsidiary and governing bodies)</w:t>
      </w:r>
      <w:r w:rsidR="00E036FC" w:rsidRPr="002F0AD3">
        <w:rPr>
          <w:rFonts w:cstheme="minorHAnsi"/>
        </w:rPr>
        <w:t xml:space="preserve">, </w:t>
      </w:r>
      <w:r w:rsidR="00785F30" w:rsidRPr="002F0AD3">
        <w:rPr>
          <w:rFonts w:cstheme="minorHAnsi"/>
        </w:rPr>
        <w:t xml:space="preserve">Communications Assistant </w:t>
      </w:r>
      <w:r w:rsidR="00E036FC" w:rsidRPr="002F0AD3">
        <w:rPr>
          <w:rFonts w:cstheme="minorHAnsi"/>
        </w:rPr>
        <w:t>and three Interns.</w:t>
      </w:r>
      <w:r w:rsidR="00BA6D48" w:rsidRPr="002F0AD3">
        <w:rPr>
          <w:rFonts w:cstheme="minorHAnsi"/>
        </w:rPr>
        <w:t xml:space="preserve"> </w:t>
      </w:r>
      <w:r w:rsidR="00E036FC" w:rsidRPr="002F0AD3">
        <w:rPr>
          <w:rFonts w:cstheme="minorHAnsi"/>
        </w:rPr>
        <w:t xml:space="preserve">Efforts have been made to </w:t>
      </w:r>
      <w:r w:rsidR="004C7D32" w:rsidRPr="002F0AD3">
        <w:rPr>
          <w:rFonts w:cstheme="minorHAnsi"/>
        </w:rPr>
        <w:t xml:space="preserve">have regional </w:t>
      </w:r>
      <w:r w:rsidR="00CB439D" w:rsidRPr="002F0AD3">
        <w:rPr>
          <w:rFonts w:cstheme="minorHAnsi"/>
        </w:rPr>
        <w:t>and</w:t>
      </w:r>
      <w:r w:rsidR="00E036FC" w:rsidRPr="002F0AD3">
        <w:rPr>
          <w:rFonts w:cstheme="minorHAnsi"/>
        </w:rPr>
        <w:t xml:space="preserve"> gender </w:t>
      </w:r>
      <w:r w:rsidR="00CB439D" w:rsidRPr="002F0AD3">
        <w:rPr>
          <w:rFonts w:cstheme="minorHAnsi"/>
        </w:rPr>
        <w:t>diversity</w:t>
      </w:r>
      <w:r w:rsidR="00AC45DA" w:rsidRPr="002F0AD3">
        <w:rPr>
          <w:rFonts w:cstheme="minorHAnsi"/>
        </w:rPr>
        <w:t xml:space="preserve"> to the extent possible</w:t>
      </w:r>
      <w:r w:rsidR="00CB439D" w:rsidRPr="002F0AD3">
        <w:rPr>
          <w:rFonts w:cstheme="minorHAnsi"/>
        </w:rPr>
        <w:t>.</w:t>
      </w:r>
      <w:r w:rsidR="00A8463A" w:rsidRPr="002F0AD3">
        <w:rPr>
          <w:rFonts w:cstheme="minorHAnsi"/>
        </w:rPr>
        <w:t xml:space="preserve"> </w:t>
      </w:r>
      <w:r w:rsidR="000B5B21">
        <w:rPr>
          <w:rFonts w:cstheme="minorHAnsi"/>
        </w:rPr>
        <w:t>Eleven</w:t>
      </w:r>
      <w:r w:rsidR="00A8463A" w:rsidRPr="002F0AD3">
        <w:rPr>
          <w:rFonts w:cstheme="minorHAnsi"/>
        </w:rPr>
        <w:t xml:space="preserve"> positions have been recruited since the</w:t>
      </w:r>
      <w:r w:rsidR="00AC45DA" w:rsidRPr="002F0AD3">
        <w:rPr>
          <w:rFonts w:cstheme="minorHAnsi"/>
        </w:rPr>
        <w:t xml:space="preserve"> current</w:t>
      </w:r>
      <w:r w:rsidR="00A8463A" w:rsidRPr="002F0AD3">
        <w:rPr>
          <w:rFonts w:cstheme="minorHAnsi"/>
        </w:rPr>
        <w:t xml:space="preserve"> Secretary General assumed her responsibilities</w:t>
      </w:r>
      <w:r w:rsidR="00AC45DA" w:rsidRPr="002F0AD3">
        <w:rPr>
          <w:rFonts w:cstheme="minorHAnsi"/>
        </w:rPr>
        <w:t xml:space="preserve"> from the following regions: </w:t>
      </w:r>
      <w:r w:rsidR="004C7D32" w:rsidRPr="002F0AD3">
        <w:rPr>
          <w:rFonts w:cstheme="minorHAnsi"/>
        </w:rPr>
        <w:t>Europe (4), Africa (2), Asia (2), North America (1), Latin American and Caribbean (</w:t>
      </w:r>
      <w:r w:rsidR="000B5B21">
        <w:rPr>
          <w:rFonts w:cstheme="minorHAnsi"/>
        </w:rPr>
        <w:t>2</w:t>
      </w:r>
      <w:r w:rsidR="004C7D32" w:rsidRPr="002F0AD3">
        <w:rPr>
          <w:rFonts w:cstheme="minorHAnsi"/>
        </w:rPr>
        <w:t>), Oceania (0)</w:t>
      </w:r>
      <w:r w:rsidR="002F58F8" w:rsidRPr="002F0AD3">
        <w:rPr>
          <w:rFonts w:cstheme="minorHAnsi"/>
        </w:rPr>
        <w:t xml:space="preserve">. Currently, </w:t>
      </w:r>
      <w:r w:rsidR="00DF1C8C">
        <w:rPr>
          <w:rFonts w:cstheme="minorHAnsi"/>
        </w:rPr>
        <w:t>60</w:t>
      </w:r>
      <w:r w:rsidR="00DF1C8C" w:rsidRPr="002F0AD3">
        <w:rPr>
          <w:rFonts w:cstheme="minorHAnsi"/>
        </w:rPr>
        <w:t xml:space="preserve"> </w:t>
      </w:r>
      <w:r w:rsidR="00A8463A" w:rsidRPr="002F0AD3">
        <w:rPr>
          <w:rFonts w:cstheme="minorHAnsi"/>
        </w:rPr>
        <w:t xml:space="preserve">percent of Secretariat staff are women. </w:t>
      </w:r>
    </w:p>
    <w:p w14:paraId="2BAC9E7D" w14:textId="547AB951" w:rsidR="00DC58E2" w:rsidRDefault="00DC58E2" w:rsidP="006A3761">
      <w:pPr>
        <w:rPr>
          <w:rFonts w:cstheme="minorHAnsi"/>
        </w:rPr>
      </w:pPr>
    </w:p>
    <w:p w14:paraId="032445FA" w14:textId="0B190E21" w:rsidR="00DC58E2" w:rsidRPr="002F0AD3" w:rsidRDefault="00DC58E2" w:rsidP="006A3761">
      <w:pPr>
        <w:rPr>
          <w:rFonts w:cstheme="minorHAnsi"/>
        </w:rPr>
      </w:pPr>
      <w:r>
        <w:rPr>
          <w:rFonts w:cstheme="minorHAnsi"/>
        </w:rPr>
        <w:t>39.</w:t>
      </w:r>
      <w:r>
        <w:rPr>
          <w:rFonts w:cstheme="minorHAnsi"/>
        </w:rPr>
        <w:tab/>
        <w:t>Technologies and business practices that can improve the efficiency and effectiveness of the Secretariat have been actively evaluated and adopted. Of particular importance is the adoption of a new Customer Relationship Management (CRM) database that will enable more efficient management of mailings, meeting registration, and contacts and allow compliance with new privacy laws. The CRM has been used in managing all aspects of registration for COP13. Other technologies that have been adopted include voice</w:t>
      </w:r>
      <w:r w:rsidR="00CE1AF2">
        <w:rPr>
          <w:rFonts w:cstheme="minorHAnsi"/>
        </w:rPr>
        <w:t>-</w:t>
      </w:r>
      <w:r>
        <w:rPr>
          <w:rFonts w:cstheme="minorHAnsi"/>
        </w:rPr>
        <w:t>over</w:t>
      </w:r>
      <w:r w:rsidR="00CE1AF2">
        <w:rPr>
          <w:rFonts w:cstheme="minorHAnsi"/>
        </w:rPr>
        <w:t>-</w:t>
      </w:r>
      <w:r>
        <w:rPr>
          <w:rFonts w:cstheme="minorHAnsi"/>
        </w:rPr>
        <w:t xml:space="preserve">internet services for </w:t>
      </w:r>
      <w:r w:rsidR="009A244E">
        <w:rPr>
          <w:rFonts w:cstheme="minorHAnsi"/>
        </w:rPr>
        <w:t>conference calls, online learning (webinars) and higher utilization of digital document sharing mechanisms.</w:t>
      </w:r>
    </w:p>
    <w:p w14:paraId="396F9AF7" w14:textId="77777777" w:rsidR="009D4535" w:rsidRPr="002F0AD3" w:rsidRDefault="009D4535" w:rsidP="006A3761">
      <w:pPr>
        <w:rPr>
          <w:rFonts w:cstheme="minorHAnsi"/>
        </w:rPr>
      </w:pPr>
    </w:p>
    <w:p w14:paraId="51E9B6BC" w14:textId="5E9AC651" w:rsidR="009D4535" w:rsidRPr="002F0AD3" w:rsidRDefault="00CE1AF2" w:rsidP="006A3761">
      <w:pPr>
        <w:rPr>
          <w:rFonts w:cstheme="minorHAnsi"/>
        </w:rPr>
      </w:pPr>
      <w:r>
        <w:rPr>
          <w:rFonts w:cstheme="minorHAnsi"/>
        </w:rPr>
        <w:t>40</w:t>
      </w:r>
      <w:r w:rsidR="006A3761">
        <w:rPr>
          <w:rFonts w:cstheme="minorHAnsi"/>
        </w:rPr>
        <w:t>.</w:t>
      </w:r>
      <w:r w:rsidR="006A3761">
        <w:rPr>
          <w:rFonts w:cstheme="minorHAnsi"/>
        </w:rPr>
        <w:tab/>
      </w:r>
      <w:r w:rsidR="00596B4A" w:rsidRPr="002F0AD3">
        <w:rPr>
          <w:rFonts w:cstheme="minorHAnsi"/>
        </w:rPr>
        <w:t>A review was conducted by the Secretary General of the financial management of the Secretariat in October 2016. The Secretary General provided reports to the Executive Team, the Subgroup on Finance, the Facilitation Working Group and SC53 and SC54.</w:t>
      </w:r>
      <w:r w:rsidR="00BA6D48" w:rsidRPr="002F0AD3">
        <w:rPr>
          <w:rFonts w:cstheme="minorHAnsi"/>
        </w:rPr>
        <w:t xml:space="preserve"> </w:t>
      </w:r>
      <w:r w:rsidR="00596B4A" w:rsidRPr="002F0AD3">
        <w:rPr>
          <w:rFonts w:cstheme="minorHAnsi"/>
        </w:rPr>
        <w:t xml:space="preserve">Measures have been taken and efforts continue to address problems identified and to ensure that the Convention has a rigorous, transparent and accountable finance management system, in line with the IUCN policies and standards. </w:t>
      </w:r>
      <w:r w:rsidR="00D73FBE" w:rsidRPr="002F0AD3">
        <w:rPr>
          <w:rFonts w:cstheme="minorHAnsi"/>
        </w:rPr>
        <w:t>T</w:t>
      </w:r>
      <w:r w:rsidR="00843F44" w:rsidRPr="002F0AD3">
        <w:rPr>
          <w:rFonts w:cstheme="minorHAnsi"/>
        </w:rPr>
        <w:t xml:space="preserve">he improvements made in this area were validated by the external auditors. </w:t>
      </w:r>
      <w:r w:rsidR="00E7322F" w:rsidRPr="002F0AD3">
        <w:rPr>
          <w:rFonts w:cstheme="minorHAnsi"/>
        </w:rPr>
        <w:t xml:space="preserve">The Secretariat has </w:t>
      </w:r>
      <w:r w:rsidR="00843F44" w:rsidRPr="002F0AD3">
        <w:rPr>
          <w:rFonts w:cstheme="minorHAnsi"/>
        </w:rPr>
        <w:t>strengthened</w:t>
      </w:r>
      <w:r w:rsidR="00E7322F" w:rsidRPr="002F0AD3">
        <w:rPr>
          <w:rFonts w:cstheme="minorHAnsi"/>
        </w:rPr>
        <w:t xml:space="preserve"> compliance with IUCN policies and procedures where applicable, with related processes and procedures having been put in place in 2017 or </w:t>
      </w:r>
      <w:r w:rsidR="00E7322F" w:rsidRPr="002F0AD3">
        <w:rPr>
          <w:rFonts w:cstheme="minorHAnsi"/>
        </w:rPr>
        <w:lastRenderedPageBreak/>
        <w:t>being put in place in 2018. Capacities have been built in this regard and performance objectives include</w:t>
      </w:r>
      <w:r w:rsidR="008134D3" w:rsidRPr="002F0AD3">
        <w:rPr>
          <w:rFonts w:cstheme="minorHAnsi"/>
        </w:rPr>
        <w:t xml:space="preserve">d in management positions. As directed by SC53 and SC54, </w:t>
      </w:r>
      <w:r w:rsidR="00596B4A" w:rsidRPr="002F0AD3">
        <w:rPr>
          <w:rFonts w:cstheme="minorHAnsi"/>
        </w:rPr>
        <w:t>a finance/</w:t>
      </w:r>
      <w:r w:rsidR="00E7322F" w:rsidRPr="002F0AD3">
        <w:rPr>
          <w:rFonts w:cstheme="minorHAnsi"/>
        </w:rPr>
        <w:t>management review of non-core funds is being conducted</w:t>
      </w:r>
      <w:r w:rsidR="007D2348" w:rsidRPr="002F0AD3">
        <w:rPr>
          <w:rFonts w:cstheme="minorHAnsi"/>
        </w:rPr>
        <w:t xml:space="preserve">. </w:t>
      </w:r>
      <w:r w:rsidR="00E0489A" w:rsidRPr="002F0AD3">
        <w:rPr>
          <w:rFonts w:cstheme="minorHAnsi"/>
        </w:rPr>
        <w:t>T</w:t>
      </w:r>
      <w:r w:rsidR="007D2348" w:rsidRPr="002F0AD3">
        <w:rPr>
          <w:rFonts w:cstheme="minorHAnsi"/>
        </w:rPr>
        <w:t>he Secretariat</w:t>
      </w:r>
      <w:r w:rsidR="00E0489A" w:rsidRPr="002F0AD3">
        <w:rPr>
          <w:rFonts w:cstheme="minorHAnsi"/>
        </w:rPr>
        <w:t xml:space="preserve"> asked the</w:t>
      </w:r>
      <w:r w:rsidR="00E7322F" w:rsidRPr="002F0AD3">
        <w:rPr>
          <w:rFonts w:cstheme="minorHAnsi"/>
        </w:rPr>
        <w:t xml:space="preserve"> IUCN Head of Oversight Unit</w:t>
      </w:r>
      <w:r w:rsidR="007D2348" w:rsidRPr="002F0AD3">
        <w:rPr>
          <w:rFonts w:cstheme="minorHAnsi"/>
        </w:rPr>
        <w:t xml:space="preserve"> </w:t>
      </w:r>
      <w:r w:rsidR="00E0489A" w:rsidRPr="002F0AD3">
        <w:rPr>
          <w:rFonts w:cstheme="minorHAnsi"/>
        </w:rPr>
        <w:t>to</w:t>
      </w:r>
      <w:r w:rsidR="007D2348" w:rsidRPr="002F0AD3">
        <w:rPr>
          <w:rFonts w:cstheme="minorHAnsi"/>
        </w:rPr>
        <w:t xml:space="preserve"> conduct</w:t>
      </w:r>
      <w:r w:rsidR="00E0489A" w:rsidRPr="002F0AD3">
        <w:rPr>
          <w:rFonts w:cstheme="minorHAnsi"/>
        </w:rPr>
        <w:t xml:space="preserve"> </w:t>
      </w:r>
      <w:r w:rsidR="007D2348" w:rsidRPr="002F0AD3">
        <w:rPr>
          <w:rFonts w:cstheme="minorHAnsi"/>
        </w:rPr>
        <w:t>the review</w:t>
      </w:r>
      <w:r w:rsidR="002C0C40" w:rsidRPr="002F0AD3">
        <w:rPr>
          <w:rFonts w:cstheme="minorHAnsi"/>
        </w:rPr>
        <w:t>,</w:t>
      </w:r>
      <w:r w:rsidR="00E0489A" w:rsidRPr="002F0AD3">
        <w:rPr>
          <w:rFonts w:cstheme="minorHAnsi"/>
        </w:rPr>
        <w:t xml:space="preserve"> and </w:t>
      </w:r>
      <w:r w:rsidR="00596B4A" w:rsidRPr="002F0AD3">
        <w:rPr>
          <w:rFonts w:cstheme="minorHAnsi"/>
        </w:rPr>
        <w:t xml:space="preserve">preliminary results were presented to the Subgroup </w:t>
      </w:r>
      <w:r w:rsidR="00595FC4">
        <w:rPr>
          <w:rFonts w:cstheme="minorHAnsi"/>
        </w:rPr>
        <w:t xml:space="preserve">on </w:t>
      </w:r>
      <w:r w:rsidR="00226070" w:rsidRPr="002F0AD3">
        <w:rPr>
          <w:rFonts w:cstheme="minorHAnsi"/>
        </w:rPr>
        <w:t xml:space="preserve">Finance </w:t>
      </w:r>
      <w:r w:rsidR="00596B4A" w:rsidRPr="002F0AD3">
        <w:rPr>
          <w:rFonts w:cstheme="minorHAnsi"/>
        </w:rPr>
        <w:t>at SC54. The final report</w:t>
      </w:r>
      <w:r w:rsidR="00E0489A" w:rsidRPr="002F0AD3">
        <w:rPr>
          <w:rFonts w:cstheme="minorHAnsi"/>
        </w:rPr>
        <w:t xml:space="preserve"> will be shared with Contracting Parties</w:t>
      </w:r>
      <w:r w:rsidR="00E7322F" w:rsidRPr="002F0AD3">
        <w:rPr>
          <w:rFonts w:cstheme="minorHAnsi"/>
        </w:rPr>
        <w:t xml:space="preserve">. </w:t>
      </w:r>
    </w:p>
    <w:p w14:paraId="349031D6" w14:textId="77777777" w:rsidR="009D4535" w:rsidRPr="002F0AD3" w:rsidRDefault="009D4535" w:rsidP="006A3761">
      <w:pPr>
        <w:rPr>
          <w:rFonts w:cstheme="minorHAnsi"/>
        </w:rPr>
      </w:pPr>
    </w:p>
    <w:p w14:paraId="0FEED085" w14:textId="0DADBD0A" w:rsidR="00703FA8" w:rsidRPr="002F0AD3" w:rsidRDefault="00CE1AF2" w:rsidP="006A3761">
      <w:pPr>
        <w:rPr>
          <w:rFonts w:cstheme="minorHAnsi"/>
        </w:rPr>
      </w:pPr>
      <w:r>
        <w:rPr>
          <w:rFonts w:cstheme="minorHAnsi"/>
        </w:rPr>
        <w:t>41</w:t>
      </w:r>
      <w:r w:rsidR="006A3761">
        <w:rPr>
          <w:rFonts w:cstheme="minorHAnsi"/>
        </w:rPr>
        <w:t>.</w:t>
      </w:r>
      <w:r w:rsidR="006A3761">
        <w:rPr>
          <w:rFonts w:cstheme="minorHAnsi"/>
        </w:rPr>
        <w:tab/>
      </w:r>
      <w:r w:rsidR="00703FA8" w:rsidRPr="002F0AD3">
        <w:rPr>
          <w:rFonts w:cstheme="minorHAnsi"/>
        </w:rPr>
        <w:t>A staff workshop was conducted on 2 November 2016 in which the findings of the new Secretary General’s external and internal consultation were shared and discussed. The Secretariat staff worked on ways to address key areas that needed to be strengthened.</w:t>
      </w:r>
    </w:p>
    <w:p w14:paraId="6EA5B332" w14:textId="77777777" w:rsidR="009D4535" w:rsidRPr="002F0AD3" w:rsidRDefault="009D4535" w:rsidP="00595FC4">
      <w:pPr>
        <w:rPr>
          <w:rFonts w:cstheme="minorHAnsi"/>
        </w:rPr>
      </w:pPr>
    </w:p>
    <w:p w14:paraId="004CBF98" w14:textId="74D1C43E" w:rsidR="00141D11" w:rsidRPr="002F0AD3" w:rsidRDefault="00CE1AF2" w:rsidP="00595FC4">
      <w:pPr>
        <w:rPr>
          <w:rFonts w:cstheme="minorHAnsi"/>
        </w:rPr>
      </w:pPr>
      <w:r>
        <w:rPr>
          <w:rFonts w:cstheme="minorHAnsi"/>
        </w:rPr>
        <w:t>42</w:t>
      </w:r>
      <w:r w:rsidR="00595FC4">
        <w:rPr>
          <w:rFonts w:cstheme="minorHAnsi"/>
        </w:rPr>
        <w:t>.</w:t>
      </w:r>
      <w:r w:rsidR="00595FC4">
        <w:rPr>
          <w:rFonts w:cstheme="minorHAnsi"/>
        </w:rPr>
        <w:tab/>
      </w:r>
      <w:r w:rsidR="00596B4A" w:rsidRPr="002F0AD3">
        <w:rPr>
          <w:rFonts w:cstheme="minorHAnsi"/>
        </w:rPr>
        <w:t>P</w:t>
      </w:r>
      <w:r w:rsidR="00141D11" w:rsidRPr="002F0AD3">
        <w:rPr>
          <w:rFonts w:cstheme="minorHAnsi"/>
        </w:rPr>
        <w:t>rofessionall</w:t>
      </w:r>
      <w:r w:rsidR="008B2634" w:rsidRPr="002F0AD3">
        <w:rPr>
          <w:rFonts w:cstheme="minorHAnsi"/>
        </w:rPr>
        <w:t>y facilitated Planning Workshop</w:t>
      </w:r>
      <w:r w:rsidR="00596B4A" w:rsidRPr="002F0AD3">
        <w:rPr>
          <w:rFonts w:cstheme="minorHAnsi"/>
        </w:rPr>
        <w:t>s</w:t>
      </w:r>
      <w:r w:rsidR="00141D11" w:rsidRPr="002F0AD3">
        <w:rPr>
          <w:rFonts w:cstheme="minorHAnsi"/>
        </w:rPr>
        <w:t xml:space="preserve"> </w:t>
      </w:r>
      <w:r w:rsidR="00D73FBE" w:rsidRPr="002F0AD3">
        <w:rPr>
          <w:rFonts w:cstheme="minorHAnsi"/>
        </w:rPr>
        <w:t xml:space="preserve">for the Secretariat </w:t>
      </w:r>
      <w:r w:rsidR="00141D11" w:rsidRPr="002F0AD3">
        <w:rPr>
          <w:rFonts w:cstheme="minorHAnsi"/>
        </w:rPr>
        <w:t>w</w:t>
      </w:r>
      <w:r w:rsidR="00596B4A" w:rsidRPr="002F0AD3">
        <w:rPr>
          <w:rFonts w:cstheme="minorHAnsi"/>
        </w:rPr>
        <w:t>ere</w:t>
      </w:r>
      <w:r w:rsidR="00141D11" w:rsidRPr="002F0AD3">
        <w:rPr>
          <w:rFonts w:cstheme="minorHAnsi"/>
        </w:rPr>
        <w:t xml:space="preserve"> conducted </w:t>
      </w:r>
      <w:r w:rsidR="00B65BBC" w:rsidRPr="002F0AD3">
        <w:rPr>
          <w:rFonts w:cstheme="minorHAnsi"/>
        </w:rPr>
        <w:t>in January 2017 and</w:t>
      </w:r>
      <w:r w:rsidR="00596B4A" w:rsidRPr="002F0AD3">
        <w:rPr>
          <w:rFonts w:cstheme="minorHAnsi"/>
        </w:rPr>
        <w:t xml:space="preserve"> </w:t>
      </w:r>
      <w:r w:rsidR="003E6853" w:rsidRPr="002F0AD3">
        <w:rPr>
          <w:rFonts w:cstheme="minorHAnsi"/>
        </w:rPr>
        <w:t xml:space="preserve">November 2017. </w:t>
      </w:r>
      <w:r w:rsidR="00430CC1" w:rsidRPr="002F0AD3">
        <w:rPr>
          <w:rFonts w:cstheme="minorHAnsi"/>
        </w:rPr>
        <w:t>Th</w:t>
      </w:r>
      <w:r w:rsidR="00B65BBC" w:rsidRPr="002F0AD3">
        <w:rPr>
          <w:rFonts w:cstheme="minorHAnsi"/>
        </w:rPr>
        <w:t>e</w:t>
      </w:r>
      <w:r w:rsidR="00430CC1" w:rsidRPr="002F0AD3">
        <w:rPr>
          <w:rFonts w:cstheme="minorHAnsi"/>
        </w:rPr>
        <w:t xml:space="preserve"> workshop</w:t>
      </w:r>
      <w:r w:rsidR="00B65BBC" w:rsidRPr="002F0AD3">
        <w:rPr>
          <w:rFonts w:cstheme="minorHAnsi"/>
        </w:rPr>
        <w:t>s</w:t>
      </w:r>
      <w:r w:rsidR="003E6853" w:rsidRPr="002F0AD3">
        <w:rPr>
          <w:rFonts w:cstheme="minorHAnsi"/>
        </w:rPr>
        <w:t xml:space="preserve"> focused</w:t>
      </w:r>
      <w:r w:rsidR="00141D11" w:rsidRPr="002F0AD3">
        <w:rPr>
          <w:rFonts w:cstheme="minorHAnsi"/>
        </w:rPr>
        <w:t xml:space="preserve"> on: the review </w:t>
      </w:r>
      <w:r w:rsidR="00B65BBC" w:rsidRPr="002F0AD3">
        <w:rPr>
          <w:rFonts w:cstheme="minorHAnsi"/>
        </w:rPr>
        <w:t xml:space="preserve">and assessment of progress </w:t>
      </w:r>
      <w:r w:rsidR="00141D11" w:rsidRPr="002F0AD3">
        <w:rPr>
          <w:rFonts w:cstheme="minorHAnsi"/>
        </w:rPr>
        <w:t xml:space="preserve">of the triennial and annual </w:t>
      </w:r>
      <w:r w:rsidR="00BA05BD" w:rsidRPr="002F0AD3">
        <w:rPr>
          <w:rFonts w:cstheme="minorHAnsi"/>
        </w:rPr>
        <w:t>work plans</w:t>
      </w:r>
      <w:r w:rsidR="00AC45DA" w:rsidRPr="002F0AD3">
        <w:rPr>
          <w:rFonts w:cstheme="minorHAnsi"/>
        </w:rPr>
        <w:t>, including the development of an</w:t>
      </w:r>
      <w:r w:rsidR="008A384C" w:rsidRPr="002F0AD3">
        <w:rPr>
          <w:rFonts w:cstheme="minorHAnsi"/>
        </w:rPr>
        <w:t xml:space="preserve"> </w:t>
      </w:r>
      <w:r w:rsidR="00BA05BD" w:rsidRPr="002F0AD3">
        <w:rPr>
          <w:rFonts w:cstheme="minorHAnsi"/>
        </w:rPr>
        <w:t xml:space="preserve">integrated </w:t>
      </w:r>
      <w:r w:rsidR="003E6853" w:rsidRPr="002F0AD3">
        <w:rPr>
          <w:rFonts w:cstheme="minorHAnsi"/>
        </w:rPr>
        <w:t>framework</w:t>
      </w:r>
      <w:r w:rsidR="00B65BBC" w:rsidRPr="002F0AD3">
        <w:rPr>
          <w:rFonts w:cstheme="minorHAnsi"/>
        </w:rPr>
        <w:t xml:space="preserve"> approved by SC53</w:t>
      </w:r>
      <w:r w:rsidR="00952D1A" w:rsidRPr="002F0AD3">
        <w:rPr>
          <w:rFonts w:cstheme="minorHAnsi"/>
        </w:rPr>
        <w:t xml:space="preserve">; </w:t>
      </w:r>
      <w:r w:rsidR="00125486" w:rsidRPr="002F0AD3">
        <w:rPr>
          <w:rFonts w:cstheme="minorHAnsi"/>
        </w:rPr>
        <w:t>uniting the team in its</w:t>
      </w:r>
      <w:r w:rsidR="008A384C" w:rsidRPr="002F0AD3">
        <w:rPr>
          <w:rFonts w:cstheme="minorHAnsi"/>
        </w:rPr>
        <w:t xml:space="preserve"> </w:t>
      </w:r>
      <w:r w:rsidR="00141D11" w:rsidRPr="002F0AD3">
        <w:rPr>
          <w:rFonts w:cstheme="minorHAnsi"/>
        </w:rPr>
        <w:t>clarity of role, identity and accountabilities; principles to guide how the Secretariat works; and changes needed to better serve Contracting Parties and deliver on the Secretariat</w:t>
      </w:r>
      <w:r w:rsidR="00F04B42" w:rsidRPr="002F0AD3">
        <w:rPr>
          <w:rFonts w:cstheme="minorHAnsi"/>
        </w:rPr>
        <w:t>’</w:t>
      </w:r>
      <w:r w:rsidR="00141D11" w:rsidRPr="002F0AD3">
        <w:rPr>
          <w:rFonts w:cstheme="minorHAnsi"/>
        </w:rPr>
        <w:t>s mandate</w:t>
      </w:r>
      <w:r w:rsidR="00BA05BD" w:rsidRPr="002F0AD3">
        <w:rPr>
          <w:rFonts w:cstheme="minorHAnsi"/>
        </w:rPr>
        <w:t xml:space="preserve">. The Secretariat also reviewed lessons learned in the implementation of </w:t>
      </w:r>
      <w:r w:rsidR="00952D1A" w:rsidRPr="002F0AD3">
        <w:rPr>
          <w:rFonts w:cstheme="minorHAnsi"/>
        </w:rPr>
        <w:t>its</w:t>
      </w:r>
      <w:r w:rsidR="00BA05BD" w:rsidRPr="002F0AD3">
        <w:rPr>
          <w:rFonts w:cstheme="minorHAnsi"/>
        </w:rPr>
        <w:t xml:space="preserve"> Work Plan and developed a proposed </w:t>
      </w:r>
      <w:r w:rsidR="003E6853" w:rsidRPr="002F0AD3">
        <w:rPr>
          <w:rFonts w:cstheme="minorHAnsi"/>
        </w:rPr>
        <w:t xml:space="preserve">new </w:t>
      </w:r>
      <w:r w:rsidR="00AC45DA" w:rsidRPr="002F0AD3">
        <w:rPr>
          <w:rFonts w:cstheme="minorHAnsi"/>
        </w:rPr>
        <w:t>structure and format</w:t>
      </w:r>
      <w:r w:rsidR="003E6853" w:rsidRPr="002F0AD3">
        <w:rPr>
          <w:rFonts w:cstheme="minorHAnsi"/>
        </w:rPr>
        <w:t xml:space="preserve"> for the </w:t>
      </w:r>
      <w:r w:rsidR="00BA05BD" w:rsidRPr="002F0AD3">
        <w:rPr>
          <w:rFonts w:cstheme="minorHAnsi"/>
        </w:rPr>
        <w:t>ne</w:t>
      </w:r>
      <w:r w:rsidR="00517125" w:rsidRPr="002F0AD3">
        <w:rPr>
          <w:rFonts w:cstheme="minorHAnsi"/>
        </w:rPr>
        <w:t>x</w:t>
      </w:r>
      <w:r w:rsidR="00BA05BD" w:rsidRPr="002F0AD3">
        <w:rPr>
          <w:rFonts w:cstheme="minorHAnsi"/>
        </w:rPr>
        <w:t xml:space="preserve">t </w:t>
      </w:r>
      <w:r w:rsidR="00517125" w:rsidRPr="002F0AD3">
        <w:rPr>
          <w:rFonts w:cstheme="minorHAnsi"/>
        </w:rPr>
        <w:t>t</w:t>
      </w:r>
      <w:r w:rsidR="00BA05BD" w:rsidRPr="002F0AD3">
        <w:rPr>
          <w:rFonts w:cstheme="minorHAnsi"/>
        </w:rPr>
        <w:t>riennium that could better serve as a planning and monitoring tool.</w:t>
      </w:r>
      <w:r w:rsidR="00141D11" w:rsidRPr="002F0AD3">
        <w:rPr>
          <w:rFonts w:cstheme="minorHAnsi"/>
        </w:rPr>
        <w:t xml:space="preserve"> </w:t>
      </w:r>
      <w:r w:rsidR="00B65BBC" w:rsidRPr="002F0AD3">
        <w:rPr>
          <w:rFonts w:cstheme="minorHAnsi"/>
        </w:rPr>
        <w:t>This framework was approved by SC54.</w:t>
      </w:r>
    </w:p>
    <w:p w14:paraId="1B5EE8F0" w14:textId="77777777" w:rsidR="001A0BC7" w:rsidRPr="002F0AD3" w:rsidRDefault="001A0BC7" w:rsidP="00C81B75">
      <w:pPr>
        <w:rPr>
          <w:rFonts w:cstheme="minorHAnsi"/>
        </w:rPr>
      </w:pPr>
    </w:p>
    <w:p w14:paraId="5C0D219E" w14:textId="146BA1C5" w:rsidR="00887511" w:rsidRPr="002F0AD3" w:rsidRDefault="00CE1AF2" w:rsidP="0078142B">
      <w:pPr>
        <w:rPr>
          <w:rFonts w:cstheme="minorHAnsi"/>
        </w:rPr>
      </w:pPr>
      <w:r>
        <w:rPr>
          <w:rFonts w:cstheme="minorHAnsi"/>
        </w:rPr>
        <w:t>43</w:t>
      </w:r>
      <w:r w:rsidR="0078142B">
        <w:rPr>
          <w:rFonts w:cstheme="minorHAnsi"/>
        </w:rPr>
        <w:t>.</w:t>
      </w:r>
      <w:r w:rsidR="0078142B">
        <w:rPr>
          <w:rFonts w:cstheme="minorHAnsi"/>
        </w:rPr>
        <w:tab/>
      </w:r>
      <w:r w:rsidR="00887511" w:rsidRPr="002F0AD3">
        <w:rPr>
          <w:rFonts w:cstheme="minorHAnsi"/>
        </w:rPr>
        <w:t>Staff development needs of the Secretariat were assessed through an internal survey. Training priorities were identified and a training plan was designed with activities organi</w:t>
      </w:r>
      <w:r w:rsidR="00595FC4">
        <w:rPr>
          <w:rFonts w:cstheme="minorHAnsi"/>
        </w:rPr>
        <w:t>z</w:t>
      </w:r>
      <w:r w:rsidR="00887511" w:rsidRPr="002F0AD3">
        <w:rPr>
          <w:rFonts w:cstheme="minorHAnsi"/>
        </w:rPr>
        <w:t xml:space="preserve">ed starting </w:t>
      </w:r>
      <w:r w:rsidR="00595FC4">
        <w:rPr>
          <w:rFonts w:cstheme="minorHAnsi"/>
        </w:rPr>
        <w:t>in</w:t>
      </w:r>
      <w:r w:rsidR="00887511" w:rsidRPr="002F0AD3">
        <w:rPr>
          <w:rFonts w:cstheme="minorHAnsi"/>
        </w:rPr>
        <w:t xml:space="preserve"> the 4th quarter of 2017. </w:t>
      </w:r>
      <w:r w:rsidR="00887511" w:rsidRPr="0078142B">
        <w:rPr>
          <w:rFonts w:cstheme="minorHAnsi"/>
        </w:rPr>
        <w:t>T</w:t>
      </w:r>
      <w:r w:rsidR="00887511" w:rsidRPr="002F0AD3">
        <w:rPr>
          <w:rFonts w:cstheme="minorHAnsi"/>
        </w:rPr>
        <w:t>he following training activities took place: one-day executive communications skills training for Senior Management Team members; one-day open communication skills for all other staff members (14 participants attended); a training session on finance for all staff. The remaining training activities which were identified will be conducted before the end of 2018.</w:t>
      </w:r>
    </w:p>
    <w:p w14:paraId="7ECF85A8" w14:textId="77777777" w:rsidR="00BA05BD" w:rsidRPr="002F0AD3" w:rsidRDefault="00BA05BD" w:rsidP="00C81B75">
      <w:pPr>
        <w:rPr>
          <w:rFonts w:cstheme="minorHAnsi"/>
        </w:rPr>
      </w:pPr>
    </w:p>
    <w:p w14:paraId="7A47875F" w14:textId="28921578" w:rsidR="3B9DE253" w:rsidRPr="002F0AD3" w:rsidRDefault="00DC7089" w:rsidP="0078142B">
      <w:pPr>
        <w:rPr>
          <w:rFonts w:cstheme="minorHAnsi"/>
        </w:rPr>
      </w:pPr>
      <w:r>
        <w:rPr>
          <w:rFonts w:cstheme="minorHAnsi"/>
        </w:rPr>
        <w:t>44</w:t>
      </w:r>
      <w:r w:rsidR="0078142B">
        <w:rPr>
          <w:rFonts w:cstheme="minorHAnsi"/>
        </w:rPr>
        <w:t>.</w:t>
      </w:r>
      <w:r w:rsidR="0078142B">
        <w:rPr>
          <w:rFonts w:cstheme="minorHAnsi"/>
        </w:rPr>
        <w:tab/>
      </w:r>
      <w:r w:rsidR="0044428D" w:rsidRPr="002F0AD3">
        <w:rPr>
          <w:rFonts w:cstheme="minorHAnsi"/>
        </w:rPr>
        <w:t>C</w:t>
      </w:r>
      <w:r w:rsidR="0085331D" w:rsidRPr="002F0AD3">
        <w:rPr>
          <w:rFonts w:cstheme="minorHAnsi"/>
        </w:rPr>
        <w:t xml:space="preserve">onsiderable </w:t>
      </w:r>
      <w:r w:rsidR="00034996" w:rsidRPr="002F0AD3">
        <w:rPr>
          <w:rFonts w:cstheme="minorHAnsi"/>
        </w:rPr>
        <w:t>progress has been made in strengthening the Secretariat</w:t>
      </w:r>
      <w:r w:rsidR="00F04B42" w:rsidRPr="002F0AD3">
        <w:rPr>
          <w:rFonts w:cstheme="minorHAnsi"/>
        </w:rPr>
        <w:t>’</w:t>
      </w:r>
      <w:r w:rsidR="00034996" w:rsidRPr="002F0AD3">
        <w:rPr>
          <w:rFonts w:cstheme="minorHAnsi"/>
        </w:rPr>
        <w:t xml:space="preserve">s efficiency and effectiveness, </w:t>
      </w:r>
      <w:r w:rsidR="000D54E1" w:rsidRPr="002F0AD3">
        <w:rPr>
          <w:rFonts w:cstheme="minorHAnsi"/>
        </w:rPr>
        <w:t xml:space="preserve">and in filling gaps in its </w:t>
      </w:r>
      <w:r w:rsidR="003B77B3" w:rsidRPr="002F0AD3">
        <w:rPr>
          <w:rFonts w:cstheme="minorHAnsi"/>
        </w:rPr>
        <w:t>capabilities</w:t>
      </w:r>
      <w:r w:rsidR="000D54E1" w:rsidRPr="002F0AD3">
        <w:rPr>
          <w:rFonts w:cstheme="minorHAnsi"/>
        </w:rPr>
        <w:t>.</w:t>
      </w:r>
      <w:r w:rsidR="00B31A2B" w:rsidRPr="0078142B">
        <w:t xml:space="preserve"> </w:t>
      </w:r>
      <w:r w:rsidR="00477FB0" w:rsidRPr="002F0AD3">
        <w:rPr>
          <w:rFonts w:cstheme="minorHAnsi"/>
        </w:rPr>
        <w:t>The team has worked hard in this regard with encouraging results in key areas of work of the Secretariat as described in this report.</w:t>
      </w:r>
      <w:r w:rsidR="00B31A2B" w:rsidRPr="002F0AD3">
        <w:rPr>
          <w:rFonts w:cstheme="minorHAnsi"/>
        </w:rPr>
        <w:t xml:space="preserve"> </w:t>
      </w:r>
      <w:r w:rsidR="0044428D" w:rsidRPr="002F0AD3">
        <w:rPr>
          <w:rFonts w:cstheme="minorHAnsi"/>
        </w:rPr>
        <w:t xml:space="preserve">However, </w:t>
      </w:r>
      <w:r w:rsidR="00034996" w:rsidRPr="002F0AD3">
        <w:rPr>
          <w:rFonts w:cstheme="minorHAnsi"/>
        </w:rPr>
        <w:t xml:space="preserve">further work is still needed. Moving towards a </w:t>
      </w:r>
      <w:r w:rsidR="002C029B" w:rsidRPr="002F0AD3">
        <w:rPr>
          <w:rFonts w:cstheme="minorHAnsi"/>
        </w:rPr>
        <w:t>w</w:t>
      </w:r>
      <w:r w:rsidR="00034996" w:rsidRPr="002F0AD3">
        <w:rPr>
          <w:rFonts w:cstheme="minorHAnsi"/>
        </w:rPr>
        <w:t>hole-of-Secretariat approach has presented challenges</w:t>
      </w:r>
      <w:r w:rsidR="00662E32" w:rsidRPr="002F0AD3">
        <w:rPr>
          <w:rFonts w:cstheme="minorHAnsi"/>
        </w:rPr>
        <w:t xml:space="preserve"> as this requires changes in ways of working and organizational culture</w:t>
      </w:r>
      <w:r w:rsidR="00910A91" w:rsidRPr="002F0AD3">
        <w:rPr>
          <w:rFonts w:cstheme="minorHAnsi"/>
        </w:rPr>
        <w:t xml:space="preserve"> within the Secretariat and in its engagement with Contracting Parties. </w:t>
      </w:r>
      <w:r w:rsidR="002C029B" w:rsidRPr="002F0AD3">
        <w:rPr>
          <w:rFonts w:cstheme="minorHAnsi"/>
        </w:rPr>
        <w:t>The Secretariat is developing Standard Operating Procedures which will contribute to making further progress. Other areas for further work include</w:t>
      </w:r>
      <w:r w:rsidR="002142D3" w:rsidRPr="002F0AD3">
        <w:rPr>
          <w:rFonts w:cstheme="minorHAnsi"/>
        </w:rPr>
        <w:t>:</w:t>
      </w:r>
      <w:r w:rsidR="002C029B" w:rsidRPr="002F0AD3">
        <w:rPr>
          <w:rFonts w:cstheme="minorHAnsi"/>
        </w:rPr>
        <w:t xml:space="preserve"> streamlining work planning process and links to individual performance plans; developing more coherent and coordinated approaches across regions to get efficiencies and better serve Contracting Parties; balancing enhanced accountability </w:t>
      </w:r>
      <w:r w:rsidR="002142D3" w:rsidRPr="002F0AD3">
        <w:rPr>
          <w:rFonts w:cstheme="minorHAnsi"/>
        </w:rPr>
        <w:t xml:space="preserve">for implementation of </w:t>
      </w:r>
      <w:r w:rsidR="002C029B" w:rsidRPr="002F0AD3">
        <w:rPr>
          <w:rFonts w:cstheme="minorHAnsi"/>
        </w:rPr>
        <w:t>the decisions taken by the COP and S</w:t>
      </w:r>
      <w:r w:rsidR="00595FC4">
        <w:rPr>
          <w:rFonts w:cstheme="minorHAnsi"/>
        </w:rPr>
        <w:t xml:space="preserve">tanding </w:t>
      </w:r>
      <w:r w:rsidR="002C029B" w:rsidRPr="002F0AD3">
        <w:rPr>
          <w:rFonts w:cstheme="minorHAnsi"/>
        </w:rPr>
        <w:t>C</w:t>
      </w:r>
      <w:r w:rsidR="00595FC4">
        <w:rPr>
          <w:rFonts w:cstheme="minorHAnsi"/>
        </w:rPr>
        <w:t>ommittee</w:t>
      </w:r>
      <w:r w:rsidR="002C029B" w:rsidRPr="002F0AD3">
        <w:rPr>
          <w:rFonts w:cstheme="minorHAnsi"/>
        </w:rPr>
        <w:t xml:space="preserve"> with the service provided to Contracting Parties in each region; balance between r</w:t>
      </w:r>
      <w:r w:rsidR="008A384C" w:rsidRPr="002F0AD3">
        <w:rPr>
          <w:rFonts w:cstheme="minorHAnsi"/>
        </w:rPr>
        <w:t>egional and thematic approaches</w:t>
      </w:r>
      <w:r w:rsidR="002C029B" w:rsidRPr="002F0AD3">
        <w:rPr>
          <w:rFonts w:cstheme="minorHAnsi"/>
        </w:rPr>
        <w:t>; further strengthening accountability to financial standards and operational procedures; and continuing to build capacities and skills in core function</w:t>
      </w:r>
      <w:r w:rsidR="002142D3" w:rsidRPr="002F0AD3">
        <w:rPr>
          <w:rFonts w:cstheme="minorHAnsi"/>
        </w:rPr>
        <w:t>al</w:t>
      </w:r>
      <w:r w:rsidR="002C029B" w:rsidRPr="002F0AD3">
        <w:rPr>
          <w:rFonts w:cstheme="minorHAnsi"/>
        </w:rPr>
        <w:t xml:space="preserve"> areas of the Secretariat</w:t>
      </w:r>
      <w:r w:rsidR="00F04B42" w:rsidRPr="002F0AD3">
        <w:rPr>
          <w:rFonts w:cstheme="minorHAnsi"/>
        </w:rPr>
        <w:t>’</w:t>
      </w:r>
      <w:r w:rsidR="002142D3" w:rsidRPr="002F0AD3">
        <w:rPr>
          <w:rFonts w:cstheme="minorHAnsi"/>
        </w:rPr>
        <w:t>s work</w:t>
      </w:r>
      <w:r w:rsidR="002C029B" w:rsidRPr="002F0AD3">
        <w:rPr>
          <w:rFonts w:cstheme="minorHAnsi"/>
        </w:rPr>
        <w:t>.</w:t>
      </w:r>
    </w:p>
    <w:sectPr w:rsidR="3B9DE253" w:rsidRPr="002F0AD3" w:rsidSect="00570F8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14D2" w14:textId="77777777" w:rsidR="00726642" w:rsidRDefault="00726642" w:rsidP="00FC5A0A">
      <w:r>
        <w:separator/>
      </w:r>
    </w:p>
  </w:endnote>
  <w:endnote w:type="continuationSeparator" w:id="0">
    <w:p w14:paraId="621E789B" w14:textId="77777777" w:rsidR="00726642" w:rsidRDefault="00726642" w:rsidP="00F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228" w14:textId="37A1CCFD" w:rsidR="00756ADA" w:rsidRDefault="00756ADA" w:rsidP="00B1621D">
    <w:pPr>
      <w:pStyle w:val="Footer"/>
      <w:tabs>
        <w:tab w:val="right" w:pos="9000"/>
      </w:tabs>
    </w:pPr>
    <w:r w:rsidRPr="00870418">
      <w:rPr>
        <w:sz w:val="20"/>
      </w:rPr>
      <w:t>COP13 Doc.</w:t>
    </w:r>
    <w:r>
      <w:rPr>
        <w:sz w:val="20"/>
      </w:rPr>
      <w:t>11.2</w:t>
    </w:r>
    <w:r w:rsidRPr="00870418">
      <w:rPr>
        <w:sz w:val="20"/>
      </w:rPr>
      <w:tab/>
    </w:r>
    <w:r w:rsidRPr="00870418">
      <w:rPr>
        <w:sz w:val="20"/>
      </w:rPr>
      <w:tab/>
    </w:r>
    <w:r w:rsidRPr="00870418">
      <w:rPr>
        <w:sz w:val="20"/>
      </w:rPr>
      <w:fldChar w:fldCharType="begin"/>
    </w:r>
    <w:r w:rsidRPr="00870418">
      <w:rPr>
        <w:sz w:val="20"/>
      </w:rPr>
      <w:instrText xml:space="preserve"> PAGE   \* MERGEFORMAT </w:instrText>
    </w:r>
    <w:r w:rsidRPr="00870418">
      <w:rPr>
        <w:sz w:val="20"/>
      </w:rPr>
      <w:fldChar w:fldCharType="separate"/>
    </w:r>
    <w:r w:rsidR="00CB4DD6">
      <w:rPr>
        <w:noProof/>
        <w:sz w:val="20"/>
      </w:rPr>
      <w:t>12</w:t>
    </w:r>
    <w:r w:rsidRPr="0087041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E1DF" w14:textId="77777777" w:rsidR="00726642" w:rsidRDefault="00726642" w:rsidP="00FC5A0A">
      <w:r>
        <w:separator/>
      </w:r>
    </w:p>
  </w:footnote>
  <w:footnote w:type="continuationSeparator" w:id="0">
    <w:p w14:paraId="1603AE4E" w14:textId="77777777" w:rsidR="00726642" w:rsidRDefault="00726642" w:rsidP="00FC5A0A">
      <w:r>
        <w:continuationSeparator/>
      </w:r>
    </w:p>
  </w:footnote>
  <w:footnote w:id="1">
    <w:p w14:paraId="256F2751" w14:textId="77777777" w:rsidR="00756ADA" w:rsidRDefault="00756ADA">
      <w:pPr>
        <w:pStyle w:val="FootnoteText"/>
      </w:pPr>
      <w:r>
        <w:rPr>
          <w:rStyle w:val="FootnoteReference"/>
        </w:rPr>
        <w:footnoteRef/>
      </w:r>
      <w:r>
        <w:t xml:space="preserve"> Documents SC51-06, SC52-04 Rev.2, SC53-02 and SC54-5.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E2"/>
    <w:multiLevelType w:val="hybridMultilevel"/>
    <w:tmpl w:val="F2704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622B9"/>
    <w:multiLevelType w:val="hybridMultilevel"/>
    <w:tmpl w:val="A810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15F13"/>
    <w:multiLevelType w:val="hybridMultilevel"/>
    <w:tmpl w:val="27BE29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0A1034"/>
    <w:multiLevelType w:val="hybridMultilevel"/>
    <w:tmpl w:val="142C21E4"/>
    <w:lvl w:ilvl="0" w:tplc="C4DCE602">
      <w:start w:val="20"/>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B8"/>
    <w:rsid w:val="0000043C"/>
    <w:rsid w:val="00001C7D"/>
    <w:rsid w:val="00002720"/>
    <w:rsid w:val="00002FA3"/>
    <w:rsid w:val="0000494D"/>
    <w:rsid w:val="00010F0F"/>
    <w:rsid w:val="000145B1"/>
    <w:rsid w:val="00027C74"/>
    <w:rsid w:val="00031F37"/>
    <w:rsid w:val="00034027"/>
    <w:rsid w:val="00034429"/>
    <w:rsid w:val="00034996"/>
    <w:rsid w:val="00042694"/>
    <w:rsid w:val="00047005"/>
    <w:rsid w:val="00064A2F"/>
    <w:rsid w:val="00074DC9"/>
    <w:rsid w:val="00077D72"/>
    <w:rsid w:val="00081C49"/>
    <w:rsid w:val="00081FC0"/>
    <w:rsid w:val="00086DDE"/>
    <w:rsid w:val="000912DE"/>
    <w:rsid w:val="00091C8F"/>
    <w:rsid w:val="00092293"/>
    <w:rsid w:val="00093104"/>
    <w:rsid w:val="000A16A6"/>
    <w:rsid w:val="000A75C5"/>
    <w:rsid w:val="000B4682"/>
    <w:rsid w:val="000B56C5"/>
    <w:rsid w:val="000B5B21"/>
    <w:rsid w:val="000C3354"/>
    <w:rsid w:val="000C3B92"/>
    <w:rsid w:val="000C6177"/>
    <w:rsid w:val="000C6AC6"/>
    <w:rsid w:val="000D395B"/>
    <w:rsid w:val="000D54A1"/>
    <w:rsid w:val="000D54E1"/>
    <w:rsid w:val="000D5902"/>
    <w:rsid w:val="000D594F"/>
    <w:rsid w:val="000D63DF"/>
    <w:rsid w:val="000D7F50"/>
    <w:rsid w:val="000E1304"/>
    <w:rsid w:val="000E158F"/>
    <w:rsid w:val="001008B4"/>
    <w:rsid w:val="00101D13"/>
    <w:rsid w:val="00104BE2"/>
    <w:rsid w:val="00107EF9"/>
    <w:rsid w:val="00110E53"/>
    <w:rsid w:val="001137F8"/>
    <w:rsid w:val="00116BF8"/>
    <w:rsid w:val="00125486"/>
    <w:rsid w:val="001258C5"/>
    <w:rsid w:val="00127E63"/>
    <w:rsid w:val="00134BA0"/>
    <w:rsid w:val="00135192"/>
    <w:rsid w:val="0014100E"/>
    <w:rsid w:val="00141530"/>
    <w:rsid w:val="00141D11"/>
    <w:rsid w:val="00142557"/>
    <w:rsid w:val="00143602"/>
    <w:rsid w:val="00144197"/>
    <w:rsid w:val="00144CE0"/>
    <w:rsid w:val="00150B2A"/>
    <w:rsid w:val="001522DA"/>
    <w:rsid w:val="001525AC"/>
    <w:rsid w:val="001564C6"/>
    <w:rsid w:val="00161960"/>
    <w:rsid w:val="00173630"/>
    <w:rsid w:val="00173CE7"/>
    <w:rsid w:val="00176BDF"/>
    <w:rsid w:val="001771D7"/>
    <w:rsid w:val="0017753E"/>
    <w:rsid w:val="001A0ACF"/>
    <w:rsid w:val="001A0BC7"/>
    <w:rsid w:val="001A663F"/>
    <w:rsid w:val="001B0AE2"/>
    <w:rsid w:val="001B0D72"/>
    <w:rsid w:val="001B29E7"/>
    <w:rsid w:val="001B2ED9"/>
    <w:rsid w:val="001B3FF2"/>
    <w:rsid w:val="001B53BE"/>
    <w:rsid w:val="001B7E1A"/>
    <w:rsid w:val="001C19A1"/>
    <w:rsid w:val="001C43E8"/>
    <w:rsid w:val="001D0413"/>
    <w:rsid w:val="001D3733"/>
    <w:rsid w:val="001D3E01"/>
    <w:rsid w:val="001F04E0"/>
    <w:rsid w:val="001F33A0"/>
    <w:rsid w:val="001F531E"/>
    <w:rsid w:val="001F7F26"/>
    <w:rsid w:val="0020311D"/>
    <w:rsid w:val="0020317B"/>
    <w:rsid w:val="00204BCB"/>
    <w:rsid w:val="00204E02"/>
    <w:rsid w:val="00205F78"/>
    <w:rsid w:val="002061F9"/>
    <w:rsid w:val="00206EBE"/>
    <w:rsid w:val="00210935"/>
    <w:rsid w:val="002128FF"/>
    <w:rsid w:val="00212C9A"/>
    <w:rsid w:val="002142D3"/>
    <w:rsid w:val="00223A43"/>
    <w:rsid w:val="00226070"/>
    <w:rsid w:val="00230C7A"/>
    <w:rsid w:val="00231248"/>
    <w:rsid w:val="00233E58"/>
    <w:rsid w:val="002362AE"/>
    <w:rsid w:val="00243BD9"/>
    <w:rsid w:val="00250611"/>
    <w:rsid w:val="00250ACC"/>
    <w:rsid w:val="00251660"/>
    <w:rsid w:val="00253288"/>
    <w:rsid w:val="00253D47"/>
    <w:rsid w:val="0025450B"/>
    <w:rsid w:val="00260669"/>
    <w:rsid w:val="00261BD8"/>
    <w:rsid w:val="002625F5"/>
    <w:rsid w:val="002645C7"/>
    <w:rsid w:val="00266AF0"/>
    <w:rsid w:val="00267B3F"/>
    <w:rsid w:val="00276784"/>
    <w:rsid w:val="00277D40"/>
    <w:rsid w:val="00285456"/>
    <w:rsid w:val="00292879"/>
    <w:rsid w:val="00296B78"/>
    <w:rsid w:val="002A1915"/>
    <w:rsid w:val="002B2FDD"/>
    <w:rsid w:val="002B32E9"/>
    <w:rsid w:val="002B5E1C"/>
    <w:rsid w:val="002C029B"/>
    <w:rsid w:val="002C0C40"/>
    <w:rsid w:val="002C2C09"/>
    <w:rsid w:val="002C3699"/>
    <w:rsid w:val="002C5B63"/>
    <w:rsid w:val="002C7598"/>
    <w:rsid w:val="002C7FA2"/>
    <w:rsid w:val="002D2249"/>
    <w:rsid w:val="002D5A9B"/>
    <w:rsid w:val="002D5BAB"/>
    <w:rsid w:val="002E253C"/>
    <w:rsid w:val="002E6747"/>
    <w:rsid w:val="002E78EF"/>
    <w:rsid w:val="002F0AD3"/>
    <w:rsid w:val="002F1527"/>
    <w:rsid w:val="002F22AA"/>
    <w:rsid w:val="002F332A"/>
    <w:rsid w:val="002F58F8"/>
    <w:rsid w:val="002F662B"/>
    <w:rsid w:val="002F73E9"/>
    <w:rsid w:val="00300649"/>
    <w:rsid w:val="00302130"/>
    <w:rsid w:val="003072A6"/>
    <w:rsid w:val="003109BF"/>
    <w:rsid w:val="0031686B"/>
    <w:rsid w:val="00320BF9"/>
    <w:rsid w:val="0032482F"/>
    <w:rsid w:val="00324A30"/>
    <w:rsid w:val="00327A95"/>
    <w:rsid w:val="003304D6"/>
    <w:rsid w:val="00335B27"/>
    <w:rsid w:val="00336004"/>
    <w:rsid w:val="00340D2B"/>
    <w:rsid w:val="00340DC8"/>
    <w:rsid w:val="003463C0"/>
    <w:rsid w:val="0035234F"/>
    <w:rsid w:val="00357A91"/>
    <w:rsid w:val="0036170A"/>
    <w:rsid w:val="00362BBD"/>
    <w:rsid w:val="00365631"/>
    <w:rsid w:val="00366A46"/>
    <w:rsid w:val="00370328"/>
    <w:rsid w:val="003709D4"/>
    <w:rsid w:val="00382C8C"/>
    <w:rsid w:val="00383B6A"/>
    <w:rsid w:val="00384D85"/>
    <w:rsid w:val="003910BE"/>
    <w:rsid w:val="00391A45"/>
    <w:rsid w:val="00394574"/>
    <w:rsid w:val="00395490"/>
    <w:rsid w:val="003A13CF"/>
    <w:rsid w:val="003A2DCD"/>
    <w:rsid w:val="003B18F4"/>
    <w:rsid w:val="003B50AF"/>
    <w:rsid w:val="003B71DC"/>
    <w:rsid w:val="003B77B3"/>
    <w:rsid w:val="003B79F0"/>
    <w:rsid w:val="003C427C"/>
    <w:rsid w:val="003C64E9"/>
    <w:rsid w:val="003D13D5"/>
    <w:rsid w:val="003D1AF2"/>
    <w:rsid w:val="003D4C69"/>
    <w:rsid w:val="003E2322"/>
    <w:rsid w:val="003E6853"/>
    <w:rsid w:val="003F7C2E"/>
    <w:rsid w:val="00403C46"/>
    <w:rsid w:val="00403F48"/>
    <w:rsid w:val="00405547"/>
    <w:rsid w:val="004055EA"/>
    <w:rsid w:val="00405735"/>
    <w:rsid w:val="00405CBD"/>
    <w:rsid w:val="00410C6A"/>
    <w:rsid w:val="004141B3"/>
    <w:rsid w:val="00423F68"/>
    <w:rsid w:val="00425DBE"/>
    <w:rsid w:val="0042782C"/>
    <w:rsid w:val="00430CC1"/>
    <w:rsid w:val="00443191"/>
    <w:rsid w:val="00443B2A"/>
    <w:rsid w:val="0044428D"/>
    <w:rsid w:val="00444C4A"/>
    <w:rsid w:val="00445093"/>
    <w:rsid w:val="00446D1C"/>
    <w:rsid w:val="00447092"/>
    <w:rsid w:val="00452CB9"/>
    <w:rsid w:val="0045585D"/>
    <w:rsid w:val="00456438"/>
    <w:rsid w:val="00456BCF"/>
    <w:rsid w:val="00462756"/>
    <w:rsid w:val="004738DB"/>
    <w:rsid w:val="0047660F"/>
    <w:rsid w:val="00477FB0"/>
    <w:rsid w:val="004812A3"/>
    <w:rsid w:val="004823C2"/>
    <w:rsid w:val="0049686B"/>
    <w:rsid w:val="004969F3"/>
    <w:rsid w:val="00496CF9"/>
    <w:rsid w:val="004A2378"/>
    <w:rsid w:val="004A37C4"/>
    <w:rsid w:val="004A40BF"/>
    <w:rsid w:val="004A476E"/>
    <w:rsid w:val="004A6874"/>
    <w:rsid w:val="004B3CB6"/>
    <w:rsid w:val="004B4E30"/>
    <w:rsid w:val="004B5A95"/>
    <w:rsid w:val="004B762C"/>
    <w:rsid w:val="004B7647"/>
    <w:rsid w:val="004C1037"/>
    <w:rsid w:val="004C2ED1"/>
    <w:rsid w:val="004C6067"/>
    <w:rsid w:val="004C7D32"/>
    <w:rsid w:val="004D2127"/>
    <w:rsid w:val="004D35A3"/>
    <w:rsid w:val="004D3756"/>
    <w:rsid w:val="004D3C32"/>
    <w:rsid w:val="004E14B1"/>
    <w:rsid w:val="004E4283"/>
    <w:rsid w:val="004E737E"/>
    <w:rsid w:val="004E7E51"/>
    <w:rsid w:val="005011F1"/>
    <w:rsid w:val="0050249F"/>
    <w:rsid w:val="00506E65"/>
    <w:rsid w:val="00513085"/>
    <w:rsid w:val="00515E5B"/>
    <w:rsid w:val="00517125"/>
    <w:rsid w:val="005175BB"/>
    <w:rsid w:val="00520F06"/>
    <w:rsid w:val="00521589"/>
    <w:rsid w:val="005220F3"/>
    <w:rsid w:val="005260D7"/>
    <w:rsid w:val="00533501"/>
    <w:rsid w:val="00540CE0"/>
    <w:rsid w:val="00541447"/>
    <w:rsid w:val="005419EA"/>
    <w:rsid w:val="0054298A"/>
    <w:rsid w:val="00547386"/>
    <w:rsid w:val="00560ED9"/>
    <w:rsid w:val="00561D51"/>
    <w:rsid w:val="00565EB7"/>
    <w:rsid w:val="00570621"/>
    <w:rsid w:val="00570882"/>
    <w:rsid w:val="00570F86"/>
    <w:rsid w:val="0057402E"/>
    <w:rsid w:val="00574733"/>
    <w:rsid w:val="00577C24"/>
    <w:rsid w:val="00581249"/>
    <w:rsid w:val="0058201C"/>
    <w:rsid w:val="00585694"/>
    <w:rsid w:val="0058733D"/>
    <w:rsid w:val="005875D1"/>
    <w:rsid w:val="0058770D"/>
    <w:rsid w:val="00590D44"/>
    <w:rsid w:val="005910E4"/>
    <w:rsid w:val="005918F1"/>
    <w:rsid w:val="00591B61"/>
    <w:rsid w:val="005926DF"/>
    <w:rsid w:val="0059345B"/>
    <w:rsid w:val="00595FC4"/>
    <w:rsid w:val="00596B4A"/>
    <w:rsid w:val="00597507"/>
    <w:rsid w:val="005A0FDA"/>
    <w:rsid w:val="005A3333"/>
    <w:rsid w:val="005A37B8"/>
    <w:rsid w:val="005A3BAD"/>
    <w:rsid w:val="005A63B1"/>
    <w:rsid w:val="005B04BF"/>
    <w:rsid w:val="005B0649"/>
    <w:rsid w:val="005B2D10"/>
    <w:rsid w:val="005C1A8F"/>
    <w:rsid w:val="005C28FB"/>
    <w:rsid w:val="005C667D"/>
    <w:rsid w:val="005C682A"/>
    <w:rsid w:val="005D05E1"/>
    <w:rsid w:val="005D7408"/>
    <w:rsid w:val="005E0C03"/>
    <w:rsid w:val="005E1D86"/>
    <w:rsid w:val="005E5AD4"/>
    <w:rsid w:val="005E73D9"/>
    <w:rsid w:val="005F2999"/>
    <w:rsid w:val="005F4507"/>
    <w:rsid w:val="005F5926"/>
    <w:rsid w:val="0060101F"/>
    <w:rsid w:val="00602A6A"/>
    <w:rsid w:val="00604D41"/>
    <w:rsid w:val="00616183"/>
    <w:rsid w:val="00620259"/>
    <w:rsid w:val="00626FDB"/>
    <w:rsid w:val="006311D7"/>
    <w:rsid w:val="0063165E"/>
    <w:rsid w:val="00651B32"/>
    <w:rsid w:val="00652DF0"/>
    <w:rsid w:val="006535A3"/>
    <w:rsid w:val="00656F3D"/>
    <w:rsid w:val="006602B8"/>
    <w:rsid w:val="00662A2C"/>
    <w:rsid w:val="00662E32"/>
    <w:rsid w:val="00663612"/>
    <w:rsid w:val="00666DC5"/>
    <w:rsid w:val="00667680"/>
    <w:rsid w:val="00670185"/>
    <w:rsid w:val="006722D1"/>
    <w:rsid w:val="00677A29"/>
    <w:rsid w:val="00680202"/>
    <w:rsid w:val="00681058"/>
    <w:rsid w:val="006827DA"/>
    <w:rsid w:val="00685173"/>
    <w:rsid w:val="006910E3"/>
    <w:rsid w:val="00692275"/>
    <w:rsid w:val="00692366"/>
    <w:rsid w:val="006924FE"/>
    <w:rsid w:val="006A31A9"/>
    <w:rsid w:val="006A3761"/>
    <w:rsid w:val="006A5D2E"/>
    <w:rsid w:val="006B22F0"/>
    <w:rsid w:val="006B5142"/>
    <w:rsid w:val="006B5596"/>
    <w:rsid w:val="006B70AE"/>
    <w:rsid w:val="006C3BE4"/>
    <w:rsid w:val="006D15C9"/>
    <w:rsid w:val="006D32CD"/>
    <w:rsid w:val="006D3E70"/>
    <w:rsid w:val="006D46B7"/>
    <w:rsid w:val="006D52A5"/>
    <w:rsid w:val="006D6655"/>
    <w:rsid w:val="006E1A57"/>
    <w:rsid w:val="006E3318"/>
    <w:rsid w:val="006E53B7"/>
    <w:rsid w:val="006E620E"/>
    <w:rsid w:val="006E66CA"/>
    <w:rsid w:val="006F08F5"/>
    <w:rsid w:val="006F1F19"/>
    <w:rsid w:val="0070027E"/>
    <w:rsid w:val="00700762"/>
    <w:rsid w:val="00701D82"/>
    <w:rsid w:val="00703FA8"/>
    <w:rsid w:val="00705749"/>
    <w:rsid w:val="00710932"/>
    <w:rsid w:val="0071220F"/>
    <w:rsid w:val="0071474A"/>
    <w:rsid w:val="00715A00"/>
    <w:rsid w:val="00715D09"/>
    <w:rsid w:val="00720F05"/>
    <w:rsid w:val="00722335"/>
    <w:rsid w:val="00723163"/>
    <w:rsid w:val="00724804"/>
    <w:rsid w:val="00724F0A"/>
    <w:rsid w:val="00725DFF"/>
    <w:rsid w:val="00726642"/>
    <w:rsid w:val="007276F3"/>
    <w:rsid w:val="00727A12"/>
    <w:rsid w:val="00727EB3"/>
    <w:rsid w:val="007324EE"/>
    <w:rsid w:val="007376F7"/>
    <w:rsid w:val="0074193F"/>
    <w:rsid w:val="00744E0B"/>
    <w:rsid w:val="00745AC8"/>
    <w:rsid w:val="007462F5"/>
    <w:rsid w:val="00755739"/>
    <w:rsid w:val="00756ADA"/>
    <w:rsid w:val="00762DD8"/>
    <w:rsid w:val="00763CD6"/>
    <w:rsid w:val="00766FB5"/>
    <w:rsid w:val="00770EB7"/>
    <w:rsid w:val="00772F85"/>
    <w:rsid w:val="007734DC"/>
    <w:rsid w:val="00773A5C"/>
    <w:rsid w:val="0078142B"/>
    <w:rsid w:val="007815AF"/>
    <w:rsid w:val="00785F30"/>
    <w:rsid w:val="00786102"/>
    <w:rsid w:val="00791678"/>
    <w:rsid w:val="00796618"/>
    <w:rsid w:val="007A1C47"/>
    <w:rsid w:val="007A4EF3"/>
    <w:rsid w:val="007A727C"/>
    <w:rsid w:val="007B010B"/>
    <w:rsid w:val="007B1343"/>
    <w:rsid w:val="007B4132"/>
    <w:rsid w:val="007C1963"/>
    <w:rsid w:val="007C2446"/>
    <w:rsid w:val="007C3DF0"/>
    <w:rsid w:val="007C79A0"/>
    <w:rsid w:val="007D133B"/>
    <w:rsid w:val="007D2348"/>
    <w:rsid w:val="007D2D84"/>
    <w:rsid w:val="007D664F"/>
    <w:rsid w:val="007D7FB3"/>
    <w:rsid w:val="007E06B3"/>
    <w:rsid w:val="007E265E"/>
    <w:rsid w:val="007E2FA5"/>
    <w:rsid w:val="007E74EA"/>
    <w:rsid w:val="007F4920"/>
    <w:rsid w:val="007F52A5"/>
    <w:rsid w:val="007F61F4"/>
    <w:rsid w:val="008013F2"/>
    <w:rsid w:val="00807F6A"/>
    <w:rsid w:val="008133BA"/>
    <w:rsid w:val="008134D3"/>
    <w:rsid w:val="00813846"/>
    <w:rsid w:val="0082111B"/>
    <w:rsid w:val="00833965"/>
    <w:rsid w:val="008379D6"/>
    <w:rsid w:val="00843F44"/>
    <w:rsid w:val="00845F04"/>
    <w:rsid w:val="0085331D"/>
    <w:rsid w:val="00853EF2"/>
    <w:rsid w:val="00856F95"/>
    <w:rsid w:val="008610FE"/>
    <w:rsid w:val="00863509"/>
    <w:rsid w:val="00870DBF"/>
    <w:rsid w:val="008711CC"/>
    <w:rsid w:val="008737ED"/>
    <w:rsid w:val="008748CA"/>
    <w:rsid w:val="00880264"/>
    <w:rsid w:val="00881872"/>
    <w:rsid w:val="00884BDE"/>
    <w:rsid w:val="00884C89"/>
    <w:rsid w:val="00887511"/>
    <w:rsid w:val="00887A02"/>
    <w:rsid w:val="0089488A"/>
    <w:rsid w:val="00894B78"/>
    <w:rsid w:val="00897D8E"/>
    <w:rsid w:val="008A1B52"/>
    <w:rsid w:val="008A35E8"/>
    <w:rsid w:val="008A384C"/>
    <w:rsid w:val="008A4D61"/>
    <w:rsid w:val="008B0A6C"/>
    <w:rsid w:val="008B18E1"/>
    <w:rsid w:val="008B2634"/>
    <w:rsid w:val="008C2FCA"/>
    <w:rsid w:val="008D32F3"/>
    <w:rsid w:val="008D5A35"/>
    <w:rsid w:val="008E1ADA"/>
    <w:rsid w:val="008E231B"/>
    <w:rsid w:val="008E6513"/>
    <w:rsid w:val="008E7CCB"/>
    <w:rsid w:val="008F13EC"/>
    <w:rsid w:val="008F3F88"/>
    <w:rsid w:val="009028AB"/>
    <w:rsid w:val="00904357"/>
    <w:rsid w:val="0090472F"/>
    <w:rsid w:val="00910A91"/>
    <w:rsid w:val="009116C0"/>
    <w:rsid w:val="00911B74"/>
    <w:rsid w:val="0091414E"/>
    <w:rsid w:val="00915990"/>
    <w:rsid w:val="00916B18"/>
    <w:rsid w:val="00922332"/>
    <w:rsid w:val="009242D5"/>
    <w:rsid w:val="0092718C"/>
    <w:rsid w:val="00931ED6"/>
    <w:rsid w:val="00932639"/>
    <w:rsid w:val="00945AD4"/>
    <w:rsid w:val="009461BB"/>
    <w:rsid w:val="009505E9"/>
    <w:rsid w:val="00951676"/>
    <w:rsid w:val="00952D1A"/>
    <w:rsid w:val="0095458A"/>
    <w:rsid w:val="00955B54"/>
    <w:rsid w:val="00960190"/>
    <w:rsid w:val="00960836"/>
    <w:rsid w:val="009664EE"/>
    <w:rsid w:val="009665A3"/>
    <w:rsid w:val="0096673C"/>
    <w:rsid w:val="00971CF5"/>
    <w:rsid w:val="0097384C"/>
    <w:rsid w:val="0098136A"/>
    <w:rsid w:val="00987D0D"/>
    <w:rsid w:val="0099290A"/>
    <w:rsid w:val="00997419"/>
    <w:rsid w:val="009A244E"/>
    <w:rsid w:val="009A65D5"/>
    <w:rsid w:val="009A66C9"/>
    <w:rsid w:val="009B0849"/>
    <w:rsid w:val="009B1AA7"/>
    <w:rsid w:val="009B6670"/>
    <w:rsid w:val="009B7A0D"/>
    <w:rsid w:val="009B7F61"/>
    <w:rsid w:val="009C2C83"/>
    <w:rsid w:val="009C3352"/>
    <w:rsid w:val="009D1E97"/>
    <w:rsid w:val="009D26E5"/>
    <w:rsid w:val="009D32B0"/>
    <w:rsid w:val="009D4535"/>
    <w:rsid w:val="009D5F75"/>
    <w:rsid w:val="009D7184"/>
    <w:rsid w:val="009E0798"/>
    <w:rsid w:val="009E0A81"/>
    <w:rsid w:val="009E3419"/>
    <w:rsid w:val="009E60E2"/>
    <w:rsid w:val="009E6357"/>
    <w:rsid w:val="009E795D"/>
    <w:rsid w:val="009E7D62"/>
    <w:rsid w:val="009F1CF3"/>
    <w:rsid w:val="009F6172"/>
    <w:rsid w:val="00A0167B"/>
    <w:rsid w:val="00A03316"/>
    <w:rsid w:val="00A10071"/>
    <w:rsid w:val="00A13E2D"/>
    <w:rsid w:val="00A1416D"/>
    <w:rsid w:val="00A2116E"/>
    <w:rsid w:val="00A2448D"/>
    <w:rsid w:val="00A27753"/>
    <w:rsid w:val="00A32B48"/>
    <w:rsid w:val="00A334B5"/>
    <w:rsid w:val="00A34358"/>
    <w:rsid w:val="00A37B03"/>
    <w:rsid w:val="00A40586"/>
    <w:rsid w:val="00A411CF"/>
    <w:rsid w:val="00A4194C"/>
    <w:rsid w:val="00A419DB"/>
    <w:rsid w:val="00A457C5"/>
    <w:rsid w:val="00A47DFB"/>
    <w:rsid w:val="00A52454"/>
    <w:rsid w:val="00A53B42"/>
    <w:rsid w:val="00A572FA"/>
    <w:rsid w:val="00A57542"/>
    <w:rsid w:val="00A61150"/>
    <w:rsid w:val="00A61D41"/>
    <w:rsid w:val="00A62E39"/>
    <w:rsid w:val="00A65799"/>
    <w:rsid w:val="00A77BB9"/>
    <w:rsid w:val="00A82791"/>
    <w:rsid w:val="00A8463A"/>
    <w:rsid w:val="00A93405"/>
    <w:rsid w:val="00A9770C"/>
    <w:rsid w:val="00AA3D2E"/>
    <w:rsid w:val="00AA58E0"/>
    <w:rsid w:val="00AB1869"/>
    <w:rsid w:val="00AB39AC"/>
    <w:rsid w:val="00AC0130"/>
    <w:rsid w:val="00AC0ECC"/>
    <w:rsid w:val="00AC1F50"/>
    <w:rsid w:val="00AC3549"/>
    <w:rsid w:val="00AC388E"/>
    <w:rsid w:val="00AC45DA"/>
    <w:rsid w:val="00AC6085"/>
    <w:rsid w:val="00AC7539"/>
    <w:rsid w:val="00AC7A5E"/>
    <w:rsid w:val="00AD294A"/>
    <w:rsid w:val="00AE0EC0"/>
    <w:rsid w:val="00AF1131"/>
    <w:rsid w:val="00AF1376"/>
    <w:rsid w:val="00AF5A87"/>
    <w:rsid w:val="00B02C5C"/>
    <w:rsid w:val="00B02D0F"/>
    <w:rsid w:val="00B052BF"/>
    <w:rsid w:val="00B06E7B"/>
    <w:rsid w:val="00B1006A"/>
    <w:rsid w:val="00B10AF4"/>
    <w:rsid w:val="00B10E29"/>
    <w:rsid w:val="00B1621D"/>
    <w:rsid w:val="00B176C6"/>
    <w:rsid w:val="00B177E0"/>
    <w:rsid w:val="00B22C05"/>
    <w:rsid w:val="00B25AA5"/>
    <w:rsid w:val="00B3125E"/>
    <w:rsid w:val="00B31A2B"/>
    <w:rsid w:val="00B332E9"/>
    <w:rsid w:val="00B34F97"/>
    <w:rsid w:val="00B35207"/>
    <w:rsid w:val="00B352BA"/>
    <w:rsid w:val="00B3576E"/>
    <w:rsid w:val="00B37D16"/>
    <w:rsid w:val="00B443F0"/>
    <w:rsid w:val="00B4578B"/>
    <w:rsid w:val="00B51626"/>
    <w:rsid w:val="00B5326D"/>
    <w:rsid w:val="00B55558"/>
    <w:rsid w:val="00B60F74"/>
    <w:rsid w:val="00B6471B"/>
    <w:rsid w:val="00B65BBC"/>
    <w:rsid w:val="00B700A4"/>
    <w:rsid w:val="00B71BEF"/>
    <w:rsid w:val="00B730A3"/>
    <w:rsid w:val="00B75BC6"/>
    <w:rsid w:val="00B76FB8"/>
    <w:rsid w:val="00B82CF1"/>
    <w:rsid w:val="00B85491"/>
    <w:rsid w:val="00B8661F"/>
    <w:rsid w:val="00B879AC"/>
    <w:rsid w:val="00BA05BD"/>
    <w:rsid w:val="00BA1A93"/>
    <w:rsid w:val="00BA549C"/>
    <w:rsid w:val="00BA61DA"/>
    <w:rsid w:val="00BA6D48"/>
    <w:rsid w:val="00BA74D8"/>
    <w:rsid w:val="00BA7AE5"/>
    <w:rsid w:val="00BB0CEB"/>
    <w:rsid w:val="00BB2402"/>
    <w:rsid w:val="00BB24FB"/>
    <w:rsid w:val="00BB2C15"/>
    <w:rsid w:val="00BB2F77"/>
    <w:rsid w:val="00BB3388"/>
    <w:rsid w:val="00BB5F70"/>
    <w:rsid w:val="00BC50B6"/>
    <w:rsid w:val="00BC6BD8"/>
    <w:rsid w:val="00BD1137"/>
    <w:rsid w:val="00BD17DD"/>
    <w:rsid w:val="00BD2553"/>
    <w:rsid w:val="00BD434F"/>
    <w:rsid w:val="00BD7E33"/>
    <w:rsid w:val="00BE086F"/>
    <w:rsid w:val="00BE141E"/>
    <w:rsid w:val="00BE44AE"/>
    <w:rsid w:val="00BE4732"/>
    <w:rsid w:val="00BE6317"/>
    <w:rsid w:val="00BF08EE"/>
    <w:rsid w:val="00BF248E"/>
    <w:rsid w:val="00BF28CE"/>
    <w:rsid w:val="00BF4CE2"/>
    <w:rsid w:val="00C01089"/>
    <w:rsid w:val="00C0307B"/>
    <w:rsid w:val="00C0559D"/>
    <w:rsid w:val="00C07BE9"/>
    <w:rsid w:val="00C11A77"/>
    <w:rsid w:val="00C14D58"/>
    <w:rsid w:val="00C1601D"/>
    <w:rsid w:val="00C17218"/>
    <w:rsid w:val="00C2098B"/>
    <w:rsid w:val="00C20EF5"/>
    <w:rsid w:val="00C224A3"/>
    <w:rsid w:val="00C24D86"/>
    <w:rsid w:val="00C2584E"/>
    <w:rsid w:val="00C25877"/>
    <w:rsid w:val="00C26E4A"/>
    <w:rsid w:val="00C36413"/>
    <w:rsid w:val="00C3788D"/>
    <w:rsid w:val="00C431B2"/>
    <w:rsid w:val="00C45C1E"/>
    <w:rsid w:val="00C45C51"/>
    <w:rsid w:val="00C46385"/>
    <w:rsid w:val="00C51666"/>
    <w:rsid w:val="00C5511E"/>
    <w:rsid w:val="00C56FB7"/>
    <w:rsid w:val="00C572FD"/>
    <w:rsid w:val="00C60600"/>
    <w:rsid w:val="00C617C5"/>
    <w:rsid w:val="00C63CC9"/>
    <w:rsid w:val="00C644E2"/>
    <w:rsid w:val="00C64C6E"/>
    <w:rsid w:val="00C677D4"/>
    <w:rsid w:val="00C72D5E"/>
    <w:rsid w:val="00C76C6B"/>
    <w:rsid w:val="00C81B75"/>
    <w:rsid w:val="00C84478"/>
    <w:rsid w:val="00C958E8"/>
    <w:rsid w:val="00CA6453"/>
    <w:rsid w:val="00CA6983"/>
    <w:rsid w:val="00CA76AF"/>
    <w:rsid w:val="00CB2375"/>
    <w:rsid w:val="00CB439D"/>
    <w:rsid w:val="00CB4DD6"/>
    <w:rsid w:val="00CB6225"/>
    <w:rsid w:val="00CB7355"/>
    <w:rsid w:val="00CC19E0"/>
    <w:rsid w:val="00CC2E71"/>
    <w:rsid w:val="00CC3412"/>
    <w:rsid w:val="00CC55B3"/>
    <w:rsid w:val="00CC6FDF"/>
    <w:rsid w:val="00CD0CB6"/>
    <w:rsid w:val="00CD349E"/>
    <w:rsid w:val="00CD75C3"/>
    <w:rsid w:val="00CD7EF2"/>
    <w:rsid w:val="00CE0116"/>
    <w:rsid w:val="00CE16A2"/>
    <w:rsid w:val="00CE1AF2"/>
    <w:rsid w:val="00CE4D76"/>
    <w:rsid w:val="00CE5866"/>
    <w:rsid w:val="00CF448B"/>
    <w:rsid w:val="00D04B97"/>
    <w:rsid w:val="00D05243"/>
    <w:rsid w:val="00D05876"/>
    <w:rsid w:val="00D06BF9"/>
    <w:rsid w:val="00D100BC"/>
    <w:rsid w:val="00D165F1"/>
    <w:rsid w:val="00D2615D"/>
    <w:rsid w:val="00D31EAD"/>
    <w:rsid w:val="00D32985"/>
    <w:rsid w:val="00D352B8"/>
    <w:rsid w:val="00D35BDA"/>
    <w:rsid w:val="00D36B07"/>
    <w:rsid w:val="00D402CF"/>
    <w:rsid w:val="00D41243"/>
    <w:rsid w:val="00D43075"/>
    <w:rsid w:val="00D462A5"/>
    <w:rsid w:val="00D47B65"/>
    <w:rsid w:val="00D538BC"/>
    <w:rsid w:val="00D546F1"/>
    <w:rsid w:val="00D6214F"/>
    <w:rsid w:val="00D63D01"/>
    <w:rsid w:val="00D6685C"/>
    <w:rsid w:val="00D714AC"/>
    <w:rsid w:val="00D73FBE"/>
    <w:rsid w:val="00D742E9"/>
    <w:rsid w:val="00D74A26"/>
    <w:rsid w:val="00D82321"/>
    <w:rsid w:val="00D825EB"/>
    <w:rsid w:val="00D83BDE"/>
    <w:rsid w:val="00D853CB"/>
    <w:rsid w:val="00D85666"/>
    <w:rsid w:val="00D90165"/>
    <w:rsid w:val="00D93256"/>
    <w:rsid w:val="00D9536C"/>
    <w:rsid w:val="00DA01B9"/>
    <w:rsid w:val="00DA2FC0"/>
    <w:rsid w:val="00DA3A99"/>
    <w:rsid w:val="00DB1663"/>
    <w:rsid w:val="00DB187E"/>
    <w:rsid w:val="00DC2341"/>
    <w:rsid w:val="00DC4BA3"/>
    <w:rsid w:val="00DC5693"/>
    <w:rsid w:val="00DC58E2"/>
    <w:rsid w:val="00DC6C1D"/>
    <w:rsid w:val="00DC7089"/>
    <w:rsid w:val="00DD4B87"/>
    <w:rsid w:val="00DE0A31"/>
    <w:rsid w:val="00DE1CA1"/>
    <w:rsid w:val="00DE59C0"/>
    <w:rsid w:val="00DE62D5"/>
    <w:rsid w:val="00DF1C8C"/>
    <w:rsid w:val="00DF1D26"/>
    <w:rsid w:val="00E00F03"/>
    <w:rsid w:val="00E036FC"/>
    <w:rsid w:val="00E03A75"/>
    <w:rsid w:val="00E0489A"/>
    <w:rsid w:val="00E05E95"/>
    <w:rsid w:val="00E07BEE"/>
    <w:rsid w:val="00E10017"/>
    <w:rsid w:val="00E110C0"/>
    <w:rsid w:val="00E11B95"/>
    <w:rsid w:val="00E21B43"/>
    <w:rsid w:val="00E24324"/>
    <w:rsid w:val="00E25439"/>
    <w:rsid w:val="00E25E60"/>
    <w:rsid w:val="00E3044C"/>
    <w:rsid w:val="00E32679"/>
    <w:rsid w:val="00E32BF3"/>
    <w:rsid w:val="00E35070"/>
    <w:rsid w:val="00E42B04"/>
    <w:rsid w:val="00E44D71"/>
    <w:rsid w:val="00E4717E"/>
    <w:rsid w:val="00E534BB"/>
    <w:rsid w:val="00E574FB"/>
    <w:rsid w:val="00E57EA8"/>
    <w:rsid w:val="00E6304F"/>
    <w:rsid w:val="00E6324A"/>
    <w:rsid w:val="00E63A8E"/>
    <w:rsid w:val="00E63E0E"/>
    <w:rsid w:val="00E65A27"/>
    <w:rsid w:val="00E65BE2"/>
    <w:rsid w:val="00E67C02"/>
    <w:rsid w:val="00E716B5"/>
    <w:rsid w:val="00E71A03"/>
    <w:rsid w:val="00E7254B"/>
    <w:rsid w:val="00E7314F"/>
    <w:rsid w:val="00E7322F"/>
    <w:rsid w:val="00E75F51"/>
    <w:rsid w:val="00E77F8B"/>
    <w:rsid w:val="00E8067E"/>
    <w:rsid w:val="00E82F32"/>
    <w:rsid w:val="00E84D11"/>
    <w:rsid w:val="00E84E79"/>
    <w:rsid w:val="00E84EBD"/>
    <w:rsid w:val="00E873FE"/>
    <w:rsid w:val="00E94C2E"/>
    <w:rsid w:val="00EA221D"/>
    <w:rsid w:val="00EA2B27"/>
    <w:rsid w:val="00EA3B95"/>
    <w:rsid w:val="00EB0862"/>
    <w:rsid w:val="00EB7DCF"/>
    <w:rsid w:val="00EC1F95"/>
    <w:rsid w:val="00EC45A4"/>
    <w:rsid w:val="00EC64CE"/>
    <w:rsid w:val="00ED0727"/>
    <w:rsid w:val="00ED1D30"/>
    <w:rsid w:val="00ED3A2E"/>
    <w:rsid w:val="00ED43B4"/>
    <w:rsid w:val="00ED5099"/>
    <w:rsid w:val="00ED5980"/>
    <w:rsid w:val="00ED6271"/>
    <w:rsid w:val="00ED6D0A"/>
    <w:rsid w:val="00EE1495"/>
    <w:rsid w:val="00EE489C"/>
    <w:rsid w:val="00EE515A"/>
    <w:rsid w:val="00EE5E99"/>
    <w:rsid w:val="00EF2CF5"/>
    <w:rsid w:val="00F0358D"/>
    <w:rsid w:val="00F04B42"/>
    <w:rsid w:val="00F065F1"/>
    <w:rsid w:val="00F10C19"/>
    <w:rsid w:val="00F12B83"/>
    <w:rsid w:val="00F13E7F"/>
    <w:rsid w:val="00F14653"/>
    <w:rsid w:val="00F15C23"/>
    <w:rsid w:val="00F1771C"/>
    <w:rsid w:val="00F21300"/>
    <w:rsid w:val="00F21FA5"/>
    <w:rsid w:val="00F261F0"/>
    <w:rsid w:val="00F26275"/>
    <w:rsid w:val="00F26A4A"/>
    <w:rsid w:val="00F3047B"/>
    <w:rsid w:val="00F315D9"/>
    <w:rsid w:val="00F3249C"/>
    <w:rsid w:val="00F33D38"/>
    <w:rsid w:val="00F369FF"/>
    <w:rsid w:val="00F36D96"/>
    <w:rsid w:val="00F372A8"/>
    <w:rsid w:val="00F412C0"/>
    <w:rsid w:val="00F4144F"/>
    <w:rsid w:val="00F41ACA"/>
    <w:rsid w:val="00F4464F"/>
    <w:rsid w:val="00F44F4E"/>
    <w:rsid w:val="00F46B68"/>
    <w:rsid w:val="00F5247B"/>
    <w:rsid w:val="00F548F7"/>
    <w:rsid w:val="00F55DD6"/>
    <w:rsid w:val="00F56172"/>
    <w:rsid w:val="00F57B5B"/>
    <w:rsid w:val="00F6166C"/>
    <w:rsid w:val="00F61ED3"/>
    <w:rsid w:val="00F70D1B"/>
    <w:rsid w:val="00F7156A"/>
    <w:rsid w:val="00F72B19"/>
    <w:rsid w:val="00F72E95"/>
    <w:rsid w:val="00F848F0"/>
    <w:rsid w:val="00F8728F"/>
    <w:rsid w:val="00F87A7F"/>
    <w:rsid w:val="00F9043A"/>
    <w:rsid w:val="00F95797"/>
    <w:rsid w:val="00F97DDE"/>
    <w:rsid w:val="00FA01DE"/>
    <w:rsid w:val="00FA3EF2"/>
    <w:rsid w:val="00FB07E7"/>
    <w:rsid w:val="00FB65BD"/>
    <w:rsid w:val="00FC5A0A"/>
    <w:rsid w:val="00FC5CA4"/>
    <w:rsid w:val="00FD211E"/>
    <w:rsid w:val="00FE44F7"/>
    <w:rsid w:val="00FF0121"/>
    <w:rsid w:val="00FF1AC3"/>
    <w:rsid w:val="00FF20E2"/>
    <w:rsid w:val="207F27EF"/>
    <w:rsid w:val="29E6AAA0"/>
    <w:rsid w:val="31B94901"/>
    <w:rsid w:val="3B9DE253"/>
    <w:rsid w:val="637F26AC"/>
    <w:rsid w:val="6A1F65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DD38"/>
  <w15:docId w15:val="{04A4423C-0DE9-486B-B8E0-7DC84B0E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54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71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91"/>
    <w:rPr>
      <w:color w:val="0563C1" w:themeColor="hyperlink"/>
      <w:u w:val="single"/>
    </w:rPr>
  </w:style>
  <w:style w:type="character" w:styleId="CommentReference">
    <w:name w:val="annotation reference"/>
    <w:basedOn w:val="DefaultParagraphFont"/>
    <w:uiPriority w:val="99"/>
    <w:semiHidden/>
    <w:unhideWhenUsed/>
    <w:rsid w:val="006827DA"/>
    <w:rPr>
      <w:sz w:val="16"/>
      <w:szCs w:val="16"/>
    </w:rPr>
  </w:style>
  <w:style w:type="paragraph" w:styleId="CommentText">
    <w:name w:val="annotation text"/>
    <w:basedOn w:val="Normal"/>
    <w:link w:val="CommentTextChar"/>
    <w:uiPriority w:val="99"/>
    <w:unhideWhenUsed/>
    <w:rsid w:val="006827DA"/>
    <w:rPr>
      <w:sz w:val="20"/>
      <w:szCs w:val="20"/>
    </w:rPr>
  </w:style>
  <w:style w:type="character" w:customStyle="1" w:styleId="CommentTextChar">
    <w:name w:val="Comment Text Char"/>
    <w:basedOn w:val="DefaultParagraphFont"/>
    <w:link w:val="CommentText"/>
    <w:uiPriority w:val="99"/>
    <w:rsid w:val="006827DA"/>
    <w:rPr>
      <w:sz w:val="20"/>
      <w:szCs w:val="20"/>
    </w:rPr>
  </w:style>
  <w:style w:type="paragraph" w:styleId="CommentSubject">
    <w:name w:val="annotation subject"/>
    <w:basedOn w:val="CommentText"/>
    <w:next w:val="CommentText"/>
    <w:link w:val="CommentSubjectChar"/>
    <w:uiPriority w:val="99"/>
    <w:semiHidden/>
    <w:unhideWhenUsed/>
    <w:rsid w:val="006827DA"/>
    <w:rPr>
      <w:b/>
      <w:bCs/>
    </w:rPr>
  </w:style>
  <w:style w:type="character" w:customStyle="1" w:styleId="CommentSubjectChar">
    <w:name w:val="Comment Subject Char"/>
    <w:basedOn w:val="CommentTextChar"/>
    <w:link w:val="CommentSubject"/>
    <w:uiPriority w:val="99"/>
    <w:semiHidden/>
    <w:rsid w:val="006827DA"/>
    <w:rPr>
      <w:b/>
      <w:bCs/>
      <w:sz w:val="20"/>
      <w:szCs w:val="20"/>
    </w:rPr>
  </w:style>
  <w:style w:type="paragraph" w:styleId="BalloonText">
    <w:name w:val="Balloon Text"/>
    <w:basedOn w:val="Normal"/>
    <w:link w:val="BalloonTextChar"/>
    <w:uiPriority w:val="99"/>
    <w:semiHidden/>
    <w:unhideWhenUsed/>
    <w:rsid w:val="0068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A"/>
    <w:rPr>
      <w:rFonts w:ascii="Segoe UI" w:hAnsi="Segoe UI" w:cs="Segoe UI"/>
      <w:sz w:val="18"/>
      <w:szCs w:val="18"/>
    </w:rPr>
  </w:style>
  <w:style w:type="paragraph" w:styleId="ListParagraph">
    <w:name w:val="List Paragraph"/>
    <w:basedOn w:val="Normal"/>
    <w:uiPriority w:val="34"/>
    <w:qFormat/>
    <w:rsid w:val="00A53B42"/>
    <w:pPr>
      <w:ind w:left="720"/>
      <w:contextualSpacing/>
    </w:pPr>
  </w:style>
  <w:style w:type="paragraph" w:styleId="Revision">
    <w:name w:val="Revision"/>
    <w:hidden/>
    <w:uiPriority w:val="99"/>
    <w:semiHidden/>
    <w:rsid w:val="004141B3"/>
  </w:style>
  <w:style w:type="character" w:customStyle="1" w:styleId="intro-resume2">
    <w:name w:val="intro-resume2"/>
    <w:basedOn w:val="DefaultParagraphFont"/>
    <w:rsid w:val="00BC50B6"/>
    <w:rPr>
      <w:sz w:val="29"/>
      <w:szCs w:val="29"/>
    </w:rPr>
  </w:style>
  <w:style w:type="paragraph" w:customStyle="1" w:styleId="ColorfulList-Accent11">
    <w:name w:val="Colorful List - Accent 11"/>
    <w:basedOn w:val="Normal"/>
    <w:uiPriority w:val="34"/>
    <w:qFormat/>
    <w:rsid w:val="0025061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E7254B"/>
    <w:rPr>
      <w:rFonts w:asciiTheme="majorHAnsi" w:eastAsiaTheme="majorEastAsia" w:hAnsiTheme="majorHAnsi" w:cstheme="majorBidi"/>
      <w:color w:val="2E74B5" w:themeColor="accent1" w:themeShade="BF"/>
      <w:sz w:val="32"/>
      <w:szCs w:val="32"/>
    </w:rPr>
  </w:style>
  <w:style w:type="paragraph" w:customStyle="1" w:styleId="NormalNonumber">
    <w:name w:val="Normal_No_number"/>
    <w:basedOn w:val="Normal"/>
    <w:rsid w:val="00CC6FDF"/>
    <w:pPr>
      <w:spacing w:after="120"/>
      <w:ind w:left="1247" w:firstLine="0"/>
    </w:pPr>
    <w:rPr>
      <w:rFonts w:ascii="Times New Roman" w:hAnsi="Times New Roman" w:cs="Times New Roman"/>
      <w:sz w:val="20"/>
      <w:szCs w:val="20"/>
    </w:rPr>
  </w:style>
  <w:style w:type="paragraph" w:customStyle="1" w:styleId="Default">
    <w:name w:val="Default"/>
    <w:basedOn w:val="Normal"/>
    <w:uiPriority w:val="99"/>
    <w:rsid w:val="004969F3"/>
    <w:pPr>
      <w:autoSpaceDE w:val="0"/>
      <w:autoSpaceDN w:val="0"/>
      <w:ind w:left="0" w:firstLine="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FC5A0A"/>
    <w:pPr>
      <w:ind w:left="0" w:firstLine="0"/>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FC5A0A"/>
    <w:rPr>
      <w:rFonts w:ascii="Calibri" w:hAnsi="Calibri"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nhideWhenUsed/>
    <w:qFormat/>
    <w:rsid w:val="00FC5A0A"/>
    <w:rPr>
      <w:vertAlign w:val="superscript"/>
    </w:rPr>
  </w:style>
  <w:style w:type="paragraph" w:styleId="Header">
    <w:name w:val="header"/>
    <w:basedOn w:val="Normal"/>
    <w:link w:val="HeaderChar"/>
    <w:uiPriority w:val="99"/>
    <w:unhideWhenUsed/>
    <w:rsid w:val="00570F86"/>
    <w:pPr>
      <w:tabs>
        <w:tab w:val="center" w:pos="4513"/>
        <w:tab w:val="right" w:pos="9026"/>
      </w:tabs>
    </w:pPr>
  </w:style>
  <w:style w:type="character" w:customStyle="1" w:styleId="HeaderChar">
    <w:name w:val="Header Char"/>
    <w:basedOn w:val="DefaultParagraphFont"/>
    <w:link w:val="Header"/>
    <w:uiPriority w:val="99"/>
    <w:rsid w:val="00570F86"/>
  </w:style>
  <w:style w:type="paragraph" w:styleId="Footer">
    <w:name w:val="footer"/>
    <w:basedOn w:val="Normal"/>
    <w:link w:val="FooterChar"/>
    <w:uiPriority w:val="99"/>
    <w:unhideWhenUsed/>
    <w:rsid w:val="00570F86"/>
    <w:pPr>
      <w:tabs>
        <w:tab w:val="center" w:pos="4513"/>
        <w:tab w:val="right" w:pos="9026"/>
      </w:tabs>
    </w:pPr>
  </w:style>
  <w:style w:type="character" w:customStyle="1" w:styleId="FooterChar">
    <w:name w:val="Footer Char"/>
    <w:basedOn w:val="DefaultParagraphFont"/>
    <w:link w:val="Footer"/>
    <w:uiPriority w:val="99"/>
    <w:rsid w:val="00570F86"/>
  </w:style>
  <w:style w:type="paragraph" w:styleId="NormalWeb">
    <w:name w:val="Normal (Web)"/>
    <w:basedOn w:val="Normal"/>
    <w:uiPriority w:val="99"/>
    <w:unhideWhenUsed/>
    <w:rsid w:val="00B31A2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17C5"/>
    <w:rPr>
      <w:i/>
      <w:iCs/>
    </w:rPr>
  </w:style>
  <w:style w:type="character" w:customStyle="1" w:styleId="apple-converted-space">
    <w:name w:val="apple-converted-space"/>
    <w:basedOn w:val="DefaultParagraphFont"/>
    <w:rsid w:val="00E84D11"/>
  </w:style>
  <w:style w:type="character" w:customStyle="1" w:styleId="Heading3Char">
    <w:name w:val="Heading 3 Char"/>
    <w:basedOn w:val="DefaultParagraphFont"/>
    <w:link w:val="Heading3"/>
    <w:uiPriority w:val="9"/>
    <w:semiHidden/>
    <w:rsid w:val="00D71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446">
      <w:bodyDiv w:val="1"/>
      <w:marLeft w:val="0"/>
      <w:marRight w:val="0"/>
      <w:marTop w:val="0"/>
      <w:marBottom w:val="0"/>
      <w:divBdr>
        <w:top w:val="none" w:sz="0" w:space="0" w:color="auto"/>
        <w:left w:val="none" w:sz="0" w:space="0" w:color="auto"/>
        <w:bottom w:val="none" w:sz="0" w:space="0" w:color="auto"/>
        <w:right w:val="none" w:sz="0" w:space="0" w:color="auto"/>
      </w:divBdr>
    </w:div>
    <w:div w:id="48774371">
      <w:bodyDiv w:val="1"/>
      <w:marLeft w:val="0"/>
      <w:marRight w:val="0"/>
      <w:marTop w:val="0"/>
      <w:marBottom w:val="0"/>
      <w:divBdr>
        <w:top w:val="none" w:sz="0" w:space="0" w:color="auto"/>
        <w:left w:val="none" w:sz="0" w:space="0" w:color="auto"/>
        <w:bottom w:val="none" w:sz="0" w:space="0" w:color="auto"/>
        <w:right w:val="none" w:sz="0" w:space="0" w:color="auto"/>
      </w:divBdr>
    </w:div>
    <w:div w:id="114639190">
      <w:bodyDiv w:val="1"/>
      <w:marLeft w:val="0"/>
      <w:marRight w:val="0"/>
      <w:marTop w:val="0"/>
      <w:marBottom w:val="0"/>
      <w:divBdr>
        <w:top w:val="none" w:sz="0" w:space="0" w:color="auto"/>
        <w:left w:val="none" w:sz="0" w:space="0" w:color="auto"/>
        <w:bottom w:val="none" w:sz="0" w:space="0" w:color="auto"/>
        <w:right w:val="none" w:sz="0" w:space="0" w:color="auto"/>
      </w:divBdr>
    </w:div>
    <w:div w:id="224412979">
      <w:bodyDiv w:val="1"/>
      <w:marLeft w:val="0"/>
      <w:marRight w:val="0"/>
      <w:marTop w:val="0"/>
      <w:marBottom w:val="0"/>
      <w:divBdr>
        <w:top w:val="none" w:sz="0" w:space="0" w:color="auto"/>
        <w:left w:val="none" w:sz="0" w:space="0" w:color="auto"/>
        <w:bottom w:val="none" w:sz="0" w:space="0" w:color="auto"/>
        <w:right w:val="none" w:sz="0" w:space="0" w:color="auto"/>
      </w:divBdr>
    </w:div>
    <w:div w:id="388773355">
      <w:bodyDiv w:val="1"/>
      <w:marLeft w:val="0"/>
      <w:marRight w:val="0"/>
      <w:marTop w:val="0"/>
      <w:marBottom w:val="0"/>
      <w:divBdr>
        <w:top w:val="none" w:sz="0" w:space="0" w:color="auto"/>
        <w:left w:val="none" w:sz="0" w:space="0" w:color="auto"/>
        <w:bottom w:val="none" w:sz="0" w:space="0" w:color="auto"/>
        <w:right w:val="none" w:sz="0" w:space="0" w:color="auto"/>
      </w:divBdr>
    </w:div>
    <w:div w:id="616910825">
      <w:bodyDiv w:val="1"/>
      <w:marLeft w:val="0"/>
      <w:marRight w:val="0"/>
      <w:marTop w:val="0"/>
      <w:marBottom w:val="0"/>
      <w:divBdr>
        <w:top w:val="none" w:sz="0" w:space="0" w:color="auto"/>
        <w:left w:val="none" w:sz="0" w:space="0" w:color="auto"/>
        <w:bottom w:val="none" w:sz="0" w:space="0" w:color="auto"/>
        <w:right w:val="none" w:sz="0" w:space="0" w:color="auto"/>
      </w:divBdr>
    </w:div>
    <w:div w:id="628166958">
      <w:bodyDiv w:val="1"/>
      <w:marLeft w:val="0"/>
      <w:marRight w:val="0"/>
      <w:marTop w:val="0"/>
      <w:marBottom w:val="0"/>
      <w:divBdr>
        <w:top w:val="none" w:sz="0" w:space="0" w:color="auto"/>
        <w:left w:val="none" w:sz="0" w:space="0" w:color="auto"/>
        <w:bottom w:val="none" w:sz="0" w:space="0" w:color="auto"/>
        <w:right w:val="none" w:sz="0" w:space="0" w:color="auto"/>
      </w:divBdr>
    </w:div>
    <w:div w:id="652760944">
      <w:bodyDiv w:val="1"/>
      <w:marLeft w:val="0"/>
      <w:marRight w:val="0"/>
      <w:marTop w:val="0"/>
      <w:marBottom w:val="0"/>
      <w:divBdr>
        <w:top w:val="none" w:sz="0" w:space="0" w:color="auto"/>
        <w:left w:val="none" w:sz="0" w:space="0" w:color="auto"/>
        <w:bottom w:val="none" w:sz="0" w:space="0" w:color="auto"/>
        <w:right w:val="none" w:sz="0" w:space="0" w:color="auto"/>
      </w:divBdr>
    </w:div>
    <w:div w:id="840970131">
      <w:bodyDiv w:val="1"/>
      <w:marLeft w:val="0"/>
      <w:marRight w:val="0"/>
      <w:marTop w:val="0"/>
      <w:marBottom w:val="0"/>
      <w:divBdr>
        <w:top w:val="none" w:sz="0" w:space="0" w:color="auto"/>
        <w:left w:val="none" w:sz="0" w:space="0" w:color="auto"/>
        <w:bottom w:val="none" w:sz="0" w:space="0" w:color="auto"/>
        <w:right w:val="none" w:sz="0" w:space="0" w:color="auto"/>
      </w:divBdr>
    </w:div>
    <w:div w:id="865099451">
      <w:bodyDiv w:val="1"/>
      <w:marLeft w:val="0"/>
      <w:marRight w:val="0"/>
      <w:marTop w:val="0"/>
      <w:marBottom w:val="0"/>
      <w:divBdr>
        <w:top w:val="none" w:sz="0" w:space="0" w:color="auto"/>
        <w:left w:val="none" w:sz="0" w:space="0" w:color="auto"/>
        <w:bottom w:val="none" w:sz="0" w:space="0" w:color="auto"/>
        <w:right w:val="none" w:sz="0" w:space="0" w:color="auto"/>
      </w:divBdr>
    </w:div>
    <w:div w:id="950473389">
      <w:bodyDiv w:val="1"/>
      <w:marLeft w:val="0"/>
      <w:marRight w:val="0"/>
      <w:marTop w:val="0"/>
      <w:marBottom w:val="0"/>
      <w:divBdr>
        <w:top w:val="none" w:sz="0" w:space="0" w:color="auto"/>
        <w:left w:val="none" w:sz="0" w:space="0" w:color="auto"/>
        <w:bottom w:val="none" w:sz="0" w:space="0" w:color="auto"/>
        <w:right w:val="none" w:sz="0" w:space="0" w:color="auto"/>
      </w:divBdr>
    </w:div>
    <w:div w:id="955218619">
      <w:bodyDiv w:val="1"/>
      <w:marLeft w:val="0"/>
      <w:marRight w:val="0"/>
      <w:marTop w:val="0"/>
      <w:marBottom w:val="0"/>
      <w:divBdr>
        <w:top w:val="none" w:sz="0" w:space="0" w:color="auto"/>
        <w:left w:val="none" w:sz="0" w:space="0" w:color="auto"/>
        <w:bottom w:val="none" w:sz="0" w:space="0" w:color="auto"/>
        <w:right w:val="none" w:sz="0" w:space="0" w:color="auto"/>
      </w:divBdr>
    </w:div>
    <w:div w:id="968364028">
      <w:bodyDiv w:val="1"/>
      <w:marLeft w:val="0"/>
      <w:marRight w:val="0"/>
      <w:marTop w:val="0"/>
      <w:marBottom w:val="0"/>
      <w:divBdr>
        <w:top w:val="none" w:sz="0" w:space="0" w:color="auto"/>
        <w:left w:val="none" w:sz="0" w:space="0" w:color="auto"/>
        <w:bottom w:val="none" w:sz="0" w:space="0" w:color="auto"/>
        <w:right w:val="none" w:sz="0" w:space="0" w:color="auto"/>
      </w:divBdr>
    </w:div>
    <w:div w:id="1008484320">
      <w:bodyDiv w:val="1"/>
      <w:marLeft w:val="0"/>
      <w:marRight w:val="0"/>
      <w:marTop w:val="0"/>
      <w:marBottom w:val="0"/>
      <w:divBdr>
        <w:top w:val="none" w:sz="0" w:space="0" w:color="auto"/>
        <w:left w:val="none" w:sz="0" w:space="0" w:color="auto"/>
        <w:bottom w:val="none" w:sz="0" w:space="0" w:color="auto"/>
        <w:right w:val="none" w:sz="0" w:space="0" w:color="auto"/>
      </w:divBdr>
    </w:div>
    <w:div w:id="1055011806">
      <w:bodyDiv w:val="1"/>
      <w:marLeft w:val="0"/>
      <w:marRight w:val="0"/>
      <w:marTop w:val="0"/>
      <w:marBottom w:val="0"/>
      <w:divBdr>
        <w:top w:val="none" w:sz="0" w:space="0" w:color="auto"/>
        <w:left w:val="none" w:sz="0" w:space="0" w:color="auto"/>
        <w:bottom w:val="none" w:sz="0" w:space="0" w:color="auto"/>
        <w:right w:val="none" w:sz="0" w:space="0" w:color="auto"/>
      </w:divBdr>
    </w:div>
    <w:div w:id="1267155315">
      <w:bodyDiv w:val="1"/>
      <w:marLeft w:val="0"/>
      <w:marRight w:val="0"/>
      <w:marTop w:val="0"/>
      <w:marBottom w:val="0"/>
      <w:divBdr>
        <w:top w:val="none" w:sz="0" w:space="0" w:color="auto"/>
        <w:left w:val="none" w:sz="0" w:space="0" w:color="auto"/>
        <w:bottom w:val="none" w:sz="0" w:space="0" w:color="auto"/>
        <w:right w:val="none" w:sz="0" w:space="0" w:color="auto"/>
      </w:divBdr>
    </w:div>
    <w:div w:id="1325428596">
      <w:bodyDiv w:val="1"/>
      <w:marLeft w:val="0"/>
      <w:marRight w:val="0"/>
      <w:marTop w:val="0"/>
      <w:marBottom w:val="0"/>
      <w:divBdr>
        <w:top w:val="none" w:sz="0" w:space="0" w:color="auto"/>
        <w:left w:val="none" w:sz="0" w:space="0" w:color="auto"/>
        <w:bottom w:val="none" w:sz="0" w:space="0" w:color="auto"/>
        <w:right w:val="none" w:sz="0" w:space="0" w:color="auto"/>
      </w:divBdr>
    </w:div>
    <w:div w:id="1436055236">
      <w:bodyDiv w:val="1"/>
      <w:marLeft w:val="0"/>
      <w:marRight w:val="0"/>
      <w:marTop w:val="0"/>
      <w:marBottom w:val="0"/>
      <w:divBdr>
        <w:top w:val="none" w:sz="0" w:space="0" w:color="auto"/>
        <w:left w:val="none" w:sz="0" w:space="0" w:color="auto"/>
        <w:bottom w:val="none" w:sz="0" w:space="0" w:color="auto"/>
        <w:right w:val="none" w:sz="0" w:space="0" w:color="auto"/>
      </w:divBdr>
    </w:div>
    <w:div w:id="1502544292">
      <w:bodyDiv w:val="1"/>
      <w:marLeft w:val="0"/>
      <w:marRight w:val="0"/>
      <w:marTop w:val="0"/>
      <w:marBottom w:val="0"/>
      <w:divBdr>
        <w:top w:val="none" w:sz="0" w:space="0" w:color="auto"/>
        <w:left w:val="none" w:sz="0" w:space="0" w:color="auto"/>
        <w:bottom w:val="none" w:sz="0" w:space="0" w:color="auto"/>
        <w:right w:val="none" w:sz="0" w:space="0" w:color="auto"/>
      </w:divBdr>
    </w:div>
    <w:div w:id="1627390294">
      <w:bodyDiv w:val="1"/>
      <w:marLeft w:val="0"/>
      <w:marRight w:val="0"/>
      <w:marTop w:val="0"/>
      <w:marBottom w:val="0"/>
      <w:divBdr>
        <w:top w:val="none" w:sz="0" w:space="0" w:color="auto"/>
        <w:left w:val="none" w:sz="0" w:space="0" w:color="auto"/>
        <w:bottom w:val="none" w:sz="0" w:space="0" w:color="auto"/>
        <w:right w:val="none" w:sz="0" w:space="0" w:color="auto"/>
      </w:divBdr>
    </w:div>
    <w:div w:id="1706560343">
      <w:bodyDiv w:val="1"/>
      <w:marLeft w:val="0"/>
      <w:marRight w:val="0"/>
      <w:marTop w:val="0"/>
      <w:marBottom w:val="0"/>
      <w:divBdr>
        <w:top w:val="none" w:sz="0" w:space="0" w:color="auto"/>
        <w:left w:val="none" w:sz="0" w:space="0" w:color="auto"/>
        <w:bottom w:val="none" w:sz="0" w:space="0" w:color="auto"/>
        <w:right w:val="none" w:sz="0" w:space="0" w:color="auto"/>
      </w:divBdr>
    </w:div>
    <w:div w:id="1747679828">
      <w:bodyDiv w:val="1"/>
      <w:marLeft w:val="0"/>
      <w:marRight w:val="0"/>
      <w:marTop w:val="0"/>
      <w:marBottom w:val="0"/>
      <w:divBdr>
        <w:top w:val="none" w:sz="0" w:space="0" w:color="auto"/>
        <w:left w:val="none" w:sz="0" w:space="0" w:color="auto"/>
        <w:bottom w:val="none" w:sz="0" w:space="0" w:color="auto"/>
        <w:right w:val="none" w:sz="0" w:space="0" w:color="auto"/>
      </w:divBdr>
    </w:div>
    <w:div w:id="2015838101">
      <w:bodyDiv w:val="1"/>
      <w:marLeft w:val="0"/>
      <w:marRight w:val="0"/>
      <w:marTop w:val="0"/>
      <w:marBottom w:val="0"/>
      <w:divBdr>
        <w:top w:val="none" w:sz="0" w:space="0" w:color="auto"/>
        <w:left w:val="none" w:sz="0" w:space="0" w:color="auto"/>
        <w:bottom w:val="none" w:sz="0" w:space="0" w:color="auto"/>
        <w:right w:val="none" w:sz="0" w:space="0" w:color="auto"/>
      </w:divBdr>
    </w:div>
    <w:div w:id="2116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msar.org/resources/ramsar-sites-managem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B3E2-0980-4B61-A40B-3FE09046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6985</Words>
  <Characters>37791</Characters>
  <Application>Microsoft Office Word</Application>
  <DocSecurity>0</DocSecurity>
  <Lines>581</Lines>
  <Paragraphs>83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Ramsar\GuerquinF</dc:creator>
  <cp:lastModifiedBy>JENNINGS Edmund</cp:lastModifiedBy>
  <cp:revision>2</cp:revision>
  <cp:lastPrinted>2018-07-30T07:13:00Z</cp:lastPrinted>
  <dcterms:created xsi:type="dcterms:W3CDTF">2018-09-27T12:08:00Z</dcterms:created>
  <dcterms:modified xsi:type="dcterms:W3CDTF">2018-09-27T12:08:00Z</dcterms:modified>
</cp:coreProperties>
</file>