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83648" w14:textId="77777777" w:rsidR="00491065" w:rsidRPr="005C40EF" w:rsidRDefault="00491065" w:rsidP="00491065">
      <w:pPr>
        <w:ind w:right="17"/>
        <w:jc w:val="center"/>
        <w:outlineLvl w:val="0"/>
        <w:rPr>
          <w:rFonts w:ascii="Calibri" w:hAnsi="Calibri" w:cstheme="majorHAnsi"/>
          <w:b/>
          <w:bCs/>
          <w:noProof/>
          <w:lang w:val="es-ES"/>
        </w:rPr>
      </w:pPr>
      <w:r w:rsidRPr="005C40EF">
        <w:rPr>
          <w:rFonts w:ascii="Calibri" w:hAnsi="Calibri" w:cstheme="majorHAnsi"/>
          <w:b/>
          <w:bCs/>
          <w:noProof/>
          <w:sz w:val="28"/>
          <w:szCs w:val="28"/>
          <w:lang w:val="en-GB" w:eastAsia="en-GB"/>
        </w:rPr>
        <w:drawing>
          <wp:anchor distT="0" distB="0" distL="114300" distR="114300" simplePos="0" relativeHeight="251659264" behindDoc="1" locked="0" layoutInCell="1" allowOverlap="1" wp14:anchorId="58483F12" wp14:editId="66A86DCD">
            <wp:simplePos x="0" y="0"/>
            <wp:positionH relativeFrom="column">
              <wp:posOffset>-254000</wp:posOffset>
            </wp:positionH>
            <wp:positionV relativeFrom="paragraph">
              <wp:posOffset>-476250</wp:posOffset>
            </wp:positionV>
            <wp:extent cx="1646555" cy="1714500"/>
            <wp:effectExtent l="0" t="0" r="0" b="0"/>
            <wp:wrapTight wrapText="bothSides">
              <wp:wrapPolygon edited="0">
                <wp:start x="0" y="0"/>
                <wp:lineTo x="0" y="21360"/>
                <wp:lineTo x="21242" y="21360"/>
                <wp:lineTo x="212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6555" cy="1714500"/>
                    </a:xfrm>
                    <a:prstGeom prst="rect">
                      <a:avLst/>
                    </a:prstGeom>
                  </pic:spPr>
                </pic:pic>
              </a:graphicData>
            </a:graphic>
            <wp14:sizeRelH relativeFrom="page">
              <wp14:pctWidth>0</wp14:pctWidth>
            </wp14:sizeRelH>
            <wp14:sizeRelV relativeFrom="page">
              <wp14:pctHeight>0</wp14:pctHeight>
            </wp14:sizeRelV>
          </wp:anchor>
        </w:drawing>
      </w:r>
      <w:r w:rsidRPr="005C40EF">
        <w:rPr>
          <w:rFonts w:ascii="Calibri" w:hAnsi="Calibri" w:cstheme="majorHAnsi"/>
          <w:b/>
          <w:bCs/>
          <w:noProof/>
          <w:lang w:val="es-ES"/>
        </w:rPr>
        <w:t>13ª Reunión de la Conferencia de las Partes Contratantes</w:t>
      </w:r>
    </w:p>
    <w:p w14:paraId="04473DA7" w14:textId="77777777" w:rsidR="00491065" w:rsidRPr="005C40EF" w:rsidRDefault="00491065" w:rsidP="00491065">
      <w:pPr>
        <w:ind w:right="17"/>
        <w:jc w:val="center"/>
        <w:outlineLvl w:val="0"/>
        <w:rPr>
          <w:rFonts w:ascii="Calibri" w:hAnsi="Calibri" w:cstheme="majorHAnsi"/>
          <w:b/>
          <w:bCs/>
          <w:noProof/>
          <w:lang w:val="es-ES"/>
        </w:rPr>
      </w:pPr>
      <w:r w:rsidRPr="005C40EF">
        <w:rPr>
          <w:rFonts w:ascii="Calibri" w:hAnsi="Calibri" w:cstheme="majorHAnsi"/>
          <w:b/>
          <w:bCs/>
          <w:noProof/>
          <w:lang w:val="es-ES"/>
        </w:rPr>
        <w:t xml:space="preserve">en la Convención de Ramsar sobre los Humedales </w:t>
      </w:r>
    </w:p>
    <w:p w14:paraId="3C14ECCF" w14:textId="77777777" w:rsidR="00491065" w:rsidRPr="005C40EF" w:rsidRDefault="00491065" w:rsidP="00491065">
      <w:pPr>
        <w:ind w:right="17"/>
        <w:jc w:val="center"/>
        <w:outlineLvl w:val="0"/>
        <w:rPr>
          <w:rFonts w:ascii="Calibri" w:hAnsi="Calibri" w:cstheme="majorHAnsi"/>
          <w:b/>
          <w:bCs/>
          <w:noProof/>
          <w:lang w:val="es-ES"/>
        </w:rPr>
      </w:pPr>
    </w:p>
    <w:p w14:paraId="09CDA36F" w14:textId="77777777" w:rsidR="00491065" w:rsidRPr="005C40EF" w:rsidRDefault="00491065" w:rsidP="00491065">
      <w:pPr>
        <w:ind w:right="17"/>
        <w:jc w:val="center"/>
        <w:outlineLvl w:val="0"/>
        <w:rPr>
          <w:rFonts w:ascii="Calibri" w:hAnsi="Calibri" w:cstheme="majorHAnsi"/>
          <w:b/>
          <w:bCs/>
          <w:noProof/>
          <w:lang w:val="es-ES"/>
        </w:rPr>
      </w:pPr>
      <w:r w:rsidRPr="005C40EF">
        <w:rPr>
          <w:rFonts w:ascii="Calibri" w:hAnsi="Calibri" w:cstheme="majorHAnsi"/>
          <w:b/>
          <w:bCs/>
          <w:noProof/>
          <w:lang w:val="es-ES"/>
        </w:rPr>
        <w:t>“Humedales para un futuro urbano sostenible”</w:t>
      </w:r>
    </w:p>
    <w:p w14:paraId="310391D2" w14:textId="77777777" w:rsidR="00491065" w:rsidRPr="005C40EF" w:rsidRDefault="00491065" w:rsidP="00491065">
      <w:pPr>
        <w:ind w:right="17"/>
        <w:jc w:val="center"/>
        <w:outlineLvl w:val="0"/>
        <w:rPr>
          <w:rFonts w:ascii="Calibri" w:hAnsi="Calibri" w:cstheme="majorHAnsi"/>
          <w:b/>
          <w:bCs/>
          <w:noProof/>
          <w:lang w:val="es-ES"/>
        </w:rPr>
      </w:pPr>
      <w:r w:rsidRPr="005C40EF">
        <w:rPr>
          <w:rFonts w:ascii="Calibri" w:hAnsi="Calibri" w:cstheme="majorHAnsi"/>
          <w:b/>
          <w:bCs/>
          <w:noProof/>
          <w:lang w:val="es-ES"/>
        </w:rPr>
        <w:t>Dubái, Emiratos Árabes Unidos,</w:t>
      </w:r>
    </w:p>
    <w:p w14:paraId="70FDFD7A" w14:textId="77777777" w:rsidR="00491065" w:rsidRPr="005C40EF" w:rsidRDefault="00491065" w:rsidP="00491065">
      <w:pPr>
        <w:ind w:right="17"/>
        <w:jc w:val="center"/>
        <w:outlineLvl w:val="0"/>
        <w:rPr>
          <w:rFonts w:ascii="Calibri" w:hAnsi="Calibri" w:cstheme="majorHAnsi"/>
          <w:b/>
          <w:bCs/>
          <w:noProof/>
          <w:lang w:val="es-ES"/>
        </w:rPr>
      </w:pPr>
      <w:r w:rsidRPr="005C40EF">
        <w:rPr>
          <w:rFonts w:ascii="Calibri" w:hAnsi="Calibri" w:cstheme="majorHAnsi"/>
          <w:b/>
          <w:bCs/>
          <w:noProof/>
          <w:lang w:val="es-ES"/>
        </w:rPr>
        <w:t>21 a 29 de octubre de 2018</w:t>
      </w:r>
    </w:p>
    <w:p w14:paraId="172F2131" w14:textId="77777777" w:rsidR="00491065" w:rsidRPr="005C40EF" w:rsidRDefault="00491065" w:rsidP="00470CF5">
      <w:pPr>
        <w:ind w:right="17"/>
        <w:outlineLvl w:val="0"/>
        <w:rPr>
          <w:rFonts w:ascii="Calibri" w:hAnsi="Calibri" w:cstheme="majorHAnsi"/>
          <w:b/>
          <w:bCs/>
          <w:noProof/>
          <w:sz w:val="28"/>
          <w:szCs w:val="28"/>
          <w:lang w:val="es-ES"/>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708"/>
        <w:gridCol w:w="4652"/>
      </w:tblGrid>
      <w:tr w:rsidR="00491065" w:rsidRPr="005C40EF" w14:paraId="1081A29E" w14:textId="77777777" w:rsidTr="00146259">
        <w:tc>
          <w:tcPr>
            <w:tcW w:w="4708" w:type="dxa"/>
          </w:tcPr>
          <w:p w14:paraId="06191ACA" w14:textId="77777777" w:rsidR="00491065" w:rsidRPr="005C40EF" w:rsidRDefault="00491065" w:rsidP="00146259">
            <w:pPr>
              <w:ind w:right="17"/>
              <w:jc w:val="center"/>
              <w:outlineLvl w:val="0"/>
              <w:rPr>
                <w:rFonts w:ascii="Calibri" w:hAnsi="Calibri" w:cstheme="majorHAnsi"/>
                <w:b/>
                <w:bCs/>
                <w:noProof/>
                <w:lang w:val="es-ES"/>
              </w:rPr>
            </w:pPr>
          </w:p>
        </w:tc>
        <w:tc>
          <w:tcPr>
            <w:tcW w:w="4652" w:type="dxa"/>
          </w:tcPr>
          <w:p w14:paraId="0C255D86" w14:textId="2E21B51C" w:rsidR="00491065" w:rsidRPr="005C40EF" w:rsidRDefault="00491065" w:rsidP="00146259">
            <w:pPr>
              <w:ind w:right="67"/>
              <w:jc w:val="right"/>
              <w:outlineLvl w:val="0"/>
              <w:rPr>
                <w:rFonts w:ascii="Calibri" w:hAnsi="Calibri" w:cstheme="majorHAnsi"/>
                <w:b/>
                <w:bCs/>
                <w:noProof/>
                <w:lang w:val="es-ES"/>
              </w:rPr>
            </w:pPr>
            <w:r w:rsidRPr="005C40EF">
              <w:rPr>
                <w:rFonts w:ascii="Calibri" w:hAnsi="Calibri" w:cstheme="majorHAnsi"/>
                <w:b/>
                <w:bCs/>
                <w:noProof/>
                <w:lang w:val="es-ES"/>
              </w:rPr>
              <w:t xml:space="preserve"> Ramsar COP13 </w:t>
            </w:r>
            <w:r w:rsidR="00EE1A43" w:rsidRPr="005C40EF">
              <w:rPr>
                <w:rFonts w:ascii="Calibri" w:hAnsi="Calibri" w:cstheme="majorHAnsi"/>
                <w:b/>
                <w:bCs/>
                <w:noProof/>
                <w:lang w:val="es-ES"/>
              </w:rPr>
              <w:t>Doc.</w:t>
            </w:r>
            <w:r w:rsidRPr="005C40EF">
              <w:rPr>
                <w:rFonts w:ascii="Calibri" w:hAnsi="Calibri" w:cstheme="majorHAnsi"/>
                <w:b/>
                <w:bCs/>
                <w:noProof/>
                <w:lang w:val="es-ES"/>
              </w:rPr>
              <w:t>11.2</w:t>
            </w:r>
          </w:p>
        </w:tc>
      </w:tr>
    </w:tbl>
    <w:p w14:paraId="08C16677" w14:textId="77777777" w:rsidR="007E265E" w:rsidRPr="005C40EF" w:rsidRDefault="007E265E" w:rsidP="007E265E">
      <w:pPr>
        <w:jc w:val="both"/>
        <w:rPr>
          <w:rFonts w:asciiTheme="minorHAnsi" w:hAnsiTheme="minorHAnsi" w:cstheme="minorHAnsi"/>
          <w:b/>
          <w:noProof/>
          <w:lang w:val="es-ES" w:eastAsia="fr-FR"/>
        </w:rPr>
      </w:pPr>
    </w:p>
    <w:p w14:paraId="4DA6605A" w14:textId="77777777" w:rsidR="00382343" w:rsidRDefault="00C41872" w:rsidP="007E265E">
      <w:pPr>
        <w:jc w:val="center"/>
        <w:rPr>
          <w:rFonts w:asciiTheme="minorHAnsi" w:hAnsiTheme="minorHAnsi" w:cstheme="minorHAnsi"/>
          <w:b/>
          <w:noProof/>
          <w:sz w:val="28"/>
          <w:szCs w:val="28"/>
          <w:lang w:val="es-ES"/>
        </w:rPr>
      </w:pPr>
      <w:r w:rsidRPr="005C40EF">
        <w:rPr>
          <w:rFonts w:asciiTheme="minorHAnsi" w:hAnsiTheme="minorHAnsi" w:cstheme="minorHAnsi"/>
          <w:b/>
          <w:noProof/>
          <w:sz w:val="28"/>
          <w:szCs w:val="28"/>
          <w:lang w:val="es-ES"/>
        </w:rPr>
        <w:t>Informe de la Secretaria General</w:t>
      </w:r>
      <w:r w:rsidR="007E265E" w:rsidRPr="005C40EF">
        <w:rPr>
          <w:rFonts w:asciiTheme="minorHAnsi" w:hAnsiTheme="minorHAnsi" w:cstheme="minorHAnsi"/>
          <w:b/>
          <w:noProof/>
          <w:sz w:val="28"/>
          <w:szCs w:val="28"/>
          <w:lang w:val="es-ES"/>
        </w:rPr>
        <w:t xml:space="preserve"> </w:t>
      </w:r>
      <w:r w:rsidRPr="005C40EF">
        <w:rPr>
          <w:rFonts w:asciiTheme="minorHAnsi" w:hAnsiTheme="minorHAnsi" w:cstheme="minorHAnsi"/>
          <w:b/>
          <w:noProof/>
          <w:sz w:val="28"/>
          <w:szCs w:val="28"/>
          <w:lang w:val="es-ES"/>
        </w:rPr>
        <w:t>sobre la aplicación de la Convención</w:t>
      </w:r>
      <w:r w:rsidR="007E265E" w:rsidRPr="005C40EF">
        <w:rPr>
          <w:rFonts w:asciiTheme="minorHAnsi" w:hAnsiTheme="minorHAnsi" w:cstheme="minorHAnsi"/>
          <w:b/>
          <w:noProof/>
          <w:sz w:val="28"/>
          <w:szCs w:val="28"/>
          <w:lang w:val="es-ES"/>
        </w:rPr>
        <w:t xml:space="preserve">: </w:t>
      </w:r>
    </w:p>
    <w:p w14:paraId="7E84A696" w14:textId="4B36DD93" w:rsidR="007E265E" w:rsidRPr="005C40EF" w:rsidRDefault="00382343" w:rsidP="007E265E">
      <w:pPr>
        <w:jc w:val="center"/>
        <w:rPr>
          <w:rFonts w:asciiTheme="minorHAnsi" w:hAnsiTheme="minorHAnsi" w:cstheme="minorHAnsi"/>
          <w:b/>
          <w:noProof/>
          <w:sz w:val="28"/>
          <w:szCs w:val="28"/>
          <w:lang w:val="es-ES"/>
        </w:rPr>
      </w:pPr>
      <w:r>
        <w:rPr>
          <w:rFonts w:asciiTheme="minorHAnsi" w:hAnsiTheme="minorHAnsi" w:cstheme="minorHAnsi"/>
          <w:b/>
          <w:noProof/>
          <w:sz w:val="28"/>
          <w:szCs w:val="28"/>
          <w:lang w:val="es-ES"/>
        </w:rPr>
        <w:t>T</w:t>
      </w:r>
      <w:r w:rsidR="00C41872" w:rsidRPr="003E6226">
        <w:rPr>
          <w:rFonts w:asciiTheme="minorHAnsi" w:hAnsiTheme="minorHAnsi" w:cstheme="minorHAnsi"/>
          <w:b/>
          <w:noProof/>
          <w:sz w:val="28"/>
          <w:szCs w:val="28"/>
          <w:lang w:val="es-ES"/>
        </w:rPr>
        <w:t>rabajo de la Secretaría</w:t>
      </w:r>
    </w:p>
    <w:p w14:paraId="1E902B1B" w14:textId="77777777" w:rsidR="00250611" w:rsidRPr="005C40EF" w:rsidRDefault="00250611" w:rsidP="00B1006A">
      <w:pPr>
        <w:rPr>
          <w:rFonts w:asciiTheme="minorHAnsi" w:hAnsiTheme="minorHAnsi" w:cstheme="minorHAnsi"/>
          <w:noProof/>
          <w:lang w:val="es-ES"/>
        </w:rPr>
      </w:pPr>
    </w:p>
    <w:p w14:paraId="0CE14C61" w14:textId="77777777" w:rsidR="00C81B75" w:rsidRPr="005C40EF" w:rsidRDefault="00C81B75" w:rsidP="00B1006A">
      <w:pPr>
        <w:rPr>
          <w:rFonts w:asciiTheme="minorHAnsi" w:hAnsiTheme="minorHAnsi" w:cstheme="minorHAnsi"/>
          <w:b/>
          <w:noProof/>
          <w:sz w:val="22"/>
          <w:szCs w:val="22"/>
          <w:lang w:val="es-ES"/>
        </w:rPr>
      </w:pPr>
    </w:p>
    <w:p w14:paraId="2A5DBC3C" w14:textId="50E9FD72" w:rsidR="0029016B" w:rsidRPr="00635EC0" w:rsidRDefault="0029016B" w:rsidP="00635EC0">
      <w:pPr>
        <w:pStyle w:val="ListParagraph"/>
        <w:numPr>
          <w:ilvl w:val="0"/>
          <w:numId w:val="15"/>
        </w:numPr>
        <w:autoSpaceDE w:val="0"/>
        <w:autoSpaceDN w:val="0"/>
        <w:adjustRightInd w:val="0"/>
        <w:ind w:left="425" w:hanging="425"/>
        <w:rPr>
          <w:rFonts w:asciiTheme="minorHAnsi" w:hAnsiTheme="minorHAnsi" w:cstheme="minorHAnsi"/>
          <w:noProof/>
          <w:sz w:val="22"/>
          <w:szCs w:val="22"/>
          <w:lang w:val="es-ES"/>
        </w:rPr>
      </w:pPr>
      <w:r w:rsidRPr="00635EC0">
        <w:rPr>
          <w:rFonts w:asciiTheme="minorHAnsi" w:hAnsiTheme="minorHAnsi" w:cstheme="minorHAnsi"/>
          <w:noProof/>
          <w:sz w:val="22"/>
          <w:szCs w:val="22"/>
          <w:lang w:val="es-ES"/>
        </w:rPr>
        <w:t xml:space="preserve">En este informe se resume el trabajo realizado por la Secretaría desde </w:t>
      </w:r>
      <w:r w:rsidR="009D020F" w:rsidRPr="00635EC0">
        <w:rPr>
          <w:rFonts w:asciiTheme="minorHAnsi" w:hAnsiTheme="minorHAnsi" w:cstheme="minorHAnsi"/>
          <w:noProof/>
          <w:sz w:val="22"/>
          <w:szCs w:val="22"/>
          <w:lang w:val="es-ES"/>
        </w:rPr>
        <w:t>la clausura</w:t>
      </w:r>
      <w:r w:rsidRPr="00635EC0">
        <w:rPr>
          <w:rFonts w:asciiTheme="minorHAnsi" w:hAnsiTheme="minorHAnsi" w:cstheme="minorHAnsi"/>
          <w:noProof/>
          <w:sz w:val="22"/>
          <w:szCs w:val="22"/>
          <w:lang w:val="es-ES"/>
        </w:rPr>
        <w:t xml:space="preserve"> de la 12ª reunión de la Conferencia de las Partes Contratantes (COP12), el 9 de junio de 2015, hasta el 31 de julio de 2018. </w:t>
      </w:r>
    </w:p>
    <w:p w14:paraId="78DBA749" w14:textId="77777777" w:rsidR="0029016B" w:rsidRPr="005C40EF" w:rsidRDefault="0029016B" w:rsidP="00635EC0">
      <w:pPr>
        <w:pStyle w:val="ListParagraph"/>
        <w:autoSpaceDE w:val="0"/>
        <w:autoSpaceDN w:val="0"/>
        <w:adjustRightInd w:val="0"/>
        <w:ind w:left="425" w:hanging="425"/>
        <w:rPr>
          <w:rFonts w:asciiTheme="minorHAnsi" w:hAnsiTheme="minorHAnsi" w:cstheme="minorHAnsi"/>
          <w:noProof/>
          <w:sz w:val="22"/>
          <w:szCs w:val="22"/>
          <w:lang w:val="es-ES"/>
        </w:rPr>
      </w:pPr>
    </w:p>
    <w:p w14:paraId="3BD94D5F" w14:textId="30161E00" w:rsidR="007E45A9" w:rsidRPr="00635EC0" w:rsidRDefault="00635EC0" w:rsidP="00635EC0">
      <w:pPr>
        <w:autoSpaceDE w:val="0"/>
        <w:autoSpaceDN w:val="0"/>
        <w:adjustRightInd w:val="0"/>
        <w:ind w:left="425" w:hanging="425"/>
        <w:rPr>
          <w:rFonts w:asciiTheme="minorHAnsi" w:hAnsiTheme="minorHAnsi" w:cstheme="minorHAnsi"/>
          <w:noProof/>
          <w:sz w:val="22"/>
          <w:szCs w:val="22"/>
          <w:lang w:val="es-ES"/>
        </w:rPr>
      </w:pPr>
      <w:r>
        <w:rPr>
          <w:rFonts w:asciiTheme="minorHAnsi" w:hAnsiTheme="minorHAnsi" w:cstheme="minorHAnsi"/>
          <w:noProof/>
          <w:sz w:val="22"/>
          <w:szCs w:val="22"/>
          <w:lang w:val="es-ES"/>
        </w:rPr>
        <w:t xml:space="preserve">2. </w:t>
      </w:r>
      <w:r>
        <w:rPr>
          <w:rFonts w:asciiTheme="minorHAnsi" w:hAnsiTheme="minorHAnsi" w:cstheme="minorHAnsi"/>
          <w:noProof/>
          <w:sz w:val="22"/>
          <w:szCs w:val="22"/>
          <w:lang w:val="es-ES"/>
        </w:rPr>
        <w:tab/>
      </w:r>
      <w:r w:rsidR="0029016B" w:rsidRPr="00635EC0">
        <w:rPr>
          <w:rFonts w:asciiTheme="minorHAnsi" w:hAnsiTheme="minorHAnsi" w:cstheme="minorHAnsi"/>
          <w:noProof/>
          <w:sz w:val="22"/>
          <w:szCs w:val="22"/>
          <w:lang w:val="es-ES"/>
        </w:rPr>
        <w:t xml:space="preserve">La Secretaria General actual asumió sus funciones el 22 de agosto de 2016. Aunque la Secretaria General no ha supervisado el trabajo de la Secretaría </w:t>
      </w:r>
      <w:r w:rsidR="00E66E92" w:rsidRPr="00635EC0">
        <w:rPr>
          <w:rFonts w:asciiTheme="minorHAnsi" w:hAnsiTheme="minorHAnsi" w:cstheme="minorHAnsi"/>
          <w:noProof/>
          <w:sz w:val="22"/>
          <w:szCs w:val="22"/>
          <w:lang w:val="es-ES"/>
        </w:rPr>
        <w:t>durante</w:t>
      </w:r>
      <w:r w:rsidR="0029016B" w:rsidRPr="00635EC0">
        <w:rPr>
          <w:rFonts w:asciiTheme="minorHAnsi" w:hAnsiTheme="minorHAnsi" w:cstheme="minorHAnsi"/>
          <w:noProof/>
          <w:sz w:val="22"/>
          <w:szCs w:val="22"/>
          <w:lang w:val="es-ES"/>
        </w:rPr>
        <w:t xml:space="preserve"> </w:t>
      </w:r>
      <w:r w:rsidR="00EC7595" w:rsidRPr="00635EC0">
        <w:rPr>
          <w:rFonts w:asciiTheme="minorHAnsi" w:hAnsiTheme="minorHAnsi" w:cstheme="minorHAnsi"/>
          <w:noProof/>
          <w:sz w:val="22"/>
          <w:szCs w:val="22"/>
          <w:lang w:val="es-ES"/>
        </w:rPr>
        <w:t>la totalidad d</w:t>
      </w:r>
      <w:r w:rsidR="0029016B" w:rsidRPr="00635EC0">
        <w:rPr>
          <w:rFonts w:asciiTheme="minorHAnsi" w:hAnsiTheme="minorHAnsi" w:cstheme="minorHAnsi"/>
          <w:noProof/>
          <w:sz w:val="22"/>
          <w:szCs w:val="22"/>
          <w:lang w:val="es-ES"/>
        </w:rPr>
        <w:t xml:space="preserve">el trienio, el presente informe ofrece un resumen </w:t>
      </w:r>
      <w:r w:rsidR="00E66E92" w:rsidRPr="00635EC0">
        <w:rPr>
          <w:rFonts w:asciiTheme="minorHAnsi" w:hAnsiTheme="minorHAnsi" w:cstheme="minorHAnsi"/>
          <w:noProof/>
          <w:sz w:val="22"/>
          <w:szCs w:val="22"/>
          <w:lang w:val="es-ES"/>
        </w:rPr>
        <w:t>y</w:t>
      </w:r>
      <w:r w:rsidR="0029016B" w:rsidRPr="00635EC0">
        <w:rPr>
          <w:rFonts w:asciiTheme="minorHAnsi" w:hAnsiTheme="minorHAnsi" w:cstheme="minorHAnsi"/>
          <w:noProof/>
          <w:sz w:val="22"/>
          <w:szCs w:val="22"/>
          <w:lang w:val="es-ES"/>
        </w:rPr>
        <w:t xml:space="preserve"> los aspectos más destacados del trabajo que la Secretaría llevó a cabo durante el trienio, </w:t>
      </w:r>
      <w:r w:rsidR="00E66E92" w:rsidRPr="00635EC0">
        <w:rPr>
          <w:rFonts w:asciiTheme="minorHAnsi" w:hAnsiTheme="minorHAnsi" w:cstheme="minorHAnsi"/>
          <w:noProof/>
          <w:sz w:val="22"/>
          <w:szCs w:val="22"/>
          <w:lang w:val="es-ES"/>
        </w:rPr>
        <w:t>basándose</w:t>
      </w:r>
      <w:r w:rsidR="0029016B" w:rsidRPr="00635EC0">
        <w:rPr>
          <w:rFonts w:asciiTheme="minorHAnsi" w:hAnsiTheme="minorHAnsi" w:cstheme="minorHAnsi"/>
          <w:noProof/>
          <w:sz w:val="22"/>
          <w:szCs w:val="22"/>
          <w:lang w:val="es-ES"/>
        </w:rPr>
        <w:t xml:space="preserve"> en los informes </w:t>
      </w:r>
      <w:r w:rsidR="009D020F" w:rsidRPr="00635EC0">
        <w:rPr>
          <w:rFonts w:asciiTheme="minorHAnsi" w:hAnsiTheme="minorHAnsi" w:cstheme="minorHAnsi"/>
          <w:noProof/>
          <w:sz w:val="22"/>
          <w:szCs w:val="22"/>
          <w:lang w:val="es-ES"/>
        </w:rPr>
        <w:t>que</w:t>
      </w:r>
      <w:r w:rsidR="008C226A" w:rsidRPr="00635EC0">
        <w:rPr>
          <w:rFonts w:asciiTheme="minorHAnsi" w:hAnsiTheme="minorHAnsi" w:cstheme="minorHAnsi"/>
          <w:noProof/>
          <w:sz w:val="22"/>
          <w:szCs w:val="22"/>
          <w:lang w:val="es-ES"/>
        </w:rPr>
        <w:t xml:space="preserve"> la</w:t>
      </w:r>
      <w:r w:rsidR="0029016B" w:rsidRPr="00635EC0">
        <w:rPr>
          <w:rFonts w:asciiTheme="minorHAnsi" w:hAnsiTheme="minorHAnsi" w:cstheme="minorHAnsi"/>
          <w:noProof/>
          <w:sz w:val="22"/>
          <w:szCs w:val="22"/>
          <w:lang w:val="es-ES"/>
        </w:rPr>
        <w:t xml:space="preserve"> </w:t>
      </w:r>
      <w:r w:rsidR="008C226A" w:rsidRPr="00635EC0">
        <w:rPr>
          <w:rFonts w:asciiTheme="minorHAnsi" w:hAnsiTheme="minorHAnsi" w:cstheme="minorHAnsi"/>
          <w:noProof/>
          <w:sz w:val="22"/>
          <w:szCs w:val="22"/>
          <w:lang w:val="es-ES"/>
        </w:rPr>
        <w:t xml:space="preserve">Secretaria General actual y </w:t>
      </w:r>
      <w:r w:rsidR="0029016B" w:rsidRPr="00635EC0">
        <w:rPr>
          <w:rFonts w:asciiTheme="minorHAnsi" w:hAnsiTheme="minorHAnsi" w:cstheme="minorHAnsi"/>
          <w:noProof/>
          <w:sz w:val="22"/>
          <w:szCs w:val="22"/>
          <w:lang w:val="es-ES"/>
        </w:rPr>
        <w:t>l</w:t>
      </w:r>
      <w:r w:rsidR="00470CF5" w:rsidRPr="00635EC0">
        <w:rPr>
          <w:rFonts w:asciiTheme="minorHAnsi" w:hAnsiTheme="minorHAnsi" w:cstheme="minorHAnsi"/>
          <w:noProof/>
          <w:sz w:val="22"/>
          <w:szCs w:val="22"/>
          <w:lang w:val="es-ES"/>
        </w:rPr>
        <w:t>a Secretaria General</w:t>
      </w:r>
      <w:r w:rsidR="00433EFF" w:rsidRPr="00635EC0">
        <w:rPr>
          <w:rFonts w:asciiTheme="minorHAnsi" w:hAnsiTheme="minorHAnsi" w:cstheme="minorHAnsi"/>
          <w:noProof/>
          <w:sz w:val="22"/>
          <w:szCs w:val="22"/>
          <w:lang w:val="es-ES"/>
        </w:rPr>
        <w:t xml:space="preserve"> </w:t>
      </w:r>
      <w:r w:rsidR="008C226A" w:rsidRPr="00635EC0">
        <w:rPr>
          <w:rFonts w:asciiTheme="minorHAnsi" w:hAnsiTheme="minorHAnsi" w:cstheme="minorHAnsi"/>
          <w:noProof/>
          <w:sz w:val="22"/>
          <w:szCs w:val="22"/>
          <w:lang w:val="es-ES"/>
        </w:rPr>
        <w:t>I</w:t>
      </w:r>
      <w:r w:rsidR="00470CF5" w:rsidRPr="00635EC0">
        <w:rPr>
          <w:rFonts w:asciiTheme="minorHAnsi" w:hAnsiTheme="minorHAnsi" w:cstheme="minorHAnsi"/>
          <w:noProof/>
          <w:sz w:val="22"/>
          <w:szCs w:val="22"/>
          <w:lang w:val="es-ES"/>
        </w:rPr>
        <w:t xml:space="preserve">nterina </w:t>
      </w:r>
      <w:r w:rsidR="00433EFF" w:rsidRPr="00635EC0">
        <w:rPr>
          <w:rFonts w:asciiTheme="minorHAnsi" w:hAnsiTheme="minorHAnsi" w:cstheme="minorHAnsi"/>
          <w:noProof/>
          <w:sz w:val="22"/>
          <w:szCs w:val="22"/>
          <w:lang w:val="es-ES"/>
        </w:rPr>
        <w:t xml:space="preserve">anterior </w:t>
      </w:r>
      <w:r w:rsidR="009D020F" w:rsidRPr="00635EC0">
        <w:rPr>
          <w:rFonts w:asciiTheme="minorHAnsi" w:hAnsiTheme="minorHAnsi" w:cstheme="minorHAnsi"/>
          <w:noProof/>
          <w:sz w:val="22"/>
          <w:szCs w:val="22"/>
          <w:lang w:val="es-ES"/>
        </w:rPr>
        <w:t>presentaron a</w:t>
      </w:r>
      <w:r w:rsidR="00433EFF" w:rsidRPr="00635EC0">
        <w:rPr>
          <w:rFonts w:asciiTheme="minorHAnsi" w:hAnsiTheme="minorHAnsi" w:cstheme="minorHAnsi"/>
          <w:noProof/>
          <w:sz w:val="22"/>
          <w:szCs w:val="22"/>
          <w:lang w:val="es-ES"/>
        </w:rPr>
        <w:t xml:space="preserve"> la</w:t>
      </w:r>
      <w:r w:rsidR="00EC7595" w:rsidRPr="00635EC0">
        <w:rPr>
          <w:rFonts w:asciiTheme="minorHAnsi" w:hAnsiTheme="minorHAnsi" w:cstheme="minorHAnsi"/>
          <w:noProof/>
          <w:sz w:val="22"/>
          <w:szCs w:val="22"/>
          <w:lang w:val="es-ES"/>
        </w:rPr>
        <w:t>s reuniones</w:t>
      </w:r>
      <w:r w:rsidR="00433EFF" w:rsidRPr="00635EC0">
        <w:rPr>
          <w:rFonts w:asciiTheme="minorHAnsi" w:hAnsiTheme="minorHAnsi" w:cstheme="minorHAnsi"/>
          <w:noProof/>
          <w:sz w:val="22"/>
          <w:szCs w:val="22"/>
          <w:lang w:val="es-ES"/>
        </w:rPr>
        <w:t xml:space="preserve"> 52ª, 53ª y 54ª del Comité Permanente (SC52, SC53 y SC54)</w:t>
      </w:r>
      <w:r w:rsidR="00433EFF" w:rsidRPr="005C40EF">
        <w:rPr>
          <w:noProof/>
          <w:vertAlign w:val="superscript"/>
          <w:lang w:val="es-ES"/>
        </w:rPr>
        <w:footnoteReference w:id="1"/>
      </w:r>
      <w:r w:rsidR="00433EFF" w:rsidRPr="00635EC0">
        <w:rPr>
          <w:rFonts w:asciiTheme="minorHAnsi" w:hAnsiTheme="minorHAnsi" w:cstheme="minorHAnsi"/>
          <w:noProof/>
          <w:sz w:val="22"/>
          <w:szCs w:val="22"/>
          <w:lang w:val="es-ES"/>
        </w:rPr>
        <w:t xml:space="preserve">. Los documentos preparados para la COP13 </w:t>
      </w:r>
      <w:r w:rsidR="009D020F" w:rsidRPr="00635EC0">
        <w:rPr>
          <w:rFonts w:asciiTheme="minorHAnsi" w:hAnsiTheme="minorHAnsi" w:cstheme="minorHAnsi"/>
          <w:noProof/>
          <w:sz w:val="22"/>
          <w:szCs w:val="22"/>
          <w:lang w:val="es-ES"/>
        </w:rPr>
        <w:t>aportan</w:t>
      </w:r>
      <w:r w:rsidR="00433EFF" w:rsidRPr="00635EC0">
        <w:rPr>
          <w:rFonts w:asciiTheme="minorHAnsi" w:hAnsiTheme="minorHAnsi" w:cstheme="minorHAnsi"/>
          <w:noProof/>
          <w:sz w:val="22"/>
          <w:szCs w:val="22"/>
          <w:lang w:val="es-ES"/>
        </w:rPr>
        <w:t xml:space="preserve"> más detalles sobre las diferentes áreas de trabajo de la Secretaría.</w:t>
      </w:r>
    </w:p>
    <w:p w14:paraId="598EABA4" w14:textId="77777777" w:rsidR="007E45A9" w:rsidRPr="005C40EF" w:rsidRDefault="007E45A9" w:rsidP="00635EC0">
      <w:pPr>
        <w:pStyle w:val="ListParagraph"/>
        <w:autoSpaceDE w:val="0"/>
        <w:autoSpaceDN w:val="0"/>
        <w:adjustRightInd w:val="0"/>
        <w:ind w:left="425" w:hanging="425"/>
        <w:rPr>
          <w:rFonts w:asciiTheme="minorHAnsi" w:hAnsiTheme="minorHAnsi" w:cstheme="minorHAnsi"/>
          <w:noProof/>
          <w:sz w:val="22"/>
          <w:szCs w:val="22"/>
          <w:lang w:val="es-ES"/>
        </w:rPr>
      </w:pPr>
    </w:p>
    <w:p w14:paraId="7C4605CF" w14:textId="1AA3160A" w:rsidR="00724804" w:rsidRPr="00635EC0" w:rsidRDefault="00635EC0" w:rsidP="00635EC0">
      <w:pPr>
        <w:autoSpaceDE w:val="0"/>
        <w:autoSpaceDN w:val="0"/>
        <w:adjustRightInd w:val="0"/>
        <w:ind w:left="425" w:hanging="425"/>
        <w:rPr>
          <w:rFonts w:asciiTheme="minorHAnsi" w:hAnsiTheme="minorHAnsi" w:cstheme="minorHAnsi"/>
          <w:noProof/>
          <w:sz w:val="22"/>
          <w:szCs w:val="22"/>
          <w:lang w:val="es-ES"/>
        </w:rPr>
      </w:pPr>
      <w:r>
        <w:rPr>
          <w:rFonts w:asciiTheme="minorHAnsi" w:hAnsiTheme="minorHAnsi" w:cstheme="minorHAnsi"/>
          <w:noProof/>
          <w:sz w:val="22"/>
          <w:szCs w:val="22"/>
          <w:lang w:val="es-ES"/>
        </w:rPr>
        <w:t>3.</w:t>
      </w:r>
      <w:r>
        <w:rPr>
          <w:rFonts w:asciiTheme="minorHAnsi" w:hAnsiTheme="minorHAnsi" w:cstheme="minorHAnsi"/>
          <w:noProof/>
          <w:sz w:val="22"/>
          <w:szCs w:val="22"/>
          <w:lang w:val="es-ES"/>
        </w:rPr>
        <w:tab/>
      </w:r>
      <w:r w:rsidR="007E45A9" w:rsidRPr="00635EC0">
        <w:rPr>
          <w:rFonts w:asciiTheme="minorHAnsi" w:hAnsiTheme="minorHAnsi" w:cstheme="minorHAnsi"/>
          <w:noProof/>
          <w:sz w:val="22"/>
          <w:szCs w:val="22"/>
          <w:lang w:val="es-ES"/>
        </w:rPr>
        <w:t>Al asumir su cargo, y con la aprobación del Equipo Ejecutivo, la Secretaria General realizó amplias consultas externas e internas con representantes de las Partes Contratantes, incluidos los presidentes de los órganos subsidiarios</w:t>
      </w:r>
      <w:r w:rsidR="009D020F" w:rsidRPr="00635EC0">
        <w:rPr>
          <w:rFonts w:asciiTheme="minorHAnsi" w:hAnsiTheme="minorHAnsi" w:cstheme="minorHAnsi"/>
          <w:noProof/>
          <w:sz w:val="22"/>
          <w:szCs w:val="22"/>
          <w:lang w:val="es-ES"/>
        </w:rPr>
        <w:t xml:space="preserve"> y grupos de trabajo, jefes de s</w:t>
      </w:r>
      <w:r w:rsidR="007E45A9" w:rsidRPr="00635EC0">
        <w:rPr>
          <w:rFonts w:asciiTheme="minorHAnsi" w:hAnsiTheme="minorHAnsi" w:cstheme="minorHAnsi"/>
          <w:noProof/>
          <w:sz w:val="22"/>
          <w:szCs w:val="22"/>
          <w:lang w:val="es-ES"/>
        </w:rPr>
        <w:t xml:space="preserve">ecretarías de Convenciones, Organizaciones Internacionales Asociadas (OIA) y otras partes interesadas externas, así como con todos los miembros del personal de la Secretaría. Las consultas se centraron en la identificación de fortalezas, debilidades y oportunidades en la aplicación de la Convención y el trabajo de la Secretaría, incluidas las </w:t>
      </w:r>
      <w:r w:rsidR="00EC7595" w:rsidRPr="00635EC0">
        <w:rPr>
          <w:rFonts w:asciiTheme="minorHAnsi" w:hAnsiTheme="minorHAnsi" w:cstheme="minorHAnsi"/>
          <w:noProof/>
          <w:sz w:val="22"/>
          <w:szCs w:val="22"/>
          <w:lang w:val="es-ES"/>
        </w:rPr>
        <w:t>lagunas</w:t>
      </w:r>
      <w:r w:rsidR="007E45A9" w:rsidRPr="00635EC0">
        <w:rPr>
          <w:rFonts w:asciiTheme="minorHAnsi" w:hAnsiTheme="minorHAnsi" w:cstheme="minorHAnsi"/>
          <w:noProof/>
          <w:sz w:val="22"/>
          <w:szCs w:val="22"/>
          <w:lang w:val="es-ES"/>
        </w:rPr>
        <w:t xml:space="preserve"> de capacidades. Los esfuerzos se han centrado en fortalecer la labor de la Secretaría para que</w:t>
      </w:r>
      <w:r w:rsidR="00D013A0" w:rsidRPr="00635EC0">
        <w:rPr>
          <w:rFonts w:asciiTheme="minorHAnsi" w:hAnsiTheme="minorHAnsi" w:cstheme="minorHAnsi"/>
          <w:noProof/>
          <w:sz w:val="22"/>
          <w:szCs w:val="22"/>
          <w:lang w:val="es-ES"/>
        </w:rPr>
        <w:t xml:space="preserve"> pueda</w:t>
      </w:r>
      <w:r w:rsidR="007E45A9" w:rsidRPr="00635EC0">
        <w:rPr>
          <w:rFonts w:asciiTheme="minorHAnsi" w:hAnsiTheme="minorHAnsi" w:cstheme="minorHAnsi"/>
          <w:noProof/>
          <w:sz w:val="22"/>
          <w:szCs w:val="22"/>
          <w:lang w:val="es-ES"/>
        </w:rPr>
        <w:t xml:space="preserve"> cumplir con eficacia su mandato conforme a lo previsto </w:t>
      </w:r>
      <w:r w:rsidR="00EC7595" w:rsidRPr="00635EC0">
        <w:rPr>
          <w:rFonts w:asciiTheme="minorHAnsi" w:hAnsiTheme="minorHAnsi" w:cstheme="minorHAnsi"/>
          <w:noProof/>
          <w:sz w:val="22"/>
          <w:szCs w:val="22"/>
          <w:lang w:val="es-ES"/>
        </w:rPr>
        <w:t>en</w:t>
      </w:r>
      <w:r w:rsidR="007E45A9" w:rsidRPr="00635EC0">
        <w:rPr>
          <w:rFonts w:asciiTheme="minorHAnsi" w:hAnsiTheme="minorHAnsi" w:cstheme="minorHAnsi"/>
          <w:noProof/>
          <w:sz w:val="22"/>
          <w:szCs w:val="22"/>
          <w:lang w:val="es-ES"/>
        </w:rPr>
        <w:t xml:space="preserve"> el artículo 8 de la Convención, seguir las instrucciones que </w:t>
      </w:r>
      <w:r w:rsidR="00375869" w:rsidRPr="00635EC0">
        <w:rPr>
          <w:rFonts w:asciiTheme="minorHAnsi" w:hAnsiTheme="minorHAnsi" w:cstheme="minorHAnsi"/>
          <w:noProof/>
          <w:sz w:val="22"/>
          <w:szCs w:val="22"/>
          <w:lang w:val="es-ES"/>
        </w:rPr>
        <w:t>le impartan</w:t>
      </w:r>
      <w:r w:rsidR="007E45A9" w:rsidRPr="00635EC0">
        <w:rPr>
          <w:rFonts w:asciiTheme="minorHAnsi" w:hAnsiTheme="minorHAnsi" w:cstheme="minorHAnsi"/>
          <w:noProof/>
          <w:sz w:val="22"/>
          <w:szCs w:val="22"/>
          <w:lang w:val="es-ES"/>
        </w:rPr>
        <w:t xml:space="preserve"> la Conferenci</w:t>
      </w:r>
      <w:r w:rsidR="00375869" w:rsidRPr="00635EC0">
        <w:rPr>
          <w:rFonts w:asciiTheme="minorHAnsi" w:hAnsiTheme="minorHAnsi" w:cstheme="minorHAnsi"/>
          <w:noProof/>
          <w:sz w:val="22"/>
          <w:szCs w:val="22"/>
          <w:lang w:val="es-ES"/>
        </w:rPr>
        <w:t xml:space="preserve">a de las Partes Contratantes y </w:t>
      </w:r>
      <w:r w:rsidR="007E45A9" w:rsidRPr="00635EC0">
        <w:rPr>
          <w:rFonts w:asciiTheme="minorHAnsi" w:hAnsiTheme="minorHAnsi" w:cstheme="minorHAnsi"/>
          <w:noProof/>
          <w:sz w:val="22"/>
          <w:szCs w:val="22"/>
          <w:lang w:val="es-ES"/>
        </w:rPr>
        <w:t>el Comité Permanente y apoyar a las Partes en la aplicación del Plan Estratégico de la Convención. Las áreas principales de trabajo se describen a continuación, incluidos los aspectos más destacados de las medidas adoptadas.</w:t>
      </w:r>
    </w:p>
    <w:p w14:paraId="58F68B9D" w14:textId="77777777" w:rsidR="007E45A9" w:rsidRPr="005C40EF" w:rsidRDefault="007E45A9" w:rsidP="007E45A9">
      <w:pPr>
        <w:pStyle w:val="ListParagraph"/>
        <w:ind w:left="420"/>
        <w:rPr>
          <w:rFonts w:asciiTheme="minorHAnsi" w:hAnsiTheme="minorHAnsi" w:cstheme="minorHAnsi"/>
          <w:noProof/>
          <w:sz w:val="22"/>
          <w:szCs w:val="22"/>
          <w:lang w:val="es-ES"/>
        </w:rPr>
      </w:pPr>
    </w:p>
    <w:p w14:paraId="47F507E2" w14:textId="77777777" w:rsidR="00BF7CE5" w:rsidRPr="005C40EF" w:rsidRDefault="00BF7CE5" w:rsidP="00BF7CE5">
      <w:pPr>
        <w:rPr>
          <w:rFonts w:asciiTheme="minorHAnsi" w:hAnsiTheme="minorHAnsi" w:cstheme="minorHAnsi"/>
          <w:bCs/>
          <w:noProof/>
          <w:sz w:val="22"/>
          <w:szCs w:val="22"/>
          <w:u w:val="single"/>
          <w:lang w:val="es-ES"/>
        </w:rPr>
      </w:pPr>
      <w:r w:rsidRPr="005C40EF">
        <w:rPr>
          <w:rFonts w:asciiTheme="minorHAnsi" w:hAnsiTheme="minorHAnsi" w:cstheme="minorHAnsi"/>
          <w:bCs/>
          <w:noProof/>
          <w:sz w:val="22"/>
          <w:szCs w:val="22"/>
          <w:u w:val="single"/>
          <w:lang w:val="es-ES"/>
        </w:rPr>
        <w:t>Reforzar los servicios prestados a las Partes Contratantes en lo referente a la toma de decisiones y rendición de cuentas</w:t>
      </w:r>
    </w:p>
    <w:p w14:paraId="004CB8B9" w14:textId="77777777" w:rsidR="00250611" w:rsidRPr="005C40EF" w:rsidRDefault="00250611" w:rsidP="00C81B75">
      <w:pPr>
        <w:rPr>
          <w:rFonts w:asciiTheme="minorHAnsi" w:hAnsiTheme="minorHAnsi" w:cstheme="minorHAnsi"/>
          <w:noProof/>
          <w:sz w:val="22"/>
          <w:szCs w:val="22"/>
          <w:lang w:val="es-ES"/>
        </w:rPr>
      </w:pPr>
    </w:p>
    <w:p w14:paraId="737D9FA4" w14:textId="194A13D6" w:rsidR="00864C78" w:rsidRPr="005C40EF" w:rsidRDefault="00864C78" w:rsidP="00635EC0">
      <w:pPr>
        <w:autoSpaceDE w:val="0"/>
        <w:autoSpaceDN w:val="0"/>
        <w:adjustRightInd w:val="0"/>
        <w:ind w:left="425" w:hanging="425"/>
        <w:rPr>
          <w:rFonts w:asciiTheme="minorHAnsi" w:hAnsiTheme="minorHAnsi" w:cstheme="minorHAnsi"/>
          <w:noProof/>
          <w:sz w:val="22"/>
          <w:szCs w:val="22"/>
          <w:lang w:val="es-ES"/>
        </w:rPr>
      </w:pPr>
      <w:r w:rsidRPr="005C40EF">
        <w:rPr>
          <w:rFonts w:asciiTheme="minorHAnsi" w:hAnsiTheme="minorHAnsi" w:cstheme="minorHAnsi"/>
          <w:noProof/>
          <w:sz w:val="22"/>
          <w:szCs w:val="22"/>
          <w:lang w:val="es-ES"/>
        </w:rPr>
        <w:t>4.</w:t>
      </w:r>
      <w:r w:rsidRPr="005C40EF">
        <w:rPr>
          <w:rFonts w:asciiTheme="minorHAnsi" w:hAnsiTheme="minorHAnsi" w:cstheme="minorHAnsi"/>
          <w:noProof/>
          <w:sz w:val="22"/>
          <w:szCs w:val="22"/>
          <w:lang w:val="es-ES"/>
        </w:rPr>
        <w:tab/>
      </w:r>
      <w:r w:rsidR="00BF7CE5" w:rsidRPr="005C40EF">
        <w:rPr>
          <w:rFonts w:asciiTheme="minorHAnsi" w:hAnsiTheme="minorHAnsi" w:cstheme="minorHAnsi"/>
          <w:noProof/>
          <w:sz w:val="22"/>
          <w:szCs w:val="22"/>
          <w:lang w:val="es-ES"/>
        </w:rPr>
        <w:t>Una de las áreas principales identificadas</w:t>
      </w:r>
      <w:r w:rsidR="00D74E9D" w:rsidRPr="005C40EF">
        <w:rPr>
          <w:rFonts w:asciiTheme="minorHAnsi" w:hAnsiTheme="minorHAnsi" w:cstheme="minorHAnsi"/>
          <w:noProof/>
          <w:sz w:val="22"/>
          <w:szCs w:val="22"/>
          <w:lang w:val="es-ES"/>
        </w:rPr>
        <w:t xml:space="preserve"> por la Secretaria General</w:t>
      </w:r>
      <w:r w:rsidR="00BF7CE5" w:rsidRPr="005C40EF">
        <w:rPr>
          <w:rFonts w:asciiTheme="minorHAnsi" w:hAnsiTheme="minorHAnsi" w:cstheme="minorHAnsi"/>
          <w:noProof/>
          <w:sz w:val="22"/>
          <w:szCs w:val="22"/>
          <w:lang w:val="es-ES"/>
        </w:rPr>
        <w:t xml:space="preserve"> como susceptibles de mejora fue la función básica de la Secretaría de </w:t>
      </w:r>
      <w:r w:rsidR="00EC7595" w:rsidRPr="005C40EF">
        <w:rPr>
          <w:rFonts w:asciiTheme="minorHAnsi" w:hAnsiTheme="minorHAnsi" w:cstheme="minorHAnsi"/>
          <w:noProof/>
          <w:sz w:val="22"/>
          <w:szCs w:val="22"/>
          <w:lang w:val="es-ES"/>
        </w:rPr>
        <w:t>prestar</w:t>
      </w:r>
      <w:r w:rsidR="00BF7CE5" w:rsidRPr="005C40EF">
        <w:rPr>
          <w:rFonts w:asciiTheme="minorHAnsi" w:hAnsiTheme="minorHAnsi" w:cstheme="minorHAnsi"/>
          <w:noProof/>
          <w:sz w:val="22"/>
          <w:szCs w:val="22"/>
          <w:lang w:val="es-ES"/>
        </w:rPr>
        <w:t xml:space="preserve"> servicios a las Partes Contratantes, </w:t>
      </w:r>
      <w:r w:rsidR="00EC7595" w:rsidRPr="005C40EF">
        <w:rPr>
          <w:rFonts w:asciiTheme="minorHAnsi" w:hAnsiTheme="minorHAnsi" w:cstheme="minorHAnsi"/>
          <w:noProof/>
          <w:sz w:val="22"/>
          <w:szCs w:val="22"/>
          <w:lang w:val="es-ES"/>
        </w:rPr>
        <w:t>lo que incluye</w:t>
      </w:r>
      <w:r w:rsidR="00BF7CE5" w:rsidRPr="005C40EF">
        <w:rPr>
          <w:rFonts w:asciiTheme="minorHAnsi" w:hAnsiTheme="minorHAnsi" w:cstheme="minorHAnsi"/>
          <w:noProof/>
          <w:sz w:val="22"/>
          <w:szCs w:val="22"/>
          <w:lang w:val="es-ES"/>
        </w:rPr>
        <w:t xml:space="preserve"> la organización de las reuniones de los órganos de gobierno y subsidiarios, y la rendición de cuentas por parte de la Secretaría respecto de todo el trabajo que realiza con el fin de cumplir las decisiones y peticiones de las Partes Contratantes. </w:t>
      </w:r>
      <w:r w:rsidR="00D74E9D" w:rsidRPr="005C40EF">
        <w:rPr>
          <w:rFonts w:asciiTheme="minorHAnsi" w:hAnsiTheme="minorHAnsi" w:cstheme="minorHAnsi"/>
          <w:noProof/>
          <w:sz w:val="22"/>
          <w:szCs w:val="22"/>
          <w:lang w:val="es-ES"/>
        </w:rPr>
        <w:t xml:space="preserve">Esto se refleja en la contratación de personal para algunos puestos (véase </w:t>
      </w:r>
      <w:r w:rsidR="00BF7CE5" w:rsidRPr="005C40EF">
        <w:rPr>
          <w:rFonts w:asciiTheme="minorHAnsi" w:hAnsiTheme="minorHAnsi" w:cstheme="minorHAnsi"/>
          <w:noProof/>
          <w:sz w:val="22"/>
          <w:szCs w:val="22"/>
          <w:lang w:val="es-ES"/>
        </w:rPr>
        <w:t xml:space="preserve">el </w:t>
      </w:r>
      <w:r w:rsidR="00BF7CE5" w:rsidRPr="003E6226">
        <w:rPr>
          <w:rFonts w:asciiTheme="minorHAnsi" w:hAnsiTheme="minorHAnsi" w:cstheme="minorHAnsi"/>
          <w:noProof/>
          <w:sz w:val="22"/>
          <w:szCs w:val="22"/>
          <w:lang w:val="es-ES"/>
        </w:rPr>
        <w:t xml:space="preserve">párrafo </w:t>
      </w:r>
      <w:r w:rsidR="00382343" w:rsidRPr="003E6226">
        <w:rPr>
          <w:rFonts w:asciiTheme="minorHAnsi" w:hAnsiTheme="minorHAnsi" w:cstheme="minorHAnsi"/>
          <w:noProof/>
          <w:sz w:val="22"/>
          <w:szCs w:val="22"/>
          <w:lang w:val="es-ES"/>
        </w:rPr>
        <w:t>38</w:t>
      </w:r>
      <w:r w:rsidR="00EA79E2" w:rsidRPr="003E6226">
        <w:rPr>
          <w:rFonts w:asciiTheme="minorHAnsi" w:hAnsiTheme="minorHAnsi" w:cstheme="minorHAnsi"/>
          <w:noProof/>
          <w:sz w:val="22"/>
          <w:szCs w:val="22"/>
          <w:lang w:val="es-ES"/>
        </w:rPr>
        <w:t>,</w:t>
      </w:r>
      <w:r w:rsidR="00D74E9D" w:rsidRPr="003E6226">
        <w:rPr>
          <w:rFonts w:asciiTheme="minorHAnsi" w:hAnsiTheme="minorHAnsi" w:cstheme="minorHAnsi"/>
          <w:noProof/>
          <w:sz w:val="22"/>
          <w:szCs w:val="22"/>
          <w:lang w:val="es-ES"/>
        </w:rPr>
        <w:t xml:space="preserve"> </w:t>
      </w:r>
      <w:r w:rsidR="00EA79E2" w:rsidRPr="003E6226">
        <w:rPr>
          <w:rFonts w:asciiTheme="minorHAnsi" w:hAnsiTheme="minorHAnsi" w:cstheme="minorHAnsi"/>
          <w:noProof/>
          <w:sz w:val="22"/>
          <w:szCs w:val="22"/>
          <w:lang w:val="es-ES"/>
        </w:rPr>
        <w:t>más abajo</w:t>
      </w:r>
      <w:r w:rsidR="00BF7CE5" w:rsidRPr="005C40EF">
        <w:rPr>
          <w:rFonts w:asciiTheme="minorHAnsi" w:hAnsiTheme="minorHAnsi" w:cstheme="minorHAnsi"/>
          <w:noProof/>
          <w:sz w:val="22"/>
          <w:szCs w:val="22"/>
          <w:lang w:val="es-ES"/>
        </w:rPr>
        <w:t xml:space="preserve">) y </w:t>
      </w:r>
      <w:r w:rsidR="00D74E9D" w:rsidRPr="005C40EF">
        <w:rPr>
          <w:rFonts w:asciiTheme="minorHAnsi" w:hAnsiTheme="minorHAnsi" w:cstheme="minorHAnsi"/>
          <w:noProof/>
          <w:sz w:val="22"/>
          <w:szCs w:val="22"/>
          <w:lang w:val="es-ES"/>
        </w:rPr>
        <w:t xml:space="preserve">en </w:t>
      </w:r>
      <w:r w:rsidR="00BF7CE5" w:rsidRPr="005C40EF">
        <w:rPr>
          <w:rFonts w:asciiTheme="minorHAnsi" w:hAnsiTheme="minorHAnsi" w:cstheme="minorHAnsi"/>
          <w:noProof/>
          <w:sz w:val="22"/>
          <w:szCs w:val="22"/>
          <w:lang w:val="es-ES"/>
        </w:rPr>
        <w:t xml:space="preserve">la priorización de esta </w:t>
      </w:r>
      <w:r w:rsidR="00BF7CE5" w:rsidRPr="005C40EF">
        <w:rPr>
          <w:rFonts w:asciiTheme="minorHAnsi" w:hAnsiTheme="minorHAnsi" w:cstheme="minorHAnsi"/>
          <w:noProof/>
          <w:sz w:val="22"/>
          <w:szCs w:val="22"/>
          <w:lang w:val="es-ES"/>
        </w:rPr>
        <w:lastRenderedPageBreak/>
        <w:t>área e</w:t>
      </w:r>
      <w:r w:rsidR="00D74E9D" w:rsidRPr="005C40EF">
        <w:rPr>
          <w:rFonts w:asciiTheme="minorHAnsi" w:hAnsiTheme="minorHAnsi" w:cstheme="minorHAnsi"/>
          <w:noProof/>
          <w:sz w:val="22"/>
          <w:szCs w:val="22"/>
          <w:lang w:val="es-ES"/>
        </w:rPr>
        <w:t xml:space="preserve">n el trabajo de todo el equipo, según se refleja en los planes integrados de trabajo de la Secretaría para 2017 y 2018 y en el </w:t>
      </w:r>
      <w:r w:rsidR="00BF7CE5" w:rsidRPr="005C40EF">
        <w:rPr>
          <w:rFonts w:asciiTheme="minorHAnsi" w:hAnsiTheme="minorHAnsi" w:cstheme="minorHAnsi"/>
          <w:noProof/>
          <w:sz w:val="22"/>
          <w:szCs w:val="22"/>
          <w:lang w:val="es-ES"/>
        </w:rPr>
        <w:t>Plan integrado de trabajo de la Secretaría para el trienio 2016-2018</w:t>
      </w:r>
      <w:r w:rsidR="00D74E9D" w:rsidRPr="005C40EF">
        <w:rPr>
          <w:rFonts w:asciiTheme="minorHAnsi" w:hAnsiTheme="minorHAnsi" w:cstheme="minorHAnsi"/>
          <w:noProof/>
          <w:sz w:val="22"/>
          <w:szCs w:val="22"/>
          <w:lang w:val="es-ES"/>
        </w:rPr>
        <w:t xml:space="preserve">, aprobados por el Comité </w:t>
      </w:r>
      <w:r w:rsidR="00EA79E2" w:rsidRPr="005C40EF">
        <w:rPr>
          <w:rFonts w:asciiTheme="minorHAnsi" w:hAnsiTheme="minorHAnsi" w:cstheme="minorHAnsi"/>
          <w:noProof/>
          <w:sz w:val="22"/>
          <w:szCs w:val="22"/>
          <w:lang w:val="es-ES"/>
        </w:rPr>
        <w:t xml:space="preserve">Permanente </w:t>
      </w:r>
      <w:r w:rsidR="00D74E9D" w:rsidRPr="005C40EF">
        <w:rPr>
          <w:rFonts w:asciiTheme="minorHAnsi" w:hAnsiTheme="minorHAnsi" w:cstheme="minorHAnsi"/>
          <w:noProof/>
          <w:sz w:val="22"/>
          <w:szCs w:val="22"/>
          <w:lang w:val="es-ES"/>
        </w:rPr>
        <w:t>en las reuniones SC53 y SC54</w:t>
      </w:r>
      <w:r w:rsidR="00BF7CE5" w:rsidRPr="005C40EF">
        <w:rPr>
          <w:rFonts w:asciiTheme="minorHAnsi" w:hAnsiTheme="minorHAnsi" w:cstheme="minorHAnsi"/>
          <w:noProof/>
          <w:sz w:val="22"/>
          <w:szCs w:val="22"/>
          <w:lang w:val="es-ES"/>
        </w:rPr>
        <w:t>.</w:t>
      </w:r>
    </w:p>
    <w:p w14:paraId="177A360F" w14:textId="77777777" w:rsidR="00864C78" w:rsidRPr="005C40EF" w:rsidRDefault="00864C78" w:rsidP="00635EC0">
      <w:pPr>
        <w:autoSpaceDE w:val="0"/>
        <w:autoSpaceDN w:val="0"/>
        <w:adjustRightInd w:val="0"/>
        <w:ind w:left="425" w:hanging="425"/>
        <w:rPr>
          <w:rFonts w:asciiTheme="minorHAnsi" w:hAnsiTheme="minorHAnsi" w:cstheme="minorHAnsi"/>
          <w:noProof/>
          <w:sz w:val="22"/>
          <w:szCs w:val="22"/>
          <w:lang w:val="es-ES"/>
        </w:rPr>
      </w:pPr>
    </w:p>
    <w:p w14:paraId="17C2879F" w14:textId="52D00E1C" w:rsidR="00864C78" w:rsidRPr="00635EC0" w:rsidRDefault="00635EC0" w:rsidP="00635EC0">
      <w:pPr>
        <w:autoSpaceDE w:val="0"/>
        <w:autoSpaceDN w:val="0"/>
        <w:adjustRightInd w:val="0"/>
        <w:ind w:left="425" w:hanging="425"/>
        <w:rPr>
          <w:rFonts w:asciiTheme="minorHAnsi" w:hAnsiTheme="minorHAnsi" w:cstheme="minorHAnsi"/>
          <w:noProof/>
          <w:sz w:val="22"/>
          <w:szCs w:val="22"/>
          <w:lang w:val="es-ES"/>
        </w:rPr>
      </w:pPr>
      <w:r>
        <w:rPr>
          <w:rFonts w:asciiTheme="minorHAnsi" w:hAnsiTheme="minorHAnsi" w:cstheme="minorHAnsi"/>
          <w:noProof/>
          <w:sz w:val="22"/>
          <w:szCs w:val="22"/>
          <w:lang w:val="es-ES"/>
        </w:rPr>
        <w:t>5.</w:t>
      </w:r>
      <w:r>
        <w:rPr>
          <w:rFonts w:asciiTheme="minorHAnsi" w:hAnsiTheme="minorHAnsi" w:cstheme="minorHAnsi"/>
          <w:noProof/>
          <w:sz w:val="22"/>
          <w:szCs w:val="22"/>
          <w:lang w:val="es-ES"/>
        </w:rPr>
        <w:tab/>
      </w:r>
      <w:r w:rsidR="00D74E9D" w:rsidRPr="005C40EF">
        <w:rPr>
          <w:rFonts w:asciiTheme="minorHAnsi" w:hAnsiTheme="minorHAnsi" w:cstheme="minorHAnsi"/>
          <w:noProof/>
          <w:sz w:val="22"/>
          <w:szCs w:val="22"/>
          <w:lang w:val="es-ES"/>
        </w:rPr>
        <w:t xml:space="preserve">Una función </w:t>
      </w:r>
      <w:r w:rsidR="00864C78" w:rsidRPr="005C40EF">
        <w:rPr>
          <w:rFonts w:asciiTheme="minorHAnsi" w:hAnsiTheme="minorHAnsi" w:cstheme="minorHAnsi"/>
          <w:noProof/>
          <w:sz w:val="22"/>
          <w:szCs w:val="22"/>
          <w:lang w:val="es-ES"/>
        </w:rPr>
        <w:t>esencial</w:t>
      </w:r>
      <w:r w:rsidR="00D74E9D" w:rsidRPr="005C40EF">
        <w:rPr>
          <w:rFonts w:asciiTheme="minorHAnsi" w:hAnsiTheme="minorHAnsi" w:cstheme="minorHAnsi"/>
          <w:noProof/>
          <w:sz w:val="22"/>
          <w:szCs w:val="22"/>
          <w:lang w:val="es-ES"/>
        </w:rPr>
        <w:t xml:space="preserve"> de la Secretaría es la organización de reuniones de los órganos de gobierno y subsidiarios de la Convención, </w:t>
      </w:r>
      <w:r w:rsidR="00864C78" w:rsidRPr="005C40EF">
        <w:rPr>
          <w:rFonts w:asciiTheme="minorHAnsi" w:hAnsiTheme="minorHAnsi" w:cstheme="minorHAnsi"/>
          <w:noProof/>
          <w:sz w:val="22"/>
          <w:szCs w:val="22"/>
          <w:lang w:val="es-ES"/>
        </w:rPr>
        <w:t>entre estos</w:t>
      </w:r>
      <w:r w:rsidR="00D74E9D" w:rsidRPr="005C40EF">
        <w:rPr>
          <w:rFonts w:asciiTheme="minorHAnsi" w:hAnsiTheme="minorHAnsi" w:cstheme="minorHAnsi"/>
          <w:noProof/>
          <w:sz w:val="22"/>
          <w:szCs w:val="22"/>
          <w:lang w:val="es-ES"/>
        </w:rPr>
        <w:t xml:space="preserve"> el Comité Permanente y el Grupo de Examen Científico y Técnico (GECT). Durante el trienio, la Secretaría realizó arreglos logísticos, preparó documentos para las reuniones y </w:t>
      </w:r>
      <w:r w:rsidR="00864C78" w:rsidRPr="005C40EF">
        <w:rPr>
          <w:rFonts w:asciiTheme="minorHAnsi" w:hAnsiTheme="minorHAnsi" w:cstheme="minorHAnsi"/>
          <w:noProof/>
          <w:sz w:val="22"/>
          <w:szCs w:val="22"/>
          <w:lang w:val="es-ES"/>
        </w:rPr>
        <w:t>elaboró</w:t>
      </w:r>
      <w:r w:rsidR="00D74E9D" w:rsidRPr="005C40EF">
        <w:rPr>
          <w:rFonts w:asciiTheme="minorHAnsi" w:hAnsiTheme="minorHAnsi" w:cstheme="minorHAnsi"/>
          <w:noProof/>
          <w:sz w:val="22"/>
          <w:szCs w:val="22"/>
          <w:lang w:val="es-ES"/>
        </w:rPr>
        <w:t xml:space="preserve"> informes diarios y un informe final para</w:t>
      </w:r>
      <w:r w:rsidR="00864C78" w:rsidRPr="005C40EF">
        <w:rPr>
          <w:rFonts w:asciiTheme="minorHAnsi" w:hAnsiTheme="minorHAnsi" w:cstheme="minorHAnsi"/>
          <w:noProof/>
          <w:sz w:val="22"/>
          <w:szCs w:val="22"/>
          <w:lang w:val="es-ES"/>
        </w:rPr>
        <w:t xml:space="preserve"> las reuniones</w:t>
      </w:r>
      <w:r w:rsidR="00D74E9D" w:rsidRPr="005C40EF">
        <w:rPr>
          <w:rFonts w:asciiTheme="minorHAnsi" w:hAnsiTheme="minorHAnsi" w:cstheme="minorHAnsi"/>
          <w:noProof/>
          <w:sz w:val="22"/>
          <w:szCs w:val="22"/>
          <w:lang w:val="es-ES"/>
        </w:rPr>
        <w:t xml:space="preserve"> STRP19, STRP20 y STRP21, y para </w:t>
      </w:r>
      <w:r w:rsidR="00864C78" w:rsidRPr="005C40EF">
        <w:rPr>
          <w:rFonts w:asciiTheme="minorHAnsi" w:hAnsiTheme="minorHAnsi" w:cstheme="minorHAnsi"/>
          <w:noProof/>
          <w:sz w:val="22"/>
          <w:szCs w:val="22"/>
          <w:lang w:val="es-ES"/>
        </w:rPr>
        <w:t xml:space="preserve">las reuniones </w:t>
      </w:r>
      <w:r w:rsidR="00D74E9D" w:rsidRPr="005C40EF">
        <w:rPr>
          <w:rFonts w:asciiTheme="minorHAnsi" w:hAnsiTheme="minorHAnsi" w:cstheme="minorHAnsi"/>
          <w:noProof/>
          <w:sz w:val="22"/>
          <w:szCs w:val="22"/>
          <w:lang w:val="es-ES"/>
        </w:rPr>
        <w:t xml:space="preserve">SC51, SC52, SC53 y SC54. </w:t>
      </w:r>
      <w:r w:rsidR="00864C78" w:rsidRPr="005C40EF">
        <w:rPr>
          <w:rFonts w:asciiTheme="minorHAnsi" w:hAnsiTheme="minorHAnsi" w:cstheme="minorHAnsi"/>
          <w:noProof/>
          <w:sz w:val="22"/>
          <w:szCs w:val="22"/>
          <w:lang w:val="es-ES"/>
        </w:rPr>
        <w:t>Además,</w:t>
      </w:r>
      <w:r w:rsidR="00D74E9D" w:rsidRPr="005C40EF">
        <w:rPr>
          <w:rFonts w:asciiTheme="minorHAnsi" w:hAnsiTheme="minorHAnsi" w:cstheme="minorHAnsi"/>
          <w:noProof/>
          <w:sz w:val="22"/>
          <w:szCs w:val="22"/>
          <w:lang w:val="es-ES"/>
        </w:rPr>
        <w:t xml:space="preserve"> se preparó para la 13ª reunión de la Conferencia de las Partes Contratantes (COP13),</w:t>
      </w:r>
      <w:r w:rsidR="00864C78" w:rsidRPr="005C40EF">
        <w:rPr>
          <w:rFonts w:asciiTheme="minorHAnsi" w:hAnsiTheme="minorHAnsi" w:cstheme="minorHAnsi"/>
          <w:noProof/>
          <w:sz w:val="22"/>
          <w:szCs w:val="22"/>
          <w:lang w:val="es-ES"/>
        </w:rPr>
        <w:t xml:space="preserve"> lo que incluyó</w:t>
      </w:r>
      <w:r w:rsidR="00D74E9D" w:rsidRPr="005C40EF">
        <w:rPr>
          <w:rFonts w:asciiTheme="minorHAnsi" w:hAnsiTheme="minorHAnsi" w:cstheme="minorHAnsi"/>
          <w:noProof/>
          <w:sz w:val="22"/>
          <w:szCs w:val="22"/>
          <w:lang w:val="es-ES"/>
        </w:rPr>
        <w:t xml:space="preserve"> cinco reuniones preparatorias regionales, y contribuyó a otros grupos establecidos por el Comité Permanente y la COP.</w:t>
      </w:r>
    </w:p>
    <w:p w14:paraId="65DF70E2" w14:textId="77777777" w:rsidR="00864C78" w:rsidRPr="00635EC0" w:rsidRDefault="00864C78" w:rsidP="00635EC0">
      <w:pPr>
        <w:autoSpaceDE w:val="0"/>
        <w:autoSpaceDN w:val="0"/>
        <w:adjustRightInd w:val="0"/>
        <w:ind w:left="425" w:hanging="425"/>
        <w:rPr>
          <w:rFonts w:asciiTheme="minorHAnsi" w:hAnsiTheme="minorHAnsi" w:cstheme="minorHAnsi"/>
          <w:noProof/>
          <w:sz w:val="22"/>
          <w:szCs w:val="22"/>
          <w:lang w:val="es-ES"/>
        </w:rPr>
      </w:pPr>
    </w:p>
    <w:p w14:paraId="00235365" w14:textId="3E7CC7E2" w:rsidR="0031686B" w:rsidRPr="00635EC0" w:rsidRDefault="00635EC0" w:rsidP="00635EC0">
      <w:pPr>
        <w:autoSpaceDE w:val="0"/>
        <w:autoSpaceDN w:val="0"/>
        <w:adjustRightInd w:val="0"/>
        <w:ind w:left="425" w:hanging="425"/>
        <w:rPr>
          <w:rFonts w:asciiTheme="minorHAnsi" w:hAnsiTheme="minorHAnsi" w:cstheme="minorHAnsi"/>
          <w:noProof/>
          <w:sz w:val="22"/>
          <w:szCs w:val="22"/>
          <w:lang w:val="es-ES"/>
        </w:rPr>
      </w:pPr>
      <w:r>
        <w:rPr>
          <w:rFonts w:asciiTheme="minorHAnsi" w:hAnsiTheme="minorHAnsi" w:cstheme="minorHAnsi"/>
          <w:noProof/>
          <w:sz w:val="22"/>
          <w:szCs w:val="22"/>
          <w:lang w:val="es-ES"/>
        </w:rPr>
        <w:t>6.</w:t>
      </w:r>
      <w:r>
        <w:rPr>
          <w:rFonts w:asciiTheme="minorHAnsi" w:hAnsiTheme="minorHAnsi" w:cstheme="minorHAnsi"/>
          <w:noProof/>
          <w:sz w:val="22"/>
          <w:szCs w:val="22"/>
          <w:lang w:val="es-ES"/>
        </w:rPr>
        <w:tab/>
      </w:r>
      <w:r w:rsidR="00864C78" w:rsidRPr="005C40EF">
        <w:rPr>
          <w:rFonts w:asciiTheme="minorHAnsi" w:hAnsiTheme="minorHAnsi" w:cstheme="minorHAnsi"/>
          <w:noProof/>
          <w:sz w:val="22"/>
          <w:szCs w:val="22"/>
          <w:lang w:val="es-ES"/>
        </w:rPr>
        <w:t xml:space="preserve">Un área importante de la labor de la Secretaría es apoyar al GECT y prestar asistencia en la ejecución del plan de trabajo del GECT para 2016-2018 y tareas de alta prioridad, en estrecha colaboración con </w:t>
      </w:r>
      <w:r w:rsidR="00A73623" w:rsidRPr="005C40EF">
        <w:rPr>
          <w:rFonts w:asciiTheme="minorHAnsi" w:hAnsiTheme="minorHAnsi" w:cstheme="minorHAnsi"/>
          <w:noProof/>
          <w:sz w:val="22"/>
          <w:szCs w:val="22"/>
          <w:lang w:val="es-ES"/>
        </w:rPr>
        <w:t>la</w:t>
      </w:r>
      <w:r w:rsidR="00864C78" w:rsidRPr="005C40EF">
        <w:rPr>
          <w:rFonts w:asciiTheme="minorHAnsi" w:hAnsiTheme="minorHAnsi" w:cstheme="minorHAnsi"/>
          <w:noProof/>
          <w:sz w:val="22"/>
          <w:szCs w:val="22"/>
          <w:lang w:val="es-ES"/>
        </w:rPr>
        <w:t xml:space="preserve"> </w:t>
      </w:r>
      <w:r w:rsidR="00A73623" w:rsidRPr="005C40EF">
        <w:rPr>
          <w:rFonts w:asciiTheme="minorHAnsi" w:hAnsiTheme="minorHAnsi" w:cstheme="minorHAnsi"/>
          <w:noProof/>
          <w:sz w:val="22"/>
          <w:szCs w:val="22"/>
          <w:lang w:val="es-ES"/>
        </w:rPr>
        <w:t>Presidencia</w:t>
      </w:r>
      <w:r w:rsidR="00864C78" w:rsidRPr="005C40EF">
        <w:rPr>
          <w:rFonts w:asciiTheme="minorHAnsi" w:hAnsiTheme="minorHAnsi" w:cstheme="minorHAnsi"/>
          <w:noProof/>
          <w:sz w:val="22"/>
          <w:szCs w:val="22"/>
          <w:lang w:val="es-ES"/>
        </w:rPr>
        <w:t>. Entre los resultados que cabe destacar están los siguientes:</w:t>
      </w:r>
    </w:p>
    <w:p w14:paraId="72297865" w14:textId="77777777" w:rsidR="00864C78" w:rsidRPr="005C40EF" w:rsidRDefault="00864C78" w:rsidP="00864C78">
      <w:pPr>
        <w:pStyle w:val="ListParagraph"/>
        <w:rPr>
          <w:rFonts w:asciiTheme="minorHAnsi" w:hAnsiTheme="minorHAnsi" w:cstheme="minorHAnsi"/>
          <w:b/>
          <w:noProof/>
          <w:sz w:val="22"/>
          <w:szCs w:val="22"/>
          <w:lang w:val="es-ES"/>
        </w:rPr>
      </w:pPr>
    </w:p>
    <w:p w14:paraId="47FA8E14" w14:textId="5A06CD52" w:rsidR="00864C78" w:rsidRPr="005C40EF" w:rsidRDefault="00864C78" w:rsidP="00864C78">
      <w:pPr>
        <w:pStyle w:val="ListParagraph"/>
        <w:numPr>
          <w:ilvl w:val="0"/>
          <w:numId w:val="2"/>
        </w:numPr>
        <w:ind w:left="850" w:hanging="425"/>
        <w:rPr>
          <w:rFonts w:asciiTheme="minorHAnsi" w:hAnsiTheme="minorHAnsi" w:cstheme="minorHAnsi"/>
          <w:noProof/>
          <w:sz w:val="22"/>
          <w:szCs w:val="22"/>
          <w:lang w:val="es-ES"/>
        </w:rPr>
      </w:pPr>
      <w:r w:rsidRPr="005C40EF">
        <w:rPr>
          <w:rFonts w:asciiTheme="minorHAnsi" w:hAnsiTheme="minorHAnsi" w:cstheme="minorHAnsi"/>
          <w:i/>
          <w:noProof/>
          <w:sz w:val="22"/>
          <w:szCs w:val="22"/>
          <w:lang w:val="es-ES"/>
        </w:rPr>
        <w:t>Perspectiva mundial de los humedales: Estado de los humedales del mundo y de los servicios que prestan a las personas</w:t>
      </w:r>
      <w:r w:rsidR="000B27E1" w:rsidRPr="005C40EF">
        <w:rPr>
          <w:rFonts w:asciiTheme="minorHAnsi" w:hAnsiTheme="minorHAnsi" w:cstheme="minorHAnsi"/>
          <w:noProof/>
          <w:sz w:val="22"/>
          <w:szCs w:val="22"/>
          <w:lang w:val="es-ES"/>
        </w:rPr>
        <w:t>:</w:t>
      </w:r>
      <w:r w:rsidRPr="005C40EF">
        <w:rPr>
          <w:rFonts w:asciiTheme="minorHAnsi" w:hAnsiTheme="minorHAnsi" w:cstheme="minorHAnsi"/>
          <w:noProof/>
          <w:sz w:val="22"/>
          <w:szCs w:val="22"/>
          <w:lang w:val="es-ES"/>
        </w:rPr>
        <w:t xml:space="preserve"> la publicación de este informe emblemático </w:t>
      </w:r>
      <w:r w:rsidR="000B27E1" w:rsidRPr="005C40EF">
        <w:rPr>
          <w:rFonts w:asciiTheme="minorHAnsi" w:hAnsiTheme="minorHAnsi" w:cstheme="minorHAnsi"/>
          <w:noProof/>
          <w:sz w:val="22"/>
          <w:szCs w:val="22"/>
          <w:lang w:val="es-ES"/>
        </w:rPr>
        <w:t xml:space="preserve">está programada para </w:t>
      </w:r>
      <w:r w:rsidRPr="005C40EF">
        <w:rPr>
          <w:rFonts w:asciiTheme="minorHAnsi" w:hAnsiTheme="minorHAnsi" w:cstheme="minorHAnsi"/>
          <w:noProof/>
          <w:sz w:val="22"/>
          <w:szCs w:val="22"/>
          <w:lang w:val="es-ES"/>
        </w:rPr>
        <w:t xml:space="preserve">el 27 de septiembre de 2018, antes de la COP13. La Secretaría </w:t>
      </w:r>
      <w:r w:rsidR="000B27E1" w:rsidRPr="005C40EF">
        <w:rPr>
          <w:rFonts w:asciiTheme="minorHAnsi" w:hAnsiTheme="minorHAnsi" w:cstheme="minorHAnsi"/>
          <w:noProof/>
          <w:sz w:val="22"/>
          <w:szCs w:val="22"/>
          <w:lang w:val="es-ES"/>
        </w:rPr>
        <w:t>ha apoyado activamente</w:t>
      </w:r>
      <w:r w:rsidRPr="005C40EF">
        <w:rPr>
          <w:rFonts w:asciiTheme="minorHAnsi" w:hAnsiTheme="minorHAnsi" w:cstheme="minorHAnsi"/>
          <w:noProof/>
          <w:sz w:val="22"/>
          <w:szCs w:val="22"/>
          <w:lang w:val="es-ES"/>
        </w:rPr>
        <w:t xml:space="preserve"> a los autores del informe, </w:t>
      </w:r>
      <w:r w:rsidR="000B27E1" w:rsidRPr="005C40EF">
        <w:rPr>
          <w:rFonts w:asciiTheme="minorHAnsi" w:hAnsiTheme="minorHAnsi" w:cstheme="minorHAnsi"/>
          <w:noProof/>
          <w:sz w:val="22"/>
          <w:szCs w:val="22"/>
          <w:lang w:val="es-ES"/>
        </w:rPr>
        <w:t>lo que ha incluido</w:t>
      </w:r>
      <w:r w:rsidRPr="005C40EF">
        <w:rPr>
          <w:rFonts w:asciiTheme="minorHAnsi" w:hAnsiTheme="minorHAnsi" w:cstheme="minorHAnsi"/>
          <w:noProof/>
          <w:sz w:val="22"/>
          <w:szCs w:val="22"/>
          <w:lang w:val="es-ES"/>
        </w:rPr>
        <w:t xml:space="preserve"> la organización de talleres de redacción, la contratación de un editor profesional y el asesoramiento y apoyo en aspectos de</w:t>
      </w:r>
      <w:r w:rsidR="000B27E1" w:rsidRPr="005C40EF">
        <w:rPr>
          <w:rFonts w:asciiTheme="minorHAnsi" w:hAnsiTheme="minorHAnsi" w:cstheme="minorHAnsi"/>
          <w:noProof/>
          <w:sz w:val="22"/>
          <w:szCs w:val="22"/>
          <w:lang w:val="es-ES"/>
        </w:rPr>
        <w:t xml:space="preserve"> </w:t>
      </w:r>
      <w:r w:rsidRPr="005C40EF">
        <w:rPr>
          <w:rFonts w:asciiTheme="minorHAnsi" w:hAnsiTheme="minorHAnsi" w:cstheme="minorHAnsi"/>
          <w:noProof/>
          <w:sz w:val="22"/>
          <w:szCs w:val="22"/>
          <w:lang w:val="es-ES"/>
        </w:rPr>
        <w:t>comunicaciones y</w:t>
      </w:r>
      <w:r w:rsidR="000B27E1" w:rsidRPr="005C40EF">
        <w:rPr>
          <w:rFonts w:asciiTheme="minorHAnsi" w:hAnsiTheme="minorHAnsi" w:cstheme="minorHAnsi"/>
          <w:noProof/>
          <w:sz w:val="22"/>
          <w:szCs w:val="22"/>
          <w:lang w:val="es-ES"/>
        </w:rPr>
        <w:t xml:space="preserve"> </w:t>
      </w:r>
      <w:r w:rsidRPr="005C40EF">
        <w:rPr>
          <w:rFonts w:asciiTheme="minorHAnsi" w:hAnsiTheme="minorHAnsi" w:cstheme="minorHAnsi"/>
          <w:noProof/>
          <w:sz w:val="22"/>
          <w:szCs w:val="22"/>
          <w:lang w:val="es-ES"/>
        </w:rPr>
        <w:t xml:space="preserve">relevancia política del informe. </w:t>
      </w:r>
      <w:r w:rsidR="000B27E1" w:rsidRPr="005C40EF">
        <w:rPr>
          <w:rFonts w:asciiTheme="minorHAnsi" w:hAnsiTheme="minorHAnsi" w:cstheme="minorHAnsi"/>
          <w:noProof/>
          <w:sz w:val="22"/>
          <w:szCs w:val="22"/>
          <w:lang w:val="es-ES"/>
        </w:rPr>
        <w:t>Además,</w:t>
      </w:r>
      <w:r w:rsidRPr="005C40EF">
        <w:rPr>
          <w:rFonts w:asciiTheme="minorHAnsi" w:hAnsiTheme="minorHAnsi" w:cstheme="minorHAnsi"/>
          <w:noProof/>
          <w:sz w:val="22"/>
          <w:szCs w:val="22"/>
          <w:lang w:val="es-ES"/>
        </w:rPr>
        <w:t xml:space="preserve"> coordinó los aspectos de diseño y producción del informe junto con un resumen ejecutivo y una </w:t>
      </w:r>
      <w:r w:rsidRPr="00C94032">
        <w:rPr>
          <w:rFonts w:asciiTheme="minorHAnsi" w:hAnsiTheme="minorHAnsi" w:cstheme="minorHAnsi"/>
          <w:noProof/>
          <w:sz w:val="22"/>
          <w:szCs w:val="22"/>
          <w:lang w:val="es-ES"/>
        </w:rPr>
        <w:t xml:space="preserve">Nota </w:t>
      </w:r>
      <w:r w:rsidR="00D17AAE" w:rsidRPr="00C94032">
        <w:rPr>
          <w:rFonts w:asciiTheme="minorHAnsi" w:hAnsiTheme="minorHAnsi" w:cstheme="minorHAnsi"/>
          <w:noProof/>
          <w:sz w:val="22"/>
          <w:szCs w:val="22"/>
          <w:lang w:val="es-ES"/>
        </w:rPr>
        <w:t>I</w:t>
      </w:r>
      <w:r w:rsidRPr="00C94032">
        <w:rPr>
          <w:rFonts w:asciiTheme="minorHAnsi" w:hAnsiTheme="minorHAnsi" w:cstheme="minorHAnsi"/>
          <w:noProof/>
          <w:sz w:val="22"/>
          <w:szCs w:val="22"/>
          <w:lang w:val="es-ES"/>
        </w:rPr>
        <w:t xml:space="preserve">nformativa para los responsables de </w:t>
      </w:r>
      <w:r w:rsidR="000B27E1" w:rsidRPr="00C94032">
        <w:rPr>
          <w:rFonts w:asciiTheme="minorHAnsi" w:hAnsiTheme="minorHAnsi" w:cstheme="minorHAnsi"/>
          <w:noProof/>
          <w:sz w:val="22"/>
          <w:szCs w:val="22"/>
          <w:lang w:val="es-ES"/>
        </w:rPr>
        <w:t>formular</w:t>
      </w:r>
      <w:r w:rsidRPr="00C94032">
        <w:rPr>
          <w:rFonts w:asciiTheme="minorHAnsi" w:hAnsiTheme="minorHAnsi" w:cstheme="minorHAnsi"/>
          <w:noProof/>
          <w:sz w:val="22"/>
          <w:szCs w:val="22"/>
          <w:lang w:val="es-ES"/>
        </w:rPr>
        <w:t xml:space="preserve"> políticas</w:t>
      </w:r>
      <w:r w:rsidRPr="005C40EF">
        <w:rPr>
          <w:rFonts w:asciiTheme="minorHAnsi" w:hAnsiTheme="minorHAnsi" w:cstheme="minorHAnsi"/>
          <w:noProof/>
          <w:sz w:val="22"/>
          <w:szCs w:val="22"/>
          <w:lang w:val="es-ES"/>
        </w:rPr>
        <w:t>.</w:t>
      </w:r>
    </w:p>
    <w:p w14:paraId="7752A066" w14:textId="77777777" w:rsidR="007C79A0" w:rsidRPr="005C40EF" w:rsidRDefault="007C79A0" w:rsidP="00C94032">
      <w:pPr>
        <w:pStyle w:val="ListParagraph"/>
        <w:ind w:left="850"/>
        <w:rPr>
          <w:rFonts w:asciiTheme="minorHAnsi" w:hAnsiTheme="minorHAnsi" w:cstheme="minorHAnsi"/>
          <w:noProof/>
          <w:sz w:val="22"/>
          <w:szCs w:val="22"/>
          <w:lang w:val="es-ES"/>
        </w:rPr>
      </w:pPr>
    </w:p>
    <w:p w14:paraId="6F8DF693" w14:textId="116D4EA2" w:rsidR="000B27E1" w:rsidRPr="005C40EF" w:rsidRDefault="00D17AAE" w:rsidP="000B27E1">
      <w:pPr>
        <w:pStyle w:val="ListParagraph"/>
        <w:numPr>
          <w:ilvl w:val="0"/>
          <w:numId w:val="2"/>
        </w:numPr>
        <w:ind w:left="850" w:hanging="425"/>
        <w:rPr>
          <w:rFonts w:asciiTheme="minorHAnsi" w:hAnsiTheme="minorHAnsi" w:cstheme="minorHAnsi"/>
          <w:noProof/>
          <w:sz w:val="22"/>
          <w:szCs w:val="22"/>
          <w:lang w:val="es-ES"/>
        </w:rPr>
      </w:pPr>
      <w:r w:rsidRPr="005C40EF">
        <w:rPr>
          <w:rFonts w:asciiTheme="minorHAnsi" w:hAnsiTheme="minorHAnsi" w:cstheme="minorHAnsi"/>
          <w:noProof/>
          <w:sz w:val="22"/>
          <w:szCs w:val="22"/>
          <w:lang w:val="es-ES"/>
        </w:rPr>
        <w:t>Notas sobre Políticas</w:t>
      </w:r>
      <w:r w:rsidR="000B27E1" w:rsidRPr="005C40EF">
        <w:rPr>
          <w:rFonts w:asciiTheme="minorHAnsi" w:hAnsiTheme="minorHAnsi" w:cstheme="minorHAnsi"/>
          <w:noProof/>
          <w:sz w:val="22"/>
          <w:szCs w:val="22"/>
          <w:lang w:val="es-ES"/>
        </w:rPr>
        <w:t xml:space="preserve">: la Secretaría </w:t>
      </w:r>
      <w:r w:rsidR="00DF36DC" w:rsidRPr="005C40EF">
        <w:rPr>
          <w:rFonts w:asciiTheme="minorHAnsi" w:hAnsiTheme="minorHAnsi" w:cstheme="minorHAnsi"/>
          <w:noProof/>
          <w:sz w:val="22"/>
          <w:szCs w:val="22"/>
          <w:lang w:val="es-ES"/>
        </w:rPr>
        <w:t>elaboró el mandato</w:t>
      </w:r>
      <w:r w:rsidR="000B27E1" w:rsidRPr="005C40EF">
        <w:rPr>
          <w:rFonts w:asciiTheme="minorHAnsi" w:hAnsiTheme="minorHAnsi" w:cstheme="minorHAnsi"/>
          <w:noProof/>
          <w:sz w:val="22"/>
          <w:szCs w:val="22"/>
          <w:lang w:val="es-ES"/>
        </w:rPr>
        <w:t xml:space="preserve">, facilitó la redacción, identificó a los asociados y se puso en contacto con ellos y supervisó la producción, edición, traducción y difusión de </w:t>
      </w:r>
      <w:r w:rsidRPr="005C40EF">
        <w:rPr>
          <w:rFonts w:asciiTheme="minorHAnsi" w:hAnsiTheme="minorHAnsi" w:cstheme="minorHAnsi"/>
          <w:noProof/>
          <w:sz w:val="22"/>
          <w:szCs w:val="22"/>
          <w:lang w:val="es-ES"/>
        </w:rPr>
        <w:t>las</w:t>
      </w:r>
      <w:r w:rsidR="000B27E1" w:rsidRPr="005C40EF">
        <w:rPr>
          <w:rFonts w:asciiTheme="minorHAnsi" w:hAnsiTheme="minorHAnsi" w:cstheme="minorHAnsi"/>
          <w:noProof/>
          <w:sz w:val="22"/>
          <w:szCs w:val="22"/>
          <w:lang w:val="es-ES"/>
        </w:rPr>
        <w:t xml:space="preserve"> siguientes </w:t>
      </w:r>
      <w:r w:rsidRPr="005C40EF">
        <w:rPr>
          <w:rFonts w:asciiTheme="minorHAnsi" w:hAnsiTheme="minorHAnsi" w:cstheme="minorHAnsi"/>
          <w:noProof/>
          <w:sz w:val="22"/>
          <w:szCs w:val="22"/>
          <w:lang w:val="es-ES"/>
        </w:rPr>
        <w:t>Notas sobre Políticas</w:t>
      </w:r>
      <w:r w:rsidR="000B27E1" w:rsidRPr="005C40EF">
        <w:rPr>
          <w:rFonts w:asciiTheme="minorHAnsi" w:hAnsiTheme="minorHAnsi" w:cstheme="minorHAnsi"/>
          <w:noProof/>
          <w:sz w:val="22"/>
          <w:szCs w:val="22"/>
          <w:lang w:val="es-ES"/>
        </w:rPr>
        <w:t>:</w:t>
      </w:r>
    </w:p>
    <w:p w14:paraId="0A2B0650" w14:textId="615E167D" w:rsidR="0050764C" w:rsidRPr="005C40EF" w:rsidRDefault="00D17AAE" w:rsidP="0050764C">
      <w:pPr>
        <w:pStyle w:val="ListParagraph"/>
        <w:numPr>
          <w:ilvl w:val="1"/>
          <w:numId w:val="3"/>
        </w:numPr>
        <w:ind w:left="1276" w:hanging="425"/>
        <w:rPr>
          <w:rFonts w:asciiTheme="minorHAnsi" w:hAnsiTheme="minorHAnsi" w:cstheme="minorHAnsi"/>
          <w:noProof/>
          <w:sz w:val="22"/>
          <w:szCs w:val="22"/>
          <w:lang w:val="es-ES"/>
        </w:rPr>
      </w:pPr>
      <w:r w:rsidRPr="005C40EF">
        <w:rPr>
          <w:rFonts w:asciiTheme="minorHAnsi" w:hAnsiTheme="minorHAnsi" w:cstheme="minorHAnsi"/>
          <w:noProof/>
          <w:sz w:val="22"/>
          <w:szCs w:val="22"/>
          <w:lang w:val="es-ES"/>
        </w:rPr>
        <w:t xml:space="preserve">Nota sobre Políticas 1: </w:t>
      </w:r>
      <w:r w:rsidRPr="005C40EF">
        <w:rPr>
          <w:rFonts w:asciiTheme="minorHAnsi" w:hAnsiTheme="minorHAnsi" w:cstheme="minorHAnsi"/>
          <w:i/>
          <w:noProof/>
          <w:sz w:val="22"/>
          <w:szCs w:val="22"/>
          <w:lang w:val="es-ES"/>
        </w:rPr>
        <w:t>Humedales para la reducción del riesgo de desastres: Opciones eficaces para comunidades resilientes</w:t>
      </w:r>
      <w:r w:rsidR="003442C6" w:rsidRPr="005C40EF">
        <w:rPr>
          <w:rFonts w:asciiTheme="minorHAnsi" w:hAnsiTheme="minorHAnsi" w:cstheme="minorHAnsi"/>
          <w:noProof/>
          <w:sz w:val="22"/>
          <w:szCs w:val="22"/>
          <w:lang w:val="es-ES"/>
        </w:rPr>
        <w:t xml:space="preserve"> (2017), presentada junto </w:t>
      </w:r>
      <w:r w:rsidRPr="005C40EF">
        <w:rPr>
          <w:rFonts w:asciiTheme="minorHAnsi" w:hAnsiTheme="minorHAnsi" w:cstheme="minorHAnsi"/>
          <w:noProof/>
          <w:sz w:val="22"/>
          <w:szCs w:val="22"/>
          <w:lang w:val="es-ES"/>
        </w:rPr>
        <w:t xml:space="preserve">con Wetlands International, la </w:t>
      </w:r>
      <w:r w:rsidR="003442C6" w:rsidRPr="005C40EF">
        <w:rPr>
          <w:rFonts w:asciiTheme="minorHAnsi" w:hAnsiTheme="minorHAnsi" w:cstheme="minorHAnsi"/>
          <w:noProof/>
          <w:sz w:val="22"/>
          <w:szCs w:val="22"/>
          <w:lang w:val="es-ES"/>
        </w:rPr>
        <w:t>Asociación</w:t>
      </w:r>
      <w:r w:rsidRPr="005C40EF">
        <w:rPr>
          <w:rFonts w:asciiTheme="minorHAnsi" w:hAnsiTheme="minorHAnsi" w:cstheme="minorHAnsi"/>
          <w:noProof/>
          <w:sz w:val="22"/>
          <w:szCs w:val="22"/>
          <w:lang w:val="es-ES"/>
        </w:rPr>
        <w:t xml:space="preserve"> para el </w:t>
      </w:r>
      <w:r w:rsidR="003442C6" w:rsidRPr="005C40EF">
        <w:rPr>
          <w:rFonts w:asciiTheme="minorHAnsi" w:hAnsiTheme="minorHAnsi" w:cstheme="minorHAnsi"/>
          <w:noProof/>
          <w:sz w:val="22"/>
          <w:szCs w:val="22"/>
          <w:lang w:val="es-ES"/>
        </w:rPr>
        <w:t xml:space="preserve">Medio </w:t>
      </w:r>
      <w:r w:rsidRPr="005C40EF">
        <w:rPr>
          <w:rFonts w:asciiTheme="minorHAnsi" w:hAnsiTheme="minorHAnsi" w:cstheme="minorHAnsi"/>
          <w:noProof/>
          <w:sz w:val="22"/>
          <w:szCs w:val="22"/>
          <w:lang w:val="es-ES"/>
        </w:rPr>
        <w:t>Ambiente y la Reducción del Riesgo de Desastres (PEDRR) y la Oficina de las Naciones Unidas para la Reducción del Riesgo de Desastres (UNISDR);</w:t>
      </w:r>
    </w:p>
    <w:p w14:paraId="5575B07D" w14:textId="78AE1136" w:rsidR="00F2384C" w:rsidRPr="005C40EF" w:rsidRDefault="00D17AAE" w:rsidP="0050764C">
      <w:pPr>
        <w:pStyle w:val="ListParagraph"/>
        <w:numPr>
          <w:ilvl w:val="1"/>
          <w:numId w:val="3"/>
        </w:numPr>
        <w:ind w:left="1276" w:hanging="425"/>
        <w:rPr>
          <w:rFonts w:asciiTheme="minorHAnsi" w:hAnsiTheme="minorHAnsi" w:cstheme="minorHAnsi"/>
          <w:noProof/>
          <w:sz w:val="22"/>
          <w:szCs w:val="22"/>
          <w:lang w:val="es-ES"/>
        </w:rPr>
      </w:pPr>
      <w:r w:rsidRPr="005C40EF">
        <w:rPr>
          <w:rFonts w:asciiTheme="minorHAnsi" w:hAnsiTheme="minorHAnsi" w:cstheme="minorHAnsi"/>
          <w:noProof/>
          <w:sz w:val="22"/>
          <w:szCs w:val="22"/>
          <w:lang w:val="es-ES"/>
        </w:rPr>
        <w:t>Nota sobre Pol</w:t>
      </w:r>
      <w:r w:rsidR="00F2384C" w:rsidRPr="005C40EF">
        <w:rPr>
          <w:rFonts w:asciiTheme="minorHAnsi" w:hAnsiTheme="minorHAnsi" w:cstheme="minorHAnsi"/>
          <w:noProof/>
          <w:sz w:val="22"/>
          <w:szCs w:val="22"/>
          <w:lang w:val="es-ES"/>
        </w:rPr>
        <w:t>íticas 2</w:t>
      </w:r>
      <w:r w:rsidRPr="005C40EF">
        <w:rPr>
          <w:rFonts w:asciiTheme="minorHAnsi" w:hAnsiTheme="minorHAnsi" w:cstheme="minorHAnsi"/>
          <w:noProof/>
          <w:sz w:val="22"/>
          <w:szCs w:val="22"/>
          <w:lang w:val="es-ES"/>
        </w:rPr>
        <w:t xml:space="preserve">: </w:t>
      </w:r>
      <w:r w:rsidRPr="005C40EF">
        <w:rPr>
          <w:rFonts w:asciiTheme="minorHAnsi" w:hAnsiTheme="minorHAnsi" w:cstheme="minorHAnsi"/>
          <w:i/>
          <w:noProof/>
          <w:sz w:val="22"/>
          <w:szCs w:val="22"/>
          <w:lang w:val="es-ES"/>
        </w:rPr>
        <w:t>Integración de los múltiples valores de los humedales en la toma de decisiones</w:t>
      </w:r>
      <w:r w:rsidRPr="005C40EF">
        <w:rPr>
          <w:rFonts w:asciiTheme="minorHAnsi" w:hAnsiTheme="minorHAnsi" w:cstheme="minorHAnsi"/>
          <w:noProof/>
          <w:sz w:val="22"/>
          <w:szCs w:val="22"/>
          <w:lang w:val="es-ES"/>
        </w:rPr>
        <w:t xml:space="preserve"> (2017)</w:t>
      </w:r>
      <w:r w:rsidR="003442C6" w:rsidRPr="005C40EF">
        <w:rPr>
          <w:rFonts w:asciiTheme="minorHAnsi" w:hAnsiTheme="minorHAnsi" w:cstheme="minorHAnsi"/>
          <w:noProof/>
          <w:sz w:val="22"/>
          <w:szCs w:val="22"/>
          <w:lang w:val="es-ES"/>
        </w:rPr>
        <w:t>, presentada junto</w:t>
      </w:r>
      <w:r w:rsidR="0050764C" w:rsidRPr="005C40EF">
        <w:rPr>
          <w:rFonts w:asciiTheme="minorHAnsi" w:hAnsiTheme="minorHAnsi" w:cstheme="minorHAnsi"/>
          <w:noProof/>
          <w:sz w:val="22"/>
          <w:szCs w:val="22"/>
          <w:lang w:val="es-ES"/>
        </w:rPr>
        <w:t xml:space="preserve"> con la Plataforma Intergubernamental Científico-</w:t>
      </w:r>
      <w:r w:rsidR="00F2384C" w:rsidRPr="005C40EF">
        <w:rPr>
          <w:rFonts w:asciiTheme="minorHAnsi" w:hAnsiTheme="minorHAnsi" w:cstheme="minorHAnsi"/>
          <w:noProof/>
          <w:sz w:val="22"/>
          <w:szCs w:val="22"/>
          <w:lang w:val="es-ES"/>
        </w:rPr>
        <w:t>Normativa sobre Diversidad Biológica y Servicios de los Ecosistemas (IPBES);</w:t>
      </w:r>
    </w:p>
    <w:p w14:paraId="1E7DB8DE" w14:textId="27D9FF42" w:rsidR="0050764C" w:rsidRPr="005C40EF" w:rsidRDefault="00F2384C" w:rsidP="0050764C">
      <w:pPr>
        <w:pStyle w:val="ListParagraph"/>
        <w:numPr>
          <w:ilvl w:val="1"/>
          <w:numId w:val="3"/>
        </w:numPr>
        <w:ind w:left="1276" w:hanging="425"/>
        <w:rPr>
          <w:rFonts w:asciiTheme="minorHAnsi" w:hAnsiTheme="minorHAnsi" w:cstheme="minorHAnsi"/>
          <w:noProof/>
          <w:sz w:val="22"/>
          <w:szCs w:val="22"/>
          <w:lang w:val="es-ES"/>
        </w:rPr>
      </w:pPr>
      <w:r w:rsidRPr="005C40EF">
        <w:rPr>
          <w:rFonts w:asciiTheme="minorHAnsi" w:hAnsiTheme="minorHAnsi" w:cstheme="minorHAnsi"/>
          <w:noProof/>
          <w:sz w:val="22"/>
          <w:szCs w:val="22"/>
          <w:lang w:val="es-ES"/>
        </w:rPr>
        <w:t xml:space="preserve">Nota sobre Políticas 3: </w:t>
      </w:r>
      <w:r w:rsidRPr="005C40EF">
        <w:rPr>
          <w:rFonts w:asciiTheme="minorHAnsi" w:hAnsiTheme="minorHAnsi" w:cstheme="minorHAnsi"/>
          <w:i/>
          <w:noProof/>
          <w:sz w:val="22"/>
          <w:szCs w:val="22"/>
          <w:lang w:val="es-ES"/>
        </w:rPr>
        <w:t>Misiones Ramsar de Asesoramiento: Un mecanismo para responder a los cambios en las características ecológicas de los sitios Ramsar</w:t>
      </w:r>
      <w:r w:rsidRPr="005C40EF">
        <w:rPr>
          <w:rFonts w:asciiTheme="minorHAnsi" w:hAnsiTheme="minorHAnsi" w:cstheme="minorHAnsi"/>
          <w:noProof/>
          <w:sz w:val="22"/>
          <w:szCs w:val="22"/>
          <w:lang w:val="es-ES"/>
        </w:rPr>
        <w:t xml:space="preserve"> (2018); y</w:t>
      </w:r>
    </w:p>
    <w:p w14:paraId="00C04D84" w14:textId="29DFFE54" w:rsidR="00D17AAE" w:rsidRPr="005C40EF" w:rsidRDefault="00F2384C" w:rsidP="00D17AAE">
      <w:pPr>
        <w:pStyle w:val="ListParagraph"/>
        <w:numPr>
          <w:ilvl w:val="1"/>
          <w:numId w:val="3"/>
        </w:numPr>
        <w:ind w:left="1276" w:hanging="425"/>
        <w:rPr>
          <w:rFonts w:asciiTheme="minorHAnsi" w:hAnsiTheme="minorHAnsi" w:cstheme="minorHAnsi"/>
          <w:noProof/>
          <w:sz w:val="22"/>
          <w:szCs w:val="22"/>
          <w:lang w:val="es-ES"/>
        </w:rPr>
      </w:pPr>
      <w:r w:rsidRPr="005C40EF">
        <w:rPr>
          <w:rFonts w:asciiTheme="minorHAnsi" w:hAnsiTheme="minorHAnsi" w:cstheme="minorHAnsi"/>
          <w:noProof/>
          <w:sz w:val="22"/>
          <w:szCs w:val="22"/>
          <w:lang w:val="es-ES"/>
        </w:rPr>
        <w:t xml:space="preserve">Nota sobre Políticas </w:t>
      </w:r>
      <w:r w:rsidR="003442C6" w:rsidRPr="005C40EF">
        <w:rPr>
          <w:rFonts w:asciiTheme="minorHAnsi" w:hAnsiTheme="minorHAnsi" w:cstheme="minorHAnsi"/>
          <w:noProof/>
          <w:sz w:val="22"/>
          <w:szCs w:val="22"/>
          <w:lang w:val="es-ES"/>
        </w:rPr>
        <w:t>4</w:t>
      </w:r>
      <w:r w:rsidRPr="005C40EF">
        <w:rPr>
          <w:rFonts w:asciiTheme="minorHAnsi" w:hAnsiTheme="minorHAnsi" w:cstheme="minorHAnsi"/>
          <w:noProof/>
          <w:sz w:val="22"/>
          <w:szCs w:val="22"/>
          <w:lang w:val="es-ES"/>
        </w:rPr>
        <w:t xml:space="preserve">: </w:t>
      </w:r>
      <w:r w:rsidRPr="005C40EF">
        <w:rPr>
          <w:rFonts w:asciiTheme="minorHAnsi" w:hAnsiTheme="minorHAnsi" w:cstheme="minorHAnsi"/>
          <w:i/>
          <w:noProof/>
          <w:sz w:val="22"/>
          <w:szCs w:val="22"/>
          <w:lang w:val="es-ES"/>
        </w:rPr>
        <w:t>Implementing environmental flows with benefits for society and different wetland ecosystems in river systems</w:t>
      </w:r>
      <w:r w:rsidRPr="005C40EF">
        <w:rPr>
          <w:rFonts w:asciiTheme="minorHAnsi" w:hAnsiTheme="minorHAnsi" w:cstheme="minorHAnsi"/>
          <w:noProof/>
          <w:sz w:val="22"/>
          <w:szCs w:val="22"/>
          <w:lang w:val="es-ES"/>
        </w:rPr>
        <w:t xml:space="preserve"> [Aplicación de caudales ambientales con beneficios para la sociedad y diferentes ecosistemas de humedales en los sistemas fluviales] (2018)</w:t>
      </w:r>
    </w:p>
    <w:p w14:paraId="4391EBAF" w14:textId="77777777" w:rsidR="00E84D11" w:rsidRPr="005C40EF" w:rsidRDefault="00E84D11" w:rsidP="00C81B75">
      <w:pPr>
        <w:rPr>
          <w:rFonts w:asciiTheme="minorHAnsi" w:hAnsiTheme="minorHAnsi" w:cstheme="minorHAnsi"/>
          <w:noProof/>
          <w:sz w:val="22"/>
          <w:szCs w:val="22"/>
          <w:lang w:val="es-ES"/>
        </w:rPr>
      </w:pPr>
    </w:p>
    <w:p w14:paraId="2E9741EC" w14:textId="1DBC9748" w:rsidR="00F2384C" w:rsidRPr="005C40EF" w:rsidRDefault="00F2384C" w:rsidP="00C81B75">
      <w:pPr>
        <w:pStyle w:val="ListParagraph"/>
        <w:numPr>
          <w:ilvl w:val="0"/>
          <w:numId w:val="2"/>
        </w:numPr>
        <w:ind w:left="850" w:hanging="425"/>
        <w:rPr>
          <w:rFonts w:asciiTheme="minorHAnsi" w:hAnsiTheme="minorHAnsi" w:cstheme="minorHAnsi"/>
          <w:noProof/>
          <w:sz w:val="22"/>
          <w:szCs w:val="22"/>
          <w:lang w:val="es-ES"/>
        </w:rPr>
      </w:pPr>
      <w:r w:rsidRPr="005C40EF">
        <w:rPr>
          <w:rFonts w:asciiTheme="minorHAnsi" w:hAnsiTheme="minorHAnsi" w:cstheme="minorHAnsi"/>
          <w:noProof/>
          <w:sz w:val="22"/>
          <w:szCs w:val="22"/>
          <w:lang w:val="es-ES"/>
        </w:rPr>
        <w:t>Notas Informativas:</w:t>
      </w:r>
      <w:r w:rsidR="00B0055A" w:rsidRPr="005C40EF">
        <w:rPr>
          <w:rFonts w:asciiTheme="minorHAnsi" w:hAnsiTheme="minorHAnsi" w:cstheme="minorHAnsi"/>
          <w:noProof/>
          <w:sz w:val="22"/>
          <w:szCs w:val="22"/>
          <w:lang w:val="es-ES"/>
        </w:rPr>
        <w:t xml:space="preserve"> la Secretaría </w:t>
      </w:r>
      <w:r w:rsidR="003442C6" w:rsidRPr="005C40EF">
        <w:rPr>
          <w:rFonts w:asciiTheme="minorHAnsi" w:hAnsiTheme="minorHAnsi" w:cstheme="minorHAnsi"/>
          <w:noProof/>
          <w:sz w:val="22"/>
          <w:szCs w:val="22"/>
          <w:lang w:val="es-ES"/>
        </w:rPr>
        <w:t>elaboró el mandato</w:t>
      </w:r>
      <w:r w:rsidR="00B0055A" w:rsidRPr="005C40EF">
        <w:rPr>
          <w:rFonts w:asciiTheme="minorHAnsi" w:hAnsiTheme="minorHAnsi" w:cstheme="minorHAnsi"/>
          <w:noProof/>
          <w:sz w:val="22"/>
          <w:szCs w:val="22"/>
          <w:lang w:val="es-ES"/>
        </w:rPr>
        <w:t>, facilitó la redacción y supervisó la producción, edición, traducción y difusión de las siguientes Notas Informativas y el Informe técnico de Ramsar:</w:t>
      </w:r>
    </w:p>
    <w:p w14:paraId="1B58B299" w14:textId="1357DB4B" w:rsidR="0031686B" w:rsidRPr="005C40EF" w:rsidRDefault="00B0055A" w:rsidP="00A34358">
      <w:pPr>
        <w:pStyle w:val="ListParagraph"/>
        <w:numPr>
          <w:ilvl w:val="1"/>
          <w:numId w:val="3"/>
        </w:numPr>
        <w:ind w:left="1276" w:hanging="425"/>
        <w:rPr>
          <w:rFonts w:asciiTheme="minorHAnsi" w:hAnsiTheme="minorHAnsi" w:cstheme="minorHAnsi"/>
          <w:noProof/>
          <w:sz w:val="22"/>
          <w:szCs w:val="22"/>
          <w:lang w:val="es-ES"/>
        </w:rPr>
      </w:pPr>
      <w:r w:rsidRPr="005C40EF">
        <w:rPr>
          <w:rFonts w:asciiTheme="minorHAnsi" w:hAnsiTheme="minorHAnsi" w:cstheme="minorHAnsi"/>
          <w:noProof/>
          <w:sz w:val="22"/>
          <w:szCs w:val="22"/>
          <w:lang w:val="es-ES"/>
        </w:rPr>
        <w:t>Nota Informativa</w:t>
      </w:r>
      <w:r w:rsidR="00E84D11" w:rsidRPr="005C40EF">
        <w:rPr>
          <w:rFonts w:asciiTheme="minorHAnsi" w:hAnsiTheme="minorHAnsi" w:cstheme="minorHAnsi"/>
          <w:noProof/>
          <w:sz w:val="22"/>
          <w:szCs w:val="22"/>
          <w:lang w:val="es-ES"/>
        </w:rPr>
        <w:t xml:space="preserve"> 8: </w:t>
      </w:r>
      <w:r w:rsidRPr="005C40EF">
        <w:rPr>
          <w:rFonts w:asciiTheme="minorHAnsi" w:hAnsiTheme="minorHAnsi" w:cstheme="minorHAnsi"/>
          <w:i/>
          <w:noProof/>
          <w:sz w:val="22"/>
          <w:szCs w:val="22"/>
          <w:lang w:val="es-ES"/>
        </w:rPr>
        <w:t>Misiones R</w:t>
      </w:r>
      <w:r w:rsidR="00E84D11" w:rsidRPr="005C40EF">
        <w:rPr>
          <w:rFonts w:asciiTheme="minorHAnsi" w:hAnsiTheme="minorHAnsi" w:cstheme="minorHAnsi"/>
          <w:i/>
          <w:noProof/>
          <w:sz w:val="22"/>
          <w:szCs w:val="22"/>
          <w:lang w:val="es-ES"/>
        </w:rPr>
        <w:t xml:space="preserve">amsar </w:t>
      </w:r>
      <w:r w:rsidRPr="005C40EF">
        <w:rPr>
          <w:rFonts w:asciiTheme="minorHAnsi" w:hAnsiTheme="minorHAnsi" w:cstheme="minorHAnsi"/>
          <w:i/>
          <w:noProof/>
          <w:sz w:val="22"/>
          <w:szCs w:val="22"/>
          <w:lang w:val="es-ES"/>
        </w:rPr>
        <w:t>de Asesoramiento</w:t>
      </w:r>
      <w:r w:rsidR="00E84D11" w:rsidRPr="005C40EF">
        <w:rPr>
          <w:rFonts w:asciiTheme="minorHAnsi" w:hAnsiTheme="minorHAnsi" w:cstheme="minorHAnsi"/>
          <w:i/>
          <w:noProof/>
          <w:sz w:val="22"/>
          <w:szCs w:val="22"/>
          <w:lang w:val="es-ES"/>
        </w:rPr>
        <w:t xml:space="preserve">: </w:t>
      </w:r>
      <w:r w:rsidRPr="005C40EF">
        <w:rPr>
          <w:rFonts w:asciiTheme="minorHAnsi" w:hAnsiTheme="minorHAnsi" w:cstheme="minorHAnsi"/>
          <w:i/>
          <w:noProof/>
          <w:sz w:val="22"/>
          <w:szCs w:val="22"/>
          <w:lang w:val="es-ES"/>
        </w:rPr>
        <w:t>Asesoramiento técnico sobre los sitios Ramsar</w:t>
      </w:r>
      <w:r w:rsidR="00CB6225" w:rsidRPr="005C40EF">
        <w:rPr>
          <w:rFonts w:asciiTheme="minorHAnsi" w:hAnsiTheme="minorHAnsi" w:cstheme="minorHAnsi"/>
          <w:noProof/>
          <w:sz w:val="22"/>
          <w:szCs w:val="22"/>
          <w:lang w:val="es-ES"/>
        </w:rPr>
        <w:t>;</w:t>
      </w:r>
      <w:r w:rsidR="00E84D11" w:rsidRPr="005C40EF">
        <w:rPr>
          <w:rFonts w:asciiTheme="minorHAnsi" w:hAnsiTheme="minorHAnsi" w:cstheme="minorHAnsi"/>
          <w:noProof/>
          <w:sz w:val="22"/>
          <w:szCs w:val="22"/>
          <w:lang w:val="es-ES"/>
        </w:rPr>
        <w:t xml:space="preserve"> </w:t>
      </w:r>
    </w:p>
    <w:p w14:paraId="2C847D40" w14:textId="1361B2E4" w:rsidR="00B0055A" w:rsidRPr="005C40EF" w:rsidRDefault="00B0055A" w:rsidP="00A34358">
      <w:pPr>
        <w:pStyle w:val="ListParagraph"/>
        <w:numPr>
          <w:ilvl w:val="1"/>
          <w:numId w:val="3"/>
        </w:numPr>
        <w:ind w:left="1276" w:hanging="425"/>
        <w:rPr>
          <w:rFonts w:asciiTheme="minorHAnsi" w:hAnsiTheme="minorHAnsi" w:cstheme="minorHAnsi"/>
          <w:noProof/>
          <w:sz w:val="22"/>
          <w:szCs w:val="22"/>
          <w:lang w:val="es-ES"/>
        </w:rPr>
      </w:pPr>
      <w:r w:rsidRPr="005C40EF">
        <w:rPr>
          <w:rFonts w:asciiTheme="minorHAnsi" w:hAnsiTheme="minorHAnsi" w:cstheme="minorHAnsi"/>
          <w:noProof/>
          <w:sz w:val="22"/>
          <w:szCs w:val="22"/>
          <w:lang w:val="es-ES"/>
        </w:rPr>
        <w:t>Lineamientos para la realización de inventarios de turberas tropicales con miras a facilitar su designación como sitios Ramsar;</w:t>
      </w:r>
    </w:p>
    <w:p w14:paraId="72B03683" w14:textId="11B36055" w:rsidR="0031686B" w:rsidRPr="005C40EF" w:rsidRDefault="00B0055A" w:rsidP="00A34358">
      <w:pPr>
        <w:pStyle w:val="ListParagraph"/>
        <w:numPr>
          <w:ilvl w:val="1"/>
          <w:numId w:val="3"/>
        </w:numPr>
        <w:ind w:left="1276" w:hanging="425"/>
        <w:rPr>
          <w:rFonts w:asciiTheme="minorHAnsi" w:hAnsiTheme="minorHAnsi" w:cstheme="minorHAnsi"/>
          <w:noProof/>
          <w:sz w:val="22"/>
          <w:szCs w:val="22"/>
          <w:lang w:val="es-ES"/>
        </w:rPr>
      </w:pPr>
      <w:r w:rsidRPr="005C40EF">
        <w:rPr>
          <w:rFonts w:asciiTheme="minorHAnsi" w:hAnsiTheme="minorHAnsi" w:cstheme="minorHAnsi"/>
          <w:i/>
          <w:noProof/>
          <w:sz w:val="22"/>
          <w:szCs w:val="22"/>
          <w:lang w:val="es-ES"/>
        </w:rPr>
        <w:lastRenderedPageBreak/>
        <w:t>Restauración de humedales para la resiliencia al cambio climático</w:t>
      </w:r>
      <w:r w:rsidR="00CB6225" w:rsidRPr="005C40EF">
        <w:rPr>
          <w:rFonts w:asciiTheme="minorHAnsi" w:hAnsiTheme="minorHAnsi" w:cstheme="minorHAnsi"/>
          <w:noProof/>
          <w:sz w:val="22"/>
          <w:szCs w:val="22"/>
          <w:lang w:val="es-ES"/>
        </w:rPr>
        <w:t xml:space="preserve">; </w:t>
      </w:r>
      <w:r w:rsidRPr="005C40EF">
        <w:rPr>
          <w:rFonts w:asciiTheme="minorHAnsi" w:hAnsiTheme="minorHAnsi" w:cstheme="minorHAnsi"/>
          <w:noProof/>
          <w:sz w:val="22"/>
          <w:szCs w:val="22"/>
          <w:lang w:val="es-ES"/>
        </w:rPr>
        <w:t>y</w:t>
      </w:r>
    </w:p>
    <w:p w14:paraId="63D2CC57" w14:textId="6E0FED10" w:rsidR="00C81B75" w:rsidRPr="005C40EF" w:rsidRDefault="00B0055A" w:rsidP="00A34358">
      <w:pPr>
        <w:pStyle w:val="ListParagraph"/>
        <w:numPr>
          <w:ilvl w:val="1"/>
          <w:numId w:val="3"/>
        </w:numPr>
        <w:ind w:left="1276" w:hanging="425"/>
        <w:rPr>
          <w:rFonts w:asciiTheme="minorHAnsi" w:hAnsiTheme="minorHAnsi" w:cstheme="minorHAnsi"/>
          <w:noProof/>
          <w:sz w:val="22"/>
          <w:szCs w:val="22"/>
          <w:lang w:val="es-ES"/>
        </w:rPr>
      </w:pPr>
      <w:r w:rsidRPr="005C40EF">
        <w:rPr>
          <w:rFonts w:asciiTheme="minorHAnsi" w:hAnsiTheme="minorHAnsi" w:cstheme="minorHAnsi"/>
          <w:noProof/>
          <w:sz w:val="22"/>
          <w:szCs w:val="22"/>
          <w:lang w:val="es-ES"/>
        </w:rPr>
        <w:t xml:space="preserve">Informe Técnico de </w:t>
      </w:r>
      <w:r w:rsidR="00E84D11" w:rsidRPr="005C40EF">
        <w:rPr>
          <w:rFonts w:asciiTheme="minorHAnsi" w:hAnsiTheme="minorHAnsi" w:cstheme="minorHAnsi"/>
          <w:noProof/>
          <w:sz w:val="22"/>
          <w:szCs w:val="22"/>
          <w:lang w:val="es-ES"/>
        </w:rPr>
        <w:t xml:space="preserve">Ramsar: </w:t>
      </w:r>
      <w:r w:rsidR="00E84D11" w:rsidRPr="005C40EF">
        <w:rPr>
          <w:rFonts w:asciiTheme="minorHAnsi" w:hAnsiTheme="minorHAnsi" w:cstheme="minorHAnsi"/>
          <w:i/>
          <w:noProof/>
          <w:sz w:val="22"/>
          <w:szCs w:val="22"/>
          <w:lang w:val="es-ES"/>
        </w:rPr>
        <w:t>The use of Earth Observation for wetland inventory, assessment and monitoring:</w:t>
      </w:r>
      <w:r w:rsidR="00BB3388" w:rsidRPr="005C40EF">
        <w:rPr>
          <w:rFonts w:asciiTheme="minorHAnsi" w:hAnsiTheme="minorHAnsi" w:cstheme="minorHAnsi"/>
          <w:i/>
          <w:noProof/>
          <w:sz w:val="22"/>
          <w:szCs w:val="22"/>
          <w:lang w:val="es-ES"/>
        </w:rPr>
        <w:t xml:space="preserve"> </w:t>
      </w:r>
      <w:r w:rsidR="00E84D11" w:rsidRPr="005C40EF">
        <w:rPr>
          <w:rFonts w:asciiTheme="minorHAnsi" w:hAnsiTheme="minorHAnsi" w:cstheme="minorHAnsi"/>
          <w:i/>
          <w:noProof/>
          <w:sz w:val="22"/>
          <w:szCs w:val="22"/>
          <w:lang w:val="es-ES"/>
        </w:rPr>
        <w:t xml:space="preserve">An information source for the Ramsar Convention </w:t>
      </w:r>
      <w:r w:rsidR="005E73D9" w:rsidRPr="005C40EF">
        <w:rPr>
          <w:rFonts w:asciiTheme="minorHAnsi" w:hAnsiTheme="minorHAnsi" w:cstheme="minorHAnsi"/>
          <w:i/>
          <w:noProof/>
          <w:sz w:val="22"/>
          <w:szCs w:val="22"/>
          <w:lang w:val="es-ES"/>
        </w:rPr>
        <w:t>on</w:t>
      </w:r>
      <w:r w:rsidR="00E84D11" w:rsidRPr="005C40EF">
        <w:rPr>
          <w:rFonts w:asciiTheme="minorHAnsi" w:hAnsiTheme="minorHAnsi" w:cstheme="minorHAnsi"/>
          <w:i/>
          <w:noProof/>
          <w:sz w:val="22"/>
          <w:szCs w:val="22"/>
          <w:lang w:val="es-ES"/>
        </w:rPr>
        <w:t xml:space="preserve"> Wetlands</w:t>
      </w:r>
      <w:r w:rsidRPr="005C40EF">
        <w:rPr>
          <w:rFonts w:asciiTheme="minorHAnsi" w:hAnsiTheme="minorHAnsi" w:cstheme="minorHAnsi"/>
          <w:i/>
          <w:noProof/>
          <w:sz w:val="22"/>
          <w:szCs w:val="22"/>
          <w:lang w:val="es-ES"/>
        </w:rPr>
        <w:t xml:space="preserve"> </w:t>
      </w:r>
      <w:r w:rsidRPr="005C40EF">
        <w:rPr>
          <w:rFonts w:asciiTheme="minorHAnsi" w:hAnsiTheme="minorHAnsi" w:cstheme="minorHAnsi"/>
          <w:noProof/>
          <w:sz w:val="22"/>
          <w:szCs w:val="22"/>
          <w:lang w:val="es-ES"/>
        </w:rPr>
        <w:t>[El uso de la Observación de la Tierra para el inventario, evaluación y vigilancia de los humedales: una fuente de Información para la Convención de Ramsar sobre los Humedales]</w:t>
      </w:r>
      <w:r w:rsidR="00CB6225" w:rsidRPr="005C40EF">
        <w:rPr>
          <w:rFonts w:asciiTheme="minorHAnsi" w:hAnsiTheme="minorHAnsi" w:cstheme="minorHAnsi"/>
          <w:noProof/>
          <w:sz w:val="22"/>
          <w:szCs w:val="22"/>
          <w:lang w:val="es-ES"/>
        </w:rPr>
        <w:t>.</w:t>
      </w:r>
    </w:p>
    <w:p w14:paraId="69C7E677" w14:textId="77777777" w:rsidR="00C81B75" w:rsidRPr="005C40EF" w:rsidRDefault="00C81B75" w:rsidP="00A34358">
      <w:pPr>
        <w:rPr>
          <w:rFonts w:asciiTheme="minorHAnsi" w:hAnsiTheme="minorHAnsi" w:cstheme="minorHAnsi"/>
          <w:noProof/>
          <w:sz w:val="22"/>
          <w:szCs w:val="22"/>
          <w:lang w:val="es-ES"/>
        </w:rPr>
      </w:pPr>
    </w:p>
    <w:p w14:paraId="632EA0A5" w14:textId="2D068853" w:rsidR="00E84D11" w:rsidRPr="005C40EF" w:rsidRDefault="00DF36DC" w:rsidP="00D044C9">
      <w:pPr>
        <w:pStyle w:val="ListParagraph"/>
        <w:numPr>
          <w:ilvl w:val="0"/>
          <w:numId w:val="2"/>
        </w:numPr>
        <w:ind w:left="850" w:hanging="425"/>
        <w:rPr>
          <w:rFonts w:asciiTheme="minorHAnsi" w:hAnsiTheme="minorHAnsi" w:cstheme="minorHAnsi"/>
          <w:noProof/>
          <w:sz w:val="22"/>
          <w:szCs w:val="22"/>
          <w:lang w:val="es-ES"/>
        </w:rPr>
      </w:pPr>
      <w:r w:rsidRPr="005C40EF">
        <w:rPr>
          <w:rFonts w:asciiTheme="minorHAnsi" w:hAnsiTheme="minorHAnsi" w:cstheme="minorHAnsi"/>
          <w:noProof/>
          <w:sz w:val="22"/>
          <w:szCs w:val="22"/>
          <w:lang w:val="es-ES"/>
        </w:rPr>
        <w:t xml:space="preserve">La Secretaría publicó en línea un juego de herramientas para el manejo de sitios Ramsar, preparado por el GECT </w:t>
      </w:r>
      <w:r w:rsidR="00E84D11" w:rsidRPr="005C40EF">
        <w:rPr>
          <w:rFonts w:asciiTheme="minorHAnsi" w:hAnsiTheme="minorHAnsi" w:cstheme="minorHAnsi"/>
          <w:noProof/>
          <w:sz w:val="22"/>
          <w:szCs w:val="22"/>
          <w:lang w:val="es-ES"/>
        </w:rPr>
        <w:t>(</w:t>
      </w:r>
      <w:r w:rsidR="00D044C9" w:rsidRPr="00D044C9">
        <w:rPr>
          <w:rStyle w:val="Hyperlink"/>
          <w:rFonts w:asciiTheme="minorHAnsi" w:hAnsiTheme="minorHAnsi" w:cstheme="minorHAnsi"/>
          <w:noProof/>
          <w:sz w:val="22"/>
          <w:szCs w:val="22"/>
          <w:lang w:val="es-ES"/>
        </w:rPr>
        <w:t>https://www.ramsar.org/es/recursos/juego-de-herramientas-para-el-manejo-de-sitios-ramsar</w:t>
      </w:r>
      <w:r w:rsidR="00E84D11" w:rsidRPr="005C40EF">
        <w:rPr>
          <w:rFonts w:asciiTheme="minorHAnsi" w:hAnsiTheme="minorHAnsi" w:cstheme="minorHAnsi"/>
          <w:noProof/>
          <w:sz w:val="22"/>
          <w:szCs w:val="22"/>
          <w:lang w:val="es-ES"/>
        </w:rPr>
        <w:t>)</w:t>
      </w:r>
      <w:r w:rsidR="00CB6225" w:rsidRPr="005C40EF">
        <w:rPr>
          <w:rFonts w:asciiTheme="minorHAnsi" w:hAnsiTheme="minorHAnsi" w:cstheme="minorHAnsi"/>
          <w:noProof/>
          <w:sz w:val="22"/>
          <w:szCs w:val="22"/>
          <w:lang w:val="es-ES"/>
        </w:rPr>
        <w:t>.</w:t>
      </w:r>
      <w:r w:rsidR="00E84D11" w:rsidRPr="005C40EF">
        <w:rPr>
          <w:rFonts w:asciiTheme="minorHAnsi" w:hAnsiTheme="minorHAnsi" w:cstheme="minorHAnsi"/>
          <w:noProof/>
          <w:sz w:val="22"/>
          <w:szCs w:val="22"/>
          <w:lang w:val="es-ES"/>
        </w:rPr>
        <w:t xml:space="preserve"> </w:t>
      </w:r>
    </w:p>
    <w:p w14:paraId="0ED5C4F1" w14:textId="77777777" w:rsidR="00E84D11" w:rsidRPr="005C40EF" w:rsidRDefault="00E84D11" w:rsidP="00A34358">
      <w:pPr>
        <w:pStyle w:val="ListParagraph"/>
        <w:ind w:left="425"/>
        <w:rPr>
          <w:rFonts w:asciiTheme="minorHAnsi" w:hAnsiTheme="minorHAnsi" w:cstheme="minorHAnsi"/>
          <w:noProof/>
          <w:sz w:val="22"/>
          <w:szCs w:val="22"/>
          <w:lang w:val="es-ES"/>
        </w:rPr>
      </w:pPr>
    </w:p>
    <w:p w14:paraId="76D565D8" w14:textId="77777777" w:rsidR="00067F7F" w:rsidRPr="005C40EF" w:rsidRDefault="00DF36DC" w:rsidP="00067F7F">
      <w:pPr>
        <w:pStyle w:val="ListParagraph"/>
        <w:numPr>
          <w:ilvl w:val="0"/>
          <w:numId w:val="2"/>
        </w:numPr>
        <w:ind w:left="850" w:hanging="425"/>
        <w:rPr>
          <w:rFonts w:asciiTheme="minorHAnsi" w:hAnsiTheme="minorHAnsi" w:cstheme="minorHAnsi"/>
          <w:noProof/>
          <w:sz w:val="22"/>
          <w:szCs w:val="22"/>
          <w:lang w:val="es-ES"/>
        </w:rPr>
      </w:pPr>
      <w:r w:rsidRPr="005C40EF">
        <w:rPr>
          <w:rFonts w:asciiTheme="minorHAnsi" w:hAnsiTheme="minorHAnsi" w:cstheme="minorHAnsi"/>
          <w:noProof/>
          <w:sz w:val="22"/>
          <w:szCs w:val="22"/>
          <w:lang w:val="es-ES"/>
        </w:rPr>
        <w:t>En la reunión</w:t>
      </w:r>
      <w:r w:rsidR="006926C5" w:rsidRPr="005C40EF">
        <w:rPr>
          <w:rFonts w:asciiTheme="minorHAnsi" w:hAnsiTheme="minorHAnsi" w:cstheme="minorHAnsi"/>
          <w:noProof/>
          <w:sz w:val="22"/>
          <w:szCs w:val="22"/>
          <w:lang w:val="es-ES"/>
        </w:rPr>
        <w:t xml:space="preserve"> STRP20</w:t>
      </w:r>
      <w:r w:rsidRPr="005C40EF">
        <w:rPr>
          <w:rFonts w:asciiTheme="minorHAnsi" w:hAnsiTheme="minorHAnsi" w:cstheme="minorHAnsi"/>
          <w:noProof/>
          <w:sz w:val="22"/>
          <w:szCs w:val="22"/>
          <w:lang w:val="es-ES"/>
        </w:rPr>
        <w:t>, representantes de las Secretarías del Convenio sobre la Diversidad Biológica (CDB), la Convención de las Naciones Unidas de Lucha contra la Desertificación (CNULD) y el Comité Técnico del Acuerdo sobre las Aves Acuáticas Migratorias de África y Eurasia (AEWA) aportaron perspectivas sobre oportunidades de colaboración.</w:t>
      </w:r>
    </w:p>
    <w:p w14:paraId="68C1C1AD" w14:textId="77777777" w:rsidR="00067F7F" w:rsidRPr="005C40EF" w:rsidRDefault="00067F7F" w:rsidP="00067F7F">
      <w:pPr>
        <w:pStyle w:val="ListParagraph"/>
        <w:rPr>
          <w:rFonts w:cs="Arial"/>
          <w:noProof/>
          <w:lang w:val="es-ES"/>
        </w:rPr>
      </w:pPr>
    </w:p>
    <w:p w14:paraId="64605FA5" w14:textId="296E4A43" w:rsidR="003442C6" w:rsidRPr="005C40EF" w:rsidRDefault="00067F7F" w:rsidP="00067F7F">
      <w:pPr>
        <w:pStyle w:val="ListParagraph"/>
        <w:numPr>
          <w:ilvl w:val="0"/>
          <w:numId w:val="2"/>
        </w:numPr>
        <w:ind w:left="850" w:hanging="425"/>
        <w:rPr>
          <w:rFonts w:asciiTheme="minorHAnsi" w:hAnsiTheme="minorHAnsi" w:cstheme="minorHAnsi"/>
          <w:noProof/>
          <w:sz w:val="22"/>
          <w:szCs w:val="22"/>
          <w:lang w:val="es-ES"/>
        </w:rPr>
      </w:pPr>
      <w:r w:rsidRPr="005C40EF">
        <w:rPr>
          <w:rFonts w:asciiTheme="minorHAnsi" w:hAnsiTheme="minorHAnsi" w:cstheme="minorHAnsi"/>
          <w:noProof/>
          <w:sz w:val="22"/>
          <w:szCs w:val="22"/>
          <w:lang w:val="es-ES"/>
        </w:rPr>
        <w:t>Los principales resultados de la reunión STRP21 incluyen la ejecución de las tareas del GECT, la finalización de los proyectos de resoluciones científicas y técnicas para la COP13 y el establecimiento de prioridades sobre los aspectos científicos y técnicos de la Convención para el trienio 2019-2021.</w:t>
      </w:r>
      <w:r w:rsidR="00A73623" w:rsidRPr="005C40EF">
        <w:rPr>
          <w:rFonts w:asciiTheme="minorHAnsi" w:hAnsiTheme="minorHAnsi" w:cstheme="minorHAnsi"/>
          <w:noProof/>
          <w:sz w:val="22"/>
          <w:szCs w:val="22"/>
          <w:lang w:val="es-ES"/>
        </w:rPr>
        <w:t xml:space="preserve"> </w:t>
      </w:r>
      <w:r w:rsidR="003442C6" w:rsidRPr="005C40EF">
        <w:rPr>
          <w:rFonts w:asciiTheme="minorHAnsi" w:hAnsiTheme="minorHAnsi" w:cstheme="minorHAnsi"/>
          <w:noProof/>
          <w:sz w:val="22"/>
          <w:szCs w:val="22"/>
          <w:lang w:val="es-ES"/>
        </w:rPr>
        <w:t>Asimismo,</w:t>
      </w:r>
      <w:r w:rsidR="00BB3F02" w:rsidRPr="005C40EF">
        <w:rPr>
          <w:rFonts w:asciiTheme="minorHAnsi" w:hAnsiTheme="minorHAnsi" w:cstheme="minorHAnsi"/>
          <w:noProof/>
          <w:sz w:val="22"/>
          <w:szCs w:val="22"/>
          <w:lang w:val="es-ES"/>
        </w:rPr>
        <w:t xml:space="preserve"> la Secretaría</w:t>
      </w:r>
      <w:r w:rsidR="003442C6" w:rsidRPr="005C40EF">
        <w:rPr>
          <w:rFonts w:asciiTheme="minorHAnsi" w:hAnsiTheme="minorHAnsi" w:cstheme="minorHAnsi"/>
          <w:noProof/>
          <w:sz w:val="22"/>
          <w:szCs w:val="22"/>
          <w:lang w:val="es-ES"/>
        </w:rPr>
        <w:t xml:space="preserve"> coordinó consultorías y exámenes externos para varios proyectos relacionados con las tareas de alta prioridad del GECT, </w:t>
      </w:r>
      <w:r w:rsidR="00BB3F02" w:rsidRPr="005C40EF">
        <w:rPr>
          <w:rFonts w:asciiTheme="minorHAnsi" w:hAnsiTheme="minorHAnsi" w:cstheme="minorHAnsi"/>
          <w:noProof/>
          <w:sz w:val="22"/>
          <w:szCs w:val="22"/>
          <w:lang w:val="es-ES"/>
        </w:rPr>
        <w:t>entre estos</w:t>
      </w:r>
      <w:r w:rsidR="003442C6" w:rsidRPr="005C40EF">
        <w:rPr>
          <w:rFonts w:asciiTheme="minorHAnsi" w:hAnsiTheme="minorHAnsi" w:cstheme="minorHAnsi"/>
          <w:noProof/>
          <w:sz w:val="22"/>
          <w:szCs w:val="22"/>
          <w:lang w:val="es-ES"/>
        </w:rPr>
        <w:t xml:space="preserve"> un examen y análisis independientes de la organización de las Misiones Ramsar de Asesoramiento, así como una actualización del Índice WET (Tendencias de la extensión de los humedales) por el</w:t>
      </w:r>
      <w:r w:rsidR="00BB3F02" w:rsidRPr="005C40EF">
        <w:rPr>
          <w:rFonts w:asciiTheme="minorHAnsi" w:hAnsiTheme="minorHAnsi" w:cstheme="minorHAnsi"/>
          <w:noProof/>
          <w:sz w:val="22"/>
          <w:szCs w:val="22"/>
          <w:lang w:val="es-ES"/>
        </w:rPr>
        <w:t xml:space="preserve"> Centro Mundial de Vigilancia de la Conservación</w:t>
      </w:r>
      <w:r w:rsidR="003442C6" w:rsidRPr="005C40EF">
        <w:rPr>
          <w:rFonts w:asciiTheme="minorHAnsi" w:hAnsiTheme="minorHAnsi" w:cstheme="minorHAnsi"/>
          <w:noProof/>
          <w:sz w:val="22"/>
          <w:szCs w:val="22"/>
          <w:lang w:val="es-ES"/>
        </w:rPr>
        <w:t xml:space="preserve"> </w:t>
      </w:r>
      <w:r w:rsidR="00BB3F02" w:rsidRPr="005C40EF">
        <w:rPr>
          <w:rFonts w:asciiTheme="minorHAnsi" w:hAnsiTheme="minorHAnsi" w:cstheme="minorHAnsi"/>
          <w:noProof/>
          <w:sz w:val="22"/>
          <w:szCs w:val="22"/>
          <w:lang w:val="es-ES"/>
        </w:rPr>
        <w:t>de las Nacione</w:t>
      </w:r>
      <w:r w:rsidR="00D31E05" w:rsidRPr="005C40EF">
        <w:rPr>
          <w:rFonts w:asciiTheme="minorHAnsi" w:hAnsiTheme="minorHAnsi" w:cstheme="minorHAnsi"/>
          <w:noProof/>
          <w:sz w:val="22"/>
          <w:szCs w:val="22"/>
          <w:lang w:val="es-ES"/>
        </w:rPr>
        <w:t xml:space="preserve">s Unidas </w:t>
      </w:r>
      <w:r w:rsidR="00BB3F02" w:rsidRPr="005C40EF">
        <w:rPr>
          <w:rFonts w:asciiTheme="minorHAnsi" w:hAnsiTheme="minorHAnsi" w:cstheme="minorHAnsi"/>
          <w:noProof/>
          <w:sz w:val="22"/>
          <w:szCs w:val="22"/>
          <w:lang w:val="es-ES"/>
        </w:rPr>
        <w:t>(CMVC-</w:t>
      </w:r>
      <w:r w:rsidR="003442C6" w:rsidRPr="005C40EF">
        <w:rPr>
          <w:rFonts w:asciiTheme="minorHAnsi" w:hAnsiTheme="minorHAnsi" w:cstheme="minorHAnsi"/>
          <w:noProof/>
          <w:sz w:val="22"/>
          <w:szCs w:val="22"/>
          <w:lang w:val="es-ES"/>
        </w:rPr>
        <w:t>PNUMA</w:t>
      </w:r>
      <w:r w:rsidR="00BB3F02" w:rsidRPr="005C40EF">
        <w:rPr>
          <w:rFonts w:asciiTheme="minorHAnsi" w:hAnsiTheme="minorHAnsi" w:cstheme="minorHAnsi"/>
          <w:noProof/>
          <w:sz w:val="22"/>
          <w:szCs w:val="22"/>
          <w:lang w:val="es-ES"/>
        </w:rPr>
        <w:t>)</w:t>
      </w:r>
      <w:r w:rsidR="003442C6" w:rsidRPr="005C40EF">
        <w:rPr>
          <w:rFonts w:asciiTheme="minorHAnsi" w:hAnsiTheme="minorHAnsi" w:cstheme="minorHAnsi"/>
          <w:noProof/>
          <w:sz w:val="22"/>
          <w:szCs w:val="22"/>
          <w:lang w:val="es-ES"/>
        </w:rPr>
        <w:t>.</w:t>
      </w:r>
    </w:p>
    <w:p w14:paraId="5ED06345" w14:textId="77777777" w:rsidR="0031686B" w:rsidRPr="005C40EF" w:rsidRDefault="0031686B" w:rsidP="00C81B75">
      <w:pPr>
        <w:rPr>
          <w:rFonts w:cstheme="minorHAnsi"/>
          <w:noProof/>
          <w:sz w:val="22"/>
          <w:szCs w:val="22"/>
          <w:lang w:val="es-ES"/>
        </w:rPr>
      </w:pPr>
    </w:p>
    <w:p w14:paraId="3BE9A04F" w14:textId="42E56BE7" w:rsidR="006926C5" w:rsidRPr="005C40EF" w:rsidRDefault="006926C5" w:rsidP="00635EC0">
      <w:pPr>
        <w:ind w:left="425"/>
        <w:rPr>
          <w:rFonts w:asciiTheme="minorHAnsi" w:hAnsiTheme="minorHAnsi" w:cstheme="minorHAnsi"/>
          <w:noProof/>
          <w:sz w:val="22"/>
          <w:szCs w:val="22"/>
          <w:lang w:val="es-ES"/>
        </w:rPr>
      </w:pPr>
      <w:r w:rsidRPr="005C40EF">
        <w:rPr>
          <w:rFonts w:asciiTheme="minorHAnsi" w:hAnsiTheme="minorHAnsi" w:cstheme="minorHAnsi"/>
          <w:noProof/>
          <w:sz w:val="22"/>
          <w:szCs w:val="22"/>
          <w:lang w:val="es-ES"/>
        </w:rPr>
        <w:t xml:space="preserve">En general, los resultados de esta área de trabajo fueron positivos y </w:t>
      </w:r>
      <w:r w:rsidR="00083099" w:rsidRPr="005C40EF">
        <w:rPr>
          <w:rFonts w:asciiTheme="minorHAnsi" w:hAnsiTheme="minorHAnsi" w:cstheme="minorHAnsi"/>
          <w:noProof/>
          <w:sz w:val="22"/>
          <w:szCs w:val="22"/>
          <w:lang w:val="es-ES"/>
        </w:rPr>
        <w:t>la Presidencia</w:t>
      </w:r>
      <w:r w:rsidRPr="005C40EF">
        <w:rPr>
          <w:rFonts w:asciiTheme="minorHAnsi" w:hAnsiTheme="minorHAnsi" w:cstheme="minorHAnsi"/>
          <w:noProof/>
          <w:sz w:val="22"/>
          <w:szCs w:val="22"/>
          <w:lang w:val="es-ES"/>
        </w:rPr>
        <w:t xml:space="preserve"> del GECT elogió</w:t>
      </w:r>
      <w:r w:rsidR="00083099" w:rsidRPr="005C40EF">
        <w:rPr>
          <w:rFonts w:asciiTheme="minorHAnsi" w:hAnsiTheme="minorHAnsi" w:cstheme="minorHAnsi"/>
          <w:noProof/>
          <w:sz w:val="22"/>
          <w:szCs w:val="22"/>
          <w:lang w:val="es-ES"/>
        </w:rPr>
        <w:t>,</w:t>
      </w:r>
      <w:r w:rsidRPr="005C40EF">
        <w:rPr>
          <w:rFonts w:asciiTheme="minorHAnsi" w:hAnsiTheme="minorHAnsi" w:cstheme="minorHAnsi"/>
          <w:noProof/>
          <w:sz w:val="22"/>
          <w:szCs w:val="22"/>
          <w:lang w:val="es-ES"/>
        </w:rPr>
        <w:t xml:space="preserve"> en la reunión STRP21</w:t>
      </w:r>
      <w:r w:rsidR="00083099" w:rsidRPr="005C40EF">
        <w:rPr>
          <w:rFonts w:asciiTheme="minorHAnsi" w:hAnsiTheme="minorHAnsi" w:cstheme="minorHAnsi"/>
          <w:noProof/>
          <w:sz w:val="22"/>
          <w:szCs w:val="22"/>
          <w:lang w:val="es-ES"/>
        </w:rPr>
        <w:t>,</w:t>
      </w:r>
      <w:r w:rsidRPr="005C40EF">
        <w:rPr>
          <w:rFonts w:asciiTheme="minorHAnsi" w:hAnsiTheme="minorHAnsi" w:cstheme="minorHAnsi"/>
          <w:noProof/>
          <w:sz w:val="22"/>
          <w:szCs w:val="22"/>
          <w:lang w:val="es-ES"/>
        </w:rPr>
        <w:t xml:space="preserve"> el apoyo que la Secretaría les había prestado en su trabajo, </w:t>
      </w:r>
      <w:r w:rsidR="00083099" w:rsidRPr="005C40EF">
        <w:rPr>
          <w:rFonts w:asciiTheme="minorHAnsi" w:hAnsiTheme="minorHAnsi" w:cstheme="minorHAnsi"/>
          <w:noProof/>
          <w:sz w:val="22"/>
          <w:szCs w:val="22"/>
          <w:lang w:val="es-ES"/>
        </w:rPr>
        <w:t>observando que</w:t>
      </w:r>
      <w:r w:rsidRPr="005C40EF">
        <w:rPr>
          <w:rFonts w:asciiTheme="minorHAnsi" w:hAnsiTheme="minorHAnsi" w:cstheme="minorHAnsi"/>
          <w:noProof/>
          <w:sz w:val="22"/>
          <w:szCs w:val="22"/>
          <w:lang w:val="es-ES"/>
        </w:rPr>
        <w:t xml:space="preserve"> </w:t>
      </w:r>
      <w:r w:rsidR="00083099" w:rsidRPr="005C40EF">
        <w:rPr>
          <w:rFonts w:asciiTheme="minorHAnsi" w:hAnsiTheme="minorHAnsi" w:cstheme="minorHAnsi"/>
          <w:noProof/>
          <w:sz w:val="22"/>
          <w:szCs w:val="22"/>
          <w:lang w:val="es-ES"/>
        </w:rPr>
        <w:t xml:space="preserve">el GECT contó con el pleno apoyo de </w:t>
      </w:r>
      <w:r w:rsidRPr="005C40EF">
        <w:rPr>
          <w:rFonts w:asciiTheme="minorHAnsi" w:hAnsiTheme="minorHAnsi" w:cstheme="minorHAnsi"/>
          <w:noProof/>
          <w:sz w:val="22"/>
          <w:szCs w:val="22"/>
          <w:lang w:val="es-ES"/>
        </w:rPr>
        <w:t>la Secretaría a lo largo del trienio.</w:t>
      </w:r>
    </w:p>
    <w:p w14:paraId="22409C5C" w14:textId="77777777" w:rsidR="00A36D1F" w:rsidRPr="005C40EF" w:rsidRDefault="00A36D1F" w:rsidP="006926C5">
      <w:pPr>
        <w:rPr>
          <w:rFonts w:asciiTheme="minorHAnsi" w:hAnsiTheme="minorHAnsi" w:cstheme="minorHAnsi"/>
          <w:noProof/>
          <w:sz w:val="22"/>
          <w:szCs w:val="22"/>
          <w:lang w:val="es-ES"/>
        </w:rPr>
      </w:pPr>
    </w:p>
    <w:p w14:paraId="69EE0164" w14:textId="24BE3E16" w:rsidR="002A4A91" w:rsidRPr="005C40EF" w:rsidRDefault="00635EC0" w:rsidP="00635EC0">
      <w:pPr>
        <w:autoSpaceDE w:val="0"/>
        <w:autoSpaceDN w:val="0"/>
        <w:adjustRightInd w:val="0"/>
        <w:ind w:left="425" w:hanging="425"/>
        <w:rPr>
          <w:rFonts w:asciiTheme="minorHAnsi" w:hAnsiTheme="minorHAnsi" w:cstheme="minorHAnsi"/>
          <w:noProof/>
          <w:sz w:val="22"/>
          <w:szCs w:val="22"/>
          <w:lang w:val="es-ES"/>
        </w:rPr>
      </w:pPr>
      <w:r>
        <w:rPr>
          <w:rFonts w:asciiTheme="minorHAnsi" w:hAnsiTheme="minorHAnsi" w:cstheme="minorHAnsi"/>
          <w:noProof/>
          <w:sz w:val="22"/>
          <w:szCs w:val="22"/>
          <w:lang w:val="es-ES"/>
        </w:rPr>
        <w:t>7.</w:t>
      </w:r>
      <w:r>
        <w:rPr>
          <w:rFonts w:asciiTheme="minorHAnsi" w:hAnsiTheme="minorHAnsi" w:cstheme="minorHAnsi"/>
          <w:noProof/>
          <w:sz w:val="22"/>
          <w:szCs w:val="22"/>
          <w:lang w:val="es-ES"/>
        </w:rPr>
        <w:tab/>
      </w:r>
      <w:r w:rsidR="00A36D1F" w:rsidRPr="005C40EF">
        <w:rPr>
          <w:rFonts w:asciiTheme="minorHAnsi" w:hAnsiTheme="minorHAnsi" w:cstheme="minorHAnsi"/>
          <w:noProof/>
          <w:sz w:val="22"/>
          <w:szCs w:val="22"/>
          <w:lang w:val="es-ES"/>
        </w:rPr>
        <w:t xml:space="preserve">Un </w:t>
      </w:r>
      <w:r w:rsidR="002E4839" w:rsidRPr="005C40EF">
        <w:rPr>
          <w:rFonts w:asciiTheme="minorHAnsi" w:hAnsiTheme="minorHAnsi" w:cstheme="minorHAnsi"/>
          <w:noProof/>
          <w:sz w:val="22"/>
          <w:szCs w:val="22"/>
          <w:lang w:val="es-ES"/>
        </w:rPr>
        <w:t>acontecimiento destacado</w:t>
      </w:r>
      <w:r w:rsidR="00A36D1F" w:rsidRPr="005C40EF">
        <w:rPr>
          <w:rFonts w:asciiTheme="minorHAnsi" w:hAnsiTheme="minorHAnsi" w:cstheme="minorHAnsi"/>
          <w:noProof/>
          <w:sz w:val="22"/>
          <w:szCs w:val="22"/>
          <w:lang w:val="es-ES"/>
        </w:rPr>
        <w:t xml:space="preserve"> </w:t>
      </w:r>
      <w:r w:rsidR="00F62B8C" w:rsidRPr="005C40EF">
        <w:rPr>
          <w:rFonts w:asciiTheme="minorHAnsi" w:hAnsiTheme="minorHAnsi" w:cstheme="minorHAnsi"/>
          <w:noProof/>
          <w:sz w:val="22"/>
          <w:szCs w:val="22"/>
          <w:lang w:val="es-ES"/>
        </w:rPr>
        <w:t>d</w:t>
      </w:r>
      <w:r w:rsidR="00A36D1F" w:rsidRPr="005C40EF">
        <w:rPr>
          <w:rFonts w:asciiTheme="minorHAnsi" w:hAnsiTheme="minorHAnsi" w:cstheme="minorHAnsi"/>
          <w:noProof/>
          <w:sz w:val="22"/>
          <w:szCs w:val="22"/>
          <w:lang w:val="es-ES"/>
        </w:rPr>
        <w:t xml:space="preserve">el trienio fue la organización de las reuniones 51ª, 52ª, 53ª y 54ª del Comité Permanente. Antes de la </w:t>
      </w:r>
      <w:r w:rsidR="002E4839" w:rsidRPr="005C40EF">
        <w:rPr>
          <w:rFonts w:asciiTheme="minorHAnsi" w:hAnsiTheme="minorHAnsi" w:cstheme="minorHAnsi"/>
          <w:noProof/>
          <w:sz w:val="22"/>
          <w:szCs w:val="22"/>
          <w:lang w:val="es-ES"/>
        </w:rPr>
        <w:t xml:space="preserve">reunión </w:t>
      </w:r>
      <w:r w:rsidR="00A36D1F" w:rsidRPr="005C40EF">
        <w:rPr>
          <w:rFonts w:asciiTheme="minorHAnsi" w:hAnsiTheme="minorHAnsi" w:cstheme="minorHAnsi"/>
          <w:noProof/>
          <w:sz w:val="22"/>
          <w:szCs w:val="22"/>
          <w:lang w:val="es-ES"/>
        </w:rPr>
        <w:t xml:space="preserve">SC53, la Secretaría llevó a cabo </w:t>
      </w:r>
      <w:r w:rsidR="002E4839" w:rsidRPr="005C40EF">
        <w:rPr>
          <w:rFonts w:asciiTheme="minorHAnsi" w:hAnsiTheme="minorHAnsi" w:cstheme="minorHAnsi"/>
          <w:noProof/>
          <w:sz w:val="22"/>
          <w:szCs w:val="22"/>
          <w:lang w:val="es-ES"/>
        </w:rPr>
        <w:t>un examen</w:t>
      </w:r>
      <w:r w:rsidR="00A36D1F" w:rsidRPr="005C40EF">
        <w:rPr>
          <w:rFonts w:asciiTheme="minorHAnsi" w:hAnsiTheme="minorHAnsi" w:cstheme="minorHAnsi"/>
          <w:noProof/>
          <w:sz w:val="22"/>
          <w:szCs w:val="22"/>
          <w:lang w:val="es-ES"/>
        </w:rPr>
        <w:t xml:space="preserve"> </w:t>
      </w:r>
      <w:r w:rsidR="002E4839" w:rsidRPr="005C40EF">
        <w:rPr>
          <w:rFonts w:asciiTheme="minorHAnsi" w:hAnsiTheme="minorHAnsi" w:cstheme="minorHAnsi"/>
          <w:noProof/>
          <w:sz w:val="22"/>
          <w:szCs w:val="22"/>
          <w:lang w:val="es-ES"/>
        </w:rPr>
        <w:t>exhaustivo de las decisiones y r</w:t>
      </w:r>
      <w:r w:rsidR="00A36D1F" w:rsidRPr="005C40EF">
        <w:rPr>
          <w:rFonts w:asciiTheme="minorHAnsi" w:hAnsiTheme="minorHAnsi" w:cstheme="minorHAnsi"/>
          <w:noProof/>
          <w:sz w:val="22"/>
          <w:szCs w:val="22"/>
          <w:lang w:val="es-ES"/>
        </w:rPr>
        <w:t xml:space="preserve">esoluciones existentes para </w:t>
      </w:r>
      <w:r w:rsidR="00C820FD" w:rsidRPr="005C40EF">
        <w:rPr>
          <w:rFonts w:asciiTheme="minorHAnsi" w:hAnsiTheme="minorHAnsi" w:cstheme="minorHAnsi"/>
          <w:noProof/>
          <w:sz w:val="22"/>
          <w:szCs w:val="22"/>
          <w:lang w:val="es-ES"/>
        </w:rPr>
        <w:t>asegurarse de que se estuviera dando</w:t>
      </w:r>
      <w:r w:rsidR="00A36D1F" w:rsidRPr="005C40EF">
        <w:rPr>
          <w:rFonts w:asciiTheme="minorHAnsi" w:hAnsiTheme="minorHAnsi" w:cstheme="minorHAnsi"/>
          <w:noProof/>
          <w:sz w:val="22"/>
          <w:szCs w:val="22"/>
          <w:lang w:val="es-ES"/>
        </w:rPr>
        <w:t xml:space="preserve"> seguimiento </w:t>
      </w:r>
      <w:r w:rsidR="00C820FD" w:rsidRPr="005C40EF">
        <w:rPr>
          <w:rFonts w:asciiTheme="minorHAnsi" w:hAnsiTheme="minorHAnsi" w:cstheme="minorHAnsi"/>
          <w:noProof/>
          <w:sz w:val="22"/>
          <w:szCs w:val="22"/>
          <w:lang w:val="es-ES"/>
        </w:rPr>
        <w:t>a</w:t>
      </w:r>
      <w:r w:rsidR="00A36D1F" w:rsidRPr="005C40EF">
        <w:rPr>
          <w:rFonts w:asciiTheme="minorHAnsi" w:hAnsiTheme="minorHAnsi" w:cstheme="minorHAnsi"/>
          <w:noProof/>
          <w:sz w:val="22"/>
          <w:szCs w:val="22"/>
          <w:lang w:val="es-ES"/>
        </w:rPr>
        <w:t xml:space="preserve"> las </w:t>
      </w:r>
      <w:r w:rsidR="002E4839" w:rsidRPr="005C40EF">
        <w:rPr>
          <w:rFonts w:asciiTheme="minorHAnsi" w:hAnsiTheme="minorHAnsi" w:cstheme="minorHAnsi"/>
          <w:noProof/>
          <w:sz w:val="22"/>
          <w:szCs w:val="22"/>
          <w:lang w:val="es-ES"/>
        </w:rPr>
        <w:t>peticiones</w:t>
      </w:r>
      <w:r w:rsidR="00A36D1F" w:rsidRPr="005C40EF">
        <w:rPr>
          <w:rFonts w:asciiTheme="minorHAnsi" w:hAnsiTheme="minorHAnsi" w:cstheme="minorHAnsi"/>
          <w:noProof/>
          <w:sz w:val="22"/>
          <w:szCs w:val="22"/>
          <w:lang w:val="es-ES"/>
        </w:rPr>
        <w:t xml:space="preserve"> de las Partes Contratantes y </w:t>
      </w:r>
      <w:r w:rsidR="00F62B8C" w:rsidRPr="005C40EF">
        <w:rPr>
          <w:rFonts w:asciiTheme="minorHAnsi" w:hAnsiTheme="minorHAnsi" w:cstheme="minorHAnsi"/>
          <w:noProof/>
          <w:sz w:val="22"/>
          <w:szCs w:val="22"/>
          <w:lang w:val="es-ES"/>
        </w:rPr>
        <w:t xml:space="preserve">que </w:t>
      </w:r>
      <w:r w:rsidR="00A36D1F" w:rsidRPr="005C40EF">
        <w:rPr>
          <w:rFonts w:asciiTheme="minorHAnsi" w:hAnsiTheme="minorHAnsi" w:cstheme="minorHAnsi"/>
          <w:noProof/>
          <w:sz w:val="22"/>
          <w:szCs w:val="22"/>
          <w:lang w:val="es-ES"/>
        </w:rPr>
        <w:t xml:space="preserve">los temas pertinentes </w:t>
      </w:r>
      <w:r w:rsidR="00F62B8C" w:rsidRPr="005C40EF">
        <w:rPr>
          <w:rFonts w:asciiTheme="minorHAnsi" w:hAnsiTheme="minorHAnsi" w:cstheme="minorHAnsi"/>
          <w:noProof/>
          <w:sz w:val="22"/>
          <w:szCs w:val="22"/>
          <w:lang w:val="es-ES"/>
        </w:rPr>
        <w:t xml:space="preserve">estuvieran incluidos </w:t>
      </w:r>
      <w:r w:rsidR="00A36D1F" w:rsidRPr="005C40EF">
        <w:rPr>
          <w:rFonts w:asciiTheme="minorHAnsi" w:hAnsiTheme="minorHAnsi" w:cstheme="minorHAnsi"/>
          <w:noProof/>
          <w:sz w:val="22"/>
          <w:szCs w:val="22"/>
          <w:lang w:val="es-ES"/>
        </w:rPr>
        <w:t>en los órdenes del día</w:t>
      </w:r>
      <w:r w:rsidR="00F62B8C" w:rsidRPr="005C40EF">
        <w:rPr>
          <w:rFonts w:asciiTheme="minorHAnsi" w:hAnsiTheme="minorHAnsi" w:cstheme="minorHAnsi"/>
          <w:noProof/>
          <w:sz w:val="22"/>
          <w:szCs w:val="22"/>
          <w:lang w:val="es-ES"/>
        </w:rPr>
        <w:t xml:space="preserve"> de las reuniones. Se desarrollaron</w:t>
      </w:r>
      <w:r w:rsidR="00A36D1F" w:rsidRPr="005C40EF">
        <w:rPr>
          <w:rFonts w:asciiTheme="minorHAnsi" w:hAnsiTheme="minorHAnsi" w:cstheme="minorHAnsi"/>
          <w:noProof/>
          <w:sz w:val="22"/>
          <w:szCs w:val="22"/>
          <w:lang w:val="es-ES"/>
        </w:rPr>
        <w:t xml:space="preserve"> </w:t>
      </w:r>
      <w:r w:rsidR="00F62B8C" w:rsidRPr="005C40EF">
        <w:rPr>
          <w:rFonts w:asciiTheme="minorHAnsi" w:hAnsiTheme="minorHAnsi" w:cstheme="minorHAnsi"/>
          <w:noProof/>
          <w:sz w:val="22"/>
          <w:szCs w:val="22"/>
          <w:lang w:val="es-ES"/>
        </w:rPr>
        <w:t>orientaciones</w:t>
      </w:r>
      <w:r w:rsidR="002A4A91" w:rsidRPr="005C40EF">
        <w:rPr>
          <w:rFonts w:asciiTheme="minorHAnsi" w:hAnsiTheme="minorHAnsi" w:cstheme="minorHAnsi"/>
          <w:noProof/>
          <w:sz w:val="22"/>
          <w:szCs w:val="22"/>
          <w:lang w:val="es-ES"/>
        </w:rPr>
        <w:t xml:space="preserve"> para</w:t>
      </w:r>
      <w:r w:rsidR="00A36D1F" w:rsidRPr="005C40EF">
        <w:rPr>
          <w:rFonts w:asciiTheme="minorHAnsi" w:hAnsiTheme="minorHAnsi" w:cstheme="minorHAnsi"/>
          <w:noProof/>
          <w:sz w:val="22"/>
          <w:szCs w:val="22"/>
          <w:lang w:val="es-ES"/>
        </w:rPr>
        <w:t xml:space="preserve"> </w:t>
      </w:r>
      <w:r w:rsidR="00F62B8C" w:rsidRPr="005C40EF">
        <w:rPr>
          <w:rFonts w:asciiTheme="minorHAnsi" w:hAnsiTheme="minorHAnsi" w:cstheme="minorHAnsi"/>
          <w:noProof/>
          <w:sz w:val="22"/>
          <w:szCs w:val="22"/>
          <w:lang w:val="es-ES"/>
        </w:rPr>
        <w:t>preparar los</w:t>
      </w:r>
      <w:r w:rsidR="00A36D1F" w:rsidRPr="005C40EF">
        <w:rPr>
          <w:rFonts w:asciiTheme="minorHAnsi" w:hAnsiTheme="minorHAnsi" w:cstheme="minorHAnsi"/>
          <w:noProof/>
          <w:sz w:val="22"/>
          <w:szCs w:val="22"/>
          <w:lang w:val="es-ES"/>
        </w:rPr>
        <w:t xml:space="preserve"> documentos </w:t>
      </w:r>
      <w:r w:rsidR="00125EBE" w:rsidRPr="005C40EF">
        <w:rPr>
          <w:rFonts w:asciiTheme="minorHAnsi" w:hAnsiTheme="minorHAnsi" w:cstheme="minorHAnsi"/>
          <w:noProof/>
          <w:sz w:val="22"/>
          <w:szCs w:val="22"/>
          <w:lang w:val="es-ES"/>
        </w:rPr>
        <w:t>a fin de</w:t>
      </w:r>
      <w:r w:rsidR="00A36D1F" w:rsidRPr="005C40EF">
        <w:rPr>
          <w:rFonts w:asciiTheme="minorHAnsi" w:hAnsiTheme="minorHAnsi" w:cstheme="minorHAnsi"/>
          <w:noProof/>
          <w:sz w:val="22"/>
          <w:szCs w:val="22"/>
          <w:lang w:val="es-ES"/>
        </w:rPr>
        <w:t xml:space="preserve"> garantizar la coherencia. La Secretaría </w:t>
      </w:r>
      <w:r w:rsidR="00F62B8C" w:rsidRPr="005C40EF">
        <w:rPr>
          <w:rFonts w:asciiTheme="minorHAnsi" w:hAnsiTheme="minorHAnsi" w:cstheme="minorHAnsi"/>
          <w:noProof/>
          <w:sz w:val="22"/>
          <w:szCs w:val="22"/>
          <w:lang w:val="es-ES"/>
        </w:rPr>
        <w:t>elaboró</w:t>
      </w:r>
      <w:r w:rsidR="00A36D1F" w:rsidRPr="005C40EF">
        <w:rPr>
          <w:rFonts w:asciiTheme="minorHAnsi" w:hAnsiTheme="minorHAnsi" w:cstheme="minorHAnsi"/>
          <w:noProof/>
          <w:sz w:val="22"/>
          <w:szCs w:val="22"/>
          <w:lang w:val="es-ES"/>
        </w:rPr>
        <w:t xml:space="preserve"> los documentos para las reuniones, organizó la logística y los procesos para que</w:t>
      </w:r>
      <w:r w:rsidR="00C26C4C" w:rsidRPr="005C40EF">
        <w:rPr>
          <w:rFonts w:asciiTheme="minorHAnsi" w:hAnsiTheme="minorHAnsi" w:cstheme="minorHAnsi"/>
          <w:noProof/>
          <w:sz w:val="22"/>
          <w:szCs w:val="22"/>
          <w:lang w:val="es-ES"/>
        </w:rPr>
        <w:t xml:space="preserve"> las Partes Contratantes examine</w:t>
      </w:r>
      <w:r w:rsidR="00A36D1F" w:rsidRPr="005C40EF">
        <w:rPr>
          <w:rFonts w:asciiTheme="minorHAnsi" w:hAnsiTheme="minorHAnsi" w:cstheme="minorHAnsi"/>
          <w:noProof/>
          <w:sz w:val="22"/>
          <w:szCs w:val="22"/>
          <w:lang w:val="es-ES"/>
        </w:rPr>
        <w:t>n los proyectos de resolución en</w:t>
      </w:r>
      <w:r w:rsidR="00F62B8C" w:rsidRPr="005C40EF">
        <w:rPr>
          <w:rFonts w:asciiTheme="minorHAnsi" w:hAnsiTheme="minorHAnsi" w:cstheme="minorHAnsi"/>
          <w:noProof/>
          <w:sz w:val="22"/>
          <w:szCs w:val="22"/>
          <w:lang w:val="es-ES"/>
        </w:rPr>
        <w:t xml:space="preserve"> las reuniones</w:t>
      </w:r>
      <w:r w:rsidR="00A36D1F" w:rsidRPr="005C40EF">
        <w:rPr>
          <w:rFonts w:asciiTheme="minorHAnsi" w:hAnsiTheme="minorHAnsi" w:cstheme="minorHAnsi"/>
          <w:noProof/>
          <w:sz w:val="22"/>
          <w:szCs w:val="22"/>
          <w:lang w:val="es-ES"/>
        </w:rPr>
        <w:t xml:space="preserve"> SC54 y COP13, y preparó </w:t>
      </w:r>
      <w:r w:rsidR="002A4A91" w:rsidRPr="005C40EF">
        <w:rPr>
          <w:rFonts w:asciiTheme="minorHAnsi" w:hAnsiTheme="minorHAnsi" w:cstheme="minorHAnsi"/>
          <w:noProof/>
          <w:sz w:val="22"/>
          <w:szCs w:val="22"/>
          <w:lang w:val="es-ES"/>
        </w:rPr>
        <w:t xml:space="preserve">los </w:t>
      </w:r>
      <w:r w:rsidR="00A36D1F" w:rsidRPr="005C40EF">
        <w:rPr>
          <w:rFonts w:asciiTheme="minorHAnsi" w:hAnsiTheme="minorHAnsi" w:cstheme="minorHAnsi"/>
          <w:noProof/>
          <w:sz w:val="22"/>
          <w:szCs w:val="22"/>
          <w:lang w:val="es-ES"/>
        </w:rPr>
        <w:t xml:space="preserve">informes diarios y finales de las reuniones. </w:t>
      </w:r>
      <w:r w:rsidR="002A4A91" w:rsidRPr="005C40EF">
        <w:rPr>
          <w:rFonts w:asciiTheme="minorHAnsi" w:hAnsiTheme="minorHAnsi" w:cstheme="minorHAnsi"/>
          <w:noProof/>
          <w:sz w:val="22"/>
          <w:szCs w:val="22"/>
          <w:lang w:val="es-ES"/>
        </w:rPr>
        <w:t>Con 120 participantes y 19 observadores, la</w:t>
      </w:r>
      <w:r w:rsidR="00F62B8C" w:rsidRPr="005C40EF">
        <w:rPr>
          <w:rFonts w:asciiTheme="minorHAnsi" w:hAnsiTheme="minorHAnsi" w:cstheme="minorHAnsi"/>
          <w:noProof/>
          <w:sz w:val="22"/>
          <w:szCs w:val="22"/>
          <w:lang w:val="es-ES"/>
        </w:rPr>
        <w:t xml:space="preserve"> reunión </w:t>
      </w:r>
      <w:r w:rsidR="00A36D1F" w:rsidRPr="005C40EF">
        <w:rPr>
          <w:rFonts w:asciiTheme="minorHAnsi" w:hAnsiTheme="minorHAnsi" w:cstheme="minorHAnsi"/>
          <w:noProof/>
          <w:sz w:val="22"/>
          <w:szCs w:val="22"/>
          <w:lang w:val="es-ES"/>
        </w:rPr>
        <w:t xml:space="preserve">SC54 </w:t>
      </w:r>
      <w:r w:rsidR="00F62B8C" w:rsidRPr="005C40EF">
        <w:rPr>
          <w:rFonts w:asciiTheme="minorHAnsi" w:hAnsiTheme="minorHAnsi" w:cstheme="minorHAnsi"/>
          <w:noProof/>
          <w:sz w:val="22"/>
          <w:szCs w:val="22"/>
          <w:lang w:val="es-ES"/>
        </w:rPr>
        <w:t>tuvo la</w:t>
      </w:r>
      <w:r w:rsidR="002A4A91" w:rsidRPr="005C40EF">
        <w:rPr>
          <w:rFonts w:asciiTheme="minorHAnsi" w:hAnsiTheme="minorHAnsi" w:cstheme="minorHAnsi"/>
          <w:noProof/>
          <w:sz w:val="22"/>
          <w:szCs w:val="22"/>
          <w:lang w:val="es-ES"/>
        </w:rPr>
        <w:t xml:space="preserve"> mayor</w:t>
      </w:r>
      <w:r w:rsidR="00F62B8C" w:rsidRPr="005C40EF">
        <w:rPr>
          <w:rFonts w:asciiTheme="minorHAnsi" w:hAnsiTheme="minorHAnsi" w:cstheme="minorHAnsi"/>
          <w:noProof/>
          <w:sz w:val="22"/>
          <w:szCs w:val="22"/>
          <w:lang w:val="es-ES"/>
        </w:rPr>
        <w:t xml:space="preserve"> participación </w:t>
      </w:r>
      <w:r w:rsidR="002A4A91" w:rsidRPr="005C40EF">
        <w:rPr>
          <w:rFonts w:asciiTheme="minorHAnsi" w:hAnsiTheme="minorHAnsi" w:cstheme="minorHAnsi"/>
          <w:noProof/>
          <w:sz w:val="22"/>
          <w:szCs w:val="22"/>
          <w:lang w:val="es-ES"/>
        </w:rPr>
        <w:t>de todas</w:t>
      </w:r>
      <w:r w:rsidR="00F62B8C" w:rsidRPr="005C40EF">
        <w:rPr>
          <w:rFonts w:asciiTheme="minorHAnsi" w:hAnsiTheme="minorHAnsi" w:cstheme="minorHAnsi"/>
          <w:noProof/>
          <w:sz w:val="22"/>
          <w:szCs w:val="22"/>
          <w:lang w:val="es-ES"/>
        </w:rPr>
        <w:t xml:space="preserve"> las reuniones</w:t>
      </w:r>
      <w:r w:rsidR="00A36D1F" w:rsidRPr="005C40EF">
        <w:rPr>
          <w:rFonts w:asciiTheme="minorHAnsi" w:hAnsiTheme="minorHAnsi" w:cstheme="minorHAnsi"/>
          <w:noProof/>
          <w:sz w:val="22"/>
          <w:szCs w:val="22"/>
          <w:lang w:val="es-ES"/>
        </w:rPr>
        <w:t xml:space="preserve"> del Comité Permanente </w:t>
      </w:r>
      <w:r w:rsidR="002A4A91" w:rsidRPr="005C40EF">
        <w:rPr>
          <w:rFonts w:asciiTheme="minorHAnsi" w:hAnsiTheme="minorHAnsi" w:cstheme="minorHAnsi"/>
          <w:noProof/>
          <w:sz w:val="22"/>
          <w:szCs w:val="22"/>
          <w:lang w:val="es-ES"/>
        </w:rPr>
        <w:t>en la historia de la Convención</w:t>
      </w:r>
      <w:r w:rsidR="00A36D1F" w:rsidRPr="005C40EF">
        <w:rPr>
          <w:rFonts w:asciiTheme="minorHAnsi" w:hAnsiTheme="minorHAnsi" w:cstheme="minorHAnsi"/>
          <w:noProof/>
          <w:sz w:val="22"/>
          <w:szCs w:val="22"/>
          <w:lang w:val="es-ES"/>
        </w:rPr>
        <w:t>.</w:t>
      </w:r>
      <w:r w:rsidR="002A4A91" w:rsidRPr="005C40EF">
        <w:rPr>
          <w:rFonts w:asciiTheme="minorHAnsi" w:hAnsiTheme="minorHAnsi" w:cstheme="minorHAnsi"/>
          <w:noProof/>
          <w:sz w:val="22"/>
          <w:szCs w:val="22"/>
          <w:lang w:val="es-ES"/>
        </w:rPr>
        <w:t xml:space="preserve"> Mientras se redactaba este informe, la Secretaría estaba</w:t>
      </w:r>
      <w:r w:rsidR="00A36D1F" w:rsidRPr="005C40EF">
        <w:rPr>
          <w:rFonts w:asciiTheme="minorHAnsi" w:hAnsiTheme="minorHAnsi" w:cstheme="minorHAnsi"/>
          <w:noProof/>
          <w:sz w:val="22"/>
          <w:szCs w:val="22"/>
          <w:lang w:val="es-ES"/>
        </w:rPr>
        <w:t xml:space="preserve"> preparando </w:t>
      </w:r>
      <w:r w:rsidR="00F62B8C" w:rsidRPr="005C40EF">
        <w:rPr>
          <w:rFonts w:asciiTheme="minorHAnsi" w:hAnsiTheme="minorHAnsi" w:cstheme="minorHAnsi"/>
          <w:noProof/>
          <w:sz w:val="22"/>
          <w:szCs w:val="22"/>
          <w:lang w:val="es-ES"/>
        </w:rPr>
        <w:t>las reuniones</w:t>
      </w:r>
      <w:r w:rsidR="00A36D1F" w:rsidRPr="005C40EF">
        <w:rPr>
          <w:rFonts w:asciiTheme="minorHAnsi" w:hAnsiTheme="minorHAnsi" w:cstheme="minorHAnsi"/>
          <w:noProof/>
          <w:sz w:val="22"/>
          <w:szCs w:val="22"/>
          <w:lang w:val="es-ES"/>
        </w:rPr>
        <w:t xml:space="preserve"> SC55 y SC56, </w:t>
      </w:r>
      <w:r w:rsidR="00F62B8C" w:rsidRPr="005C40EF">
        <w:rPr>
          <w:rFonts w:asciiTheme="minorHAnsi" w:hAnsiTheme="minorHAnsi" w:cstheme="minorHAnsi"/>
          <w:noProof/>
          <w:sz w:val="22"/>
          <w:szCs w:val="22"/>
          <w:lang w:val="es-ES"/>
        </w:rPr>
        <w:t>a celebrarse</w:t>
      </w:r>
      <w:r w:rsidR="00A36D1F" w:rsidRPr="005C40EF">
        <w:rPr>
          <w:rFonts w:asciiTheme="minorHAnsi" w:hAnsiTheme="minorHAnsi" w:cstheme="minorHAnsi"/>
          <w:noProof/>
          <w:sz w:val="22"/>
          <w:szCs w:val="22"/>
          <w:lang w:val="es-ES"/>
        </w:rPr>
        <w:t xml:space="preserve"> inmediatamente antes y después de la COP13. </w:t>
      </w:r>
      <w:r w:rsidR="002A4A91" w:rsidRPr="005C40EF">
        <w:rPr>
          <w:rFonts w:asciiTheme="minorHAnsi" w:hAnsiTheme="minorHAnsi" w:cstheme="minorHAnsi"/>
          <w:noProof/>
          <w:sz w:val="22"/>
          <w:szCs w:val="22"/>
          <w:lang w:val="es-ES"/>
        </w:rPr>
        <w:t xml:space="preserve">Con funciones y responsabilidades claramente definidas, el </w:t>
      </w:r>
      <w:r w:rsidR="00A36D1F" w:rsidRPr="005C40EF">
        <w:rPr>
          <w:rFonts w:asciiTheme="minorHAnsi" w:hAnsiTheme="minorHAnsi" w:cstheme="minorHAnsi"/>
          <w:noProof/>
          <w:sz w:val="22"/>
          <w:szCs w:val="22"/>
          <w:lang w:val="es-ES"/>
        </w:rPr>
        <w:t xml:space="preserve">equipo de la Secretaría ha trabajado </w:t>
      </w:r>
      <w:r w:rsidR="002A4A91" w:rsidRPr="005C40EF">
        <w:rPr>
          <w:rFonts w:asciiTheme="minorHAnsi" w:hAnsiTheme="minorHAnsi" w:cstheme="minorHAnsi"/>
          <w:noProof/>
          <w:sz w:val="22"/>
          <w:szCs w:val="22"/>
          <w:lang w:val="es-ES"/>
        </w:rPr>
        <w:t xml:space="preserve">en forma </w:t>
      </w:r>
      <w:r w:rsidR="00A36D1F" w:rsidRPr="005C40EF">
        <w:rPr>
          <w:rFonts w:asciiTheme="minorHAnsi" w:hAnsiTheme="minorHAnsi" w:cstheme="minorHAnsi"/>
          <w:noProof/>
          <w:sz w:val="22"/>
          <w:szCs w:val="22"/>
          <w:lang w:val="es-ES"/>
        </w:rPr>
        <w:t>coordinada</w:t>
      </w:r>
      <w:r w:rsidR="002A4A91" w:rsidRPr="005C40EF">
        <w:rPr>
          <w:rFonts w:asciiTheme="minorHAnsi" w:hAnsiTheme="minorHAnsi" w:cstheme="minorHAnsi"/>
          <w:noProof/>
          <w:sz w:val="22"/>
          <w:szCs w:val="22"/>
          <w:lang w:val="es-ES"/>
        </w:rPr>
        <w:t xml:space="preserve"> para apoyar estas reuniones</w:t>
      </w:r>
      <w:r w:rsidR="00A36D1F" w:rsidRPr="005C40EF">
        <w:rPr>
          <w:rFonts w:asciiTheme="minorHAnsi" w:hAnsiTheme="minorHAnsi" w:cstheme="minorHAnsi"/>
          <w:noProof/>
          <w:sz w:val="22"/>
          <w:szCs w:val="22"/>
          <w:lang w:val="es-ES"/>
        </w:rPr>
        <w:t>. Los participantes han expresado su sat</w:t>
      </w:r>
      <w:r w:rsidR="00F62B8C" w:rsidRPr="005C40EF">
        <w:rPr>
          <w:rFonts w:asciiTheme="minorHAnsi" w:hAnsiTheme="minorHAnsi" w:cstheme="minorHAnsi"/>
          <w:noProof/>
          <w:sz w:val="22"/>
          <w:szCs w:val="22"/>
          <w:lang w:val="es-ES"/>
        </w:rPr>
        <w:t xml:space="preserve">isfacción con la organización y realización </w:t>
      </w:r>
      <w:r w:rsidR="00A36D1F" w:rsidRPr="005C40EF">
        <w:rPr>
          <w:rFonts w:asciiTheme="minorHAnsi" w:hAnsiTheme="minorHAnsi" w:cstheme="minorHAnsi"/>
          <w:noProof/>
          <w:sz w:val="22"/>
          <w:szCs w:val="22"/>
          <w:lang w:val="es-ES"/>
        </w:rPr>
        <w:t>de estas reuniones.</w:t>
      </w:r>
    </w:p>
    <w:p w14:paraId="3D5B0790" w14:textId="77777777" w:rsidR="002A4A91" w:rsidRPr="005C40EF" w:rsidRDefault="002A4A91" w:rsidP="00635EC0">
      <w:pPr>
        <w:autoSpaceDE w:val="0"/>
        <w:autoSpaceDN w:val="0"/>
        <w:adjustRightInd w:val="0"/>
        <w:ind w:left="425" w:hanging="425"/>
        <w:rPr>
          <w:rFonts w:asciiTheme="minorHAnsi" w:hAnsiTheme="minorHAnsi" w:cstheme="minorHAnsi"/>
          <w:noProof/>
          <w:sz w:val="22"/>
          <w:szCs w:val="22"/>
          <w:lang w:val="es-ES"/>
        </w:rPr>
      </w:pPr>
    </w:p>
    <w:p w14:paraId="7C0EAF50" w14:textId="257CE3AE" w:rsidR="00270CFF" w:rsidRPr="005C40EF" w:rsidRDefault="00635EC0" w:rsidP="00635EC0">
      <w:pPr>
        <w:autoSpaceDE w:val="0"/>
        <w:autoSpaceDN w:val="0"/>
        <w:adjustRightInd w:val="0"/>
        <w:ind w:left="425" w:hanging="425"/>
        <w:rPr>
          <w:rFonts w:asciiTheme="minorHAnsi" w:hAnsiTheme="minorHAnsi" w:cstheme="minorHAnsi"/>
          <w:noProof/>
          <w:sz w:val="22"/>
          <w:szCs w:val="22"/>
          <w:lang w:val="es-ES"/>
        </w:rPr>
      </w:pPr>
      <w:r>
        <w:rPr>
          <w:rFonts w:asciiTheme="minorHAnsi" w:hAnsiTheme="minorHAnsi" w:cstheme="minorHAnsi"/>
          <w:noProof/>
          <w:sz w:val="22"/>
          <w:szCs w:val="22"/>
          <w:lang w:val="es-ES"/>
        </w:rPr>
        <w:t>8.</w:t>
      </w:r>
      <w:r>
        <w:rPr>
          <w:rFonts w:asciiTheme="minorHAnsi" w:hAnsiTheme="minorHAnsi" w:cstheme="minorHAnsi"/>
          <w:noProof/>
          <w:sz w:val="22"/>
          <w:szCs w:val="22"/>
          <w:lang w:val="es-ES"/>
        </w:rPr>
        <w:tab/>
      </w:r>
      <w:r w:rsidR="002A4A91" w:rsidRPr="005C40EF">
        <w:rPr>
          <w:rFonts w:asciiTheme="minorHAnsi" w:hAnsiTheme="minorHAnsi" w:cstheme="minorHAnsi"/>
          <w:noProof/>
          <w:sz w:val="22"/>
          <w:szCs w:val="22"/>
          <w:lang w:val="es-ES"/>
        </w:rPr>
        <w:t>Con respecto a la organización de las reuniones de la Conferencia de las Partes Contratantes, la Secretaría llevó a cabo una evaluación de la COP12, celebrada en Punta del Este (Uruguay) en junio de 2015, y desarrolló un manual en febrero de 2016 que ofrece orientaciones sobre la planificación y preparación de reuniones futuras de la COP.</w:t>
      </w:r>
    </w:p>
    <w:p w14:paraId="771A61F7" w14:textId="77777777" w:rsidR="00270CFF" w:rsidRPr="005C40EF" w:rsidRDefault="00270CFF" w:rsidP="00635EC0">
      <w:pPr>
        <w:autoSpaceDE w:val="0"/>
        <w:autoSpaceDN w:val="0"/>
        <w:adjustRightInd w:val="0"/>
        <w:ind w:left="425" w:hanging="425"/>
        <w:rPr>
          <w:rFonts w:asciiTheme="minorHAnsi" w:hAnsiTheme="minorHAnsi" w:cstheme="minorHAnsi"/>
          <w:noProof/>
          <w:sz w:val="22"/>
          <w:szCs w:val="22"/>
          <w:lang w:val="es-ES"/>
        </w:rPr>
      </w:pPr>
    </w:p>
    <w:p w14:paraId="20BAC922" w14:textId="2EEC04D9" w:rsidR="00EC5F93" w:rsidRPr="005C40EF" w:rsidRDefault="00635EC0" w:rsidP="00635EC0">
      <w:pPr>
        <w:autoSpaceDE w:val="0"/>
        <w:autoSpaceDN w:val="0"/>
        <w:adjustRightInd w:val="0"/>
        <w:ind w:left="425" w:hanging="425"/>
        <w:rPr>
          <w:rFonts w:asciiTheme="minorHAnsi" w:hAnsiTheme="minorHAnsi" w:cstheme="minorHAnsi"/>
          <w:noProof/>
          <w:sz w:val="22"/>
          <w:szCs w:val="22"/>
          <w:lang w:val="es-ES"/>
        </w:rPr>
      </w:pPr>
      <w:r>
        <w:rPr>
          <w:rFonts w:asciiTheme="minorHAnsi" w:hAnsiTheme="minorHAnsi" w:cstheme="minorHAnsi"/>
          <w:noProof/>
          <w:sz w:val="22"/>
          <w:szCs w:val="22"/>
          <w:lang w:val="es-ES"/>
        </w:rPr>
        <w:lastRenderedPageBreak/>
        <w:t>9.</w:t>
      </w:r>
      <w:r>
        <w:rPr>
          <w:rFonts w:asciiTheme="minorHAnsi" w:hAnsiTheme="minorHAnsi" w:cstheme="minorHAnsi"/>
          <w:noProof/>
          <w:sz w:val="22"/>
          <w:szCs w:val="22"/>
          <w:lang w:val="es-ES"/>
        </w:rPr>
        <w:tab/>
      </w:r>
      <w:r w:rsidR="00270CFF" w:rsidRPr="005C40EF">
        <w:rPr>
          <w:rFonts w:asciiTheme="minorHAnsi" w:hAnsiTheme="minorHAnsi" w:cstheme="minorHAnsi"/>
          <w:noProof/>
          <w:sz w:val="22"/>
          <w:szCs w:val="22"/>
          <w:lang w:val="es-ES"/>
        </w:rPr>
        <w:t xml:space="preserve">En preparación </w:t>
      </w:r>
      <w:r w:rsidR="00256F0E" w:rsidRPr="005C40EF">
        <w:rPr>
          <w:rFonts w:asciiTheme="minorHAnsi" w:hAnsiTheme="minorHAnsi" w:cstheme="minorHAnsi"/>
          <w:noProof/>
          <w:sz w:val="22"/>
          <w:szCs w:val="22"/>
          <w:lang w:val="es-ES"/>
        </w:rPr>
        <w:t>de</w:t>
      </w:r>
      <w:r w:rsidR="00270CFF" w:rsidRPr="005C40EF">
        <w:rPr>
          <w:rFonts w:asciiTheme="minorHAnsi" w:hAnsiTheme="minorHAnsi" w:cstheme="minorHAnsi"/>
          <w:noProof/>
          <w:sz w:val="22"/>
          <w:szCs w:val="22"/>
          <w:lang w:val="es-ES"/>
        </w:rPr>
        <w:t xml:space="preserve"> la COP13, la Secretaría organizó cinco reuniones regionales previas a la COP</w:t>
      </w:r>
      <w:r w:rsidR="00F154D7" w:rsidRPr="005C40EF">
        <w:rPr>
          <w:rFonts w:asciiTheme="minorHAnsi" w:hAnsiTheme="minorHAnsi" w:cstheme="minorHAnsi"/>
          <w:noProof/>
          <w:sz w:val="22"/>
          <w:szCs w:val="22"/>
          <w:lang w:val="es-ES"/>
        </w:rPr>
        <w:t>, a saber</w:t>
      </w:r>
      <w:r w:rsidR="00270CFF" w:rsidRPr="005C40EF">
        <w:rPr>
          <w:rFonts w:asciiTheme="minorHAnsi" w:hAnsiTheme="minorHAnsi" w:cstheme="minorHAnsi"/>
          <w:noProof/>
          <w:sz w:val="22"/>
          <w:szCs w:val="22"/>
          <w:lang w:val="es-ES"/>
        </w:rPr>
        <w:t>:</w:t>
      </w:r>
    </w:p>
    <w:p w14:paraId="38C2E79B" w14:textId="44C4B899" w:rsidR="00EC5F93" w:rsidRPr="005C40EF" w:rsidRDefault="00EC5F93" w:rsidP="00EC5F93">
      <w:pPr>
        <w:pStyle w:val="ListParagraph"/>
        <w:numPr>
          <w:ilvl w:val="0"/>
          <w:numId w:val="2"/>
        </w:numPr>
        <w:ind w:left="850" w:hanging="425"/>
        <w:rPr>
          <w:rFonts w:asciiTheme="minorHAnsi" w:hAnsiTheme="minorHAnsi" w:cstheme="minorHAnsi"/>
          <w:noProof/>
          <w:sz w:val="22"/>
          <w:szCs w:val="22"/>
          <w:lang w:val="es-ES"/>
        </w:rPr>
      </w:pPr>
      <w:r w:rsidRPr="005C40EF">
        <w:rPr>
          <w:rFonts w:asciiTheme="minorHAnsi" w:hAnsiTheme="minorHAnsi" w:cstheme="minorHAnsi"/>
          <w:noProof/>
          <w:sz w:val="22"/>
          <w:szCs w:val="22"/>
          <w:lang w:val="es-ES"/>
        </w:rPr>
        <w:t>Región de África (del 26 de febrero al 2 de marzo), Dakar (Senegal)</w:t>
      </w:r>
    </w:p>
    <w:p w14:paraId="2EE8FC89" w14:textId="77777777" w:rsidR="00EC5F93" w:rsidRPr="005C40EF" w:rsidRDefault="00EC5F93" w:rsidP="00EC5F93">
      <w:pPr>
        <w:pStyle w:val="ListParagraph"/>
        <w:numPr>
          <w:ilvl w:val="0"/>
          <w:numId w:val="2"/>
        </w:numPr>
        <w:ind w:left="850" w:hanging="425"/>
        <w:rPr>
          <w:rFonts w:asciiTheme="minorHAnsi" w:hAnsiTheme="minorHAnsi" w:cstheme="minorHAnsi"/>
          <w:noProof/>
          <w:sz w:val="22"/>
          <w:szCs w:val="22"/>
          <w:lang w:val="es-ES"/>
        </w:rPr>
      </w:pPr>
      <w:r w:rsidRPr="005C40EF">
        <w:rPr>
          <w:rFonts w:asciiTheme="minorHAnsi" w:hAnsiTheme="minorHAnsi" w:cstheme="minorHAnsi"/>
          <w:noProof/>
          <w:sz w:val="22"/>
          <w:szCs w:val="22"/>
          <w:lang w:val="es-ES"/>
        </w:rPr>
        <w:t>Región de Asia (del 26 de febrero al 2 de marzo), Colombo (Sri Lanka)</w:t>
      </w:r>
    </w:p>
    <w:p w14:paraId="20C0C617" w14:textId="450F751E" w:rsidR="00EC5F93" w:rsidRPr="005C40EF" w:rsidRDefault="00EC5F93" w:rsidP="00EC5F93">
      <w:pPr>
        <w:pStyle w:val="ListParagraph"/>
        <w:numPr>
          <w:ilvl w:val="0"/>
          <w:numId w:val="2"/>
        </w:numPr>
        <w:ind w:left="850" w:hanging="425"/>
        <w:rPr>
          <w:rFonts w:asciiTheme="minorHAnsi" w:hAnsiTheme="minorHAnsi" w:cstheme="minorHAnsi"/>
          <w:noProof/>
          <w:sz w:val="22"/>
          <w:szCs w:val="22"/>
          <w:lang w:val="es-ES"/>
        </w:rPr>
      </w:pPr>
      <w:r w:rsidRPr="005C40EF">
        <w:rPr>
          <w:rFonts w:asciiTheme="minorHAnsi" w:hAnsiTheme="minorHAnsi" w:cstheme="minorHAnsi"/>
          <w:noProof/>
          <w:sz w:val="22"/>
          <w:szCs w:val="22"/>
          <w:lang w:val="es-ES"/>
        </w:rPr>
        <w:t>Región de las Américas (del 12 al 16 de marzo), San José (Costa Rica)</w:t>
      </w:r>
    </w:p>
    <w:p w14:paraId="69167EF7" w14:textId="77777777" w:rsidR="00EC5F93" w:rsidRPr="005C40EF" w:rsidRDefault="00EC5F93" w:rsidP="00EC5F93">
      <w:pPr>
        <w:pStyle w:val="ListParagraph"/>
        <w:numPr>
          <w:ilvl w:val="0"/>
          <w:numId w:val="2"/>
        </w:numPr>
        <w:ind w:left="850" w:hanging="425"/>
        <w:rPr>
          <w:rFonts w:asciiTheme="minorHAnsi" w:hAnsiTheme="minorHAnsi" w:cstheme="minorHAnsi"/>
          <w:noProof/>
          <w:sz w:val="22"/>
          <w:szCs w:val="22"/>
          <w:lang w:val="es-ES"/>
        </w:rPr>
      </w:pPr>
      <w:r w:rsidRPr="005C40EF">
        <w:rPr>
          <w:rFonts w:asciiTheme="minorHAnsi" w:hAnsiTheme="minorHAnsi" w:cstheme="minorHAnsi"/>
          <w:noProof/>
          <w:sz w:val="22"/>
          <w:szCs w:val="22"/>
          <w:lang w:val="es-ES"/>
        </w:rPr>
        <w:t>Región de Oceanía (del 12 al 16 de marzo), Auckland (Nueva Zelandia)</w:t>
      </w:r>
    </w:p>
    <w:p w14:paraId="1CE5D7F4" w14:textId="58B1BB16" w:rsidR="00EC5F93" w:rsidRPr="005C40EF" w:rsidRDefault="00EC5F93" w:rsidP="00146259">
      <w:pPr>
        <w:pStyle w:val="ListParagraph"/>
        <w:numPr>
          <w:ilvl w:val="0"/>
          <w:numId w:val="2"/>
        </w:numPr>
        <w:ind w:left="850" w:hanging="425"/>
        <w:rPr>
          <w:rFonts w:asciiTheme="minorHAnsi" w:hAnsiTheme="minorHAnsi" w:cstheme="minorHAnsi"/>
          <w:noProof/>
          <w:sz w:val="22"/>
          <w:szCs w:val="22"/>
          <w:lang w:val="es-ES"/>
        </w:rPr>
      </w:pPr>
      <w:r w:rsidRPr="005C40EF">
        <w:rPr>
          <w:rFonts w:asciiTheme="minorHAnsi" w:hAnsiTheme="minorHAnsi" w:cstheme="minorHAnsi"/>
          <w:noProof/>
          <w:sz w:val="22"/>
          <w:szCs w:val="22"/>
          <w:lang w:val="es-ES"/>
        </w:rPr>
        <w:t>Región de Europa (del 19 al 23 de marzo), Olomouc (República Checa)</w:t>
      </w:r>
    </w:p>
    <w:p w14:paraId="3F9E32E3" w14:textId="77777777" w:rsidR="00270CFF" w:rsidRPr="005C40EF" w:rsidRDefault="00270CFF" w:rsidP="00256F0E">
      <w:pPr>
        <w:rPr>
          <w:rFonts w:asciiTheme="minorHAnsi" w:hAnsiTheme="minorHAnsi" w:cstheme="minorHAnsi"/>
          <w:noProof/>
          <w:sz w:val="22"/>
          <w:szCs w:val="22"/>
          <w:lang w:val="es-ES"/>
        </w:rPr>
      </w:pPr>
    </w:p>
    <w:p w14:paraId="6A201518" w14:textId="1BD98E37" w:rsidR="00256F0E" w:rsidRPr="005C40EF" w:rsidRDefault="00256F0E" w:rsidP="009A0C5B">
      <w:pPr>
        <w:pStyle w:val="ListParagraph"/>
        <w:ind w:left="360"/>
        <w:rPr>
          <w:rFonts w:asciiTheme="minorHAnsi" w:hAnsiTheme="minorHAnsi" w:cstheme="minorHAnsi"/>
          <w:noProof/>
          <w:sz w:val="22"/>
          <w:szCs w:val="22"/>
          <w:lang w:val="es-ES"/>
        </w:rPr>
      </w:pPr>
      <w:r w:rsidRPr="005C40EF">
        <w:rPr>
          <w:rFonts w:asciiTheme="minorHAnsi" w:hAnsiTheme="minorHAnsi" w:cstheme="minorHAnsi"/>
          <w:noProof/>
          <w:sz w:val="22"/>
          <w:szCs w:val="22"/>
          <w:lang w:val="es-ES"/>
        </w:rPr>
        <w:t xml:space="preserve">La Secretaría desea expresar su agradecimiento a los países anfitriones de estas reuniones. Las Partes Contratantes consideran que estas reuniones </w:t>
      </w:r>
      <w:r w:rsidR="00F154D7" w:rsidRPr="005C40EF">
        <w:rPr>
          <w:rFonts w:asciiTheme="minorHAnsi" w:hAnsiTheme="minorHAnsi" w:cstheme="minorHAnsi"/>
          <w:noProof/>
          <w:sz w:val="22"/>
          <w:szCs w:val="22"/>
          <w:lang w:val="es-ES"/>
        </w:rPr>
        <w:t>han sido</w:t>
      </w:r>
      <w:r w:rsidR="009A0C5B" w:rsidRPr="005C40EF">
        <w:rPr>
          <w:rFonts w:asciiTheme="minorHAnsi" w:hAnsiTheme="minorHAnsi" w:cstheme="minorHAnsi"/>
          <w:noProof/>
          <w:sz w:val="22"/>
          <w:szCs w:val="22"/>
          <w:lang w:val="es-ES"/>
        </w:rPr>
        <w:t xml:space="preserve"> </w:t>
      </w:r>
      <w:r w:rsidRPr="005C40EF">
        <w:rPr>
          <w:rFonts w:asciiTheme="minorHAnsi" w:hAnsiTheme="minorHAnsi" w:cstheme="minorHAnsi"/>
          <w:noProof/>
          <w:sz w:val="22"/>
          <w:szCs w:val="22"/>
          <w:lang w:val="es-ES"/>
        </w:rPr>
        <w:t xml:space="preserve">foros valiosos para </w:t>
      </w:r>
      <w:r w:rsidR="009A0C5B" w:rsidRPr="005C40EF">
        <w:rPr>
          <w:rFonts w:asciiTheme="minorHAnsi" w:hAnsiTheme="minorHAnsi" w:cstheme="minorHAnsi"/>
          <w:noProof/>
          <w:sz w:val="22"/>
          <w:szCs w:val="22"/>
          <w:lang w:val="es-ES"/>
        </w:rPr>
        <w:t>pronunciarse sobre los proyectos de r</w:t>
      </w:r>
      <w:r w:rsidRPr="005C40EF">
        <w:rPr>
          <w:rFonts w:asciiTheme="minorHAnsi" w:hAnsiTheme="minorHAnsi" w:cstheme="minorHAnsi"/>
          <w:noProof/>
          <w:sz w:val="22"/>
          <w:szCs w:val="22"/>
          <w:lang w:val="es-ES"/>
        </w:rPr>
        <w:t xml:space="preserve">esolución </w:t>
      </w:r>
      <w:r w:rsidR="009A0C5B" w:rsidRPr="005C40EF">
        <w:rPr>
          <w:rFonts w:asciiTheme="minorHAnsi" w:hAnsiTheme="minorHAnsi" w:cstheme="minorHAnsi"/>
          <w:noProof/>
          <w:sz w:val="22"/>
          <w:szCs w:val="22"/>
          <w:lang w:val="es-ES"/>
        </w:rPr>
        <w:t>que se examinaron posteriormente en</w:t>
      </w:r>
      <w:r w:rsidRPr="005C40EF">
        <w:rPr>
          <w:rFonts w:asciiTheme="minorHAnsi" w:hAnsiTheme="minorHAnsi" w:cstheme="minorHAnsi"/>
          <w:noProof/>
          <w:sz w:val="22"/>
          <w:szCs w:val="22"/>
          <w:lang w:val="es-ES"/>
        </w:rPr>
        <w:t xml:space="preserve"> </w:t>
      </w:r>
      <w:r w:rsidR="009A0C5B" w:rsidRPr="005C40EF">
        <w:rPr>
          <w:rFonts w:asciiTheme="minorHAnsi" w:hAnsiTheme="minorHAnsi" w:cstheme="minorHAnsi"/>
          <w:noProof/>
          <w:sz w:val="22"/>
          <w:szCs w:val="22"/>
          <w:lang w:val="es-ES"/>
        </w:rPr>
        <w:t>la reunión</w:t>
      </w:r>
      <w:r w:rsidRPr="005C40EF">
        <w:rPr>
          <w:rFonts w:asciiTheme="minorHAnsi" w:hAnsiTheme="minorHAnsi" w:cstheme="minorHAnsi"/>
          <w:noProof/>
          <w:sz w:val="22"/>
          <w:szCs w:val="22"/>
          <w:lang w:val="es-ES"/>
        </w:rPr>
        <w:t xml:space="preserve"> SC54 y </w:t>
      </w:r>
      <w:r w:rsidR="009A0C5B" w:rsidRPr="005C40EF">
        <w:rPr>
          <w:rFonts w:asciiTheme="minorHAnsi" w:hAnsiTheme="minorHAnsi" w:cstheme="minorHAnsi"/>
          <w:noProof/>
          <w:sz w:val="22"/>
          <w:szCs w:val="22"/>
          <w:lang w:val="es-ES"/>
        </w:rPr>
        <w:t>que se negociarán</w:t>
      </w:r>
      <w:r w:rsidRPr="005C40EF">
        <w:rPr>
          <w:rFonts w:asciiTheme="minorHAnsi" w:hAnsiTheme="minorHAnsi" w:cstheme="minorHAnsi"/>
          <w:noProof/>
          <w:sz w:val="22"/>
          <w:szCs w:val="22"/>
          <w:lang w:val="es-ES"/>
        </w:rPr>
        <w:t xml:space="preserve"> </w:t>
      </w:r>
      <w:r w:rsidR="009A0C5B" w:rsidRPr="005C40EF">
        <w:rPr>
          <w:rFonts w:asciiTheme="minorHAnsi" w:hAnsiTheme="minorHAnsi" w:cstheme="minorHAnsi"/>
          <w:noProof/>
          <w:sz w:val="22"/>
          <w:szCs w:val="22"/>
          <w:lang w:val="es-ES"/>
        </w:rPr>
        <w:t xml:space="preserve">en la COP13. Asimismo, estas reuniones ofrecen </w:t>
      </w:r>
      <w:r w:rsidRPr="005C40EF">
        <w:rPr>
          <w:rFonts w:asciiTheme="minorHAnsi" w:hAnsiTheme="minorHAnsi" w:cstheme="minorHAnsi"/>
          <w:noProof/>
          <w:sz w:val="22"/>
          <w:szCs w:val="22"/>
          <w:lang w:val="es-ES"/>
        </w:rPr>
        <w:t xml:space="preserve">una oportunidad para que las Partes intercambien experiencias sobre la aplicación de la Convención </w:t>
      </w:r>
      <w:r w:rsidR="009A0C5B" w:rsidRPr="005C40EF">
        <w:rPr>
          <w:rFonts w:asciiTheme="minorHAnsi" w:hAnsiTheme="minorHAnsi" w:cstheme="minorHAnsi"/>
          <w:noProof/>
          <w:sz w:val="22"/>
          <w:szCs w:val="22"/>
          <w:lang w:val="es-ES"/>
        </w:rPr>
        <w:t>a escalas</w:t>
      </w:r>
      <w:r w:rsidRPr="005C40EF">
        <w:rPr>
          <w:rFonts w:asciiTheme="minorHAnsi" w:hAnsiTheme="minorHAnsi" w:cstheme="minorHAnsi"/>
          <w:noProof/>
          <w:sz w:val="22"/>
          <w:szCs w:val="22"/>
          <w:lang w:val="es-ES"/>
        </w:rPr>
        <w:t xml:space="preserve"> regional y nacional, </w:t>
      </w:r>
      <w:r w:rsidR="00A86425" w:rsidRPr="005C40EF">
        <w:rPr>
          <w:rFonts w:asciiTheme="minorHAnsi" w:hAnsiTheme="minorHAnsi" w:cstheme="minorHAnsi"/>
          <w:noProof/>
          <w:sz w:val="22"/>
          <w:szCs w:val="22"/>
          <w:lang w:val="es-ES"/>
        </w:rPr>
        <w:t xml:space="preserve">planteen </w:t>
      </w:r>
      <w:r w:rsidRPr="005C40EF">
        <w:rPr>
          <w:rFonts w:asciiTheme="minorHAnsi" w:hAnsiTheme="minorHAnsi" w:cstheme="minorHAnsi"/>
          <w:noProof/>
          <w:sz w:val="22"/>
          <w:szCs w:val="22"/>
          <w:lang w:val="es-ES"/>
        </w:rPr>
        <w:t xml:space="preserve">cuestiones de interés mutuo y </w:t>
      </w:r>
      <w:r w:rsidR="009A0C5B" w:rsidRPr="005C40EF">
        <w:rPr>
          <w:rFonts w:asciiTheme="minorHAnsi" w:hAnsiTheme="minorHAnsi" w:cstheme="minorHAnsi"/>
          <w:noProof/>
          <w:sz w:val="22"/>
          <w:szCs w:val="22"/>
          <w:lang w:val="es-ES"/>
        </w:rPr>
        <w:t>sostengan conversaciones</w:t>
      </w:r>
      <w:r w:rsidRPr="005C40EF">
        <w:rPr>
          <w:rFonts w:asciiTheme="minorHAnsi" w:hAnsiTheme="minorHAnsi" w:cstheme="minorHAnsi"/>
          <w:noProof/>
          <w:sz w:val="22"/>
          <w:szCs w:val="22"/>
          <w:lang w:val="es-ES"/>
        </w:rPr>
        <w:t xml:space="preserve"> preliminares sobre la elección de representantes regionales </w:t>
      </w:r>
      <w:r w:rsidR="009A0C5B" w:rsidRPr="005C40EF">
        <w:rPr>
          <w:rFonts w:asciiTheme="minorHAnsi" w:hAnsiTheme="minorHAnsi" w:cstheme="minorHAnsi"/>
          <w:noProof/>
          <w:sz w:val="22"/>
          <w:szCs w:val="22"/>
          <w:lang w:val="es-ES"/>
        </w:rPr>
        <w:t>para</w:t>
      </w:r>
      <w:r w:rsidRPr="005C40EF">
        <w:rPr>
          <w:rFonts w:asciiTheme="minorHAnsi" w:hAnsiTheme="minorHAnsi" w:cstheme="minorHAnsi"/>
          <w:noProof/>
          <w:sz w:val="22"/>
          <w:szCs w:val="22"/>
          <w:lang w:val="es-ES"/>
        </w:rPr>
        <w:t xml:space="preserve"> el Comité Permanente.</w:t>
      </w:r>
    </w:p>
    <w:p w14:paraId="263ECFFD" w14:textId="77777777" w:rsidR="00B02D0F" w:rsidRPr="005C40EF" w:rsidRDefault="00B02D0F" w:rsidP="00C81B75">
      <w:pPr>
        <w:rPr>
          <w:rFonts w:asciiTheme="minorHAnsi" w:hAnsiTheme="minorHAnsi" w:cstheme="minorHAnsi"/>
          <w:noProof/>
          <w:sz w:val="22"/>
          <w:szCs w:val="22"/>
          <w:lang w:val="es-ES"/>
        </w:rPr>
      </w:pPr>
    </w:p>
    <w:p w14:paraId="527B41FC" w14:textId="65A1CFDC" w:rsidR="00A86425" w:rsidRPr="005C40EF" w:rsidRDefault="00635EC0" w:rsidP="00635EC0">
      <w:pPr>
        <w:autoSpaceDE w:val="0"/>
        <w:autoSpaceDN w:val="0"/>
        <w:adjustRightInd w:val="0"/>
        <w:ind w:left="425" w:hanging="425"/>
        <w:rPr>
          <w:rFonts w:asciiTheme="minorHAnsi" w:hAnsiTheme="minorHAnsi" w:cstheme="minorHAnsi"/>
          <w:noProof/>
          <w:sz w:val="22"/>
          <w:szCs w:val="22"/>
          <w:lang w:val="es-ES"/>
        </w:rPr>
      </w:pPr>
      <w:r>
        <w:rPr>
          <w:rFonts w:asciiTheme="minorHAnsi" w:hAnsiTheme="minorHAnsi" w:cstheme="minorHAnsi"/>
          <w:noProof/>
          <w:sz w:val="22"/>
          <w:szCs w:val="22"/>
          <w:lang w:val="es-ES"/>
        </w:rPr>
        <w:t>10.</w:t>
      </w:r>
      <w:r>
        <w:rPr>
          <w:rFonts w:asciiTheme="minorHAnsi" w:hAnsiTheme="minorHAnsi" w:cstheme="minorHAnsi"/>
          <w:noProof/>
          <w:sz w:val="22"/>
          <w:szCs w:val="22"/>
          <w:lang w:val="es-ES"/>
        </w:rPr>
        <w:tab/>
      </w:r>
      <w:r w:rsidR="00A86425" w:rsidRPr="005C40EF">
        <w:rPr>
          <w:rFonts w:asciiTheme="minorHAnsi" w:hAnsiTheme="minorHAnsi" w:cstheme="minorHAnsi"/>
          <w:noProof/>
          <w:sz w:val="22"/>
          <w:szCs w:val="22"/>
          <w:lang w:val="es-ES"/>
        </w:rPr>
        <w:t xml:space="preserve">La Secretaría ha estado </w:t>
      </w:r>
      <w:r w:rsidR="00F154D7" w:rsidRPr="005C40EF">
        <w:rPr>
          <w:rFonts w:asciiTheme="minorHAnsi" w:hAnsiTheme="minorHAnsi" w:cstheme="minorHAnsi"/>
          <w:noProof/>
          <w:sz w:val="22"/>
          <w:szCs w:val="22"/>
          <w:lang w:val="es-ES"/>
        </w:rPr>
        <w:t>colaborando</w:t>
      </w:r>
      <w:r w:rsidR="00A86425" w:rsidRPr="005C40EF">
        <w:rPr>
          <w:rFonts w:asciiTheme="minorHAnsi" w:hAnsiTheme="minorHAnsi" w:cstheme="minorHAnsi"/>
          <w:noProof/>
          <w:sz w:val="22"/>
          <w:szCs w:val="22"/>
          <w:lang w:val="es-ES"/>
        </w:rPr>
        <w:t xml:space="preserve"> activamente</w:t>
      </w:r>
      <w:r w:rsidR="009A0C5B" w:rsidRPr="005C40EF">
        <w:rPr>
          <w:rFonts w:asciiTheme="minorHAnsi" w:hAnsiTheme="minorHAnsi" w:cstheme="minorHAnsi"/>
          <w:noProof/>
          <w:sz w:val="22"/>
          <w:szCs w:val="22"/>
          <w:lang w:val="es-ES"/>
        </w:rPr>
        <w:t xml:space="preserve"> con los Emiratos Árabes Unidos, </w:t>
      </w:r>
      <w:r w:rsidR="00A86425" w:rsidRPr="005C40EF">
        <w:rPr>
          <w:rFonts w:asciiTheme="minorHAnsi" w:hAnsiTheme="minorHAnsi" w:cstheme="minorHAnsi"/>
          <w:noProof/>
          <w:sz w:val="22"/>
          <w:szCs w:val="22"/>
          <w:lang w:val="es-ES"/>
        </w:rPr>
        <w:t>país anfitrión de la COP13</w:t>
      </w:r>
      <w:r w:rsidR="009A0C5B" w:rsidRPr="005C40EF">
        <w:rPr>
          <w:rFonts w:asciiTheme="minorHAnsi" w:hAnsiTheme="minorHAnsi" w:cstheme="minorHAnsi"/>
          <w:noProof/>
          <w:sz w:val="22"/>
          <w:szCs w:val="22"/>
          <w:lang w:val="es-ES"/>
        </w:rPr>
        <w:t>,</w:t>
      </w:r>
      <w:r w:rsidR="00A86425" w:rsidRPr="005C40EF">
        <w:rPr>
          <w:rFonts w:asciiTheme="minorHAnsi" w:hAnsiTheme="minorHAnsi" w:cstheme="minorHAnsi"/>
          <w:noProof/>
          <w:sz w:val="22"/>
          <w:szCs w:val="22"/>
          <w:lang w:val="es-ES"/>
        </w:rPr>
        <w:t xml:space="preserve"> </w:t>
      </w:r>
      <w:r w:rsidR="00F154D7" w:rsidRPr="005C40EF">
        <w:rPr>
          <w:rFonts w:asciiTheme="minorHAnsi" w:hAnsiTheme="minorHAnsi" w:cstheme="minorHAnsi"/>
          <w:noProof/>
          <w:sz w:val="22"/>
          <w:szCs w:val="22"/>
          <w:lang w:val="es-ES"/>
        </w:rPr>
        <w:t>en</w:t>
      </w:r>
      <w:r w:rsidR="009A0C5B" w:rsidRPr="005C40EF">
        <w:rPr>
          <w:rFonts w:asciiTheme="minorHAnsi" w:hAnsiTheme="minorHAnsi" w:cstheme="minorHAnsi"/>
          <w:noProof/>
          <w:sz w:val="22"/>
          <w:szCs w:val="22"/>
          <w:lang w:val="es-ES"/>
        </w:rPr>
        <w:t xml:space="preserve"> la</w:t>
      </w:r>
      <w:r w:rsidR="00F154D7" w:rsidRPr="005C40EF">
        <w:rPr>
          <w:rFonts w:asciiTheme="minorHAnsi" w:hAnsiTheme="minorHAnsi" w:cstheme="minorHAnsi"/>
          <w:noProof/>
          <w:sz w:val="22"/>
          <w:szCs w:val="22"/>
          <w:lang w:val="es-ES"/>
        </w:rPr>
        <w:t xml:space="preserve"> planificación, </w:t>
      </w:r>
      <w:r w:rsidR="00A86425" w:rsidRPr="005C40EF">
        <w:rPr>
          <w:rFonts w:asciiTheme="minorHAnsi" w:hAnsiTheme="minorHAnsi" w:cstheme="minorHAnsi"/>
          <w:noProof/>
          <w:sz w:val="22"/>
          <w:szCs w:val="22"/>
          <w:lang w:val="es-ES"/>
        </w:rPr>
        <w:t>logística y comunicaciones</w:t>
      </w:r>
      <w:r w:rsidR="00F154D7" w:rsidRPr="005C40EF">
        <w:rPr>
          <w:rFonts w:asciiTheme="minorHAnsi" w:hAnsiTheme="minorHAnsi" w:cstheme="minorHAnsi"/>
          <w:noProof/>
          <w:sz w:val="22"/>
          <w:szCs w:val="22"/>
          <w:lang w:val="es-ES"/>
        </w:rPr>
        <w:t xml:space="preserve"> del evento</w:t>
      </w:r>
      <w:r w:rsidR="00A86425" w:rsidRPr="005C40EF">
        <w:rPr>
          <w:rFonts w:asciiTheme="minorHAnsi" w:hAnsiTheme="minorHAnsi" w:cstheme="minorHAnsi"/>
          <w:noProof/>
          <w:sz w:val="22"/>
          <w:szCs w:val="22"/>
          <w:lang w:val="es-ES"/>
        </w:rPr>
        <w:t xml:space="preserve">. Las responsabilidades </w:t>
      </w:r>
      <w:r w:rsidR="009A0C5B" w:rsidRPr="005C40EF">
        <w:rPr>
          <w:rFonts w:asciiTheme="minorHAnsi" w:hAnsiTheme="minorHAnsi" w:cstheme="minorHAnsi"/>
          <w:noProof/>
          <w:sz w:val="22"/>
          <w:szCs w:val="22"/>
          <w:lang w:val="es-ES"/>
        </w:rPr>
        <w:t>principales</w:t>
      </w:r>
      <w:r w:rsidR="00A86425" w:rsidRPr="005C40EF">
        <w:rPr>
          <w:rFonts w:asciiTheme="minorHAnsi" w:hAnsiTheme="minorHAnsi" w:cstheme="minorHAnsi"/>
          <w:noProof/>
          <w:sz w:val="22"/>
          <w:szCs w:val="22"/>
          <w:lang w:val="es-ES"/>
        </w:rPr>
        <w:t xml:space="preserve"> </w:t>
      </w:r>
      <w:r w:rsidR="009A0C5B" w:rsidRPr="005C40EF">
        <w:rPr>
          <w:rFonts w:asciiTheme="minorHAnsi" w:hAnsiTheme="minorHAnsi" w:cstheme="minorHAnsi"/>
          <w:noProof/>
          <w:sz w:val="22"/>
          <w:szCs w:val="22"/>
          <w:lang w:val="es-ES"/>
        </w:rPr>
        <w:t>son</w:t>
      </w:r>
      <w:r w:rsidR="00A86425" w:rsidRPr="005C40EF">
        <w:rPr>
          <w:rFonts w:asciiTheme="minorHAnsi" w:hAnsiTheme="minorHAnsi" w:cstheme="minorHAnsi"/>
          <w:noProof/>
          <w:sz w:val="22"/>
          <w:szCs w:val="22"/>
          <w:lang w:val="es-ES"/>
        </w:rPr>
        <w:t xml:space="preserve">: </w:t>
      </w:r>
      <w:r w:rsidR="009A0C5B" w:rsidRPr="005C40EF">
        <w:rPr>
          <w:rFonts w:asciiTheme="minorHAnsi" w:hAnsiTheme="minorHAnsi" w:cstheme="minorHAnsi"/>
          <w:noProof/>
          <w:sz w:val="22"/>
          <w:szCs w:val="22"/>
          <w:lang w:val="es-ES"/>
        </w:rPr>
        <w:t xml:space="preserve">el </w:t>
      </w:r>
      <w:r w:rsidR="00A86425" w:rsidRPr="005C40EF">
        <w:rPr>
          <w:rFonts w:asciiTheme="minorHAnsi" w:hAnsiTheme="minorHAnsi" w:cstheme="minorHAnsi"/>
          <w:noProof/>
          <w:sz w:val="22"/>
          <w:szCs w:val="22"/>
          <w:lang w:val="es-ES"/>
        </w:rPr>
        <w:t>desarrollo de un memorando de entendimiento que inclu</w:t>
      </w:r>
      <w:r w:rsidR="009A0C5B" w:rsidRPr="005C40EF">
        <w:rPr>
          <w:rFonts w:asciiTheme="minorHAnsi" w:hAnsiTheme="minorHAnsi" w:cstheme="minorHAnsi"/>
          <w:noProof/>
          <w:sz w:val="22"/>
          <w:szCs w:val="22"/>
          <w:lang w:val="es-ES"/>
        </w:rPr>
        <w:t xml:space="preserve">ya la </w:t>
      </w:r>
      <w:r w:rsidR="00291269" w:rsidRPr="005C40EF">
        <w:rPr>
          <w:rFonts w:asciiTheme="minorHAnsi" w:hAnsiTheme="minorHAnsi" w:cstheme="minorHAnsi"/>
          <w:noProof/>
          <w:sz w:val="22"/>
          <w:szCs w:val="22"/>
          <w:lang w:val="es-ES"/>
        </w:rPr>
        <w:t>exposición de las necesidades</w:t>
      </w:r>
      <w:r w:rsidR="00F154D7" w:rsidRPr="005C40EF">
        <w:rPr>
          <w:rFonts w:asciiTheme="minorHAnsi" w:hAnsiTheme="minorHAnsi" w:cstheme="minorHAnsi"/>
          <w:noProof/>
          <w:sz w:val="22"/>
          <w:szCs w:val="22"/>
          <w:lang w:val="es-ES"/>
        </w:rPr>
        <w:t>;</w:t>
      </w:r>
      <w:r w:rsidR="00A86425" w:rsidRPr="005C40EF">
        <w:rPr>
          <w:rFonts w:asciiTheme="minorHAnsi" w:hAnsiTheme="minorHAnsi" w:cstheme="minorHAnsi"/>
          <w:noProof/>
          <w:sz w:val="22"/>
          <w:szCs w:val="22"/>
          <w:lang w:val="es-ES"/>
        </w:rPr>
        <w:t xml:space="preserve"> </w:t>
      </w:r>
      <w:r w:rsidR="00F154D7" w:rsidRPr="005C40EF">
        <w:rPr>
          <w:rFonts w:asciiTheme="minorHAnsi" w:hAnsiTheme="minorHAnsi" w:cstheme="minorHAnsi"/>
          <w:noProof/>
          <w:sz w:val="22"/>
          <w:szCs w:val="22"/>
          <w:lang w:val="es-ES"/>
        </w:rPr>
        <w:t>el registro;</w:t>
      </w:r>
      <w:r w:rsidR="00A86425" w:rsidRPr="005C40EF">
        <w:rPr>
          <w:rFonts w:asciiTheme="minorHAnsi" w:hAnsiTheme="minorHAnsi" w:cstheme="minorHAnsi"/>
          <w:noProof/>
          <w:sz w:val="22"/>
          <w:szCs w:val="22"/>
          <w:lang w:val="es-ES"/>
        </w:rPr>
        <w:t xml:space="preserve"> </w:t>
      </w:r>
      <w:r w:rsidR="009A0C5B" w:rsidRPr="005C40EF">
        <w:rPr>
          <w:rFonts w:asciiTheme="minorHAnsi" w:hAnsiTheme="minorHAnsi" w:cstheme="minorHAnsi"/>
          <w:noProof/>
          <w:sz w:val="22"/>
          <w:szCs w:val="22"/>
          <w:lang w:val="es-ES"/>
        </w:rPr>
        <w:t xml:space="preserve">los </w:t>
      </w:r>
      <w:r w:rsidR="00A86425" w:rsidRPr="005C40EF">
        <w:rPr>
          <w:rFonts w:asciiTheme="minorHAnsi" w:hAnsiTheme="minorHAnsi" w:cstheme="minorHAnsi"/>
          <w:noProof/>
          <w:sz w:val="22"/>
          <w:szCs w:val="22"/>
          <w:lang w:val="es-ES"/>
        </w:rPr>
        <w:t>viaje</w:t>
      </w:r>
      <w:r w:rsidR="009A0C5B" w:rsidRPr="005C40EF">
        <w:rPr>
          <w:rFonts w:asciiTheme="minorHAnsi" w:hAnsiTheme="minorHAnsi" w:cstheme="minorHAnsi"/>
          <w:noProof/>
          <w:sz w:val="22"/>
          <w:szCs w:val="22"/>
          <w:lang w:val="es-ES"/>
        </w:rPr>
        <w:t>s</w:t>
      </w:r>
      <w:r w:rsidR="00A86425" w:rsidRPr="005C40EF">
        <w:rPr>
          <w:rFonts w:asciiTheme="minorHAnsi" w:hAnsiTheme="minorHAnsi" w:cstheme="minorHAnsi"/>
          <w:noProof/>
          <w:sz w:val="22"/>
          <w:szCs w:val="22"/>
          <w:lang w:val="es-ES"/>
        </w:rPr>
        <w:t xml:space="preserve"> de</w:t>
      </w:r>
      <w:r w:rsidR="00291269" w:rsidRPr="005C40EF">
        <w:rPr>
          <w:rFonts w:asciiTheme="minorHAnsi" w:hAnsiTheme="minorHAnsi" w:cstheme="minorHAnsi"/>
          <w:noProof/>
          <w:sz w:val="22"/>
          <w:szCs w:val="22"/>
          <w:lang w:val="es-ES"/>
        </w:rPr>
        <w:t xml:space="preserve"> los</w:t>
      </w:r>
      <w:r w:rsidR="00A86425" w:rsidRPr="005C40EF">
        <w:rPr>
          <w:rFonts w:asciiTheme="minorHAnsi" w:hAnsiTheme="minorHAnsi" w:cstheme="minorHAnsi"/>
          <w:noProof/>
          <w:sz w:val="22"/>
          <w:szCs w:val="22"/>
          <w:lang w:val="es-ES"/>
        </w:rPr>
        <w:t xml:space="preserve"> delegado</w:t>
      </w:r>
      <w:r w:rsidR="009A0C5B" w:rsidRPr="005C40EF">
        <w:rPr>
          <w:rFonts w:asciiTheme="minorHAnsi" w:hAnsiTheme="minorHAnsi" w:cstheme="minorHAnsi"/>
          <w:noProof/>
          <w:sz w:val="22"/>
          <w:szCs w:val="22"/>
          <w:lang w:val="es-ES"/>
        </w:rPr>
        <w:t>s</w:t>
      </w:r>
      <w:r w:rsidR="00A86425" w:rsidRPr="005C40EF">
        <w:rPr>
          <w:rFonts w:asciiTheme="minorHAnsi" w:hAnsiTheme="minorHAnsi" w:cstheme="minorHAnsi"/>
          <w:noProof/>
          <w:sz w:val="22"/>
          <w:szCs w:val="22"/>
          <w:lang w:val="es-ES"/>
        </w:rPr>
        <w:t xml:space="preserve"> patrocinado</w:t>
      </w:r>
      <w:r w:rsidR="00F154D7" w:rsidRPr="005C40EF">
        <w:rPr>
          <w:rFonts w:asciiTheme="minorHAnsi" w:hAnsiTheme="minorHAnsi" w:cstheme="minorHAnsi"/>
          <w:noProof/>
          <w:sz w:val="22"/>
          <w:szCs w:val="22"/>
          <w:lang w:val="es-ES"/>
        </w:rPr>
        <w:t>s;</w:t>
      </w:r>
      <w:r w:rsidR="00A86425" w:rsidRPr="005C40EF">
        <w:rPr>
          <w:rFonts w:asciiTheme="minorHAnsi" w:hAnsiTheme="minorHAnsi" w:cstheme="minorHAnsi"/>
          <w:noProof/>
          <w:sz w:val="22"/>
          <w:szCs w:val="22"/>
          <w:lang w:val="es-ES"/>
        </w:rPr>
        <w:t xml:space="preserve"> </w:t>
      </w:r>
      <w:r w:rsidR="009A0C5B" w:rsidRPr="005C40EF">
        <w:rPr>
          <w:rFonts w:asciiTheme="minorHAnsi" w:hAnsiTheme="minorHAnsi" w:cstheme="minorHAnsi"/>
          <w:noProof/>
          <w:sz w:val="22"/>
          <w:szCs w:val="22"/>
          <w:lang w:val="es-ES"/>
        </w:rPr>
        <w:t xml:space="preserve">la </w:t>
      </w:r>
      <w:r w:rsidR="00A86425" w:rsidRPr="005C40EF">
        <w:rPr>
          <w:rFonts w:asciiTheme="minorHAnsi" w:hAnsiTheme="minorHAnsi" w:cstheme="minorHAnsi"/>
          <w:noProof/>
          <w:sz w:val="22"/>
          <w:szCs w:val="22"/>
          <w:lang w:val="es-ES"/>
        </w:rPr>
        <w:t>co</w:t>
      </w:r>
      <w:r w:rsidR="00F154D7" w:rsidRPr="005C40EF">
        <w:rPr>
          <w:rFonts w:asciiTheme="minorHAnsi" w:hAnsiTheme="minorHAnsi" w:cstheme="minorHAnsi"/>
          <w:noProof/>
          <w:sz w:val="22"/>
          <w:szCs w:val="22"/>
          <w:lang w:val="es-ES"/>
        </w:rPr>
        <w:t>ordinación de eventos paralelos;</w:t>
      </w:r>
      <w:r w:rsidR="00A86425" w:rsidRPr="005C40EF">
        <w:rPr>
          <w:rFonts w:asciiTheme="minorHAnsi" w:hAnsiTheme="minorHAnsi" w:cstheme="minorHAnsi"/>
          <w:noProof/>
          <w:sz w:val="22"/>
          <w:szCs w:val="22"/>
          <w:lang w:val="es-ES"/>
        </w:rPr>
        <w:t xml:space="preserve"> </w:t>
      </w:r>
      <w:r w:rsidR="009A0C5B" w:rsidRPr="005C40EF">
        <w:rPr>
          <w:rFonts w:asciiTheme="minorHAnsi" w:hAnsiTheme="minorHAnsi" w:cstheme="minorHAnsi"/>
          <w:noProof/>
          <w:sz w:val="22"/>
          <w:szCs w:val="22"/>
          <w:lang w:val="es-ES"/>
        </w:rPr>
        <w:t>las comunicaciones</w:t>
      </w:r>
      <w:r w:rsidR="00F154D7" w:rsidRPr="005C40EF">
        <w:rPr>
          <w:rFonts w:asciiTheme="minorHAnsi" w:hAnsiTheme="minorHAnsi" w:cstheme="minorHAnsi"/>
          <w:noProof/>
          <w:sz w:val="22"/>
          <w:szCs w:val="22"/>
          <w:lang w:val="es-ES"/>
        </w:rPr>
        <w:t>;</w:t>
      </w:r>
      <w:r w:rsidR="00A86425" w:rsidRPr="005C40EF">
        <w:rPr>
          <w:rFonts w:asciiTheme="minorHAnsi" w:hAnsiTheme="minorHAnsi" w:cstheme="minorHAnsi"/>
          <w:noProof/>
          <w:sz w:val="22"/>
          <w:szCs w:val="22"/>
          <w:lang w:val="es-ES"/>
        </w:rPr>
        <w:t xml:space="preserve"> y </w:t>
      </w:r>
      <w:r w:rsidR="009A0C5B" w:rsidRPr="005C40EF">
        <w:rPr>
          <w:rFonts w:asciiTheme="minorHAnsi" w:hAnsiTheme="minorHAnsi" w:cstheme="minorHAnsi"/>
          <w:noProof/>
          <w:sz w:val="22"/>
          <w:szCs w:val="22"/>
          <w:lang w:val="es-ES"/>
        </w:rPr>
        <w:t xml:space="preserve">la </w:t>
      </w:r>
      <w:r w:rsidR="00A86425" w:rsidRPr="005C40EF">
        <w:rPr>
          <w:rFonts w:asciiTheme="minorHAnsi" w:hAnsiTheme="minorHAnsi" w:cstheme="minorHAnsi"/>
          <w:noProof/>
          <w:sz w:val="22"/>
          <w:szCs w:val="22"/>
          <w:lang w:val="es-ES"/>
        </w:rPr>
        <w:t>preparación de los documentos de la reunión.</w:t>
      </w:r>
    </w:p>
    <w:p w14:paraId="665EFAB4" w14:textId="77777777" w:rsidR="00A86425" w:rsidRPr="005C40EF" w:rsidRDefault="00A86425" w:rsidP="00635EC0">
      <w:pPr>
        <w:autoSpaceDE w:val="0"/>
        <w:autoSpaceDN w:val="0"/>
        <w:adjustRightInd w:val="0"/>
        <w:ind w:left="425" w:hanging="425"/>
        <w:rPr>
          <w:rFonts w:asciiTheme="minorHAnsi" w:hAnsiTheme="minorHAnsi" w:cstheme="minorHAnsi"/>
          <w:noProof/>
          <w:sz w:val="22"/>
          <w:szCs w:val="22"/>
          <w:lang w:val="es-ES"/>
        </w:rPr>
      </w:pPr>
    </w:p>
    <w:p w14:paraId="58D321E9" w14:textId="164F3E0D" w:rsidR="00B02D0F" w:rsidRPr="005C40EF" w:rsidRDefault="00635EC0" w:rsidP="00635EC0">
      <w:pPr>
        <w:autoSpaceDE w:val="0"/>
        <w:autoSpaceDN w:val="0"/>
        <w:adjustRightInd w:val="0"/>
        <w:ind w:left="425" w:hanging="425"/>
        <w:rPr>
          <w:rFonts w:asciiTheme="minorHAnsi" w:hAnsiTheme="minorHAnsi" w:cstheme="minorHAnsi"/>
          <w:noProof/>
          <w:sz w:val="22"/>
          <w:szCs w:val="22"/>
          <w:lang w:val="es-ES"/>
        </w:rPr>
      </w:pPr>
      <w:r>
        <w:rPr>
          <w:rFonts w:asciiTheme="minorHAnsi" w:hAnsiTheme="minorHAnsi" w:cstheme="minorHAnsi"/>
          <w:noProof/>
          <w:sz w:val="22"/>
          <w:szCs w:val="22"/>
          <w:lang w:val="es-ES"/>
        </w:rPr>
        <w:t>11.</w:t>
      </w:r>
      <w:r>
        <w:rPr>
          <w:rFonts w:asciiTheme="minorHAnsi" w:hAnsiTheme="minorHAnsi" w:cstheme="minorHAnsi"/>
          <w:noProof/>
          <w:sz w:val="22"/>
          <w:szCs w:val="22"/>
          <w:lang w:val="es-ES"/>
        </w:rPr>
        <w:tab/>
      </w:r>
      <w:r w:rsidR="00F751AF" w:rsidRPr="005C40EF">
        <w:rPr>
          <w:rFonts w:asciiTheme="minorHAnsi" w:hAnsiTheme="minorHAnsi" w:cstheme="minorHAnsi"/>
          <w:noProof/>
          <w:sz w:val="22"/>
          <w:szCs w:val="22"/>
          <w:lang w:val="es-ES"/>
        </w:rPr>
        <w:t>Asimismo, la</w:t>
      </w:r>
      <w:r w:rsidR="008029A7" w:rsidRPr="005C40EF">
        <w:rPr>
          <w:rFonts w:asciiTheme="minorHAnsi" w:hAnsiTheme="minorHAnsi" w:cstheme="minorHAnsi"/>
          <w:noProof/>
          <w:sz w:val="22"/>
          <w:szCs w:val="22"/>
          <w:lang w:val="es-ES"/>
        </w:rPr>
        <w:t xml:space="preserve"> Secretaría </w:t>
      </w:r>
      <w:r w:rsidR="00F751AF" w:rsidRPr="005C40EF">
        <w:rPr>
          <w:rFonts w:asciiTheme="minorHAnsi" w:hAnsiTheme="minorHAnsi" w:cstheme="minorHAnsi"/>
          <w:noProof/>
          <w:sz w:val="22"/>
          <w:szCs w:val="22"/>
          <w:lang w:val="es-ES"/>
        </w:rPr>
        <w:t>ha</w:t>
      </w:r>
      <w:r w:rsidR="008029A7" w:rsidRPr="005C40EF">
        <w:rPr>
          <w:rFonts w:asciiTheme="minorHAnsi" w:hAnsiTheme="minorHAnsi" w:cstheme="minorHAnsi"/>
          <w:noProof/>
          <w:sz w:val="22"/>
          <w:szCs w:val="22"/>
          <w:lang w:val="es-ES"/>
        </w:rPr>
        <w:t xml:space="preserve"> </w:t>
      </w:r>
      <w:r w:rsidR="00F751AF" w:rsidRPr="005C40EF">
        <w:rPr>
          <w:rFonts w:asciiTheme="minorHAnsi" w:hAnsiTheme="minorHAnsi" w:cstheme="minorHAnsi"/>
          <w:noProof/>
          <w:sz w:val="22"/>
          <w:szCs w:val="22"/>
          <w:lang w:val="es-ES"/>
        </w:rPr>
        <w:t>prestado un decidido apoyo a</w:t>
      </w:r>
      <w:r w:rsidR="008029A7" w:rsidRPr="005C40EF">
        <w:rPr>
          <w:rFonts w:asciiTheme="minorHAnsi" w:hAnsiTheme="minorHAnsi" w:cstheme="minorHAnsi"/>
          <w:noProof/>
          <w:sz w:val="22"/>
          <w:szCs w:val="22"/>
          <w:lang w:val="es-ES"/>
        </w:rPr>
        <w:t xml:space="preserve"> la aplicación de las decisiones </w:t>
      </w:r>
      <w:r w:rsidR="00F751AF" w:rsidRPr="005C40EF">
        <w:rPr>
          <w:rFonts w:asciiTheme="minorHAnsi" w:hAnsiTheme="minorHAnsi" w:cstheme="minorHAnsi"/>
          <w:noProof/>
          <w:sz w:val="22"/>
          <w:szCs w:val="22"/>
          <w:lang w:val="es-ES"/>
        </w:rPr>
        <w:t>adoptadas</w:t>
      </w:r>
      <w:r w:rsidR="008029A7" w:rsidRPr="005C40EF">
        <w:rPr>
          <w:rFonts w:asciiTheme="minorHAnsi" w:hAnsiTheme="minorHAnsi" w:cstheme="minorHAnsi"/>
          <w:noProof/>
          <w:sz w:val="22"/>
          <w:szCs w:val="22"/>
          <w:lang w:val="es-ES"/>
        </w:rPr>
        <w:t xml:space="preserve"> </w:t>
      </w:r>
      <w:r w:rsidR="00D73A99" w:rsidRPr="005C40EF">
        <w:rPr>
          <w:rFonts w:asciiTheme="minorHAnsi" w:hAnsiTheme="minorHAnsi" w:cstheme="minorHAnsi"/>
          <w:noProof/>
          <w:sz w:val="22"/>
          <w:szCs w:val="22"/>
          <w:lang w:val="es-ES"/>
        </w:rPr>
        <w:t>por</w:t>
      </w:r>
      <w:r w:rsidR="008029A7" w:rsidRPr="005C40EF">
        <w:rPr>
          <w:rFonts w:asciiTheme="minorHAnsi" w:hAnsiTheme="minorHAnsi" w:cstheme="minorHAnsi"/>
          <w:noProof/>
          <w:sz w:val="22"/>
          <w:szCs w:val="22"/>
          <w:lang w:val="es-ES"/>
        </w:rPr>
        <w:t xml:space="preserve"> la COP12 y el Comité Permanente. Esto incluye apoyo a varios grupos de trabajo </w:t>
      </w:r>
      <w:r w:rsidR="00F751AF" w:rsidRPr="005C40EF">
        <w:rPr>
          <w:rFonts w:asciiTheme="minorHAnsi" w:hAnsiTheme="minorHAnsi" w:cstheme="minorHAnsi"/>
          <w:noProof/>
          <w:sz w:val="22"/>
          <w:szCs w:val="22"/>
          <w:lang w:val="es-ES"/>
        </w:rPr>
        <w:t>a los que la COP12 y las reuniones SC52 y SC53 asignaron</w:t>
      </w:r>
      <w:r w:rsidR="008029A7" w:rsidRPr="005C40EF">
        <w:rPr>
          <w:rFonts w:asciiTheme="minorHAnsi" w:hAnsiTheme="minorHAnsi" w:cstheme="minorHAnsi"/>
          <w:noProof/>
          <w:sz w:val="22"/>
          <w:szCs w:val="22"/>
          <w:lang w:val="es-ES"/>
        </w:rPr>
        <w:t xml:space="preserve"> tareas específicas. En particular, la Secretaría ha </w:t>
      </w:r>
      <w:r w:rsidR="00F751AF" w:rsidRPr="005C40EF">
        <w:rPr>
          <w:rFonts w:asciiTheme="minorHAnsi" w:hAnsiTheme="minorHAnsi" w:cstheme="minorHAnsi"/>
          <w:noProof/>
          <w:sz w:val="22"/>
          <w:szCs w:val="22"/>
          <w:lang w:val="es-ES"/>
        </w:rPr>
        <w:t>prestado</w:t>
      </w:r>
      <w:r w:rsidR="008029A7" w:rsidRPr="005C40EF">
        <w:rPr>
          <w:rFonts w:asciiTheme="minorHAnsi" w:hAnsiTheme="minorHAnsi" w:cstheme="minorHAnsi"/>
          <w:noProof/>
          <w:sz w:val="22"/>
          <w:szCs w:val="22"/>
          <w:lang w:val="es-ES"/>
        </w:rPr>
        <w:t xml:space="preserve"> </w:t>
      </w:r>
      <w:r w:rsidR="00C03AC9" w:rsidRPr="005C40EF">
        <w:rPr>
          <w:rFonts w:asciiTheme="minorHAnsi" w:hAnsiTheme="minorHAnsi" w:cstheme="minorHAnsi"/>
          <w:noProof/>
          <w:sz w:val="22"/>
          <w:szCs w:val="22"/>
          <w:lang w:val="es-ES"/>
        </w:rPr>
        <w:t>apoyo</w:t>
      </w:r>
      <w:r w:rsidR="00F751AF" w:rsidRPr="005C40EF">
        <w:rPr>
          <w:rFonts w:asciiTheme="minorHAnsi" w:hAnsiTheme="minorHAnsi" w:cstheme="minorHAnsi"/>
          <w:noProof/>
          <w:sz w:val="22"/>
          <w:szCs w:val="22"/>
          <w:lang w:val="es-ES"/>
        </w:rPr>
        <w:t xml:space="preserve"> considerable al Grupo de trabajo de f</w:t>
      </w:r>
      <w:r w:rsidR="008029A7" w:rsidRPr="005C40EF">
        <w:rPr>
          <w:rFonts w:asciiTheme="minorHAnsi" w:hAnsiTheme="minorHAnsi" w:cstheme="minorHAnsi"/>
          <w:noProof/>
          <w:sz w:val="22"/>
          <w:szCs w:val="22"/>
          <w:lang w:val="es-ES"/>
        </w:rPr>
        <w:t xml:space="preserve">acilitación (FWG) en su tarea de </w:t>
      </w:r>
      <w:r w:rsidR="00F751AF" w:rsidRPr="005C40EF">
        <w:rPr>
          <w:rFonts w:asciiTheme="minorHAnsi" w:hAnsiTheme="minorHAnsi" w:cstheme="minorHAnsi"/>
          <w:noProof/>
          <w:sz w:val="22"/>
          <w:szCs w:val="22"/>
          <w:lang w:val="es-ES"/>
        </w:rPr>
        <w:t>examinar</w:t>
      </w:r>
      <w:r w:rsidR="008029A7" w:rsidRPr="005C40EF">
        <w:rPr>
          <w:rFonts w:asciiTheme="minorHAnsi" w:hAnsiTheme="minorHAnsi" w:cstheme="minorHAnsi"/>
          <w:noProof/>
          <w:sz w:val="22"/>
          <w:szCs w:val="22"/>
          <w:lang w:val="es-ES"/>
        </w:rPr>
        <w:t xml:space="preserve"> la </w:t>
      </w:r>
      <w:r w:rsidR="00F751AF" w:rsidRPr="005C40EF">
        <w:rPr>
          <w:rFonts w:asciiTheme="minorHAnsi" w:hAnsiTheme="minorHAnsi" w:cstheme="minorHAnsi"/>
          <w:noProof/>
          <w:sz w:val="22"/>
          <w:szCs w:val="22"/>
          <w:lang w:val="es-ES"/>
        </w:rPr>
        <w:t>eficacia</w:t>
      </w:r>
      <w:r w:rsidR="008029A7" w:rsidRPr="005C40EF">
        <w:rPr>
          <w:rFonts w:asciiTheme="minorHAnsi" w:hAnsiTheme="minorHAnsi" w:cstheme="minorHAnsi"/>
          <w:noProof/>
          <w:sz w:val="22"/>
          <w:szCs w:val="22"/>
          <w:lang w:val="es-ES"/>
        </w:rPr>
        <w:t xml:space="preserve"> de la gobernanza de la Convención. </w:t>
      </w:r>
      <w:r w:rsidR="00F751AF" w:rsidRPr="005C40EF">
        <w:rPr>
          <w:rFonts w:asciiTheme="minorHAnsi" w:hAnsiTheme="minorHAnsi" w:cstheme="minorHAnsi"/>
          <w:noProof/>
          <w:sz w:val="22"/>
          <w:szCs w:val="22"/>
          <w:lang w:val="es-ES"/>
        </w:rPr>
        <w:t>La</w:t>
      </w:r>
      <w:r w:rsidR="008029A7" w:rsidRPr="005C40EF">
        <w:rPr>
          <w:rFonts w:asciiTheme="minorHAnsi" w:hAnsiTheme="minorHAnsi" w:cstheme="minorHAnsi"/>
          <w:noProof/>
          <w:sz w:val="22"/>
          <w:szCs w:val="22"/>
          <w:lang w:val="es-ES"/>
        </w:rPr>
        <w:t xml:space="preserve"> Secretaría </w:t>
      </w:r>
      <w:r w:rsidR="00F751AF" w:rsidRPr="005C40EF">
        <w:rPr>
          <w:rFonts w:asciiTheme="minorHAnsi" w:hAnsiTheme="minorHAnsi" w:cstheme="minorHAnsi"/>
          <w:noProof/>
          <w:sz w:val="22"/>
          <w:szCs w:val="22"/>
          <w:lang w:val="es-ES"/>
        </w:rPr>
        <w:t xml:space="preserve">también prestó apoyo </w:t>
      </w:r>
      <w:r w:rsidR="008029A7" w:rsidRPr="005C40EF">
        <w:rPr>
          <w:rFonts w:asciiTheme="minorHAnsi" w:hAnsiTheme="minorHAnsi" w:cstheme="minorHAnsi"/>
          <w:noProof/>
          <w:sz w:val="22"/>
          <w:szCs w:val="22"/>
          <w:lang w:val="es-ES"/>
        </w:rPr>
        <w:t xml:space="preserve">al Grupo de trabajo </w:t>
      </w:r>
      <w:r w:rsidR="00D73A99" w:rsidRPr="005C40EF">
        <w:rPr>
          <w:rFonts w:asciiTheme="minorHAnsi" w:hAnsiTheme="minorHAnsi" w:cstheme="minorHAnsi"/>
          <w:noProof/>
          <w:sz w:val="22"/>
          <w:szCs w:val="22"/>
          <w:lang w:val="es-ES"/>
        </w:rPr>
        <w:t xml:space="preserve">del Comité Permanente </w:t>
      </w:r>
      <w:r w:rsidR="00F751AF" w:rsidRPr="005C40EF">
        <w:rPr>
          <w:rFonts w:asciiTheme="minorHAnsi" w:hAnsiTheme="minorHAnsi" w:cstheme="minorHAnsi"/>
          <w:noProof/>
          <w:sz w:val="22"/>
          <w:szCs w:val="22"/>
          <w:lang w:val="es-ES"/>
        </w:rPr>
        <w:t>sobre la e</w:t>
      </w:r>
      <w:r w:rsidR="008029A7" w:rsidRPr="005C40EF">
        <w:rPr>
          <w:rFonts w:asciiTheme="minorHAnsi" w:hAnsiTheme="minorHAnsi" w:cstheme="minorHAnsi"/>
          <w:noProof/>
          <w:sz w:val="22"/>
          <w:szCs w:val="22"/>
          <w:lang w:val="es-ES"/>
        </w:rPr>
        <w:t xml:space="preserve">strategia </w:t>
      </w:r>
      <w:r w:rsidR="00F751AF" w:rsidRPr="005C40EF">
        <w:rPr>
          <w:rFonts w:asciiTheme="minorHAnsi" w:hAnsiTheme="minorHAnsi" w:cstheme="minorHAnsi"/>
          <w:noProof/>
          <w:sz w:val="22"/>
          <w:szCs w:val="22"/>
          <w:lang w:val="es-ES"/>
        </w:rPr>
        <w:t>lingüística</w:t>
      </w:r>
      <w:r w:rsidR="00D73A99" w:rsidRPr="005C40EF">
        <w:rPr>
          <w:rFonts w:asciiTheme="minorHAnsi" w:hAnsiTheme="minorHAnsi" w:cstheme="minorHAnsi"/>
          <w:noProof/>
          <w:sz w:val="22"/>
          <w:szCs w:val="22"/>
          <w:lang w:val="es-ES"/>
        </w:rPr>
        <w:t xml:space="preserve"> </w:t>
      </w:r>
      <w:r w:rsidR="006206F1" w:rsidRPr="005C40EF">
        <w:rPr>
          <w:rFonts w:asciiTheme="minorHAnsi" w:hAnsiTheme="minorHAnsi" w:cstheme="minorHAnsi"/>
          <w:noProof/>
          <w:sz w:val="22"/>
          <w:szCs w:val="22"/>
          <w:lang w:val="es-ES"/>
        </w:rPr>
        <w:t xml:space="preserve">en la preparación de </w:t>
      </w:r>
      <w:r w:rsidR="008029A7" w:rsidRPr="005C40EF">
        <w:rPr>
          <w:rFonts w:asciiTheme="minorHAnsi" w:hAnsiTheme="minorHAnsi" w:cstheme="minorHAnsi"/>
          <w:noProof/>
          <w:sz w:val="22"/>
          <w:szCs w:val="22"/>
          <w:lang w:val="es-ES"/>
        </w:rPr>
        <w:t xml:space="preserve">una propuesta para su </w:t>
      </w:r>
      <w:r w:rsidR="006206F1" w:rsidRPr="005C40EF">
        <w:rPr>
          <w:rFonts w:asciiTheme="minorHAnsi" w:hAnsiTheme="minorHAnsi" w:cstheme="minorHAnsi"/>
          <w:noProof/>
          <w:sz w:val="22"/>
          <w:szCs w:val="22"/>
          <w:lang w:val="es-ES"/>
        </w:rPr>
        <w:t>presentación al</w:t>
      </w:r>
      <w:r w:rsidR="008029A7" w:rsidRPr="005C40EF">
        <w:rPr>
          <w:rFonts w:asciiTheme="minorHAnsi" w:hAnsiTheme="minorHAnsi" w:cstheme="minorHAnsi"/>
          <w:noProof/>
          <w:sz w:val="22"/>
          <w:szCs w:val="22"/>
          <w:lang w:val="es-ES"/>
        </w:rPr>
        <w:t xml:space="preserve"> Comité. Además, la Secretaría </w:t>
      </w:r>
      <w:r w:rsidR="006206F1" w:rsidRPr="005C40EF">
        <w:rPr>
          <w:rFonts w:asciiTheme="minorHAnsi" w:hAnsiTheme="minorHAnsi" w:cstheme="minorHAnsi"/>
          <w:noProof/>
          <w:sz w:val="22"/>
          <w:szCs w:val="22"/>
          <w:lang w:val="es-ES"/>
        </w:rPr>
        <w:t>prestó asistencia</w:t>
      </w:r>
      <w:r w:rsidR="008029A7" w:rsidRPr="005C40EF">
        <w:rPr>
          <w:rFonts w:asciiTheme="minorHAnsi" w:hAnsiTheme="minorHAnsi" w:cstheme="minorHAnsi"/>
          <w:noProof/>
          <w:sz w:val="22"/>
          <w:szCs w:val="22"/>
          <w:lang w:val="es-ES"/>
        </w:rPr>
        <w:t xml:space="preserve"> al Comité Asesor Independiente </w:t>
      </w:r>
      <w:r w:rsidR="006206F1" w:rsidRPr="005C40EF">
        <w:rPr>
          <w:rFonts w:asciiTheme="minorHAnsi" w:hAnsiTheme="minorHAnsi" w:cstheme="minorHAnsi"/>
          <w:noProof/>
          <w:sz w:val="22"/>
          <w:szCs w:val="22"/>
          <w:lang w:val="es-ES"/>
        </w:rPr>
        <w:t>par</w:t>
      </w:r>
      <w:r w:rsidR="008029A7" w:rsidRPr="005C40EF">
        <w:rPr>
          <w:rFonts w:asciiTheme="minorHAnsi" w:hAnsiTheme="minorHAnsi" w:cstheme="minorHAnsi"/>
          <w:noProof/>
          <w:sz w:val="22"/>
          <w:szCs w:val="22"/>
          <w:lang w:val="es-ES"/>
        </w:rPr>
        <w:t xml:space="preserve">a </w:t>
      </w:r>
      <w:r w:rsidR="006206F1" w:rsidRPr="005C40EF">
        <w:rPr>
          <w:rFonts w:asciiTheme="minorHAnsi" w:hAnsiTheme="minorHAnsi" w:cstheme="minorHAnsi"/>
          <w:noProof/>
          <w:sz w:val="22"/>
          <w:szCs w:val="22"/>
          <w:lang w:val="es-ES"/>
        </w:rPr>
        <w:t>examinar las candidaturas para la a</w:t>
      </w:r>
      <w:r w:rsidR="008029A7" w:rsidRPr="005C40EF">
        <w:rPr>
          <w:rFonts w:asciiTheme="minorHAnsi" w:hAnsiTheme="minorHAnsi" w:cstheme="minorHAnsi"/>
          <w:noProof/>
          <w:sz w:val="22"/>
          <w:szCs w:val="22"/>
          <w:lang w:val="es-ES"/>
        </w:rPr>
        <w:t>creditación de Ciudad de Humed</w:t>
      </w:r>
      <w:r w:rsidR="006206F1" w:rsidRPr="005C40EF">
        <w:rPr>
          <w:rFonts w:asciiTheme="minorHAnsi" w:hAnsiTheme="minorHAnsi" w:cstheme="minorHAnsi"/>
          <w:noProof/>
          <w:sz w:val="22"/>
          <w:szCs w:val="22"/>
          <w:lang w:val="es-ES"/>
        </w:rPr>
        <w:t>al, y al</w:t>
      </w:r>
      <w:r w:rsidR="008029A7" w:rsidRPr="005C40EF">
        <w:rPr>
          <w:rFonts w:asciiTheme="minorHAnsi" w:hAnsiTheme="minorHAnsi" w:cstheme="minorHAnsi"/>
          <w:noProof/>
          <w:sz w:val="22"/>
          <w:szCs w:val="22"/>
          <w:lang w:val="es-ES"/>
        </w:rPr>
        <w:t xml:space="preserve"> </w:t>
      </w:r>
      <w:r w:rsidR="006206F1" w:rsidRPr="005C40EF">
        <w:rPr>
          <w:rFonts w:asciiTheme="minorHAnsi" w:hAnsiTheme="minorHAnsi" w:cstheme="minorHAnsi"/>
          <w:noProof/>
          <w:sz w:val="22"/>
          <w:szCs w:val="22"/>
          <w:lang w:val="es-ES"/>
        </w:rPr>
        <w:t>Grupo de s</w:t>
      </w:r>
      <w:r w:rsidR="008029A7" w:rsidRPr="005C40EF">
        <w:rPr>
          <w:rFonts w:asciiTheme="minorHAnsi" w:hAnsiTheme="minorHAnsi" w:cstheme="minorHAnsi"/>
          <w:noProof/>
          <w:sz w:val="22"/>
          <w:szCs w:val="22"/>
          <w:lang w:val="es-ES"/>
        </w:rPr>
        <w:t>upervisión de</w:t>
      </w:r>
      <w:r w:rsidR="006206F1" w:rsidRPr="005C40EF">
        <w:rPr>
          <w:rFonts w:asciiTheme="minorHAnsi" w:hAnsiTheme="minorHAnsi" w:cstheme="minorHAnsi"/>
          <w:noProof/>
          <w:sz w:val="22"/>
          <w:szCs w:val="22"/>
          <w:lang w:val="es-ES"/>
        </w:rPr>
        <w:t xml:space="preserve"> las actividades de</w:t>
      </w:r>
      <w:r w:rsidR="008029A7" w:rsidRPr="005C40EF">
        <w:rPr>
          <w:rFonts w:asciiTheme="minorHAnsi" w:hAnsiTheme="minorHAnsi" w:cstheme="minorHAnsi"/>
          <w:noProof/>
          <w:sz w:val="22"/>
          <w:szCs w:val="22"/>
          <w:lang w:val="es-ES"/>
        </w:rPr>
        <w:t xml:space="preserve"> CECoP y su trabajo para </w:t>
      </w:r>
      <w:r w:rsidR="006206F1" w:rsidRPr="005C40EF">
        <w:rPr>
          <w:rFonts w:asciiTheme="minorHAnsi" w:hAnsiTheme="minorHAnsi" w:cstheme="minorHAnsi"/>
          <w:noProof/>
          <w:sz w:val="22"/>
          <w:szCs w:val="22"/>
          <w:lang w:val="es-ES"/>
        </w:rPr>
        <w:t>formular</w:t>
      </w:r>
      <w:r w:rsidR="008029A7" w:rsidRPr="005C40EF">
        <w:rPr>
          <w:rFonts w:asciiTheme="minorHAnsi" w:hAnsiTheme="minorHAnsi" w:cstheme="minorHAnsi"/>
          <w:noProof/>
          <w:sz w:val="22"/>
          <w:szCs w:val="22"/>
          <w:lang w:val="es-ES"/>
        </w:rPr>
        <w:t xml:space="preserve"> recomendaciones sobre la gobernanza de la</w:t>
      </w:r>
      <w:r w:rsidR="006206F1" w:rsidRPr="005C40EF">
        <w:rPr>
          <w:rFonts w:asciiTheme="minorHAnsi" w:hAnsiTheme="minorHAnsi" w:cstheme="minorHAnsi"/>
          <w:noProof/>
          <w:sz w:val="22"/>
          <w:szCs w:val="22"/>
          <w:lang w:val="es-ES"/>
        </w:rPr>
        <w:t xml:space="preserve"> comunicación, educación, concienciación y participación</w:t>
      </w:r>
      <w:r w:rsidR="008029A7" w:rsidRPr="005C40EF">
        <w:rPr>
          <w:rFonts w:asciiTheme="minorHAnsi" w:hAnsiTheme="minorHAnsi" w:cstheme="minorHAnsi"/>
          <w:noProof/>
          <w:sz w:val="22"/>
          <w:szCs w:val="22"/>
          <w:lang w:val="es-ES"/>
        </w:rPr>
        <w:t xml:space="preserve"> (</w:t>
      </w:r>
      <w:r w:rsidR="006206F1" w:rsidRPr="005C40EF">
        <w:rPr>
          <w:rFonts w:asciiTheme="minorHAnsi" w:hAnsiTheme="minorHAnsi" w:cstheme="minorHAnsi"/>
          <w:noProof/>
          <w:sz w:val="22"/>
          <w:szCs w:val="22"/>
          <w:lang w:val="es-ES"/>
        </w:rPr>
        <w:t>CECoP</w:t>
      </w:r>
      <w:r w:rsidR="008029A7" w:rsidRPr="005C40EF">
        <w:rPr>
          <w:rFonts w:asciiTheme="minorHAnsi" w:hAnsiTheme="minorHAnsi" w:cstheme="minorHAnsi"/>
          <w:noProof/>
          <w:sz w:val="22"/>
          <w:szCs w:val="22"/>
          <w:lang w:val="es-ES"/>
        </w:rPr>
        <w:t>).</w:t>
      </w:r>
    </w:p>
    <w:p w14:paraId="077B38F0" w14:textId="77777777" w:rsidR="006757C2" w:rsidRPr="005C40EF" w:rsidRDefault="006757C2" w:rsidP="00635EC0">
      <w:pPr>
        <w:autoSpaceDE w:val="0"/>
        <w:autoSpaceDN w:val="0"/>
        <w:adjustRightInd w:val="0"/>
        <w:ind w:left="425" w:hanging="425"/>
        <w:rPr>
          <w:rFonts w:asciiTheme="minorHAnsi" w:hAnsiTheme="minorHAnsi" w:cstheme="minorHAnsi"/>
          <w:noProof/>
          <w:sz w:val="22"/>
          <w:szCs w:val="22"/>
          <w:lang w:val="es-ES"/>
        </w:rPr>
      </w:pPr>
    </w:p>
    <w:p w14:paraId="7F50986F" w14:textId="1C41FAB0" w:rsidR="007124C0" w:rsidRPr="005C40EF" w:rsidRDefault="00635EC0" w:rsidP="00635EC0">
      <w:pPr>
        <w:autoSpaceDE w:val="0"/>
        <w:autoSpaceDN w:val="0"/>
        <w:adjustRightInd w:val="0"/>
        <w:ind w:left="425" w:hanging="425"/>
        <w:rPr>
          <w:rFonts w:asciiTheme="minorHAnsi" w:hAnsiTheme="minorHAnsi" w:cstheme="minorHAnsi"/>
          <w:noProof/>
          <w:sz w:val="22"/>
          <w:szCs w:val="22"/>
          <w:lang w:val="es-ES"/>
        </w:rPr>
      </w:pPr>
      <w:r>
        <w:rPr>
          <w:rFonts w:asciiTheme="minorHAnsi" w:hAnsiTheme="minorHAnsi" w:cstheme="minorHAnsi"/>
          <w:noProof/>
          <w:sz w:val="22"/>
          <w:szCs w:val="22"/>
          <w:lang w:val="es-ES"/>
        </w:rPr>
        <w:t>12.</w:t>
      </w:r>
      <w:r>
        <w:rPr>
          <w:rFonts w:asciiTheme="minorHAnsi" w:hAnsiTheme="minorHAnsi" w:cstheme="minorHAnsi"/>
          <w:noProof/>
          <w:sz w:val="22"/>
          <w:szCs w:val="22"/>
          <w:lang w:val="es-ES"/>
        </w:rPr>
        <w:tab/>
      </w:r>
      <w:r w:rsidR="00C03AC9" w:rsidRPr="005C40EF">
        <w:rPr>
          <w:rFonts w:asciiTheme="minorHAnsi" w:hAnsiTheme="minorHAnsi" w:cstheme="minorHAnsi"/>
          <w:noProof/>
          <w:sz w:val="22"/>
          <w:szCs w:val="22"/>
          <w:lang w:val="es-ES"/>
        </w:rPr>
        <w:t xml:space="preserve">La Secretaría desarrolló el formato </w:t>
      </w:r>
      <w:r w:rsidR="00394772" w:rsidRPr="005C40EF">
        <w:rPr>
          <w:rFonts w:asciiTheme="minorHAnsi" w:hAnsiTheme="minorHAnsi" w:cstheme="minorHAnsi"/>
          <w:noProof/>
          <w:sz w:val="22"/>
          <w:szCs w:val="22"/>
          <w:lang w:val="es-ES"/>
        </w:rPr>
        <w:t>de Informe Nacional</w:t>
      </w:r>
      <w:r w:rsidR="00C03AC9" w:rsidRPr="005C40EF">
        <w:rPr>
          <w:rFonts w:asciiTheme="minorHAnsi" w:hAnsiTheme="minorHAnsi" w:cstheme="minorHAnsi"/>
          <w:noProof/>
          <w:sz w:val="22"/>
          <w:szCs w:val="22"/>
          <w:lang w:val="es-ES"/>
        </w:rPr>
        <w:t xml:space="preserve"> para la COP13 y lo puso a disposición de todas las Partes </w:t>
      </w:r>
      <w:r w:rsidR="00394772" w:rsidRPr="005C40EF">
        <w:rPr>
          <w:rFonts w:asciiTheme="minorHAnsi" w:hAnsiTheme="minorHAnsi" w:cstheme="minorHAnsi"/>
          <w:noProof/>
          <w:sz w:val="22"/>
          <w:szCs w:val="22"/>
          <w:lang w:val="es-ES"/>
        </w:rPr>
        <w:t xml:space="preserve">mediante un sistema en </w:t>
      </w:r>
      <w:r w:rsidR="00914F55" w:rsidRPr="005C40EF">
        <w:rPr>
          <w:rFonts w:asciiTheme="minorHAnsi" w:hAnsiTheme="minorHAnsi" w:cstheme="minorHAnsi"/>
          <w:noProof/>
          <w:sz w:val="22"/>
          <w:szCs w:val="22"/>
          <w:lang w:val="es-ES"/>
        </w:rPr>
        <w:t>línea,</w:t>
      </w:r>
      <w:r w:rsidR="00394772" w:rsidRPr="005C40EF">
        <w:rPr>
          <w:rFonts w:asciiTheme="minorHAnsi" w:hAnsiTheme="minorHAnsi" w:cstheme="minorHAnsi"/>
          <w:noProof/>
          <w:sz w:val="22"/>
          <w:szCs w:val="22"/>
          <w:lang w:val="es-ES"/>
        </w:rPr>
        <w:t xml:space="preserve"> </w:t>
      </w:r>
      <w:r w:rsidR="00914F55" w:rsidRPr="005C40EF">
        <w:rPr>
          <w:rFonts w:asciiTheme="minorHAnsi" w:hAnsiTheme="minorHAnsi" w:cstheme="minorHAnsi"/>
          <w:noProof/>
          <w:sz w:val="22"/>
          <w:szCs w:val="22"/>
          <w:lang w:val="es-ES"/>
        </w:rPr>
        <w:t>al igual que</w:t>
      </w:r>
      <w:r w:rsidR="00394772" w:rsidRPr="005C40EF">
        <w:rPr>
          <w:rFonts w:asciiTheme="minorHAnsi" w:hAnsiTheme="minorHAnsi" w:cstheme="minorHAnsi"/>
          <w:noProof/>
          <w:sz w:val="22"/>
          <w:szCs w:val="22"/>
          <w:lang w:val="es-ES"/>
        </w:rPr>
        <w:t xml:space="preserve"> </w:t>
      </w:r>
      <w:r w:rsidR="00C03AC9" w:rsidRPr="005C40EF">
        <w:rPr>
          <w:rFonts w:asciiTheme="minorHAnsi" w:hAnsiTheme="minorHAnsi" w:cstheme="minorHAnsi"/>
          <w:noProof/>
          <w:sz w:val="22"/>
          <w:szCs w:val="22"/>
          <w:lang w:val="es-ES"/>
        </w:rPr>
        <w:t xml:space="preserve">una opción fuera de línea. También </w:t>
      </w:r>
      <w:r w:rsidR="00394772" w:rsidRPr="005C40EF">
        <w:rPr>
          <w:rFonts w:asciiTheme="minorHAnsi" w:hAnsiTheme="minorHAnsi" w:cstheme="minorHAnsi"/>
          <w:noProof/>
          <w:sz w:val="22"/>
          <w:szCs w:val="22"/>
          <w:lang w:val="es-ES"/>
        </w:rPr>
        <w:t>ofreció orientaciones</w:t>
      </w:r>
      <w:r w:rsidR="00C03AC9" w:rsidRPr="005C40EF">
        <w:rPr>
          <w:rFonts w:asciiTheme="minorHAnsi" w:hAnsiTheme="minorHAnsi" w:cstheme="minorHAnsi"/>
          <w:noProof/>
          <w:sz w:val="22"/>
          <w:szCs w:val="22"/>
          <w:lang w:val="es-ES"/>
        </w:rPr>
        <w:t xml:space="preserve"> </w:t>
      </w:r>
      <w:r w:rsidR="00394772" w:rsidRPr="005C40EF">
        <w:rPr>
          <w:rFonts w:asciiTheme="minorHAnsi" w:hAnsiTheme="minorHAnsi" w:cstheme="minorHAnsi"/>
          <w:noProof/>
          <w:sz w:val="22"/>
          <w:szCs w:val="22"/>
          <w:lang w:val="es-ES"/>
        </w:rPr>
        <w:t>y creación de capacidad</w:t>
      </w:r>
      <w:r w:rsidR="00C03AC9" w:rsidRPr="005C40EF">
        <w:rPr>
          <w:rFonts w:asciiTheme="minorHAnsi" w:hAnsiTheme="minorHAnsi" w:cstheme="minorHAnsi"/>
          <w:noProof/>
          <w:sz w:val="22"/>
          <w:szCs w:val="22"/>
          <w:lang w:val="es-ES"/>
        </w:rPr>
        <w:t xml:space="preserve"> a las Partes Contratantes y analizó</w:t>
      </w:r>
      <w:r w:rsidR="00394772" w:rsidRPr="005C40EF">
        <w:rPr>
          <w:rFonts w:asciiTheme="minorHAnsi" w:hAnsiTheme="minorHAnsi" w:cstheme="minorHAnsi"/>
          <w:noProof/>
          <w:sz w:val="22"/>
          <w:szCs w:val="22"/>
          <w:lang w:val="es-ES"/>
        </w:rPr>
        <w:t xml:space="preserve"> las </w:t>
      </w:r>
      <w:r w:rsidR="00F7140D" w:rsidRPr="005C40EF">
        <w:rPr>
          <w:rFonts w:asciiTheme="minorHAnsi" w:hAnsiTheme="minorHAnsi" w:cstheme="minorHAnsi"/>
          <w:noProof/>
          <w:sz w:val="22"/>
          <w:szCs w:val="22"/>
          <w:lang w:val="es-ES"/>
        </w:rPr>
        <w:t xml:space="preserve">comunicaciones para obtener un panorama </w:t>
      </w:r>
      <w:r w:rsidR="00C03AC9" w:rsidRPr="005C40EF">
        <w:rPr>
          <w:rFonts w:asciiTheme="minorHAnsi" w:hAnsiTheme="minorHAnsi" w:cstheme="minorHAnsi"/>
          <w:noProof/>
          <w:sz w:val="22"/>
          <w:szCs w:val="22"/>
          <w:lang w:val="es-ES"/>
        </w:rPr>
        <w:t xml:space="preserve">general de la aplicación </w:t>
      </w:r>
      <w:r w:rsidR="00394772" w:rsidRPr="005C40EF">
        <w:rPr>
          <w:rFonts w:asciiTheme="minorHAnsi" w:hAnsiTheme="minorHAnsi" w:cstheme="minorHAnsi"/>
          <w:noProof/>
          <w:sz w:val="22"/>
          <w:szCs w:val="22"/>
          <w:lang w:val="es-ES"/>
        </w:rPr>
        <w:t>de la Convención</w:t>
      </w:r>
      <w:r w:rsidR="00C03AC9" w:rsidRPr="005C40EF">
        <w:rPr>
          <w:rFonts w:asciiTheme="minorHAnsi" w:hAnsiTheme="minorHAnsi" w:cstheme="minorHAnsi"/>
          <w:noProof/>
          <w:sz w:val="22"/>
          <w:szCs w:val="22"/>
          <w:lang w:val="es-ES"/>
        </w:rPr>
        <w:t>, que figura en el documento COP13 Doc.11.1.</w:t>
      </w:r>
    </w:p>
    <w:p w14:paraId="36AD1E9B" w14:textId="77777777" w:rsidR="007124C0" w:rsidRPr="00635EC0" w:rsidRDefault="007124C0" w:rsidP="00635EC0">
      <w:pPr>
        <w:autoSpaceDE w:val="0"/>
        <w:autoSpaceDN w:val="0"/>
        <w:adjustRightInd w:val="0"/>
        <w:ind w:left="425" w:hanging="425"/>
        <w:rPr>
          <w:rFonts w:asciiTheme="minorHAnsi" w:hAnsiTheme="minorHAnsi" w:cstheme="minorHAnsi"/>
          <w:noProof/>
          <w:sz w:val="22"/>
          <w:szCs w:val="22"/>
          <w:lang w:val="es-ES"/>
        </w:rPr>
      </w:pPr>
    </w:p>
    <w:p w14:paraId="2BBAE080" w14:textId="43E1CE06" w:rsidR="007124C0" w:rsidRPr="005C40EF" w:rsidRDefault="00635EC0" w:rsidP="00635EC0">
      <w:pPr>
        <w:autoSpaceDE w:val="0"/>
        <w:autoSpaceDN w:val="0"/>
        <w:adjustRightInd w:val="0"/>
        <w:ind w:left="425" w:hanging="425"/>
        <w:rPr>
          <w:rFonts w:asciiTheme="minorHAnsi" w:hAnsiTheme="minorHAnsi" w:cstheme="minorHAnsi"/>
          <w:noProof/>
          <w:sz w:val="22"/>
          <w:szCs w:val="22"/>
          <w:lang w:val="es-ES"/>
        </w:rPr>
      </w:pPr>
      <w:r>
        <w:rPr>
          <w:rFonts w:asciiTheme="minorHAnsi" w:hAnsiTheme="minorHAnsi" w:cstheme="minorHAnsi"/>
          <w:noProof/>
          <w:sz w:val="22"/>
          <w:szCs w:val="22"/>
          <w:lang w:val="es-ES"/>
        </w:rPr>
        <w:t>13.</w:t>
      </w:r>
      <w:r>
        <w:rPr>
          <w:rFonts w:asciiTheme="minorHAnsi" w:hAnsiTheme="minorHAnsi" w:cstheme="minorHAnsi"/>
          <w:noProof/>
          <w:sz w:val="22"/>
          <w:szCs w:val="22"/>
          <w:lang w:val="es-ES"/>
        </w:rPr>
        <w:tab/>
      </w:r>
      <w:r w:rsidR="007124C0" w:rsidRPr="005C40EF">
        <w:rPr>
          <w:rFonts w:asciiTheme="minorHAnsi" w:hAnsiTheme="minorHAnsi" w:cstheme="minorHAnsi"/>
          <w:noProof/>
          <w:sz w:val="22"/>
          <w:szCs w:val="22"/>
          <w:lang w:val="es-ES"/>
        </w:rPr>
        <w:t>La Secretaría ha invertido esfuerzos en la mejora de su desempeño en el fortalecimiento de los servicios que presta para la toma de decisiones y la rendición de cuentas de las Partes Contratantes. Las capacidades</w:t>
      </w:r>
      <w:r w:rsidR="00F7140D" w:rsidRPr="005C40EF">
        <w:rPr>
          <w:rFonts w:asciiTheme="minorHAnsi" w:hAnsiTheme="minorHAnsi" w:cstheme="minorHAnsi"/>
          <w:noProof/>
          <w:sz w:val="22"/>
          <w:szCs w:val="22"/>
          <w:lang w:val="es-ES"/>
        </w:rPr>
        <w:t xml:space="preserve"> </w:t>
      </w:r>
      <w:r w:rsidR="007124C0" w:rsidRPr="005C40EF">
        <w:rPr>
          <w:rFonts w:asciiTheme="minorHAnsi" w:hAnsiTheme="minorHAnsi" w:cstheme="minorHAnsi"/>
          <w:noProof/>
          <w:sz w:val="22"/>
          <w:szCs w:val="22"/>
          <w:lang w:val="es-ES"/>
        </w:rPr>
        <w:t xml:space="preserve">y la experiencia </w:t>
      </w:r>
      <w:r w:rsidR="00C82D65" w:rsidRPr="005C40EF">
        <w:rPr>
          <w:rFonts w:asciiTheme="minorHAnsi" w:hAnsiTheme="minorHAnsi" w:cstheme="minorHAnsi"/>
          <w:noProof/>
          <w:sz w:val="22"/>
          <w:szCs w:val="22"/>
          <w:lang w:val="es-ES"/>
        </w:rPr>
        <w:t>se fortalecieron</w:t>
      </w:r>
      <w:r w:rsidR="007124C0" w:rsidRPr="005C40EF">
        <w:rPr>
          <w:rFonts w:asciiTheme="minorHAnsi" w:hAnsiTheme="minorHAnsi" w:cstheme="minorHAnsi"/>
          <w:noProof/>
          <w:sz w:val="22"/>
          <w:szCs w:val="22"/>
          <w:lang w:val="es-ES"/>
        </w:rPr>
        <w:t xml:space="preserve"> con la contratación del </w:t>
      </w:r>
      <w:r w:rsidR="00C82D65" w:rsidRPr="005C40EF">
        <w:rPr>
          <w:rFonts w:asciiTheme="minorHAnsi" w:hAnsiTheme="minorHAnsi" w:cstheme="minorHAnsi"/>
          <w:noProof/>
          <w:sz w:val="22"/>
          <w:szCs w:val="22"/>
          <w:lang w:val="es-ES"/>
        </w:rPr>
        <w:t xml:space="preserve">nuevo </w:t>
      </w:r>
      <w:r w:rsidR="007124C0" w:rsidRPr="005C40EF">
        <w:rPr>
          <w:rFonts w:asciiTheme="minorHAnsi" w:hAnsiTheme="minorHAnsi" w:cstheme="minorHAnsi"/>
          <w:noProof/>
          <w:sz w:val="22"/>
          <w:szCs w:val="22"/>
          <w:lang w:val="es-ES"/>
        </w:rPr>
        <w:t>Secretario General Adjunto</w:t>
      </w:r>
      <w:r w:rsidR="00C82D65" w:rsidRPr="005C40EF">
        <w:rPr>
          <w:rFonts w:asciiTheme="minorHAnsi" w:hAnsiTheme="minorHAnsi" w:cstheme="minorHAnsi"/>
          <w:noProof/>
          <w:sz w:val="22"/>
          <w:szCs w:val="22"/>
          <w:lang w:val="es-ES"/>
        </w:rPr>
        <w:t xml:space="preserve"> en 2017, cuyas responsabilidades se centran en el apoyo a los órganos </w:t>
      </w:r>
      <w:r w:rsidR="0010547D" w:rsidRPr="005C40EF">
        <w:rPr>
          <w:rFonts w:asciiTheme="minorHAnsi" w:hAnsiTheme="minorHAnsi" w:cstheme="minorHAnsi"/>
          <w:noProof/>
          <w:sz w:val="22"/>
          <w:szCs w:val="22"/>
          <w:lang w:val="es-ES"/>
        </w:rPr>
        <w:t>de gobierno</w:t>
      </w:r>
      <w:r w:rsidR="00C82D65" w:rsidRPr="005C40EF">
        <w:rPr>
          <w:rFonts w:asciiTheme="minorHAnsi" w:hAnsiTheme="minorHAnsi" w:cstheme="minorHAnsi"/>
          <w:noProof/>
          <w:sz w:val="22"/>
          <w:szCs w:val="22"/>
          <w:lang w:val="es-ES"/>
        </w:rPr>
        <w:t xml:space="preserve"> y subsidiarios y en la supervisión de la aplicación</w:t>
      </w:r>
      <w:r w:rsidR="007124C0" w:rsidRPr="005C40EF">
        <w:rPr>
          <w:rFonts w:asciiTheme="minorHAnsi" w:hAnsiTheme="minorHAnsi" w:cstheme="minorHAnsi"/>
          <w:noProof/>
          <w:sz w:val="22"/>
          <w:szCs w:val="22"/>
          <w:lang w:val="es-ES"/>
        </w:rPr>
        <w:t xml:space="preserve">, </w:t>
      </w:r>
      <w:r w:rsidR="00C82D65" w:rsidRPr="005C40EF">
        <w:rPr>
          <w:rFonts w:asciiTheme="minorHAnsi" w:hAnsiTheme="minorHAnsi" w:cstheme="minorHAnsi"/>
          <w:noProof/>
          <w:sz w:val="22"/>
          <w:szCs w:val="22"/>
          <w:lang w:val="es-ES"/>
        </w:rPr>
        <w:t xml:space="preserve">y la contratación </w:t>
      </w:r>
      <w:r w:rsidR="007124C0" w:rsidRPr="005C40EF">
        <w:rPr>
          <w:rFonts w:asciiTheme="minorHAnsi" w:hAnsiTheme="minorHAnsi" w:cstheme="minorHAnsi"/>
          <w:noProof/>
          <w:sz w:val="22"/>
          <w:szCs w:val="22"/>
          <w:lang w:val="es-ES"/>
        </w:rPr>
        <w:t>d</w:t>
      </w:r>
      <w:r w:rsidR="00C82D65" w:rsidRPr="005C40EF">
        <w:rPr>
          <w:rFonts w:asciiTheme="minorHAnsi" w:hAnsiTheme="minorHAnsi" w:cstheme="minorHAnsi"/>
          <w:noProof/>
          <w:sz w:val="22"/>
          <w:szCs w:val="22"/>
          <w:lang w:val="es-ES"/>
        </w:rPr>
        <w:t>e un asistente de conferencias en 2018. El Secretario General Adjunto ha aportado una competencia técnica considerable y capacidad en cuestiones de gobernanza de la Convención</w:t>
      </w:r>
      <w:r w:rsidR="007124C0" w:rsidRPr="005C40EF">
        <w:rPr>
          <w:rFonts w:asciiTheme="minorHAnsi" w:hAnsiTheme="minorHAnsi" w:cstheme="minorHAnsi"/>
          <w:noProof/>
          <w:sz w:val="22"/>
          <w:szCs w:val="22"/>
          <w:lang w:val="es-ES"/>
        </w:rPr>
        <w:t xml:space="preserve">. Se han brindado orientaciones detalladas a la Secretaría </w:t>
      </w:r>
      <w:r w:rsidR="00C82D65" w:rsidRPr="005C40EF">
        <w:rPr>
          <w:rFonts w:asciiTheme="minorHAnsi" w:hAnsiTheme="minorHAnsi" w:cstheme="minorHAnsi"/>
          <w:noProof/>
          <w:sz w:val="22"/>
          <w:szCs w:val="22"/>
          <w:lang w:val="es-ES"/>
        </w:rPr>
        <w:t>a través de</w:t>
      </w:r>
      <w:r w:rsidR="007124C0" w:rsidRPr="005C40EF">
        <w:rPr>
          <w:rFonts w:asciiTheme="minorHAnsi" w:hAnsiTheme="minorHAnsi" w:cstheme="minorHAnsi"/>
          <w:noProof/>
          <w:sz w:val="22"/>
          <w:szCs w:val="22"/>
          <w:lang w:val="es-ES"/>
        </w:rPr>
        <w:t xml:space="preserve"> sesiones de planificación</w:t>
      </w:r>
      <w:r w:rsidR="00C82D65" w:rsidRPr="005C40EF">
        <w:rPr>
          <w:rFonts w:asciiTheme="minorHAnsi" w:hAnsiTheme="minorHAnsi" w:cstheme="minorHAnsi"/>
          <w:noProof/>
          <w:sz w:val="22"/>
          <w:szCs w:val="22"/>
          <w:lang w:val="es-ES"/>
        </w:rPr>
        <w:t xml:space="preserve"> celebradas</w:t>
      </w:r>
      <w:r w:rsidR="007124C0" w:rsidRPr="005C40EF">
        <w:rPr>
          <w:rFonts w:asciiTheme="minorHAnsi" w:hAnsiTheme="minorHAnsi" w:cstheme="minorHAnsi"/>
          <w:noProof/>
          <w:sz w:val="22"/>
          <w:szCs w:val="22"/>
          <w:lang w:val="es-ES"/>
        </w:rPr>
        <w:t xml:space="preserve"> con todo el personal antes de las reuniones principales de los órganos </w:t>
      </w:r>
      <w:r w:rsidR="00F7140D" w:rsidRPr="005C40EF">
        <w:rPr>
          <w:rFonts w:asciiTheme="minorHAnsi" w:hAnsiTheme="minorHAnsi" w:cstheme="minorHAnsi"/>
          <w:noProof/>
          <w:sz w:val="22"/>
          <w:szCs w:val="22"/>
          <w:lang w:val="es-ES"/>
        </w:rPr>
        <w:t>de gobierno</w:t>
      </w:r>
      <w:r w:rsidR="007124C0" w:rsidRPr="005C40EF">
        <w:rPr>
          <w:rFonts w:asciiTheme="minorHAnsi" w:hAnsiTheme="minorHAnsi" w:cstheme="minorHAnsi"/>
          <w:noProof/>
          <w:sz w:val="22"/>
          <w:szCs w:val="22"/>
          <w:lang w:val="es-ES"/>
        </w:rPr>
        <w:t xml:space="preserve"> y subsidiarios con el fin de reforzar</w:t>
      </w:r>
      <w:r w:rsidR="00C82D65" w:rsidRPr="005C40EF">
        <w:rPr>
          <w:rFonts w:asciiTheme="minorHAnsi" w:hAnsiTheme="minorHAnsi" w:cstheme="minorHAnsi"/>
          <w:noProof/>
          <w:sz w:val="22"/>
          <w:szCs w:val="22"/>
          <w:lang w:val="es-ES"/>
        </w:rPr>
        <w:t xml:space="preserve"> adicionalmente</w:t>
      </w:r>
      <w:r w:rsidR="007124C0" w:rsidRPr="005C40EF">
        <w:rPr>
          <w:rFonts w:asciiTheme="minorHAnsi" w:hAnsiTheme="minorHAnsi" w:cstheme="minorHAnsi"/>
          <w:noProof/>
          <w:sz w:val="22"/>
          <w:szCs w:val="22"/>
          <w:lang w:val="es-ES"/>
        </w:rPr>
        <w:t xml:space="preserve"> las capacidades y la coordinación</w:t>
      </w:r>
      <w:r w:rsidR="00C82D65" w:rsidRPr="005C40EF">
        <w:rPr>
          <w:rFonts w:asciiTheme="minorHAnsi" w:hAnsiTheme="minorHAnsi" w:cstheme="minorHAnsi"/>
          <w:noProof/>
          <w:sz w:val="22"/>
          <w:szCs w:val="22"/>
          <w:lang w:val="es-ES"/>
        </w:rPr>
        <w:t xml:space="preserve"> del </w:t>
      </w:r>
      <w:r w:rsidR="00C82D65" w:rsidRPr="005C40EF">
        <w:rPr>
          <w:rFonts w:asciiTheme="minorHAnsi" w:hAnsiTheme="minorHAnsi" w:cstheme="minorHAnsi"/>
          <w:noProof/>
          <w:sz w:val="22"/>
          <w:szCs w:val="22"/>
          <w:lang w:val="es-ES"/>
        </w:rPr>
        <w:lastRenderedPageBreak/>
        <w:t>personal</w:t>
      </w:r>
      <w:r w:rsidR="007124C0" w:rsidRPr="005C40EF">
        <w:rPr>
          <w:rFonts w:asciiTheme="minorHAnsi" w:hAnsiTheme="minorHAnsi" w:cstheme="minorHAnsi"/>
          <w:noProof/>
          <w:sz w:val="22"/>
          <w:szCs w:val="22"/>
          <w:lang w:val="es-ES"/>
        </w:rPr>
        <w:t xml:space="preserve">. Sin embargo, la ejecución eficaz de esta función básica se ve obstaculizada por varios factores que la Secretaría ha puesto en conocimiento del FWG y </w:t>
      </w:r>
      <w:r w:rsidR="00036B7E" w:rsidRPr="005C40EF">
        <w:rPr>
          <w:rFonts w:asciiTheme="minorHAnsi" w:hAnsiTheme="minorHAnsi" w:cstheme="minorHAnsi"/>
          <w:noProof/>
          <w:sz w:val="22"/>
          <w:szCs w:val="22"/>
          <w:lang w:val="es-ES"/>
        </w:rPr>
        <w:t>d</w:t>
      </w:r>
      <w:r w:rsidR="00C82D65" w:rsidRPr="005C40EF">
        <w:rPr>
          <w:rFonts w:asciiTheme="minorHAnsi" w:hAnsiTheme="minorHAnsi" w:cstheme="minorHAnsi"/>
          <w:noProof/>
          <w:sz w:val="22"/>
          <w:szCs w:val="22"/>
          <w:lang w:val="es-ES"/>
        </w:rPr>
        <w:t>el Comité Permanente</w:t>
      </w:r>
      <w:r w:rsidR="007124C0" w:rsidRPr="005C40EF">
        <w:rPr>
          <w:rFonts w:asciiTheme="minorHAnsi" w:hAnsiTheme="minorHAnsi" w:cstheme="minorHAnsi"/>
          <w:noProof/>
          <w:sz w:val="22"/>
          <w:szCs w:val="22"/>
          <w:lang w:val="es-ES"/>
        </w:rPr>
        <w:t>:</w:t>
      </w:r>
    </w:p>
    <w:p w14:paraId="325F300D" w14:textId="77777777" w:rsidR="007124C0" w:rsidRPr="005C40EF" w:rsidRDefault="007124C0" w:rsidP="007124C0">
      <w:pPr>
        <w:rPr>
          <w:rFonts w:asciiTheme="minorHAnsi" w:hAnsiTheme="minorHAnsi" w:cstheme="minorHAnsi"/>
          <w:noProof/>
          <w:sz w:val="22"/>
          <w:szCs w:val="22"/>
          <w:lang w:val="es-ES"/>
        </w:rPr>
      </w:pPr>
    </w:p>
    <w:p w14:paraId="7F20DBB0" w14:textId="77777777" w:rsidR="00036B7E" w:rsidRPr="005C40EF" w:rsidRDefault="00036B7E" w:rsidP="00036B7E">
      <w:pPr>
        <w:pStyle w:val="ListParagraph"/>
        <w:numPr>
          <w:ilvl w:val="0"/>
          <w:numId w:val="2"/>
        </w:numPr>
        <w:ind w:left="850" w:hanging="425"/>
        <w:rPr>
          <w:rFonts w:asciiTheme="minorHAnsi" w:hAnsiTheme="minorHAnsi" w:cstheme="minorHAnsi"/>
          <w:noProof/>
          <w:sz w:val="22"/>
          <w:szCs w:val="22"/>
          <w:lang w:val="es-ES"/>
        </w:rPr>
      </w:pPr>
      <w:r w:rsidRPr="005C40EF">
        <w:rPr>
          <w:rFonts w:asciiTheme="minorHAnsi" w:hAnsiTheme="minorHAnsi" w:cstheme="minorHAnsi"/>
          <w:noProof/>
          <w:sz w:val="22"/>
          <w:szCs w:val="22"/>
          <w:lang w:val="es-ES"/>
        </w:rPr>
        <w:t>Hay una incoherencia en los plazos para la presentación de documentos para las reuniones del Comité Permanente: la fecha límite para la presentación de proyectos de resolución es un mes después de la fecha límite para la publicación de los documentos que examinará el Comité.</w:t>
      </w:r>
    </w:p>
    <w:p w14:paraId="05A00D5B" w14:textId="77777777" w:rsidR="000C6AC6" w:rsidRPr="005C40EF" w:rsidRDefault="000C6AC6" w:rsidP="00C81B75">
      <w:pPr>
        <w:rPr>
          <w:rFonts w:asciiTheme="minorHAnsi" w:hAnsiTheme="minorHAnsi" w:cstheme="minorHAnsi"/>
          <w:noProof/>
          <w:sz w:val="22"/>
          <w:szCs w:val="22"/>
          <w:lang w:val="es-ES"/>
        </w:rPr>
      </w:pPr>
    </w:p>
    <w:p w14:paraId="5C241826" w14:textId="0AFF0AB6" w:rsidR="00036B7E" w:rsidRPr="005C40EF" w:rsidRDefault="00E2087D" w:rsidP="00036B7E">
      <w:pPr>
        <w:pStyle w:val="ListParagraph"/>
        <w:numPr>
          <w:ilvl w:val="0"/>
          <w:numId w:val="2"/>
        </w:numPr>
        <w:ind w:left="850" w:hanging="425"/>
        <w:rPr>
          <w:rFonts w:asciiTheme="minorHAnsi" w:hAnsiTheme="minorHAnsi" w:cstheme="minorHAnsi"/>
          <w:noProof/>
          <w:sz w:val="22"/>
          <w:szCs w:val="22"/>
          <w:lang w:val="es-ES"/>
        </w:rPr>
      </w:pPr>
      <w:r w:rsidRPr="005C40EF">
        <w:rPr>
          <w:rFonts w:asciiTheme="minorHAnsi" w:hAnsiTheme="minorHAnsi" w:cstheme="minorHAnsi"/>
          <w:noProof/>
          <w:sz w:val="22"/>
          <w:szCs w:val="22"/>
          <w:lang w:val="es-ES"/>
        </w:rPr>
        <w:t>Hay</w:t>
      </w:r>
      <w:r w:rsidR="00036B7E" w:rsidRPr="005C40EF">
        <w:rPr>
          <w:rFonts w:asciiTheme="minorHAnsi" w:hAnsiTheme="minorHAnsi" w:cstheme="minorHAnsi"/>
          <w:noProof/>
          <w:sz w:val="22"/>
          <w:szCs w:val="22"/>
          <w:lang w:val="es-ES"/>
        </w:rPr>
        <w:t xml:space="preserve"> un número considerable de reuniones</w:t>
      </w:r>
      <w:r w:rsidR="002D45ED" w:rsidRPr="005C40EF">
        <w:rPr>
          <w:rFonts w:asciiTheme="minorHAnsi" w:hAnsiTheme="minorHAnsi" w:cstheme="minorHAnsi"/>
          <w:noProof/>
          <w:sz w:val="22"/>
          <w:szCs w:val="22"/>
          <w:lang w:val="es-ES"/>
        </w:rPr>
        <w:t xml:space="preserve"> </w:t>
      </w:r>
      <w:r w:rsidRPr="005C40EF">
        <w:rPr>
          <w:rFonts w:asciiTheme="minorHAnsi" w:hAnsiTheme="minorHAnsi" w:cstheme="minorHAnsi"/>
          <w:noProof/>
          <w:sz w:val="22"/>
          <w:szCs w:val="22"/>
          <w:lang w:val="es-ES"/>
        </w:rPr>
        <w:t>programadas en</w:t>
      </w:r>
      <w:r w:rsidR="002D45ED" w:rsidRPr="005C40EF">
        <w:rPr>
          <w:rFonts w:asciiTheme="minorHAnsi" w:hAnsiTheme="minorHAnsi" w:cstheme="minorHAnsi"/>
          <w:noProof/>
          <w:sz w:val="22"/>
          <w:szCs w:val="22"/>
          <w:lang w:val="es-ES"/>
        </w:rPr>
        <w:t xml:space="preserve"> 2018</w:t>
      </w:r>
      <w:r w:rsidR="00036B7E" w:rsidRPr="005C40EF">
        <w:rPr>
          <w:rFonts w:asciiTheme="minorHAnsi" w:hAnsiTheme="minorHAnsi" w:cstheme="minorHAnsi"/>
          <w:noProof/>
          <w:sz w:val="22"/>
          <w:szCs w:val="22"/>
          <w:lang w:val="es-ES"/>
        </w:rPr>
        <w:t xml:space="preserve">, a saber, la STRP21, cinco reuniones regionales previas a la COP programadas para febrero y marzo, la SC54 que se celebrará del 23 al 27 de abril, la COP13 que se celebrará del 21 al 29 de octubre, la SC55 que se celebrará el 21 de octubre y la SC56 que se celebrará el 29 de octubre. Ello es el resultado del calendario </w:t>
      </w:r>
      <w:r w:rsidR="006D1B9B" w:rsidRPr="005C40EF">
        <w:rPr>
          <w:rFonts w:asciiTheme="minorHAnsi" w:hAnsiTheme="minorHAnsi" w:cstheme="minorHAnsi"/>
          <w:noProof/>
          <w:sz w:val="22"/>
          <w:szCs w:val="22"/>
          <w:lang w:val="es-ES"/>
        </w:rPr>
        <w:t>que establece</w:t>
      </w:r>
      <w:r w:rsidR="00036B7E" w:rsidRPr="005C40EF">
        <w:rPr>
          <w:rFonts w:asciiTheme="minorHAnsi" w:hAnsiTheme="minorHAnsi" w:cstheme="minorHAnsi"/>
          <w:noProof/>
          <w:sz w:val="22"/>
          <w:szCs w:val="22"/>
          <w:lang w:val="es-ES"/>
        </w:rPr>
        <w:t xml:space="preserve"> que la COP </w:t>
      </w:r>
      <w:r w:rsidRPr="005C40EF">
        <w:rPr>
          <w:rFonts w:asciiTheme="minorHAnsi" w:hAnsiTheme="minorHAnsi" w:cstheme="minorHAnsi"/>
          <w:noProof/>
          <w:sz w:val="22"/>
          <w:szCs w:val="22"/>
          <w:lang w:val="es-ES"/>
        </w:rPr>
        <w:t>se celebra</w:t>
      </w:r>
      <w:r w:rsidR="00036B7E" w:rsidRPr="005C40EF">
        <w:rPr>
          <w:rFonts w:asciiTheme="minorHAnsi" w:hAnsiTheme="minorHAnsi" w:cstheme="minorHAnsi"/>
          <w:noProof/>
          <w:sz w:val="22"/>
          <w:szCs w:val="22"/>
          <w:lang w:val="es-ES"/>
        </w:rPr>
        <w:t xml:space="preserve"> en octubre y la expectativa de que se examinen los proyectos de resolución en todas estas reuniones aun cuando el reglamento solo se refiere a su examen por el Comité Permanente.</w:t>
      </w:r>
    </w:p>
    <w:p w14:paraId="00552575" w14:textId="77777777" w:rsidR="00675239" w:rsidRPr="005C40EF" w:rsidRDefault="00675239" w:rsidP="00675239">
      <w:pPr>
        <w:pStyle w:val="ListParagraph"/>
        <w:rPr>
          <w:rFonts w:asciiTheme="minorHAnsi" w:hAnsiTheme="minorHAnsi" w:cstheme="minorHAnsi"/>
          <w:noProof/>
          <w:sz w:val="22"/>
          <w:szCs w:val="22"/>
          <w:lang w:val="es-ES"/>
        </w:rPr>
      </w:pPr>
    </w:p>
    <w:p w14:paraId="4046C9AC" w14:textId="52CA2E25" w:rsidR="00854EEC" w:rsidRPr="005C40EF" w:rsidRDefault="00635EC0" w:rsidP="00635EC0">
      <w:pPr>
        <w:autoSpaceDE w:val="0"/>
        <w:autoSpaceDN w:val="0"/>
        <w:adjustRightInd w:val="0"/>
        <w:ind w:left="425" w:hanging="425"/>
        <w:rPr>
          <w:rFonts w:asciiTheme="minorHAnsi" w:hAnsiTheme="minorHAnsi" w:cstheme="minorHAnsi"/>
          <w:noProof/>
          <w:sz w:val="22"/>
          <w:szCs w:val="22"/>
          <w:lang w:val="es-ES"/>
        </w:rPr>
      </w:pPr>
      <w:r>
        <w:rPr>
          <w:rFonts w:asciiTheme="minorHAnsi" w:hAnsiTheme="minorHAnsi" w:cstheme="minorHAnsi"/>
          <w:noProof/>
          <w:sz w:val="22"/>
          <w:szCs w:val="22"/>
          <w:lang w:val="es-ES"/>
        </w:rPr>
        <w:t>14.</w:t>
      </w:r>
      <w:r>
        <w:rPr>
          <w:rFonts w:asciiTheme="minorHAnsi" w:hAnsiTheme="minorHAnsi" w:cstheme="minorHAnsi"/>
          <w:noProof/>
          <w:sz w:val="22"/>
          <w:szCs w:val="22"/>
          <w:lang w:val="es-ES"/>
        </w:rPr>
        <w:tab/>
      </w:r>
      <w:r w:rsidR="00854EEC" w:rsidRPr="005C40EF">
        <w:rPr>
          <w:rFonts w:asciiTheme="minorHAnsi" w:hAnsiTheme="minorHAnsi" w:cstheme="minorHAnsi"/>
          <w:noProof/>
          <w:sz w:val="22"/>
          <w:szCs w:val="22"/>
          <w:lang w:val="es-ES"/>
        </w:rPr>
        <w:t xml:space="preserve">Esto supone una gran carga de trabajo para la Secretaría en cuanto a la preparación de documentos y la organización de reuniones, pero también en lo referente a la </w:t>
      </w:r>
      <w:r w:rsidR="005C4AE2" w:rsidRPr="005C40EF">
        <w:rPr>
          <w:rFonts w:asciiTheme="minorHAnsi" w:hAnsiTheme="minorHAnsi" w:cstheme="minorHAnsi"/>
          <w:noProof/>
          <w:sz w:val="22"/>
          <w:szCs w:val="22"/>
          <w:lang w:val="es-ES"/>
        </w:rPr>
        <w:t>recaudación</w:t>
      </w:r>
      <w:r w:rsidR="002E006E" w:rsidRPr="005C40EF">
        <w:rPr>
          <w:rFonts w:asciiTheme="minorHAnsi" w:hAnsiTheme="minorHAnsi" w:cstheme="minorHAnsi"/>
          <w:noProof/>
          <w:sz w:val="22"/>
          <w:szCs w:val="22"/>
          <w:lang w:val="es-ES"/>
        </w:rPr>
        <w:t xml:space="preserve"> de fondos </w:t>
      </w:r>
      <w:r w:rsidR="00854EEC" w:rsidRPr="005C40EF">
        <w:rPr>
          <w:rFonts w:asciiTheme="minorHAnsi" w:hAnsiTheme="minorHAnsi" w:cstheme="minorHAnsi"/>
          <w:noProof/>
          <w:sz w:val="22"/>
          <w:szCs w:val="22"/>
          <w:lang w:val="es-ES"/>
        </w:rPr>
        <w:t>para cinco reuniones regionales previas a la COP y para la COP en el mismo año. La Secretaría ha planteado al FWG la necesidad de examinar la secuencia de las reuniones y los plazos para la presentación de documentos y proyectos de resolución para que la Secretaría pueda cumplir con eficiencia las expectativas de las Partes. Hay otras opciones sugeridas</w:t>
      </w:r>
      <w:r w:rsidR="002E006E" w:rsidRPr="005C40EF">
        <w:rPr>
          <w:rFonts w:asciiTheme="minorHAnsi" w:hAnsiTheme="minorHAnsi" w:cstheme="minorHAnsi"/>
          <w:noProof/>
          <w:sz w:val="22"/>
          <w:szCs w:val="22"/>
          <w:lang w:val="es-ES"/>
        </w:rPr>
        <w:t xml:space="preserve"> a petición del Grupo y</w:t>
      </w:r>
      <w:r w:rsidR="00854EEC" w:rsidRPr="005C40EF">
        <w:rPr>
          <w:rFonts w:asciiTheme="minorHAnsi" w:hAnsiTheme="minorHAnsi" w:cstheme="minorHAnsi"/>
          <w:noProof/>
          <w:sz w:val="22"/>
          <w:szCs w:val="22"/>
          <w:lang w:val="es-ES"/>
        </w:rPr>
        <w:t xml:space="preserve"> que se basan en el funcionamiento</w:t>
      </w:r>
      <w:r w:rsidR="002E006E" w:rsidRPr="005C40EF">
        <w:rPr>
          <w:rFonts w:asciiTheme="minorHAnsi" w:hAnsiTheme="minorHAnsi" w:cstheme="minorHAnsi"/>
          <w:noProof/>
          <w:sz w:val="22"/>
          <w:szCs w:val="22"/>
          <w:lang w:val="es-ES"/>
        </w:rPr>
        <w:t xml:space="preserve"> de otras C</w:t>
      </w:r>
      <w:r w:rsidR="00854EEC" w:rsidRPr="005C40EF">
        <w:rPr>
          <w:rFonts w:asciiTheme="minorHAnsi" w:hAnsiTheme="minorHAnsi" w:cstheme="minorHAnsi"/>
          <w:noProof/>
          <w:sz w:val="22"/>
          <w:szCs w:val="22"/>
          <w:lang w:val="es-ES"/>
        </w:rPr>
        <w:t>onvenciones, entre estas: celebrar reuniones del Comité Permanente</w:t>
      </w:r>
      <w:r w:rsidR="002E006E" w:rsidRPr="005C40EF">
        <w:rPr>
          <w:rFonts w:asciiTheme="minorHAnsi" w:hAnsiTheme="minorHAnsi" w:cstheme="minorHAnsi"/>
          <w:noProof/>
          <w:sz w:val="22"/>
          <w:szCs w:val="22"/>
          <w:lang w:val="es-ES"/>
        </w:rPr>
        <w:t xml:space="preserve"> en pleno</w:t>
      </w:r>
      <w:r w:rsidR="00854EEC" w:rsidRPr="005C40EF">
        <w:rPr>
          <w:rFonts w:asciiTheme="minorHAnsi" w:hAnsiTheme="minorHAnsi" w:cstheme="minorHAnsi"/>
          <w:noProof/>
          <w:sz w:val="22"/>
          <w:szCs w:val="22"/>
          <w:lang w:val="es-ES"/>
        </w:rPr>
        <w:t xml:space="preserve"> solo en años en que la COP no se reúne; y celebrar las reuniones regionales inmediatamente antes de la COP</w:t>
      </w:r>
      <w:r w:rsidR="002E006E" w:rsidRPr="005C40EF">
        <w:rPr>
          <w:rFonts w:asciiTheme="minorHAnsi" w:hAnsiTheme="minorHAnsi" w:cstheme="minorHAnsi"/>
          <w:noProof/>
          <w:sz w:val="22"/>
          <w:szCs w:val="22"/>
          <w:lang w:val="es-ES"/>
        </w:rPr>
        <w:t xml:space="preserve"> (y en el mismo lugar), y dejar a los anfitriones </w:t>
      </w:r>
      <w:r w:rsidR="00854EEC" w:rsidRPr="005C40EF">
        <w:rPr>
          <w:rFonts w:asciiTheme="minorHAnsi" w:hAnsiTheme="minorHAnsi" w:cstheme="minorHAnsi"/>
          <w:noProof/>
          <w:sz w:val="22"/>
          <w:szCs w:val="22"/>
          <w:lang w:val="es-ES"/>
        </w:rPr>
        <w:t>la opción de organizar otras reuniones regionales, incluso en el contexto de las iniciativas regionales</w:t>
      </w:r>
      <w:r w:rsidR="002E006E" w:rsidRPr="005C40EF">
        <w:rPr>
          <w:rFonts w:asciiTheme="minorHAnsi" w:hAnsiTheme="minorHAnsi" w:cstheme="minorHAnsi"/>
          <w:noProof/>
          <w:sz w:val="22"/>
          <w:szCs w:val="22"/>
          <w:lang w:val="es-ES"/>
        </w:rPr>
        <w:t xml:space="preserve"> de Ramsar</w:t>
      </w:r>
      <w:r w:rsidR="00854EEC" w:rsidRPr="005C40EF">
        <w:rPr>
          <w:rFonts w:asciiTheme="minorHAnsi" w:hAnsiTheme="minorHAnsi" w:cstheme="minorHAnsi"/>
          <w:noProof/>
          <w:sz w:val="22"/>
          <w:szCs w:val="22"/>
          <w:lang w:val="es-ES"/>
        </w:rPr>
        <w:t xml:space="preserve">, para intercambiar experiencias sobre la ejecución. La Secretaría acoge con satisfacción la labor </w:t>
      </w:r>
      <w:r w:rsidR="005C4AE2" w:rsidRPr="005C40EF">
        <w:rPr>
          <w:rFonts w:asciiTheme="minorHAnsi" w:hAnsiTheme="minorHAnsi" w:cstheme="minorHAnsi"/>
          <w:noProof/>
          <w:sz w:val="22"/>
          <w:szCs w:val="22"/>
          <w:lang w:val="es-ES"/>
        </w:rPr>
        <w:t>que</w:t>
      </w:r>
      <w:r w:rsidR="002E006E" w:rsidRPr="005C40EF">
        <w:rPr>
          <w:rFonts w:asciiTheme="minorHAnsi" w:hAnsiTheme="minorHAnsi" w:cstheme="minorHAnsi"/>
          <w:noProof/>
          <w:sz w:val="22"/>
          <w:szCs w:val="22"/>
          <w:lang w:val="es-ES"/>
        </w:rPr>
        <w:t xml:space="preserve"> las Partes Contratantes </w:t>
      </w:r>
      <w:r w:rsidR="005C4AE2" w:rsidRPr="005C40EF">
        <w:rPr>
          <w:rFonts w:asciiTheme="minorHAnsi" w:hAnsiTheme="minorHAnsi" w:cstheme="minorHAnsi"/>
          <w:noProof/>
          <w:sz w:val="22"/>
          <w:szCs w:val="22"/>
          <w:lang w:val="es-ES"/>
        </w:rPr>
        <w:t>realizaron en</w:t>
      </w:r>
      <w:r w:rsidR="002E006E" w:rsidRPr="005C40EF">
        <w:rPr>
          <w:rFonts w:asciiTheme="minorHAnsi" w:hAnsiTheme="minorHAnsi" w:cstheme="minorHAnsi"/>
          <w:noProof/>
          <w:sz w:val="22"/>
          <w:szCs w:val="22"/>
          <w:lang w:val="es-ES"/>
        </w:rPr>
        <w:t xml:space="preserve"> la reunión SC54 y </w:t>
      </w:r>
      <w:r w:rsidR="005C4AE2" w:rsidRPr="005C40EF">
        <w:rPr>
          <w:rFonts w:asciiTheme="minorHAnsi" w:hAnsiTheme="minorHAnsi" w:cstheme="minorHAnsi"/>
          <w:noProof/>
          <w:sz w:val="22"/>
          <w:szCs w:val="22"/>
          <w:lang w:val="es-ES"/>
        </w:rPr>
        <w:t>que realizarán en la</w:t>
      </w:r>
      <w:r w:rsidR="002E006E" w:rsidRPr="005C40EF">
        <w:rPr>
          <w:rFonts w:asciiTheme="minorHAnsi" w:hAnsiTheme="minorHAnsi" w:cstheme="minorHAnsi"/>
          <w:noProof/>
          <w:sz w:val="22"/>
          <w:szCs w:val="22"/>
          <w:lang w:val="es-ES"/>
        </w:rPr>
        <w:t xml:space="preserve"> COP13</w:t>
      </w:r>
      <w:r w:rsidR="00854EEC" w:rsidRPr="005C40EF">
        <w:rPr>
          <w:rFonts w:asciiTheme="minorHAnsi" w:hAnsiTheme="minorHAnsi" w:cstheme="minorHAnsi"/>
          <w:noProof/>
          <w:sz w:val="22"/>
          <w:szCs w:val="22"/>
          <w:lang w:val="es-ES"/>
        </w:rPr>
        <w:t xml:space="preserve"> a este respecto y espera que considere</w:t>
      </w:r>
      <w:r w:rsidR="002E006E" w:rsidRPr="005C40EF">
        <w:rPr>
          <w:rFonts w:asciiTheme="minorHAnsi" w:hAnsiTheme="minorHAnsi" w:cstheme="minorHAnsi"/>
          <w:noProof/>
          <w:sz w:val="22"/>
          <w:szCs w:val="22"/>
          <w:lang w:val="es-ES"/>
        </w:rPr>
        <w:t>n</w:t>
      </w:r>
      <w:r w:rsidR="00854EEC" w:rsidRPr="005C40EF">
        <w:rPr>
          <w:rFonts w:asciiTheme="minorHAnsi" w:hAnsiTheme="minorHAnsi" w:cstheme="minorHAnsi"/>
          <w:noProof/>
          <w:sz w:val="22"/>
          <w:szCs w:val="22"/>
          <w:lang w:val="es-ES"/>
        </w:rPr>
        <w:t xml:space="preserve"> formas de abordar estos desafíos para que la Convención pueda mejorar su eficacia y para permitir que la Secretaría cumpla con esta función de manera eficiente.</w:t>
      </w:r>
    </w:p>
    <w:p w14:paraId="146F3565" w14:textId="77777777" w:rsidR="00F72E95" w:rsidRPr="005C40EF" w:rsidRDefault="00F72E95" w:rsidP="00C81B75">
      <w:pPr>
        <w:rPr>
          <w:rFonts w:asciiTheme="minorHAnsi" w:hAnsiTheme="minorHAnsi" w:cstheme="minorHAnsi"/>
          <w:b/>
          <w:bCs/>
          <w:noProof/>
          <w:sz w:val="22"/>
          <w:szCs w:val="22"/>
          <w:lang w:val="es-ES"/>
        </w:rPr>
      </w:pPr>
    </w:p>
    <w:p w14:paraId="7B40980B" w14:textId="77777777" w:rsidR="000C0AA1" w:rsidRPr="005C40EF" w:rsidRDefault="000C0AA1" w:rsidP="000C0AA1">
      <w:pPr>
        <w:rPr>
          <w:rFonts w:asciiTheme="minorHAnsi" w:hAnsiTheme="minorHAnsi" w:cstheme="minorHAnsi"/>
          <w:bCs/>
          <w:noProof/>
          <w:sz w:val="22"/>
          <w:szCs w:val="22"/>
          <w:u w:val="single"/>
          <w:lang w:val="es-ES"/>
        </w:rPr>
      </w:pPr>
      <w:r w:rsidRPr="005C40EF">
        <w:rPr>
          <w:rFonts w:asciiTheme="minorHAnsi" w:hAnsiTheme="minorHAnsi" w:cstheme="minorHAnsi"/>
          <w:bCs/>
          <w:noProof/>
          <w:sz w:val="22"/>
          <w:szCs w:val="22"/>
          <w:u w:val="single"/>
          <w:lang w:val="es-ES"/>
        </w:rPr>
        <w:t xml:space="preserve">Relevancia creciente de los humedales y la Convención para los objetivos de las políticas mundiales de desarrollo sostenible </w:t>
      </w:r>
    </w:p>
    <w:p w14:paraId="48F220F0" w14:textId="77777777" w:rsidR="001D3E01" w:rsidRPr="005C40EF" w:rsidRDefault="001D3E01" w:rsidP="00C81B75">
      <w:pPr>
        <w:rPr>
          <w:rFonts w:asciiTheme="minorHAnsi" w:hAnsiTheme="minorHAnsi" w:cstheme="minorHAnsi"/>
          <w:noProof/>
          <w:sz w:val="22"/>
          <w:szCs w:val="22"/>
          <w:lang w:val="es-ES"/>
        </w:rPr>
      </w:pPr>
    </w:p>
    <w:p w14:paraId="28D834F8" w14:textId="6033012B" w:rsidR="000C0AA1" w:rsidRPr="005C40EF" w:rsidRDefault="00635EC0" w:rsidP="00635EC0">
      <w:pPr>
        <w:autoSpaceDE w:val="0"/>
        <w:autoSpaceDN w:val="0"/>
        <w:adjustRightInd w:val="0"/>
        <w:ind w:left="425" w:hanging="425"/>
        <w:rPr>
          <w:rFonts w:asciiTheme="minorHAnsi" w:hAnsiTheme="minorHAnsi" w:cstheme="minorHAnsi"/>
          <w:noProof/>
          <w:sz w:val="22"/>
          <w:szCs w:val="22"/>
          <w:lang w:val="es-ES"/>
        </w:rPr>
      </w:pPr>
      <w:r>
        <w:rPr>
          <w:rFonts w:asciiTheme="minorHAnsi" w:hAnsiTheme="minorHAnsi" w:cstheme="minorHAnsi"/>
          <w:noProof/>
          <w:sz w:val="22"/>
          <w:szCs w:val="22"/>
          <w:lang w:val="es-ES"/>
        </w:rPr>
        <w:t>15.</w:t>
      </w:r>
      <w:r>
        <w:rPr>
          <w:rFonts w:asciiTheme="minorHAnsi" w:hAnsiTheme="minorHAnsi" w:cstheme="minorHAnsi"/>
          <w:noProof/>
          <w:sz w:val="22"/>
          <w:szCs w:val="22"/>
          <w:lang w:val="es-ES"/>
        </w:rPr>
        <w:tab/>
      </w:r>
      <w:r w:rsidR="000C0AA1" w:rsidRPr="005C40EF">
        <w:rPr>
          <w:rFonts w:asciiTheme="minorHAnsi" w:hAnsiTheme="minorHAnsi" w:cstheme="minorHAnsi"/>
          <w:noProof/>
          <w:sz w:val="22"/>
          <w:szCs w:val="22"/>
          <w:lang w:val="es-ES"/>
        </w:rPr>
        <w:t xml:space="preserve">La Secretaría ha reforzado su labor de apoyo a la cooperación internacional y </w:t>
      </w:r>
      <w:r w:rsidR="00F00E3B" w:rsidRPr="005C40EF">
        <w:rPr>
          <w:rFonts w:asciiTheme="minorHAnsi" w:hAnsiTheme="minorHAnsi" w:cstheme="minorHAnsi"/>
          <w:noProof/>
          <w:sz w:val="22"/>
          <w:szCs w:val="22"/>
          <w:lang w:val="es-ES"/>
        </w:rPr>
        <w:t>ha mejorado</w:t>
      </w:r>
      <w:r w:rsidR="000C0AA1" w:rsidRPr="005C40EF">
        <w:rPr>
          <w:rFonts w:asciiTheme="minorHAnsi" w:hAnsiTheme="minorHAnsi" w:cstheme="minorHAnsi"/>
          <w:noProof/>
          <w:sz w:val="22"/>
          <w:szCs w:val="22"/>
          <w:lang w:val="es-ES"/>
        </w:rPr>
        <w:t xml:space="preserve"> la relevancia de los humedales y la Convención en la agenda política mundial. </w:t>
      </w:r>
      <w:r w:rsidR="00D860A8" w:rsidRPr="005C40EF">
        <w:rPr>
          <w:rFonts w:asciiTheme="minorHAnsi" w:hAnsiTheme="minorHAnsi" w:cstheme="minorHAnsi"/>
          <w:noProof/>
          <w:sz w:val="22"/>
          <w:szCs w:val="22"/>
          <w:lang w:val="es-ES"/>
        </w:rPr>
        <w:t>Las capacidades para ello</w:t>
      </w:r>
      <w:r w:rsidR="00F00E3B" w:rsidRPr="005C40EF">
        <w:rPr>
          <w:rFonts w:asciiTheme="minorHAnsi" w:hAnsiTheme="minorHAnsi" w:cstheme="minorHAnsi"/>
          <w:noProof/>
          <w:sz w:val="22"/>
          <w:szCs w:val="22"/>
          <w:lang w:val="es-ES"/>
        </w:rPr>
        <w:t xml:space="preserve"> se están reforzando</w:t>
      </w:r>
      <w:r w:rsidR="000C0AA1" w:rsidRPr="005C40EF">
        <w:rPr>
          <w:rFonts w:asciiTheme="minorHAnsi" w:hAnsiTheme="minorHAnsi" w:cstheme="minorHAnsi"/>
          <w:noProof/>
          <w:sz w:val="22"/>
          <w:szCs w:val="22"/>
          <w:lang w:val="es-ES"/>
        </w:rPr>
        <w:t xml:space="preserve"> con la contratación de un Director de Ciencia y Política</w:t>
      </w:r>
      <w:r w:rsidR="00F00E3B" w:rsidRPr="005C40EF">
        <w:rPr>
          <w:rFonts w:asciiTheme="minorHAnsi" w:hAnsiTheme="minorHAnsi" w:cstheme="minorHAnsi"/>
          <w:noProof/>
          <w:sz w:val="22"/>
          <w:szCs w:val="22"/>
          <w:lang w:val="es-ES"/>
        </w:rPr>
        <w:t xml:space="preserve"> (véase el párrafo</w:t>
      </w:r>
      <w:r w:rsidR="00A612B7">
        <w:rPr>
          <w:rFonts w:asciiTheme="minorHAnsi" w:hAnsiTheme="minorHAnsi" w:cstheme="minorHAnsi"/>
          <w:noProof/>
          <w:sz w:val="22"/>
          <w:szCs w:val="22"/>
          <w:lang w:val="es-ES"/>
        </w:rPr>
        <w:t xml:space="preserve"> 38</w:t>
      </w:r>
      <w:r w:rsidR="00F00E3B" w:rsidRPr="005C40EF">
        <w:rPr>
          <w:rFonts w:asciiTheme="minorHAnsi" w:hAnsiTheme="minorHAnsi" w:cstheme="minorHAnsi"/>
          <w:noProof/>
          <w:sz w:val="22"/>
          <w:szCs w:val="22"/>
          <w:lang w:val="es-ES"/>
        </w:rPr>
        <w:t>, más abajo)</w:t>
      </w:r>
      <w:r w:rsidR="000C0AA1" w:rsidRPr="005C40EF">
        <w:rPr>
          <w:rFonts w:asciiTheme="minorHAnsi" w:hAnsiTheme="minorHAnsi" w:cstheme="minorHAnsi"/>
          <w:noProof/>
          <w:sz w:val="22"/>
          <w:szCs w:val="22"/>
          <w:lang w:val="es-ES"/>
        </w:rPr>
        <w:t xml:space="preserve">. Dado que la Agenda de Desarrollo Sostenible 2030 y el Acuerdo de París sobre Cambio Climático están impulsando los esfuerzos nacionales e internacionales de planificación y financiación, se </w:t>
      </w:r>
      <w:r w:rsidR="00F00E3B" w:rsidRPr="005C40EF">
        <w:rPr>
          <w:rFonts w:asciiTheme="minorHAnsi" w:hAnsiTheme="minorHAnsi" w:cstheme="minorHAnsi"/>
          <w:noProof/>
          <w:sz w:val="22"/>
          <w:szCs w:val="22"/>
          <w:lang w:val="es-ES"/>
        </w:rPr>
        <w:t>ha presta</w:t>
      </w:r>
      <w:r w:rsidR="000C0AA1" w:rsidRPr="005C40EF">
        <w:rPr>
          <w:rFonts w:asciiTheme="minorHAnsi" w:hAnsiTheme="minorHAnsi" w:cstheme="minorHAnsi"/>
          <w:noProof/>
          <w:sz w:val="22"/>
          <w:szCs w:val="22"/>
          <w:lang w:val="es-ES"/>
        </w:rPr>
        <w:t xml:space="preserve">do </w:t>
      </w:r>
      <w:r w:rsidR="00AC365A" w:rsidRPr="005C40EF">
        <w:rPr>
          <w:rFonts w:asciiTheme="minorHAnsi" w:hAnsiTheme="minorHAnsi" w:cstheme="minorHAnsi"/>
          <w:noProof/>
          <w:sz w:val="22"/>
          <w:szCs w:val="22"/>
          <w:lang w:val="es-ES"/>
        </w:rPr>
        <w:t>más</w:t>
      </w:r>
      <w:r w:rsidR="00F00E3B" w:rsidRPr="005C40EF">
        <w:rPr>
          <w:rFonts w:asciiTheme="minorHAnsi" w:hAnsiTheme="minorHAnsi" w:cstheme="minorHAnsi"/>
          <w:noProof/>
          <w:sz w:val="22"/>
          <w:szCs w:val="22"/>
          <w:lang w:val="es-ES"/>
        </w:rPr>
        <w:t xml:space="preserve"> </w:t>
      </w:r>
      <w:r w:rsidR="000C0AA1" w:rsidRPr="005C40EF">
        <w:rPr>
          <w:rFonts w:asciiTheme="minorHAnsi" w:hAnsiTheme="minorHAnsi" w:cstheme="minorHAnsi"/>
          <w:noProof/>
          <w:sz w:val="22"/>
          <w:szCs w:val="22"/>
          <w:lang w:val="es-ES"/>
        </w:rPr>
        <w:t xml:space="preserve">atención a garantizar que los humedales y el trabajo de las Partes Contratantes con arreglo a la Convención contribuyan a estos marcos de políticas. Por lo tanto, la Secretaría </w:t>
      </w:r>
      <w:r w:rsidR="00F00E3B" w:rsidRPr="005C40EF">
        <w:rPr>
          <w:rFonts w:asciiTheme="minorHAnsi" w:hAnsiTheme="minorHAnsi" w:cstheme="minorHAnsi"/>
          <w:noProof/>
          <w:sz w:val="22"/>
          <w:szCs w:val="22"/>
          <w:lang w:val="es-ES"/>
        </w:rPr>
        <w:t>ha participado activamente en las deliberaciones en relación con el logro</w:t>
      </w:r>
      <w:r w:rsidR="000C0AA1" w:rsidRPr="005C40EF">
        <w:rPr>
          <w:rFonts w:asciiTheme="minorHAnsi" w:hAnsiTheme="minorHAnsi" w:cstheme="minorHAnsi"/>
          <w:noProof/>
          <w:sz w:val="22"/>
          <w:szCs w:val="22"/>
          <w:lang w:val="es-ES"/>
        </w:rPr>
        <w:t xml:space="preserve"> en los Objetivos de Desarrollo Sostenible (ODS), incluso </w:t>
      </w:r>
      <w:r w:rsidR="00F00E3B" w:rsidRPr="005C40EF">
        <w:rPr>
          <w:rFonts w:asciiTheme="minorHAnsi" w:hAnsiTheme="minorHAnsi" w:cstheme="minorHAnsi"/>
          <w:noProof/>
          <w:sz w:val="22"/>
          <w:szCs w:val="22"/>
          <w:lang w:val="es-ES"/>
        </w:rPr>
        <w:t>con respecto al I</w:t>
      </w:r>
      <w:r w:rsidR="000C0AA1" w:rsidRPr="005C40EF">
        <w:rPr>
          <w:rFonts w:asciiTheme="minorHAnsi" w:hAnsiTheme="minorHAnsi" w:cstheme="minorHAnsi"/>
          <w:noProof/>
          <w:sz w:val="22"/>
          <w:szCs w:val="22"/>
          <w:lang w:val="es-ES"/>
        </w:rPr>
        <w:t>ndicador 6.6.1 de los ODS (sobre el cambio en la extensión de los ecosistemas relacionados con el agua), como se so</w:t>
      </w:r>
      <w:r w:rsidR="00AC365A" w:rsidRPr="005C40EF">
        <w:rPr>
          <w:rFonts w:asciiTheme="minorHAnsi" w:hAnsiTheme="minorHAnsi" w:cstheme="minorHAnsi"/>
          <w:noProof/>
          <w:sz w:val="22"/>
          <w:szCs w:val="22"/>
          <w:lang w:val="es-ES"/>
        </w:rPr>
        <w:t>licita en la Decisión SC53-17. Asimismo, p</w:t>
      </w:r>
      <w:r w:rsidR="000C0AA1" w:rsidRPr="005C40EF">
        <w:rPr>
          <w:rFonts w:asciiTheme="minorHAnsi" w:hAnsiTheme="minorHAnsi" w:cstheme="minorHAnsi"/>
          <w:noProof/>
          <w:sz w:val="22"/>
          <w:szCs w:val="22"/>
          <w:lang w:val="es-ES"/>
        </w:rPr>
        <w:t>articipó en la</w:t>
      </w:r>
      <w:r w:rsidR="00F00E3B" w:rsidRPr="005C40EF">
        <w:rPr>
          <w:rFonts w:asciiTheme="minorHAnsi" w:hAnsiTheme="minorHAnsi" w:cstheme="minorHAnsi"/>
          <w:noProof/>
          <w:sz w:val="22"/>
          <w:szCs w:val="22"/>
          <w:lang w:val="es-ES"/>
        </w:rPr>
        <w:t>s reuniones</w:t>
      </w:r>
      <w:r w:rsidR="000C0AA1" w:rsidRPr="005C40EF">
        <w:rPr>
          <w:rFonts w:asciiTheme="minorHAnsi" w:hAnsiTheme="minorHAnsi" w:cstheme="minorHAnsi"/>
          <w:noProof/>
          <w:sz w:val="22"/>
          <w:szCs w:val="22"/>
          <w:lang w:val="es-ES"/>
        </w:rPr>
        <w:t xml:space="preserve"> 6ª </w:t>
      </w:r>
      <w:r w:rsidR="00F00E3B" w:rsidRPr="005C40EF">
        <w:rPr>
          <w:rFonts w:asciiTheme="minorHAnsi" w:hAnsiTheme="minorHAnsi" w:cstheme="minorHAnsi"/>
          <w:noProof/>
          <w:sz w:val="22"/>
          <w:szCs w:val="22"/>
          <w:lang w:val="es-ES"/>
        </w:rPr>
        <w:t>y 7ª</w:t>
      </w:r>
      <w:r w:rsidR="000C0AA1" w:rsidRPr="005C40EF">
        <w:rPr>
          <w:rFonts w:asciiTheme="minorHAnsi" w:hAnsiTheme="minorHAnsi" w:cstheme="minorHAnsi"/>
          <w:noProof/>
          <w:sz w:val="22"/>
          <w:szCs w:val="22"/>
          <w:lang w:val="es-ES"/>
        </w:rPr>
        <w:t xml:space="preserve"> del Grupo Interinstitucional y de Expertos sobre los Indicadores de los Objetivos de Desarrollo Sostenible (GIEI-ODS)</w:t>
      </w:r>
      <w:r w:rsidR="00AC365A" w:rsidRPr="005C40EF">
        <w:rPr>
          <w:rFonts w:asciiTheme="minorHAnsi" w:hAnsiTheme="minorHAnsi" w:cstheme="minorHAnsi"/>
          <w:noProof/>
          <w:sz w:val="22"/>
          <w:szCs w:val="22"/>
          <w:lang w:val="es-ES"/>
        </w:rPr>
        <w:t>, celebradas</w:t>
      </w:r>
      <w:r w:rsidR="000C0AA1" w:rsidRPr="005C40EF">
        <w:rPr>
          <w:rFonts w:asciiTheme="minorHAnsi" w:hAnsiTheme="minorHAnsi" w:cstheme="minorHAnsi"/>
          <w:noProof/>
          <w:sz w:val="22"/>
          <w:szCs w:val="22"/>
          <w:lang w:val="es-ES"/>
        </w:rPr>
        <w:t xml:space="preserve"> en Manama (Bahrein) de</w:t>
      </w:r>
      <w:r w:rsidR="00AC365A" w:rsidRPr="005C40EF">
        <w:rPr>
          <w:rFonts w:asciiTheme="minorHAnsi" w:hAnsiTheme="minorHAnsi" w:cstheme="minorHAnsi"/>
          <w:noProof/>
          <w:sz w:val="22"/>
          <w:szCs w:val="22"/>
          <w:lang w:val="es-ES"/>
        </w:rPr>
        <w:t>l 11 al 14 de noviembre de 2017</w:t>
      </w:r>
      <w:r w:rsidR="00F00E3B" w:rsidRPr="005C40EF">
        <w:rPr>
          <w:rFonts w:asciiTheme="minorHAnsi" w:hAnsiTheme="minorHAnsi" w:cstheme="minorHAnsi"/>
          <w:noProof/>
          <w:sz w:val="22"/>
          <w:szCs w:val="22"/>
          <w:lang w:val="es-ES"/>
        </w:rPr>
        <w:t xml:space="preserve"> y </w:t>
      </w:r>
      <w:r w:rsidR="00AC365A" w:rsidRPr="005C40EF">
        <w:rPr>
          <w:rFonts w:asciiTheme="minorHAnsi" w:hAnsiTheme="minorHAnsi" w:cstheme="minorHAnsi"/>
          <w:noProof/>
          <w:sz w:val="22"/>
          <w:szCs w:val="22"/>
          <w:lang w:val="es-ES"/>
        </w:rPr>
        <w:t xml:space="preserve">en </w:t>
      </w:r>
      <w:r w:rsidR="00F00E3B" w:rsidRPr="005C40EF">
        <w:rPr>
          <w:rFonts w:asciiTheme="minorHAnsi" w:hAnsiTheme="minorHAnsi" w:cstheme="minorHAnsi"/>
          <w:noProof/>
          <w:sz w:val="22"/>
          <w:szCs w:val="22"/>
          <w:lang w:val="es-ES"/>
        </w:rPr>
        <w:t>Viena (Austria) del 9 al 12 de abril de 2018</w:t>
      </w:r>
      <w:r w:rsidR="00AC365A" w:rsidRPr="005C40EF">
        <w:rPr>
          <w:rFonts w:asciiTheme="minorHAnsi" w:hAnsiTheme="minorHAnsi" w:cstheme="minorHAnsi"/>
          <w:noProof/>
          <w:sz w:val="22"/>
          <w:szCs w:val="22"/>
          <w:lang w:val="es-ES"/>
        </w:rPr>
        <w:t>,</w:t>
      </w:r>
      <w:r w:rsidR="000C0AA1" w:rsidRPr="005C40EF">
        <w:rPr>
          <w:rFonts w:asciiTheme="minorHAnsi" w:hAnsiTheme="minorHAnsi" w:cstheme="minorHAnsi"/>
          <w:noProof/>
          <w:sz w:val="22"/>
          <w:szCs w:val="22"/>
          <w:lang w:val="es-ES"/>
        </w:rPr>
        <w:t xml:space="preserve"> y continuó su participación en el trabaj</w:t>
      </w:r>
      <w:r w:rsidR="00F00E3B" w:rsidRPr="005C40EF">
        <w:rPr>
          <w:rFonts w:asciiTheme="minorHAnsi" w:hAnsiTheme="minorHAnsi" w:cstheme="minorHAnsi"/>
          <w:noProof/>
          <w:sz w:val="22"/>
          <w:szCs w:val="22"/>
          <w:lang w:val="es-ES"/>
        </w:rPr>
        <w:t>o del equipo objetivo sobre el Indicador 6.6.</w:t>
      </w:r>
      <w:r w:rsidR="000C0AA1" w:rsidRPr="005C40EF">
        <w:rPr>
          <w:rFonts w:asciiTheme="minorHAnsi" w:hAnsiTheme="minorHAnsi" w:cstheme="minorHAnsi"/>
          <w:noProof/>
          <w:sz w:val="22"/>
          <w:szCs w:val="22"/>
          <w:lang w:val="es-ES"/>
        </w:rPr>
        <w:t xml:space="preserve">1 dirigido por el Programa de las Naciones Unidas para el Medio Ambiente (PNUMA). La Secretaría también participó en el taller mundial para el seguimiento </w:t>
      </w:r>
      <w:r w:rsidR="000C0AA1" w:rsidRPr="005C40EF">
        <w:rPr>
          <w:rFonts w:asciiTheme="minorHAnsi" w:hAnsiTheme="minorHAnsi" w:cstheme="minorHAnsi"/>
          <w:noProof/>
          <w:sz w:val="22"/>
          <w:szCs w:val="22"/>
          <w:lang w:val="es-ES"/>
        </w:rPr>
        <w:lastRenderedPageBreak/>
        <w:t>integrado del ODS 6 sobre agua y saneamiento, organizado por la Unidad de Asesoramiento Técnico de ONU-Agua y ocho organismos de las Naciones Unidas en La Haya (Países Bajos) del 21 al 23 de noviembre de 2017. El objetivo ha sido garantizar que el proceso de seguimiento del cumplimiento de los ODS, especialmente en los ecosistemas relacionados con el agua, tenga en cuenta el compromiso de las Partes Contratantes de informar sobre la extensión de los humedales. Un hecho importante es que, debido a este trabajo, en noviembre de 2017</w:t>
      </w:r>
      <w:r w:rsidR="00AC365A" w:rsidRPr="005C40EF">
        <w:rPr>
          <w:rFonts w:asciiTheme="minorHAnsi" w:hAnsiTheme="minorHAnsi" w:cstheme="minorHAnsi"/>
          <w:noProof/>
          <w:sz w:val="22"/>
          <w:szCs w:val="22"/>
          <w:lang w:val="es-ES"/>
        </w:rPr>
        <w:t xml:space="preserve"> el GIEI-ODS decidió</w:t>
      </w:r>
      <w:r w:rsidR="000C0AA1" w:rsidRPr="005C40EF">
        <w:rPr>
          <w:rFonts w:asciiTheme="minorHAnsi" w:hAnsiTheme="minorHAnsi" w:cstheme="minorHAnsi"/>
          <w:noProof/>
          <w:sz w:val="22"/>
          <w:szCs w:val="22"/>
          <w:lang w:val="es-ES"/>
        </w:rPr>
        <w:t xml:space="preserve"> </w:t>
      </w:r>
      <w:r w:rsidR="00AC365A" w:rsidRPr="005C40EF">
        <w:rPr>
          <w:rFonts w:asciiTheme="minorHAnsi" w:hAnsiTheme="minorHAnsi" w:cstheme="minorHAnsi"/>
          <w:noProof/>
          <w:sz w:val="22"/>
          <w:szCs w:val="22"/>
          <w:lang w:val="es-ES"/>
        </w:rPr>
        <w:t>designar a</w:t>
      </w:r>
      <w:r w:rsidR="000C0AA1" w:rsidRPr="005C40EF">
        <w:rPr>
          <w:rFonts w:asciiTheme="minorHAnsi" w:hAnsiTheme="minorHAnsi" w:cstheme="minorHAnsi"/>
          <w:noProof/>
          <w:sz w:val="22"/>
          <w:szCs w:val="22"/>
          <w:lang w:val="es-ES"/>
        </w:rPr>
        <w:t xml:space="preserve"> la Convención de Ramsar </w:t>
      </w:r>
      <w:r w:rsidR="00AC365A" w:rsidRPr="005C40EF">
        <w:rPr>
          <w:rFonts w:asciiTheme="minorHAnsi" w:hAnsiTheme="minorHAnsi" w:cstheme="minorHAnsi"/>
          <w:noProof/>
          <w:sz w:val="22"/>
          <w:szCs w:val="22"/>
          <w:lang w:val="es-ES"/>
        </w:rPr>
        <w:t>como</w:t>
      </w:r>
      <w:r w:rsidR="000C0AA1" w:rsidRPr="005C40EF">
        <w:rPr>
          <w:rFonts w:asciiTheme="minorHAnsi" w:hAnsiTheme="minorHAnsi" w:cstheme="minorHAnsi"/>
          <w:noProof/>
          <w:sz w:val="22"/>
          <w:szCs w:val="22"/>
          <w:lang w:val="es-ES"/>
        </w:rPr>
        <w:t xml:space="preserve"> uno de los custodios para</w:t>
      </w:r>
      <w:r w:rsidR="00CF05DE" w:rsidRPr="005C40EF">
        <w:rPr>
          <w:rFonts w:asciiTheme="minorHAnsi" w:hAnsiTheme="minorHAnsi" w:cstheme="minorHAnsi"/>
          <w:noProof/>
          <w:sz w:val="22"/>
          <w:szCs w:val="22"/>
          <w:lang w:val="es-ES"/>
        </w:rPr>
        <w:t xml:space="preserve"> este indicador, junto con </w:t>
      </w:r>
      <w:r w:rsidR="000C0AA1" w:rsidRPr="005C40EF">
        <w:rPr>
          <w:rFonts w:asciiTheme="minorHAnsi" w:hAnsiTheme="minorHAnsi" w:cstheme="minorHAnsi"/>
          <w:noProof/>
          <w:sz w:val="22"/>
          <w:szCs w:val="22"/>
          <w:lang w:val="es-ES"/>
        </w:rPr>
        <w:t xml:space="preserve">el </w:t>
      </w:r>
      <w:r w:rsidR="00CF05DE" w:rsidRPr="005C40EF">
        <w:rPr>
          <w:rFonts w:asciiTheme="minorHAnsi" w:hAnsiTheme="minorHAnsi" w:cstheme="minorHAnsi"/>
          <w:noProof/>
          <w:sz w:val="22"/>
          <w:szCs w:val="22"/>
          <w:lang w:val="es-ES"/>
        </w:rPr>
        <w:t>PNUMA. Además, decidió aprobar dos líneas paralelas de presentación de informes a la base de datos mundial de los ODS, alojada por la Comisión de Estadística de las Naciones Unidas.</w:t>
      </w:r>
      <w:r w:rsidR="000C0AA1" w:rsidRPr="005C40EF">
        <w:rPr>
          <w:rFonts w:asciiTheme="minorHAnsi" w:hAnsiTheme="minorHAnsi" w:cstheme="minorHAnsi"/>
          <w:noProof/>
          <w:sz w:val="22"/>
          <w:szCs w:val="22"/>
          <w:lang w:val="es-ES"/>
        </w:rPr>
        <w:t xml:space="preserve"> </w:t>
      </w:r>
      <w:r w:rsidR="00CF05DE" w:rsidRPr="005C40EF">
        <w:rPr>
          <w:rFonts w:asciiTheme="minorHAnsi" w:hAnsiTheme="minorHAnsi" w:cstheme="minorHAnsi"/>
          <w:noProof/>
          <w:sz w:val="22"/>
          <w:szCs w:val="22"/>
          <w:lang w:val="es-ES"/>
        </w:rPr>
        <w:t xml:space="preserve">La Convención de Ramsar sobre los Humedales </w:t>
      </w:r>
      <w:r w:rsidR="00E95D37" w:rsidRPr="005C40EF">
        <w:rPr>
          <w:rFonts w:asciiTheme="minorHAnsi" w:hAnsiTheme="minorHAnsi" w:cstheme="minorHAnsi"/>
          <w:noProof/>
          <w:sz w:val="22"/>
          <w:szCs w:val="22"/>
          <w:lang w:val="es-ES"/>
        </w:rPr>
        <w:t>aportará</w:t>
      </w:r>
      <w:r w:rsidR="00CF05DE" w:rsidRPr="005C40EF">
        <w:rPr>
          <w:rFonts w:asciiTheme="minorHAnsi" w:hAnsiTheme="minorHAnsi" w:cstheme="minorHAnsi"/>
          <w:noProof/>
          <w:sz w:val="22"/>
          <w:szCs w:val="22"/>
          <w:lang w:val="es-ES"/>
        </w:rPr>
        <w:t xml:space="preserve"> datos de los Informes Nacionales basados en las definiciones y los requisitos de Ramsar; el PNUMA será responsable de la </w:t>
      </w:r>
      <w:r w:rsidR="000C0AA1" w:rsidRPr="005C40EF">
        <w:rPr>
          <w:rFonts w:asciiTheme="minorHAnsi" w:hAnsiTheme="minorHAnsi" w:cstheme="minorHAnsi"/>
          <w:noProof/>
          <w:sz w:val="22"/>
          <w:szCs w:val="22"/>
          <w:lang w:val="es-ES"/>
        </w:rPr>
        <w:t>metodología</w:t>
      </w:r>
      <w:r w:rsidR="00CF05DE" w:rsidRPr="005C40EF">
        <w:rPr>
          <w:rFonts w:asciiTheme="minorHAnsi" w:hAnsiTheme="minorHAnsi" w:cstheme="minorHAnsi"/>
          <w:noProof/>
          <w:sz w:val="22"/>
          <w:szCs w:val="22"/>
          <w:lang w:val="es-ES"/>
        </w:rPr>
        <w:t xml:space="preserve"> internacionalmente comparable con datos nacionales y agregaciones regionales y mundiales para el Indicador 6.6.1. En julio </w:t>
      </w:r>
      <w:r w:rsidR="000C0AA1" w:rsidRPr="005C40EF">
        <w:rPr>
          <w:rFonts w:asciiTheme="minorHAnsi" w:hAnsiTheme="minorHAnsi" w:cstheme="minorHAnsi"/>
          <w:noProof/>
          <w:sz w:val="22"/>
          <w:szCs w:val="22"/>
          <w:lang w:val="es-ES"/>
        </w:rPr>
        <w:t>de 2018</w:t>
      </w:r>
      <w:r w:rsidR="00CF05DE" w:rsidRPr="005C40EF">
        <w:rPr>
          <w:rFonts w:asciiTheme="minorHAnsi" w:hAnsiTheme="minorHAnsi" w:cstheme="minorHAnsi"/>
          <w:noProof/>
          <w:sz w:val="22"/>
          <w:szCs w:val="22"/>
          <w:lang w:val="es-ES"/>
        </w:rPr>
        <w:t xml:space="preserve">, la Secretaría participó en el Foro Político de Alto Nivel en Nueva York, </w:t>
      </w:r>
      <w:r w:rsidR="00E95D37" w:rsidRPr="005C40EF">
        <w:rPr>
          <w:rFonts w:asciiTheme="minorHAnsi" w:hAnsiTheme="minorHAnsi" w:cstheme="minorHAnsi"/>
          <w:noProof/>
          <w:sz w:val="22"/>
          <w:szCs w:val="22"/>
          <w:lang w:val="es-ES"/>
        </w:rPr>
        <w:t>que</w:t>
      </w:r>
      <w:r w:rsidR="00CF05DE" w:rsidRPr="005C40EF">
        <w:rPr>
          <w:rFonts w:asciiTheme="minorHAnsi" w:hAnsiTheme="minorHAnsi" w:cstheme="minorHAnsi"/>
          <w:noProof/>
          <w:sz w:val="22"/>
          <w:szCs w:val="22"/>
          <w:lang w:val="es-ES"/>
        </w:rPr>
        <w:t xml:space="preserve"> examinó la aplicación del ODS 6 y </w:t>
      </w:r>
      <w:r w:rsidR="00E95D37" w:rsidRPr="005C40EF">
        <w:rPr>
          <w:rFonts w:asciiTheme="minorHAnsi" w:hAnsiTheme="minorHAnsi" w:cstheme="minorHAnsi"/>
          <w:noProof/>
          <w:sz w:val="22"/>
          <w:szCs w:val="22"/>
          <w:lang w:val="es-ES"/>
        </w:rPr>
        <w:t xml:space="preserve">el </w:t>
      </w:r>
      <w:r w:rsidR="00CF05DE" w:rsidRPr="005C40EF">
        <w:rPr>
          <w:rFonts w:asciiTheme="minorHAnsi" w:hAnsiTheme="minorHAnsi" w:cstheme="minorHAnsi"/>
          <w:noProof/>
          <w:sz w:val="22"/>
          <w:szCs w:val="22"/>
          <w:lang w:val="es-ES"/>
        </w:rPr>
        <w:t>ODS 15.</w:t>
      </w:r>
    </w:p>
    <w:p w14:paraId="2384D2BB" w14:textId="77777777" w:rsidR="000C0AA1" w:rsidRPr="005C40EF" w:rsidRDefault="000C0AA1" w:rsidP="00635EC0">
      <w:pPr>
        <w:autoSpaceDE w:val="0"/>
        <w:autoSpaceDN w:val="0"/>
        <w:adjustRightInd w:val="0"/>
        <w:ind w:left="425" w:hanging="425"/>
        <w:rPr>
          <w:rFonts w:asciiTheme="minorHAnsi" w:hAnsiTheme="minorHAnsi" w:cstheme="minorHAnsi"/>
          <w:noProof/>
          <w:sz w:val="22"/>
          <w:szCs w:val="22"/>
          <w:lang w:val="es-ES"/>
        </w:rPr>
      </w:pPr>
    </w:p>
    <w:p w14:paraId="42D6EA52" w14:textId="2CE0000A" w:rsidR="00E95D37" w:rsidRPr="005C40EF" w:rsidRDefault="00635EC0" w:rsidP="00635EC0">
      <w:pPr>
        <w:autoSpaceDE w:val="0"/>
        <w:autoSpaceDN w:val="0"/>
        <w:adjustRightInd w:val="0"/>
        <w:ind w:left="425" w:hanging="425"/>
        <w:rPr>
          <w:rFonts w:asciiTheme="minorHAnsi" w:hAnsiTheme="minorHAnsi" w:cstheme="minorHAnsi"/>
          <w:noProof/>
          <w:sz w:val="22"/>
          <w:szCs w:val="22"/>
          <w:lang w:val="es-ES"/>
        </w:rPr>
      </w:pPr>
      <w:r>
        <w:rPr>
          <w:rFonts w:asciiTheme="minorHAnsi" w:hAnsiTheme="minorHAnsi" w:cstheme="minorHAnsi"/>
          <w:noProof/>
          <w:sz w:val="22"/>
          <w:szCs w:val="22"/>
          <w:lang w:val="es-ES"/>
        </w:rPr>
        <w:t>16.</w:t>
      </w:r>
      <w:r>
        <w:rPr>
          <w:rFonts w:asciiTheme="minorHAnsi" w:hAnsiTheme="minorHAnsi" w:cstheme="minorHAnsi"/>
          <w:noProof/>
          <w:sz w:val="22"/>
          <w:szCs w:val="22"/>
          <w:lang w:val="es-ES"/>
        </w:rPr>
        <w:tab/>
      </w:r>
      <w:r w:rsidR="00E95D37" w:rsidRPr="005C40EF">
        <w:rPr>
          <w:rFonts w:asciiTheme="minorHAnsi" w:hAnsiTheme="minorHAnsi" w:cstheme="minorHAnsi"/>
          <w:noProof/>
          <w:sz w:val="22"/>
          <w:szCs w:val="22"/>
          <w:lang w:val="es-ES"/>
        </w:rPr>
        <w:t xml:space="preserve">La Secretaría ha </w:t>
      </w:r>
      <w:r w:rsidR="00BC7EFB" w:rsidRPr="005C40EF">
        <w:rPr>
          <w:rFonts w:asciiTheme="minorHAnsi" w:hAnsiTheme="minorHAnsi" w:cstheme="minorHAnsi"/>
          <w:noProof/>
          <w:sz w:val="22"/>
          <w:szCs w:val="22"/>
          <w:lang w:val="es-ES"/>
        </w:rPr>
        <w:t>apoyado</w:t>
      </w:r>
      <w:r w:rsidR="00E95D37" w:rsidRPr="005C40EF">
        <w:rPr>
          <w:rFonts w:asciiTheme="minorHAnsi" w:hAnsiTheme="minorHAnsi" w:cstheme="minorHAnsi"/>
          <w:noProof/>
          <w:sz w:val="22"/>
          <w:szCs w:val="22"/>
          <w:lang w:val="es-ES"/>
        </w:rPr>
        <w:t xml:space="preserve"> activamente </w:t>
      </w:r>
      <w:r w:rsidR="00BC7EFB" w:rsidRPr="005C40EF">
        <w:rPr>
          <w:rFonts w:asciiTheme="minorHAnsi" w:hAnsiTheme="minorHAnsi" w:cstheme="minorHAnsi"/>
          <w:noProof/>
          <w:sz w:val="22"/>
          <w:szCs w:val="22"/>
          <w:lang w:val="es-ES"/>
        </w:rPr>
        <w:t xml:space="preserve">el </w:t>
      </w:r>
      <w:r w:rsidR="00E95D37" w:rsidRPr="005C40EF">
        <w:rPr>
          <w:rFonts w:asciiTheme="minorHAnsi" w:hAnsiTheme="minorHAnsi" w:cstheme="minorHAnsi"/>
          <w:noProof/>
          <w:sz w:val="22"/>
          <w:szCs w:val="22"/>
          <w:lang w:val="es-ES"/>
        </w:rPr>
        <w:t>cumplimiento del ODS 14 (</w:t>
      </w:r>
      <w:r w:rsidR="00AA74EC" w:rsidRPr="005C40EF">
        <w:rPr>
          <w:rFonts w:asciiTheme="minorHAnsi" w:hAnsiTheme="minorHAnsi" w:cstheme="minorHAnsi"/>
          <w:noProof/>
          <w:sz w:val="22"/>
          <w:szCs w:val="22"/>
          <w:lang w:val="es-ES"/>
        </w:rPr>
        <w:t>“</w:t>
      </w:r>
      <w:r w:rsidR="00E95D37" w:rsidRPr="005C40EF">
        <w:rPr>
          <w:rFonts w:asciiTheme="minorHAnsi" w:hAnsiTheme="minorHAnsi" w:cstheme="minorHAnsi"/>
          <w:noProof/>
          <w:sz w:val="22"/>
          <w:szCs w:val="22"/>
          <w:lang w:val="es-ES"/>
        </w:rPr>
        <w:t>Conservar y utilizar en forma sostenible los océanos, los mares y los recursos marinos para el desarrollo sostenible</w:t>
      </w:r>
      <w:r w:rsidR="00AA74EC" w:rsidRPr="005C40EF">
        <w:rPr>
          <w:rFonts w:asciiTheme="minorHAnsi" w:hAnsiTheme="minorHAnsi" w:cstheme="minorHAnsi"/>
          <w:noProof/>
          <w:sz w:val="22"/>
          <w:szCs w:val="22"/>
          <w:lang w:val="es-ES"/>
        </w:rPr>
        <w:t>”</w:t>
      </w:r>
      <w:r w:rsidR="00E95D37" w:rsidRPr="005C40EF">
        <w:rPr>
          <w:rFonts w:asciiTheme="minorHAnsi" w:hAnsiTheme="minorHAnsi" w:cstheme="minorHAnsi"/>
          <w:noProof/>
          <w:sz w:val="22"/>
          <w:szCs w:val="22"/>
          <w:lang w:val="es-ES"/>
        </w:rPr>
        <w:t xml:space="preserve">). </w:t>
      </w:r>
      <w:r w:rsidR="008D684A" w:rsidRPr="005C40EF">
        <w:rPr>
          <w:rFonts w:asciiTheme="minorHAnsi" w:hAnsiTheme="minorHAnsi" w:cstheme="minorHAnsi"/>
          <w:noProof/>
          <w:sz w:val="22"/>
          <w:szCs w:val="22"/>
          <w:lang w:val="es-ES"/>
        </w:rPr>
        <w:t>P</w:t>
      </w:r>
      <w:r w:rsidR="00E95D37" w:rsidRPr="005C40EF">
        <w:rPr>
          <w:rFonts w:asciiTheme="minorHAnsi" w:hAnsiTheme="minorHAnsi" w:cstheme="minorHAnsi"/>
          <w:noProof/>
          <w:sz w:val="22"/>
          <w:szCs w:val="22"/>
          <w:lang w:val="es-ES"/>
        </w:rPr>
        <w:t xml:space="preserve">articipó en la primera Conferencia de las Naciones Unidas sobre los Océanos (Nueva York, </w:t>
      </w:r>
      <w:r w:rsidR="008D684A" w:rsidRPr="005C40EF">
        <w:rPr>
          <w:rFonts w:asciiTheme="minorHAnsi" w:hAnsiTheme="minorHAnsi" w:cstheme="minorHAnsi"/>
          <w:noProof/>
          <w:sz w:val="22"/>
          <w:szCs w:val="22"/>
          <w:lang w:val="es-ES"/>
        </w:rPr>
        <w:t xml:space="preserve">del </w:t>
      </w:r>
      <w:r w:rsidR="00E95D37" w:rsidRPr="005C40EF">
        <w:rPr>
          <w:rFonts w:asciiTheme="minorHAnsi" w:hAnsiTheme="minorHAnsi" w:cstheme="minorHAnsi"/>
          <w:noProof/>
          <w:sz w:val="22"/>
          <w:szCs w:val="22"/>
          <w:lang w:val="es-ES"/>
        </w:rPr>
        <w:t>5 a</w:t>
      </w:r>
      <w:r w:rsidR="008D684A" w:rsidRPr="005C40EF">
        <w:rPr>
          <w:rFonts w:asciiTheme="minorHAnsi" w:hAnsiTheme="minorHAnsi" w:cstheme="minorHAnsi"/>
          <w:noProof/>
          <w:sz w:val="22"/>
          <w:szCs w:val="22"/>
          <w:lang w:val="es-ES"/>
        </w:rPr>
        <w:t>l</w:t>
      </w:r>
      <w:r w:rsidR="00E95D37" w:rsidRPr="005C40EF">
        <w:rPr>
          <w:rFonts w:asciiTheme="minorHAnsi" w:hAnsiTheme="minorHAnsi" w:cstheme="minorHAnsi"/>
          <w:noProof/>
          <w:sz w:val="22"/>
          <w:szCs w:val="22"/>
          <w:lang w:val="es-ES"/>
        </w:rPr>
        <w:t xml:space="preserve"> 9 de junio de 2017) en la que la Secretaria General moderó el Diálogo de asociación sobre ecosistemas marinos y costeros, participó como panelista en dos eventos paralelos y en una conferencia de prensa del Diálogo de asociación, y formuló una declaración ante el plenario de la Conferencia sobre los Océanos en el Salón de la Asamblea General de las Naciones Unidas destacando el papel importante de la Convención para ayudar a alcanzar el ODS 14. A modo de seguimiento, se invitó a la Secretaria General a desempeñarse como</w:t>
      </w:r>
      <w:r w:rsidR="00AA74EC" w:rsidRPr="005C40EF">
        <w:rPr>
          <w:rFonts w:asciiTheme="minorHAnsi" w:hAnsiTheme="minorHAnsi" w:cstheme="minorHAnsi"/>
          <w:noProof/>
          <w:sz w:val="22"/>
          <w:szCs w:val="22"/>
          <w:lang w:val="es-ES"/>
        </w:rPr>
        <w:t xml:space="preserve"> una de dos</w:t>
      </w:r>
      <w:r w:rsidR="00E95D37" w:rsidRPr="005C40EF">
        <w:rPr>
          <w:rFonts w:asciiTheme="minorHAnsi" w:hAnsiTheme="minorHAnsi" w:cstheme="minorHAnsi"/>
          <w:noProof/>
          <w:sz w:val="22"/>
          <w:szCs w:val="22"/>
          <w:lang w:val="es-ES"/>
        </w:rPr>
        <w:t xml:space="preserve"> </w:t>
      </w:r>
      <w:r w:rsidR="00AA74EC" w:rsidRPr="005C40EF">
        <w:rPr>
          <w:rFonts w:asciiTheme="minorHAnsi" w:hAnsiTheme="minorHAnsi" w:cstheme="minorHAnsi"/>
          <w:noProof/>
          <w:sz w:val="22"/>
          <w:szCs w:val="22"/>
          <w:lang w:val="es-ES"/>
        </w:rPr>
        <w:t>coordinadores</w:t>
      </w:r>
      <w:r w:rsidR="00E95D37" w:rsidRPr="005C40EF">
        <w:rPr>
          <w:rFonts w:asciiTheme="minorHAnsi" w:hAnsiTheme="minorHAnsi" w:cstheme="minorHAnsi"/>
          <w:noProof/>
          <w:sz w:val="22"/>
          <w:szCs w:val="22"/>
          <w:lang w:val="es-ES"/>
        </w:rPr>
        <w:t xml:space="preserve"> </w:t>
      </w:r>
      <w:r w:rsidR="00AA74EC" w:rsidRPr="005C40EF">
        <w:rPr>
          <w:rFonts w:asciiTheme="minorHAnsi" w:hAnsiTheme="minorHAnsi" w:cstheme="minorHAnsi"/>
          <w:noProof/>
          <w:sz w:val="22"/>
          <w:szCs w:val="22"/>
          <w:lang w:val="es-ES"/>
        </w:rPr>
        <w:t>para</w:t>
      </w:r>
      <w:r w:rsidR="00E95D37" w:rsidRPr="005C40EF">
        <w:rPr>
          <w:rFonts w:asciiTheme="minorHAnsi" w:hAnsiTheme="minorHAnsi" w:cstheme="minorHAnsi"/>
          <w:noProof/>
          <w:sz w:val="22"/>
          <w:szCs w:val="22"/>
          <w:lang w:val="es-ES"/>
        </w:rPr>
        <w:t xml:space="preserve"> la “Comunidad de acción oceánica sobre los manglares”, que es una de las nueve comunidades establecidas por el Enviado Especial del Secretario General de las Naciones Unidas para los Océanos, Embajador </w:t>
      </w:r>
      <w:r w:rsidR="00AA74EC" w:rsidRPr="005C40EF">
        <w:rPr>
          <w:rFonts w:asciiTheme="minorHAnsi" w:hAnsiTheme="minorHAnsi" w:cstheme="minorHAnsi"/>
          <w:noProof/>
          <w:sz w:val="22"/>
          <w:szCs w:val="22"/>
          <w:lang w:val="es-ES"/>
        </w:rPr>
        <w:t xml:space="preserve">Peter </w:t>
      </w:r>
      <w:r w:rsidR="00E95D37" w:rsidRPr="005C40EF">
        <w:rPr>
          <w:rFonts w:asciiTheme="minorHAnsi" w:hAnsiTheme="minorHAnsi" w:cstheme="minorHAnsi"/>
          <w:noProof/>
          <w:sz w:val="22"/>
          <w:szCs w:val="22"/>
          <w:lang w:val="es-ES"/>
        </w:rPr>
        <w:t xml:space="preserve">Thomson. La Comunidad movilizará y ampliará la aplicación de más de 1.300 compromisos contraídos en la Conferencia sobre los Océanos, incluso a través de la Convención de Ramsar sobre los Humedales. </w:t>
      </w:r>
    </w:p>
    <w:p w14:paraId="734A5541" w14:textId="0FF54C05" w:rsidR="008A384C" w:rsidRPr="005C40EF" w:rsidRDefault="008A384C" w:rsidP="00635EC0">
      <w:pPr>
        <w:autoSpaceDE w:val="0"/>
        <w:autoSpaceDN w:val="0"/>
        <w:adjustRightInd w:val="0"/>
        <w:ind w:left="425" w:hanging="425"/>
        <w:rPr>
          <w:rFonts w:asciiTheme="minorHAnsi" w:hAnsiTheme="minorHAnsi" w:cstheme="minorHAnsi"/>
          <w:noProof/>
          <w:sz w:val="22"/>
          <w:szCs w:val="22"/>
          <w:lang w:val="es-ES"/>
        </w:rPr>
      </w:pPr>
    </w:p>
    <w:p w14:paraId="6F4E337D" w14:textId="5CAE7A1C" w:rsidR="00AA74EC" w:rsidRPr="005C40EF" w:rsidRDefault="00635EC0" w:rsidP="00635EC0">
      <w:pPr>
        <w:autoSpaceDE w:val="0"/>
        <w:autoSpaceDN w:val="0"/>
        <w:adjustRightInd w:val="0"/>
        <w:ind w:left="425" w:hanging="425"/>
        <w:rPr>
          <w:rFonts w:asciiTheme="minorHAnsi" w:hAnsiTheme="minorHAnsi" w:cstheme="minorHAnsi"/>
          <w:noProof/>
          <w:sz w:val="22"/>
          <w:szCs w:val="22"/>
          <w:lang w:val="es-ES"/>
        </w:rPr>
      </w:pPr>
      <w:r>
        <w:rPr>
          <w:rFonts w:asciiTheme="minorHAnsi" w:hAnsiTheme="minorHAnsi" w:cstheme="minorHAnsi"/>
          <w:noProof/>
          <w:sz w:val="22"/>
          <w:szCs w:val="22"/>
          <w:lang w:val="es-ES"/>
        </w:rPr>
        <w:t>17.</w:t>
      </w:r>
      <w:r>
        <w:rPr>
          <w:rFonts w:asciiTheme="minorHAnsi" w:hAnsiTheme="minorHAnsi" w:cstheme="minorHAnsi"/>
          <w:noProof/>
          <w:sz w:val="22"/>
          <w:szCs w:val="22"/>
          <w:lang w:val="es-ES"/>
        </w:rPr>
        <w:tab/>
      </w:r>
      <w:r w:rsidR="00AA74EC" w:rsidRPr="005C40EF">
        <w:rPr>
          <w:rFonts w:asciiTheme="minorHAnsi" w:hAnsiTheme="minorHAnsi" w:cstheme="minorHAnsi"/>
          <w:noProof/>
          <w:sz w:val="22"/>
          <w:szCs w:val="22"/>
          <w:lang w:val="es-ES"/>
        </w:rPr>
        <w:t xml:space="preserve">Además, la Secretaría ha participado activamente en el apoyo al ODS 15 (“Gestionar sosteniblemente los bosques, luchar contra la desertificación, detener e invertir la degradación de las tierras y detener la pérdida de biodiversidad”) y la agenda sobre la diversidad biológica. La Secretaría de Ramsar ha reforzado considerablemente la colaboración con el CDB. En 2016, la Secretaría participó </w:t>
      </w:r>
      <w:r w:rsidR="008D684A" w:rsidRPr="005C40EF">
        <w:rPr>
          <w:rFonts w:asciiTheme="minorHAnsi" w:hAnsiTheme="minorHAnsi" w:cstheme="minorHAnsi"/>
          <w:noProof/>
          <w:sz w:val="22"/>
          <w:szCs w:val="22"/>
          <w:lang w:val="es-ES"/>
        </w:rPr>
        <w:t>y promovió la participación de</w:t>
      </w:r>
      <w:r w:rsidR="00AA74EC" w:rsidRPr="005C40EF">
        <w:rPr>
          <w:rFonts w:asciiTheme="minorHAnsi" w:hAnsiTheme="minorHAnsi" w:cstheme="minorHAnsi"/>
          <w:noProof/>
          <w:sz w:val="22"/>
          <w:szCs w:val="22"/>
          <w:lang w:val="es-ES"/>
        </w:rPr>
        <w:t xml:space="preserve"> las Partes Contratantes en un taller sobre cooperación entre las Convenciones, dirigido por el CDB.</w:t>
      </w:r>
      <w:r w:rsidR="008A55CE" w:rsidRPr="005C40EF">
        <w:rPr>
          <w:rFonts w:asciiTheme="minorHAnsi" w:hAnsiTheme="minorHAnsi" w:cstheme="minorHAnsi"/>
          <w:noProof/>
          <w:sz w:val="22"/>
          <w:szCs w:val="22"/>
          <w:lang w:val="es-ES"/>
        </w:rPr>
        <w:t xml:space="preserve"> La Secretaría de Ramsar identificó las</w:t>
      </w:r>
      <w:r w:rsidR="00AA74EC" w:rsidRPr="005C40EF">
        <w:rPr>
          <w:rFonts w:asciiTheme="minorHAnsi" w:hAnsiTheme="minorHAnsi" w:cstheme="minorHAnsi"/>
          <w:noProof/>
          <w:sz w:val="22"/>
          <w:szCs w:val="22"/>
          <w:lang w:val="es-ES"/>
        </w:rPr>
        <w:t xml:space="preserve"> áreas estratégicas de trabajo conjunto y </w:t>
      </w:r>
      <w:r w:rsidR="00F766B8" w:rsidRPr="005C40EF">
        <w:rPr>
          <w:rFonts w:asciiTheme="minorHAnsi" w:hAnsiTheme="minorHAnsi" w:cstheme="minorHAnsi"/>
          <w:noProof/>
          <w:sz w:val="22"/>
          <w:szCs w:val="22"/>
          <w:lang w:val="es-ES"/>
        </w:rPr>
        <w:t>contribuyó</w:t>
      </w:r>
      <w:r w:rsidR="00AA74EC" w:rsidRPr="005C40EF">
        <w:rPr>
          <w:rFonts w:asciiTheme="minorHAnsi" w:hAnsiTheme="minorHAnsi" w:cstheme="minorHAnsi"/>
          <w:noProof/>
          <w:sz w:val="22"/>
          <w:szCs w:val="22"/>
          <w:lang w:val="es-ES"/>
        </w:rPr>
        <w:t xml:space="preserve"> a diferentes procesos, entre ellos el seguimiento del Plan Estratégico para la Diversidad Biológica 2011-2020. </w:t>
      </w:r>
      <w:r w:rsidR="00F766B8" w:rsidRPr="005C40EF">
        <w:rPr>
          <w:rFonts w:asciiTheme="minorHAnsi" w:hAnsiTheme="minorHAnsi" w:cstheme="minorHAnsi"/>
          <w:noProof/>
          <w:sz w:val="22"/>
          <w:szCs w:val="22"/>
          <w:lang w:val="es-ES"/>
        </w:rPr>
        <w:t>La Secretaría participó activamente en la COP13 del CDB en Cancún (</w:t>
      </w:r>
      <w:r w:rsidR="008D684A" w:rsidRPr="005C40EF">
        <w:rPr>
          <w:rFonts w:asciiTheme="minorHAnsi" w:hAnsiTheme="minorHAnsi" w:cstheme="minorHAnsi"/>
          <w:noProof/>
          <w:sz w:val="22"/>
          <w:szCs w:val="22"/>
          <w:lang w:val="es-ES"/>
        </w:rPr>
        <w:t xml:space="preserve">del </w:t>
      </w:r>
      <w:r w:rsidR="00F766B8" w:rsidRPr="005C40EF">
        <w:rPr>
          <w:rFonts w:asciiTheme="minorHAnsi" w:hAnsiTheme="minorHAnsi" w:cstheme="minorHAnsi"/>
          <w:noProof/>
          <w:sz w:val="22"/>
          <w:szCs w:val="22"/>
          <w:lang w:val="es-ES"/>
        </w:rPr>
        <w:t>4 a</w:t>
      </w:r>
      <w:r w:rsidR="008D684A" w:rsidRPr="005C40EF">
        <w:rPr>
          <w:rFonts w:asciiTheme="minorHAnsi" w:hAnsiTheme="minorHAnsi" w:cstheme="minorHAnsi"/>
          <w:noProof/>
          <w:sz w:val="22"/>
          <w:szCs w:val="22"/>
          <w:lang w:val="es-ES"/>
        </w:rPr>
        <w:t>l</w:t>
      </w:r>
      <w:r w:rsidR="00F766B8" w:rsidRPr="005C40EF">
        <w:rPr>
          <w:rFonts w:asciiTheme="minorHAnsi" w:hAnsiTheme="minorHAnsi" w:cstheme="minorHAnsi"/>
          <w:noProof/>
          <w:sz w:val="22"/>
          <w:szCs w:val="22"/>
          <w:lang w:val="es-ES"/>
        </w:rPr>
        <w:t xml:space="preserve"> 17 de diciembre de 2016) </w:t>
      </w:r>
      <w:r w:rsidR="00580635" w:rsidRPr="005C40EF">
        <w:rPr>
          <w:rFonts w:asciiTheme="minorHAnsi" w:hAnsiTheme="minorHAnsi" w:cstheme="minorHAnsi"/>
          <w:noProof/>
          <w:sz w:val="22"/>
          <w:szCs w:val="22"/>
          <w:lang w:val="es-ES"/>
        </w:rPr>
        <w:t>aumentando</w:t>
      </w:r>
      <w:r w:rsidR="00F766B8" w:rsidRPr="005C40EF">
        <w:rPr>
          <w:rFonts w:asciiTheme="minorHAnsi" w:hAnsiTheme="minorHAnsi" w:cstheme="minorHAnsi"/>
          <w:noProof/>
          <w:sz w:val="22"/>
          <w:szCs w:val="22"/>
          <w:lang w:val="es-ES"/>
        </w:rPr>
        <w:t xml:space="preserve"> la visibilidad de la Convenci</w:t>
      </w:r>
      <w:r w:rsidR="00DE3C7C" w:rsidRPr="005C40EF">
        <w:rPr>
          <w:rFonts w:asciiTheme="minorHAnsi" w:hAnsiTheme="minorHAnsi" w:cstheme="minorHAnsi"/>
          <w:noProof/>
          <w:sz w:val="22"/>
          <w:szCs w:val="22"/>
          <w:lang w:val="es-ES"/>
        </w:rPr>
        <w:t>ón de Ramsar en el segmento de alto n</w:t>
      </w:r>
      <w:r w:rsidR="00F766B8" w:rsidRPr="005C40EF">
        <w:rPr>
          <w:rFonts w:asciiTheme="minorHAnsi" w:hAnsiTheme="minorHAnsi" w:cstheme="minorHAnsi"/>
          <w:noProof/>
          <w:sz w:val="22"/>
          <w:szCs w:val="22"/>
          <w:lang w:val="es-ES"/>
        </w:rPr>
        <w:t xml:space="preserve">ivel, </w:t>
      </w:r>
      <w:r w:rsidR="008D684A" w:rsidRPr="005C40EF">
        <w:rPr>
          <w:rFonts w:asciiTheme="minorHAnsi" w:hAnsiTheme="minorHAnsi" w:cstheme="minorHAnsi"/>
          <w:noProof/>
          <w:sz w:val="22"/>
          <w:szCs w:val="22"/>
          <w:lang w:val="es-ES"/>
        </w:rPr>
        <w:t xml:space="preserve">en </w:t>
      </w:r>
      <w:r w:rsidR="00DE3C7C" w:rsidRPr="005C40EF">
        <w:rPr>
          <w:rFonts w:asciiTheme="minorHAnsi" w:hAnsiTheme="minorHAnsi" w:cstheme="minorHAnsi"/>
          <w:noProof/>
          <w:sz w:val="22"/>
          <w:szCs w:val="22"/>
          <w:lang w:val="es-ES"/>
        </w:rPr>
        <w:t xml:space="preserve">las </w:t>
      </w:r>
      <w:r w:rsidR="00F766B8" w:rsidRPr="005C40EF">
        <w:rPr>
          <w:rFonts w:asciiTheme="minorHAnsi" w:hAnsiTheme="minorHAnsi" w:cstheme="minorHAnsi"/>
          <w:noProof/>
          <w:sz w:val="22"/>
          <w:szCs w:val="22"/>
          <w:lang w:val="es-ES"/>
        </w:rPr>
        <w:t xml:space="preserve">mesas redondas sobre agricultura y pesca y en dos eventos paralelos que organizó. Asimismo, participó en varias reuniones de los órganos subsidiarios del CDB y en iniciativas para </w:t>
      </w:r>
      <w:r w:rsidR="002E5B04" w:rsidRPr="005C40EF">
        <w:rPr>
          <w:rFonts w:asciiTheme="minorHAnsi" w:hAnsiTheme="minorHAnsi" w:cstheme="minorHAnsi"/>
          <w:noProof/>
          <w:sz w:val="22"/>
          <w:szCs w:val="22"/>
          <w:lang w:val="es-ES"/>
        </w:rPr>
        <w:t>aumentar la visibilidad</w:t>
      </w:r>
      <w:r w:rsidR="00F766B8" w:rsidRPr="005C40EF">
        <w:rPr>
          <w:rFonts w:asciiTheme="minorHAnsi" w:hAnsiTheme="minorHAnsi" w:cstheme="minorHAnsi"/>
          <w:noProof/>
          <w:sz w:val="22"/>
          <w:szCs w:val="22"/>
          <w:lang w:val="es-ES"/>
        </w:rPr>
        <w:t xml:space="preserve"> de los humedales en la agenda sobre la diversidad biológica y contribuir al marco sobre la diversidad biológica a partir de 2010. </w:t>
      </w:r>
      <w:r w:rsidR="00AA74EC" w:rsidRPr="005C40EF">
        <w:rPr>
          <w:rFonts w:asciiTheme="minorHAnsi" w:hAnsiTheme="minorHAnsi" w:cstheme="minorHAnsi"/>
          <w:noProof/>
          <w:sz w:val="22"/>
          <w:szCs w:val="22"/>
          <w:lang w:val="es-ES"/>
        </w:rPr>
        <w:t>La Secretaría también colabora con el CMVC del PNUMA para garantizar que los sitios Ramsar estén incluidos en la Base de Datos Mundial sobre las Áreas Protegidas, que provee la información para el indicador 15.1.2 de los ODS.</w:t>
      </w:r>
      <w:r w:rsidR="00F766B8" w:rsidRPr="005C40EF">
        <w:rPr>
          <w:rFonts w:asciiTheme="minorHAnsi" w:hAnsiTheme="minorHAnsi" w:cstheme="minorHAnsi"/>
          <w:noProof/>
          <w:sz w:val="22"/>
          <w:szCs w:val="22"/>
          <w:lang w:val="es-ES"/>
        </w:rPr>
        <w:t xml:space="preserve"> La Secretaria General participó en el grupo plenario sobre este tema en el Foro Pol</w:t>
      </w:r>
      <w:r w:rsidR="00DE3C7C" w:rsidRPr="005C40EF">
        <w:rPr>
          <w:rFonts w:asciiTheme="minorHAnsi" w:hAnsiTheme="minorHAnsi" w:cstheme="minorHAnsi"/>
          <w:noProof/>
          <w:sz w:val="22"/>
          <w:szCs w:val="22"/>
          <w:lang w:val="es-ES"/>
        </w:rPr>
        <w:t xml:space="preserve">ítico de Alto Nivel que examinó </w:t>
      </w:r>
      <w:r w:rsidR="00F766B8" w:rsidRPr="005C40EF">
        <w:rPr>
          <w:rFonts w:asciiTheme="minorHAnsi" w:hAnsiTheme="minorHAnsi" w:cstheme="minorHAnsi"/>
          <w:noProof/>
          <w:sz w:val="22"/>
          <w:szCs w:val="22"/>
          <w:lang w:val="es-ES"/>
        </w:rPr>
        <w:t>la aplicación del ODS 15 (13 de julio de 2018).</w:t>
      </w:r>
    </w:p>
    <w:p w14:paraId="793C4F92" w14:textId="77777777" w:rsidR="001D3733" w:rsidRPr="005C40EF" w:rsidRDefault="001D3733" w:rsidP="00635EC0">
      <w:pPr>
        <w:autoSpaceDE w:val="0"/>
        <w:autoSpaceDN w:val="0"/>
        <w:adjustRightInd w:val="0"/>
        <w:ind w:left="425" w:hanging="425"/>
        <w:rPr>
          <w:rFonts w:asciiTheme="minorHAnsi" w:hAnsiTheme="minorHAnsi" w:cstheme="minorHAnsi"/>
          <w:noProof/>
          <w:sz w:val="22"/>
          <w:szCs w:val="22"/>
          <w:lang w:val="es-ES"/>
        </w:rPr>
      </w:pPr>
    </w:p>
    <w:p w14:paraId="093D4B94" w14:textId="7C8076B3" w:rsidR="00580635" w:rsidRPr="005C40EF" w:rsidRDefault="00635EC0" w:rsidP="00635EC0">
      <w:pPr>
        <w:autoSpaceDE w:val="0"/>
        <w:autoSpaceDN w:val="0"/>
        <w:adjustRightInd w:val="0"/>
        <w:ind w:left="425" w:hanging="425"/>
        <w:rPr>
          <w:rFonts w:asciiTheme="minorHAnsi" w:hAnsiTheme="minorHAnsi" w:cstheme="minorHAnsi"/>
          <w:noProof/>
          <w:sz w:val="22"/>
          <w:szCs w:val="22"/>
          <w:lang w:val="es-ES"/>
        </w:rPr>
      </w:pPr>
      <w:r>
        <w:rPr>
          <w:rFonts w:asciiTheme="minorHAnsi" w:hAnsiTheme="minorHAnsi" w:cstheme="minorHAnsi"/>
          <w:noProof/>
          <w:sz w:val="22"/>
          <w:szCs w:val="22"/>
          <w:lang w:val="es-ES"/>
        </w:rPr>
        <w:t>18.</w:t>
      </w:r>
      <w:r>
        <w:rPr>
          <w:rFonts w:asciiTheme="minorHAnsi" w:hAnsiTheme="minorHAnsi" w:cstheme="minorHAnsi"/>
          <w:noProof/>
          <w:sz w:val="22"/>
          <w:szCs w:val="22"/>
          <w:lang w:val="es-ES"/>
        </w:rPr>
        <w:tab/>
      </w:r>
      <w:r w:rsidR="0013447A" w:rsidRPr="005C40EF">
        <w:rPr>
          <w:rFonts w:asciiTheme="minorHAnsi" w:hAnsiTheme="minorHAnsi" w:cstheme="minorHAnsi"/>
          <w:noProof/>
          <w:sz w:val="22"/>
          <w:szCs w:val="22"/>
          <w:lang w:val="es-ES"/>
        </w:rPr>
        <w:t xml:space="preserve">La Secretaría ha seguido participando activamente en el Grupo de Enlace sobre la Diversidad Biológica (BLG), en particular mediante la participación de la Secretaria General en la 12ª </w:t>
      </w:r>
      <w:r w:rsidR="0013447A" w:rsidRPr="005C40EF">
        <w:rPr>
          <w:rFonts w:asciiTheme="minorHAnsi" w:hAnsiTheme="minorHAnsi" w:cstheme="minorHAnsi"/>
          <w:noProof/>
          <w:sz w:val="22"/>
          <w:szCs w:val="22"/>
          <w:lang w:val="es-ES"/>
        </w:rPr>
        <w:lastRenderedPageBreak/>
        <w:t xml:space="preserve">reunión ordinaria del BLG (28 de septiembre de 2017), en la que un aspecto importante fue cómo aumentar la visibilidad y relevancia de la biodiversidad. </w:t>
      </w:r>
      <w:r w:rsidR="00580635" w:rsidRPr="005C40EF">
        <w:rPr>
          <w:rFonts w:asciiTheme="minorHAnsi" w:hAnsiTheme="minorHAnsi" w:cstheme="minorHAnsi"/>
          <w:noProof/>
          <w:sz w:val="22"/>
          <w:szCs w:val="22"/>
          <w:lang w:val="es-ES"/>
        </w:rPr>
        <w:t xml:space="preserve">Asimismo, la Secretaría organizó un evento junto con otras </w:t>
      </w:r>
      <w:r w:rsidR="0013447A" w:rsidRPr="005C40EF">
        <w:rPr>
          <w:rFonts w:asciiTheme="minorHAnsi" w:hAnsiTheme="minorHAnsi" w:cstheme="minorHAnsi"/>
          <w:noProof/>
          <w:sz w:val="22"/>
          <w:szCs w:val="22"/>
          <w:lang w:val="es-ES"/>
        </w:rPr>
        <w:t xml:space="preserve">convenciones relacionadas con la biodiversidad </w:t>
      </w:r>
      <w:r w:rsidR="00580635" w:rsidRPr="005C40EF">
        <w:rPr>
          <w:rFonts w:asciiTheme="minorHAnsi" w:hAnsiTheme="minorHAnsi" w:cstheme="minorHAnsi"/>
          <w:noProof/>
          <w:sz w:val="22"/>
          <w:szCs w:val="22"/>
          <w:lang w:val="es-ES"/>
        </w:rPr>
        <w:t xml:space="preserve">en el </w:t>
      </w:r>
      <w:r w:rsidR="0013447A" w:rsidRPr="005C40EF">
        <w:rPr>
          <w:rFonts w:asciiTheme="minorHAnsi" w:hAnsiTheme="minorHAnsi" w:cstheme="minorHAnsi"/>
          <w:noProof/>
          <w:sz w:val="22"/>
          <w:szCs w:val="22"/>
          <w:lang w:val="es-ES"/>
        </w:rPr>
        <w:t xml:space="preserve">Foro Político de Alto Nivel </w:t>
      </w:r>
      <w:r w:rsidR="00580635" w:rsidRPr="005C40EF">
        <w:rPr>
          <w:rFonts w:asciiTheme="minorHAnsi" w:hAnsiTheme="minorHAnsi" w:cstheme="minorHAnsi"/>
          <w:noProof/>
          <w:sz w:val="22"/>
          <w:szCs w:val="22"/>
          <w:lang w:val="es-ES"/>
        </w:rPr>
        <w:t>en Nueva York, el 10</w:t>
      </w:r>
      <w:r w:rsidR="0013447A" w:rsidRPr="005C40EF">
        <w:rPr>
          <w:rFonts w:asciiTheme="minorHAnsi" w:hAnsiTheme="minorHAnsi" w:cstheme="minorHAnsi"/>
          <w:noProof/>
          <w:sz w:val="22"/>
          <w:szCs w:val="22"/>
          <w:lang w:val="es-ES"/>
        </w:rPr>
        <w:t xml:space="preserve"> de julio de 2018.</w:t>
      </w:r>
    </w:p>
    <w:p w14:paraId="1A2E01A1" w14:textId="77777777" w:rsidR="00580635" w:rsidRPr="005C40EF" w:rsidRDefault="00580635" w:rsidP="002D4DEF">
      <w:pPr>
        <w:autoSpaceDE w:val="0"/>
        <w:autoSpaceDN w:val="0"/>
        <w:adjustRightInd w:val="0"/>
        <w:ind w:left="425" w:hanging="425"/>
        <w:rPr>
          <w:rFonts w:asciiTheme="minorHAnsi" w:hAnsiTheme="minorHAnsi" w:cstheme="minorHAnsi"/>
          <w:noProof/>
          <w:sz w:val="22"/>
          <w:szCs w:val="22"/>
          <w:lang w:val="es-ES"/>
        </w:rPr>
      </w:pPr>
    </w:p>
    <w:p w14:paraId="4D5EAE7A" w14:textId="5582FFD4" w:rsidR="00E4717E" w:rsidRPr="005C40EF" w:rsidRDefault="002D4DEF" w:rsidP="002D4DEF">
      <w:pPr>
        <w:autoSpaceDE w:val="0"/>
        <w:autoSpaceDN w:val="0"/>
        <w:adjustRightInd w:val="0"/>
        <w:ind w:left="425" w:hanging="425"/>
        <w:rPr>
          <w:rFonts w:asciiTheme="minorHAnsi" w:hAnsiTheme="minorHAnsi" w:cstheme="minorHAnsi"/>
          <w:noProof/>
          <w:sz w:val="22"/>
          <w:szCs w:val="22"/>
          <w:lang w:val="es-ES"/>
        </w:rPr>
      </w:pPr>
      <w:r>
        <w:rPr>
          <w:rFonts w:asciiTheme="minorHAnsi" w:hAnsiTheme="minorHAnsi" w:cstheme="minorHAnsi"/>
          <w:noProof/>
          <w:sz w:val="22"/>
          <w:szCs w:val="22"/>
          <w:lang w:val="es-ES"/>
        </w:rPr>
        <w:t>19.</w:t>
      </w:r>
      <w:r>
        <w:rPr>
          <w:rFonts w:asciiTheme="minorHAnsi" w:hAnsiTheme="minorHAnsi" w:cstheme="minorHAnsi"/>
          <w:noProof/>
          <w:sz w:val="22"/>
          <w:szCs w:val="22"/>
          <w:lang w:val="es-ES"/>
        </w:rPr>
        <w:tab/>
      </w:r>
      <w:r w:rsidR="00580635" w:rsidRPr="005C40EF">
        <w:rPr>
          <w:rFonts w:asciiTheme="minorHAnsi" w:hAnsiTheme="minorHAnsi" w:cstheme="minorHAnsi"/>
          <w:noProof/>
          <w:sz w:val="22"/>
          <w:szCs w:val="22"/>
          <w:lang w:val="es-ES"/>
        </w:rPr>
        <w:t>La Secretaría firmó un importante Memorando de cooperación con la Secretaría de la IPBES y participó en la quinta sesión del plenario de la</w:t>
      </w:r>
      <w:r w:rsidR="004C4D83" w:rsidRPr="005C40EF">
        <w:rPr>
          <w:rFonts w:asciiTheme="minorHAnsi" w:hAnsiTheme="minorHAnsi" w:cstheme="minorHAnsi"/>
          <w:noProof/>
          <w:sz w:val="22"/>
          <w:szCs w:val="22"/>
          <w:lang w:val="es-ES"/>
        </w:rPr>
        <w:t xml:space="preserve"> Plataforma en Bonn (IPBES-5, </w:t>
      </w:r>
      <w:r w:rsidR="00C06CD0" w:rsidRPr="005C40EF">
        <w:rPr>
          <w:rFonts w:asciiTheme="minorHAnsi" w:hAnsiTheme="minorHAnsi" w:cstheme="minorHAnsi"/>
          <w:noProof/>
          <w:sz w:val="22"/>
          <w:szCs w:val="22"/>
          <w:lang w:val="es-ES"/>
        </w:rPr>
        <w:t xml:space="preserve">del </w:t>
      </w:r>
      <w:r w:rsidR="004C4D83" w:rsidRPr="005C40EF">
        <w:rPr>
          <w:rFonts w:asciiTheme="minorHAnsi" w:hAnsiTheme="minorHAnsi" w:cstheme="minorHAnsi"/>
          <w:noProof/>
          <w:sz w:val="22"/>
          <w:szCs w:val="22"/>
          <w:lang w:val="es-ES"/>
        </w:rPr>
        <w:t>7 a</w:t>
      </w:r>
      <w:r w:rsidR="00C06CD0" w:rsidRPr="005C40EF">
        <w:rPr>
          <w:rFonts w:asciiTheme="minorHAnsi" w:hAnsiTheme="minorHAnsi" w:cstheme="minorHAnsi"/>
          <w:noProof/>
          <w:sz w:val="22"/>
          <w:szCs w:val="22"/>
          <w:lang w:val="es-ES"/>
        </w:rPr>
        <w:t>l</w:t>
      </w:r>
      <w:r w:rsidR="004C4D83" w:rsidRPr="005C40EF">
        <w:rPr>
          <w:rFonts w:asciiTheme="minorHAnsi" w:hAnsiTheme="minorHAnsi" w:cstheme="minorHAnsi"/>
          <w:noProof/>
          <w:sz w:val="22"/>
          <w:szCs w:val="22"/>
          <w:lang w:val="es-ES"/>
        </w:rPr>
        <w:t xml:space="preserve"> </w:t>
      </w:r>
      <w:r w:rsidR="00580635" w:rsidRPr="005C40EF">
        <w:rPr>
          <w:rFonts w:asciiTheme="minorHAnsi" w:hAnsiTheme="minorHAnsi" w:cstheme="minorHAnsi"/>
          <w:noProof/>
          <w:sz w:val="22"/>
          <w:szCs w:val="22"/>
          <w:lang w:val="es-ES"/>
        </w:rPr>
        <w:t xml:space="preserve">10 de marzo de 2017). </w:t>
      </w:r>
      <w:r w:rsidR="004C4D83" w:rsidRPr="005C40EF">
        <w:rPr>
          <w:rFonts w:asciiTheme="minorHAnsi" w:hAnsiTheme="minorHAnsi" w:cstheme="minorHAnsi"/>
          <w:noProof/>
          <w:sz w:val="22"/>
          <w:szCs w:val="22"/>
          <w:lang w:val="es-ES"/>
        </w:rPr>
        <w:t>Además,</w:t>
      </w:r>
      <w:r w:rsidR="00580635" w:rsidRPr="005C40EF">
        <w:rPr>
          <w:rFonts w:asciiTheme="minorHAnsi" w:hAnsiTheme="minorHAnsi" w:cstheme="minorHAnsi"/>
          <w:noProof/>
          <w:sz w:val="22"/>
          <w:szCs w:val="22"/>
          <w:lang w:val="es-ES"/>
        </w:rPr>
        <w:t xml:space="preserve"> coordinó los aportes </w:t>
      </w:r>
      <w:r w:rsidR="004C4D83" w:rsidRPr="005C40EF">
        <w:rPr>
          <w:rFonts w:asciiTheme="minorHAnsi" w:hAnsiTheme="minorHAnsi" w:cstheme="minorHAnsi"/>
          <w:noProof/>
          <w:sz w:val="22"/>
          <w:szCs w:val="22"/>
          <w:lang w:val="es-ES"/>
        </w:rPr>
        <w:t>a</w:t>
      </w:r>
      <w:r w:rsidR="00580635" w:rsidRPr="005C40EF">
        <w:rPr>
          <w:rFonts w:asciiTheme="minorHAnsi" w:hAnsiTheme="minorHAnsi" w:cstheme="minorHAnsi"/>
          <w:noProof/>
          <w:sz w:val="22"/>
          <w:szCs w:val="22"/>
          <w:lang w:val="es-ES"/>
        </w:rPr>
        <w:t xml:space="preserve"> </w:t>
      </w:r>
      <w:r w:rsidR="00C06CD0" w:rsidRPr="005C40EF">
        <w:rPr>
          <w:rFonts w:asciiTheme="minorHAnsi" w:hAnsiTheme="minorHAnsi" w:cstheme="minorHAnsi"/>
          <w:noProof/>
          <w:sz w:val="22"/>
          <w:szCs w:val="22"/>
          <w:lang w:val="es-ES"/>
        </w:rPr>
        <w:t>las E</w:t>
      </w:r>
      <w:r w:rsidR="004C4D83" w:rsidRPr="005C40EF">
        <w:rPr>
          <w:rFonts w:asciiTheme="minorHAnsi" w:hAnsiTheme="minorHAnsi" w:cstheme="minorHAnsi"/>
          <w:noProof/>
          <w:sz w:val="22"/>
          <w:szCs w:val="22"/>
          <w:lang w:val="es-ES"/>
        </w:rPr>
        <w:t>valuaciones mundiales y regionales sobre la biodiversidad</w:t>
      </w:r>
      <w:r w:rsidR="00C06CD0" w:rsidRPr="005C40EF">
        <w:rPr>
          <w:rFonts w:asciiTheme="minorHAnsi" w:hAnsiTheme="minorHAnsi" w:cstheme="minorHAnsi"/>
          <w:noProof/>
          <w:sz w:val="22"/>
          <w:szCs w:val="22"/>
          <w:lang w:val="es-ES"/>
        </w:rPr>
        <w:t xml:space="preserve"> de la IPBES</w:t>
      </w:r>
      <w:r w:rsidR="00580635" w:rsidRPr="005C40EF">
        <w:rPr>
          <w:rFonts w:asciiTheme="minorHAnsi" w:hAnsiTheme="minorHAnsi" w:cstheme="minorHAnsi"/>
          <w:noProof/>
          <w:sz w:val="22"/>
          <w:szCs w:val="22"/>
          <w:lang w:val="es-ES"/>
        </w:rPr>
        <w:t>. La colaboración con</w:t>
      </w:r>
      <w:r w:rsidR="004C4D83" w:rsidRPr="005C40EF">
        <w:rPr>
          <w:rFonts w:asciiTheme="minorHAnsi" w:hAnsiTheme="minorHAnsi" w:cstheme="minorHAnsi"/>
          <w:noProof/>
          <w:sz w:val="22"/>
          <w:szCs w:val="22"/>
          <w:lang w:val="es-ES"/>
        </w:rPr>
        <w:t xml:space="preserve"> la</w:t>
      </w:r>
      <w:r w:rsidR="00580635" w:rsidRPr="005C40EF">
        <w:rPr>
          <w:rFonts w:asciiTheme="minorHAnsi" w:hAnsiTheme="minorHAnsi" w:cstheme="minorHAnsi"/>
          <w:noProof/>
          <w:sz w:val="22"/>
          <w:szCs w:val="22"/>
          <w:lang w:val="es-ES"/>
        </w:rPr>
        <w:t xml:space="preserve"> IBPES también incluyó </w:t>
      </w:r>
      <w:r w:rsidR="004C4D83" w:rsidRPr="005C40EF">
        <w:rPr>
          <w:rFonts w:asciiTheme="minorHAnsi" w:hAnsiTheme="minorHAnsi" w:cstheme="minorHAnsi"/>
          <w:noProof/>
          <w:sz w:val="22"/>
          <w:szCs w:val="22"/>
          <w:lang w:val="es-ES"/>
        </w:rPr>
        <w:t>la presentación conjunta</w:t>
      </w:r>
      <w:r w:rsidR="00580635" w:rsidRPr="005C40EF">
        <w:rPr>
          <w:rFonts w:asciiTheme="minorHAnsi" w:hAnsiTheme="minorHAnsi" w:cstheme="minorHAnsi"/>
          <w:noProof/>
          <w:sz w:val="22"/>
          <w:szCs w:val="22"/>
          <w:lang w:val="es-ES"/>
        </w:rPr>
        <w:t xml:space="preserve"> d</w:t>
      </w:r>
      <w:r w:rsidR="004C4D83" w:rsidRPr="005C40EF">
        <w:rPr>
          <w:rFonts w:asciiTheme="minorHAnsi" w:hAnsiTheme="minorHAnsi" w:cstheme="minorHAnsi"/>
          <w:noProof/>
          <w:sz w:val="22"/>
          <w:szCs w:val="22"/>
          <w:lang w:val="es-ES"/>
        </w:rPr>
        <w:t xml:space="preserve">e la Nota sobre Políticas </w:t>
      </w:r>
      <w:r w:rsidR="004C4D83" w:rsidRPr="002D4DEF">
        <w:rPr>
          <w:rFonts w:asciiTheme="minorHAnsi" w:hAnsiTheme="minorHAnsi" w:cstheme="minorHAnsi"/>
          <w:i/>
          <w:noProof/>
          <w:sz w:val="22"/>
          <w:szCs w:val="22"/>
          <w:lang w:val="es-ES"/>
        </w:rPr>
        <w:t>I</w:t>
      </w:r>
      <w:r w:rsidR="00580635" w:rsidRPr="002D4DEF">
        <w:rPr>
          <w:rFonts w:asciiTheme="minorHAnsi" w:hAnsiTheme="minorHAnsi" w:cstheme="minorHAnsi"/>
          <w:i/>
          <w:noProof/>
          <w:sz w:val="22"/>
          <w:szCs w:val="22"/>
          <w:lang w:val="es-ES"/>
        </w:rPr>
        <w:t>ntegración de</w:t>
      </w:r>
      <w:r w:rsidR="004C4D83" w:rsidRPr="002D4DEF">
        <w:rPr>
          <w:rFonts w:asciiTheme="minorHAnsi" w:hAnsiTheme="minorHAnsi" w:cstheme="minorHAnsi"/>
          <w:i/>
          <w:noProof/>
          <w:sz w:val="22"/>
          <w:szCs w:val="22"/>
          <w:lang w:val="es-ES"/>
        </w:rPr>
        <w:t xml:space="preserve"> los</w:t>
      </w:r>
      <w:r w:rsidR="00580635" w:rsidRPr="002D4DEF">
        <w:rPr>
          <w:rFonts w:asciiTheme="minorHAnsi" w:hAnsiTheme="minorHAnsi" w:cstheme="minorHAnsi"/>
          <w:i/>
          <w:noProof/>
          <w:sz w:val="22"/>
          <w:szCs w:val="22"/>
          <w:lang w:val="es-ES"/>
        </w:rPr>
        <w:t xml:space="preserve"> múltiples valores de</w:t>
      </w:r>
      <w:r w:rsidR="004C4D83" w:rsidRPr="002D4DEF">
        <w:rPr>
          <w:rFonts w:asciiTheme="minorHAnsi" w:hAnsiTheme="minorHAnsi" w:cstheme="minorHAnsi"/>
          <w:i/>
          <w:noProof/>
          <w:sz w:val="22"/>
          <w:szCs w:val="22"/>
          <w:lang w:val="es-ES"/>
        </w:rPr>
        <w:t xml:space="preserve"> los</w:t>
      </w:r>
      <w:r w:rsidR="00580635" w:rsidRPr="002D4DEF">
        <w:rPr>
          <w:rFonts w:asciiTheme="minorHAnsi" w:hAnsiTheme="minorHAnsi" w:cstheme="minorHAnsi"/>
          <w:i/>
          <w:noProof/>
          <w:sz w:val="22"/>
          <w:szCs w:val="22"/>
          <w:lang w:val="es-ES"/>
        </w:rPr>
        <w:t xml:space="preserve"> humedales en la toma de decisiones</w:t>
      </w:r>
      <w:r w:rsidR="00580635" w:rsidRPr="005C40EF">
        <w:rPr>
          <w:rFonts w:asciiTheme="minorHAnsi" w:hAnsiTheme="minorHAnsi" w:cstheme="minorHAnsi"/>
          <w:noProof/>
          <w:sz w:val="22"/>
          <w:szCs w:val="22"/>
          <w:lang w:val="es-ES"/>
        </w:rPr>
        <w:t>.</w:t>
      </w:r>
    </w:p>
    <w:p w14:paraId="39358700" w14:textId="77777777" w:rsidR="008A384C" w:rsidRPr="005C40EF" w:rsidRDefault="008A384C" w:rsidP="007F61F4">
      <w:pPr>
        <w:rPr>
          <w:rFonts w:asciiTheme="minorHAnsi" w:hAnsiTheme="minorHAnsi" w:cstheme="minorHAnsi"/>
          <w:noProof/>
          <w:sz w:val="22"/>
          <w:szCs w:val="22"/>
          <w:lang w:val="es-ES"/>
        </w:rPr>
      </w:pPr>
    </w:p>
    <w:p w14:paraId="0BDBB716" w14:textId="57DC706C" w:rsidR="004C4D83" w:rsidRPr="005C40EF" w:rsidRDefault="002213E9" w:rsidP="002213E9">
      <w:pPr>
        <w:autoSpaceDE w:val="0"/>
        <w:autoSpaceDN w:val="0"/>
        <w:adjustRightInd w:val="0"/>
        <w:ind w:left="425" w:hanging="425"/>
        <w:rPr>
          <w:rFonts w:asciiTheme="minorHAnsi" w:hAnsiTheme="minorHAnsi" w:cstheme="minorHAnsi"/>
          <w:noProof/>
          <w:sz w:val="22"/>
          <w:szCs w:val="22"/>
          <w:lang w:val="es-ES"/>
        </w:rPr>
      </w:pPr>
      <w:r>
        <w:rPr>
          <w:rFonts w:asciiTheme="minorHAnsi" w:hAnsiTheme="minorHAnsi" w:cstheme="minorHAnsi"/>
          <w:noProof/>
          <w:sz w:val="22"/>
          <w:szCs w:val="22"/>
          <w:lang w:val="es-ES"/>
        </w:rPr>
        <w:t>20.</w:t>
      </w:r>
      <w:r>
        <w:rPr>
          <w:rFonts w:asciiTheme="minorHAnsi" w:hAnsiTheme="minorHAnsi" w:cstheme="minorHAnsi"/>
          <w:noProof/>
          <w:sz w:val="22"/>
          <w:szCs w:val="22"/>
          <w:lang w:val="es-ES"/>
        </w:rPr>
        <w:tab/>
      </w:r>
      <w:r w:rsidR="004C4D83" w:rsidRPr="005C40EF">
        <w:rPr>
          <w:rFonts w:asciiTheme="minorHAnsi" w:hAnsiTheme="minorHAnsi" w:cstheme="minorHAnsi"/>
          <w:noProof/>
          <w:sz w:val="22"/>
          <w:szCs w:val="22"/>
          <w:lang w:val="es-ES"/>
        </w:rPr>
        <w:t>Dado el papel fundamental que desempeñan los humedales en la mitigación del cambio climático y la adaptación a él, la Secretaría se ha comprometido a participar en la agenda</w:t>
      </w:r>
      <w:r w:rsidR="00CA1284" w:rsidRPr="005C40EF">
        <w:rPr>
          <w:rFonts w:asciiTheme="minorHAnsi" w:hAnsiTheme="minorHAnsi" w:cstheme="minorHAnsi"/>
          <w:noProof/>
          <w:sz w:val="22"/>
          <w:szCs w:val="22"/>
          <w:lang w:val="es-ES"/>
        </w:rPr>
        <w:t xml:space="preserve"> pol</w:t>
      </w:r>
      <w:r w:rsidR="004D6D2D" w:rsidRPr="005C40EF">
        <w:rPr>
          <w:rFonts w:asciiTheme="minorHAnsi" w:hAnsiTheme="minorHAnsi" w:cstheme="minorHAnsi"/>
          <w:noProof/>
          <w:sz w:val="22"/>
          <w:szCs w:val="22"/>
          <w:lang w:val="es-ES"/>
        </w:rPr>
        <w:t>ítica de</w:t>
      </w:r>
      <w:r w:rsidR="004C4D83" w:rsidRPr="005C40EF">
        <w:rPr>
          <w:rFonts w:asciiTheme="minorHAnsi" w:hAnsiTheme="minorHAnsi" w:cstheme="minorHAnsi"/>
          <w:noProof/>
          <w:sz w:val="22"/>
          <w:szCs w:val="22"/>
          <w:lang w:val="es-ES"/>
        </w:rPr>
        <w:t xml:space="preserve"> cambio climático. En particular, la Secretaría participó en la COP2</w:t>
      </w:r>
      <w:r w:rsidR="00043B3E" w:rsidRPr="005C40EF">
        <w:rPr>
          <w:rFonts w:asciiTheme="minorHAnsi" w:hAnsiTheme="minorHAnsi" w:cstheme="minorHAnsi"/>
          <w:noProof/>
          <w:sz w:val="22"/>
          <w:szCs w:val="22"/>
          <w:lang w:val="es-ES"/>
        </w:rPr>
        <w:t>2</w:t>
      </w:r>
      <w:r w:rsidR="004C4D83" w:rsidRPr="005C40EF">
        <w:rPr>
          <w:rFonts w:asciiTheme="minorHAnsi" w:hAnsiTheme="minorHAnsi" w:cstheme="minorHAnsi"/>
          <w:noProof/>
          <w:sz w:val="22"/>
          <w:szCs w:val="22"/>
          <w:lang w:val="es-ES"/>
        </w:rPr>
        <w:t xml:space="preserve"> de la Convención Marco de las Naciones Unidas sobre el Cambio Climático (CMNUCC) que se celebró en </w:t>
      </w:r>
      <w:r w:rsidR="00CA1284" w:rsidRPr="005C40EF">
        <w:rPr>
          <w:rFonts w:asciiTheme="minorHAnsi" w:hAnsiTheme="minorHAnsi" w:cstheme="minorHAnsi"/>
          <w:noProof/>
          <w:sz w:val="22"/>
          <w:szCs w:val="22"/>
          <w:lang w:val="es-ES"/>
        </w:rPr>
        <w:t>Marrakech del 7 al 18 de noviembre de 2016</w:t>
      </w:r>
      <w:r w:rsidR="00043B3E" w:rsidRPr="005C40EF">
        <w:rPr>
          <w:rFonts w:asciiTheme="minorHAnsi" w:hAnsiTheme="minorHAnsi" w:cstheme="minorHAnsi"/>
          <w:noProof/>
          <w:sz w:val="22"/>
          <w:szCs w:val="22"/>
          <w:lang w:val="es-ES"/>
        </w:rPr>
        <w:t xml:space="preserve"> y</w:t>
      </w:r>
      <w:r w:rsidR="00CA1284" w:rsidRPr="005C40EF">
        <w:rPr>
          <w:rFonts w:asciiTheme="minorHAnsi" w:hAnsiTheme="minorHAnsi" w:cstheme="minorHAnsi"/>
          <w:noProof/>
          <w:sz w:val="22"/>
          <w:szCs w:val="22"/>
          <w:lang w:val="es-ES"/>
        </w:rPr>
        <w:t xml:space="preserve"> en la que la Secretaria General publicó un artículo de opinión junto con la Secretaria Ejecutiva</w:t>
      </w:r>
      <w:r w:rsidR="00043B3E" w:rsidRPr="005C40EF">
        <w:rPr>
          <w:rFonts w:asciiTheme="minorHAnsi" w:hAnsiTheme="minorHAnsi" w:cstheme="minorHAnsi"/>
          <w:noProof/>
          <w:sz w:val="22"/>
          <w:szCs w:val="22"/>
          <w:lang w:val="es-ES"/>
        </w:rPr>
        <w:t xml:space="preserve"> de la CMNUCC en el que se destaca </w:t>
      </w:r>
      <w:r w:rsidR="00CA1284" w:rsidRPr="005C40EF">
        <w:rPr>
          <w:rFonts w:asciiTheme="minorHAnsi" w:hAnsiTheme="minorHAnsi" w:cstheme="minorHAnsi"/>
          <w:noProof/>
          <w:sz w:val="22"/>
          <w:szCs w:val="22"/>
          <w:lang w:val="es-ES"/>
        </w:rPr>
        <w:t xml:space="preserve">el papel importante que desempeñan los humedales y la Convención en la mitigación del cambio climático y la adaptación a él, y en la COP23 que se celebró en </w:t>
      </w:r>
      <w:r w:rsidR="004C4D83" w:rsidRPr="005C40EF">
        <w:rPr>
          <w:rFonts w:asciiTheme="minorHAnsi" w:hAnsiTheme="minorHAnsi" w:cstheme="minorHAnsi"/>
          <w:noProof/>
          <w:sz w:val="22"/>
          <w:szCs w:val="22"/>
          <w:lang w:val="es-ES"/>
        </w:rPr>
        <w:t>Bonn del 6 al 17 de noviembre de 2017 y cuyo un énfasis principal se centró en las turberas, el agua y los ecosistemas costeros y marinos.</w:t>
      </w:r>
      <w:r w:rsidR="00CA1284" w:rsidRPr="005C40EF">
        <w:rPr>
          <w:rFonts w:asciiTheme="minorHAnsi" w:hAnsiTheme="minorHAnsi" w:cstheme="minorHAnsi"/>
          <w:noProof/>
          <w:sz w:val="22"/>
          <w:szCs w:val="22"/>
          <w:lang w:val="es-ES"/>
        </w:rPr>
        <w:t xml:space="preserve"> La Secretaría también ha intensificado el posicionamiento de la Convención en la</w:t>
      </w:r>
      <w:r w:rsidR="004C4D83" w:rsidRPr="005C40EF">
        <w:rPr>
          <w:rFonts w:asciiTheme="minorHAnsi" w:hAnsiTheme="minorHAnsi" w:cstheme="minorHAnsi"/>
          <w:noProof/>
          <w:sz w:val="22"/>
          <w:szCs w:val="22"/>
          <w:lang w:val="es-ES"/>
        </w:rPr>
        <w:t xml:space="preserve"> Global Peatlands Initiative (Iniciativa Mundial sobre las Turberas), </w:t>
      </w:r>
      <w:r w:rsidR="00CA1284" w:rsidRPr="005C40EF">
        <w:rPr>
          <w:rFonts w:asciiTheme="minorHAnsi" w:hAnsiTheme="minorHAnsi" w:cstheme="minorHAnsi"/>
          <w:noProof/>
          <w:sz w:val="22"/>
          <w:szCs w:val="22"/>
          <w:lang w:val="es-ES"/>
        </w:rPr>
        <w:t>de la que es miembro fundador, para reducir la</w:t>
      </w:r>
      <w:r w:rsidR="00043B3E" w:rsidRPr="005C40EF">
        <w:rPr>
          <w:rFonts w:asciiTheme="minorHAnsi" w:hAnsiTheme="minorHAnsi" w:cstheme="minorHAnsi"/>
          <w:noProof/>
          <w:sz w:val="22"/>
          <w:szCs w:val="22"/>
          <w:lang w:val="es-ES"/>
        </w:rPr>
        <w:t>s</w:t>
      </w:r>
      <w:r w:rsidR="00CA1284" w:rsidRPr="005C40EF">
        <w:rPr>
          <w:rFonts w:asciiTheme="minorHAnsi" w:hAnsiTheme="minorHAnsi" w:cstheme="minorHAnsi"/>
          <w:noProof/>
          <w:sz w:val="22"/>
          <w:szCs w:val="22"/>
          <w:lang w:val="es-ES"/>
        </w:rPr>
        <w:t xml:space="preserve"> emisiones mundiales de gases de efecto invernadero mediante la protección de las turberas, incluso </w:t>
      </w:r>
      <w:r w:rsidR="00043B3E" w:rsidRPr="005C40EF">
        <w:rPr>
          <w:rFonts w:asciiTheme="minorHAnsi" w:hAnsiTheme="minorHAnsi" w:cstheme="minorHAnsi"/>
          <w:noProof/>
          <w:sz w:val="22"/>
          <w:szCs w:val="22"/>
          <w:lang w:val="es-ES"/>
        </w:rPr>
        <w:t>a través de</w:t>
      </w:r>
      <w:r w:rsidR="00CA1284" w:rsidRPr="005C40EF">
        <w:rPr>
          <w:rFonts w:asciiTheme="minorHAnsi" w:hAnsiTheme="minorHAnsi" w:cstheme="minorHAnsi"/>
          <w:noProof/>
          <w:sz w:val="22"/>
          <w:szCs w:val="22"/>
          <w:lang w:val="es-ES"/>
        </w:rPr>
        <w:t xml:space="preserve"> la preparación, presentación y seguimiento de la </w:t>
      </w:r>
      <w:r w:rsidR="004C4D83" w:rsidRPr="005C40EF">
        <w:rPr>
          <w:rFonts w:asciiTheme="minorHAnsi" w:hAnsiTheme="minorHAnsi" w:cstheme="minorHAnsi"/>
          <w:noProof/>
          <w:sz w:val="22"/>
          <w:szCs w:val="22"/>
          <w:lang w:val="es-ES"/>
        </w:rPr>
        <w:t xml:space="preserve">evaluación de respuesta rápida </w:t>
      </w:r>
      <w:r w:rsidR="004C4D83" w:rsidRPr="002213E9">
        <w:rPr>
          <w:rFonts w:asciiTheme="minorHAnsi" w:hAnsiTheme="minorHAnsi" w:cstheme="minorHAnsi"/>
          <w:i/>
          <w:noProof/>
          <w:sz w:val="22"/>
          <w:szCs w:val="22"/>
          <w:lang w:val="es-ES"/>
        </w:rPr>
        <w:t>Smoke on Water – countering global threats from peatland loss and degradation</w:t>
      </w:r>
      <w:r w:rsidR="004C4D83" w:rsidRPr="005C40EF">
        <w:rPr>
          <w:rFonts w:asciiTheme="minorHAnsi" w:hAnsiTheme="minorHAnsi" w:cstheme="minorHAnsi"/>
          <w:noProof/>
          <w:sz w:val="22"/>
          <w:szCs w:val="22"/>
          <w:lang w:val="es-ES"/>
        </w:rPr>
        <w:t xml:space="preserve"> [Humo en el agua: contrarrestando las amenazas mundiales de la pérdida y degradación de turberas] publicada en ocasión de la COP23 de la CMNUCC, así como en eventos relacionados con el agua y otros temas pertinentes.</w:t>
      </w:r>
      <w:r w:rsidR="00CA1284" w:rsidRPr="005C40EF">
        <w:rPr>
          <w:rFonts w:asciiTheme="minorHAnsi" w:hAnsiTheme="minorHAnsi" w:cstheme="minorHAnsi"/>
          <w:noProof/>
          <w:sz w:val="22"/>
          <w:szCs w:val="22"/>
          <w:lang w:val="es-ES"/>
        </w:rPr>
        <w:t xml:space="preserve"> Además, </w:t>
      </w:r>
      <w:r w:rsidR="00043B3E" w:rsidRPr="005C40EF">
        <w:rPr>
          <w:rFonts w:asciiTheme="minorHAnsi" w:hAnsiTheme="minorHAnsi" w:cstheme="minorHAnsi"/>
          <w:noProof/>
          <w:sz w:val="22"/>
          <w:szCs w:val="22"/>
          <w:lang w:val="es-ES"/>
        </w:rPr>
        <w:t xml:space="preserve">en 2017 </w:t>
      </w:r>
      <w:r w:rsidR="00CA1284" w:rsidRPr="005C40EF">
        <w:rPr>
          <w:rFonts w:asciiTheme="minorHAnsi" w:hAnsiTheme="minorHAnsi" w:cstheme="minorHAnsi"/>
          <w:noProof/>
          <w:sz w:val="22"/>
          <w:szCs w:val="22"/>
          <w:lang w:val="es-ES"/>
        </w:rPr>
        <w:t>se unió a la Alianza Internacional para el Carbono Azul</w:t>
      </w:r>
      <w:r w:rsidR="00043B3E" w:rsidRPr="005C40EF">
        <w:rPr>
          <w:rFonts w:asciiTheme="minorHAnsi" w:hAnsiTheme="minorHAnsi" w:cstheme="minorHAnsi"/>
          <w:noProof/>
          <w:sz w:val="22"/>
          <w:szCs w:val="22"/>
          <w:lang w:val="es-ES"/>
        </w:rPr>
        <w:t xml:space="preserve"> que se </w:t>
      </w:r>
      <w:r w:rsidR="00CA1284" w:rsidRPr="005C40EF">
        <w:rPr>
          <w:rFonts w:asciiTheme="minorHAnsi" w:hAnsiTheme="minorHAnsi" w:cstheme="minorHAnsi"/>
          <w:noProof/>
          <w:sz w:val="22"/>
          <w:szCs w:val="22"/>
          <w:lang w:val="es-ES"/>
        </w:rPr>
        <w:t>centr</w:t>
      </w:r>
      <w:r w:rsidR="00043B3E" w:rsidRPr="005C40EF">
        <w:rPr>
          <w:rFonts w:asciiTheme="minorHAnsi" w:hAnsiTheme="minorHAnsi" w:cstheme="minorHAnsi"/>
          <w:noProof/>
          <w:sz w:val="22"/>
          <w:szCs w:val="22"/>
          <w:lang w:val="es-ES"/>
        </w:rPr>
        <w:t>a</w:t>
      </w:r>
      <w:r w:rsidR="00CA1284" w:rsidRPr="005C40EF">
        <w:rPr>
          <w:rFonts w:asciiTheme="minorHAnsi" w:hAnsiTheme="minorHAnsi" w:cstheme="minorHAnsi"/>
          <w:noProof/>
          <w:sz w:val="22"/>
          <w:szCs w:val="22"/>
          <w:lang w:val="es-ES"/>
        </w:rPr>
        <w:t xml:space="preserve"> en los ecosistemas costeros y marinos.</w:t>
      </w:r>
    </w:p>
    <w:p w14:paraId="12596DF9" w14:textId="77777777" w:rsidR="008A384C" w:rsidRPr="005C40EF" w:rsidRDefault="008A384C" w:rsidP="00C81B75">
      <w:pPr>
        <w:pStyle w:val="ListParagraph"/>
        <w:rPr>
          <w:rFonts w:asciiTheme="minorHAnsi" w:hAnsiTheme="minorHAnsi" w:cstheme="minorHAnsi"/>
          <w:noProof/>
          <w:sz w:val="22"/>
          <w:szCs w:val="22"/>
          <w:lang w:val="es-ES"/>
        </w:rPr>
      </w:pPr>
    </w:p>
    <w:p w14:paraId="672F557A" w14:textId="3CD9BAB9" w:rsidR="00043B3E" w:rsidRPr="005C40EF" w:rsidRDefault="002213E9" w:rsidP="002213E9">
      <w:pPr>
        <w:autoSpaceDE w:val="0"/>
        <w:autoSpaceDN w:val="0"/>
        <w:adjustRightInd w:val="0"/>
        <w:ind w:left="425" w:hanging="425"/>
        <w:rPr>
          <w:rFonts w:asciiTheme="minorHAnsi" w:hAnsiTheme="minorHAnsi" w:cstheme="minorHAnsi"/>
          <w:noProof/>
          <w:sz w:val="22"/>
          <w:szCs w:val="22"/>
          <w:lang w:val="es-ES"/>
        </w:rPr>
      </w:pPr>
      <w:r>
        <w:rPr>
          <w:rFonts w:asciiTheme="minorHAnsi" w:hAnsiTheme="minorHAnsi" w:cstheme="minorHAnsi"/>
          <w:noProof/>
          <w:sz w:val="22"/>
          <w:szCs w:val="22"/>
          <w:lang w:val="es-ES"/>
        </w:rPr>
        <w:t>21.</w:t>
      </w:r>
      <w:r>
        <w:rPr>
          <w:rFonts w:asciiTheme="minorHAnsi" w:hAnsiTheme="minorHAnsi" w:cstheme="minorHAnsi"/>
          <w:noProof/>
          <w:sz w:val="22"/>
          <w:szCs w:val="22"/>
          <w:lang w:val="es-ES"/>
        </w:rPr>
        <w:tab/>
      </w:r>
      <w:r w:rsidR="00043B3E" w:rsidRPr="005C40EF">
        <w:rPr>
          <w:rFonts w:asciiTheme="minorHAnsi" w:hAnsiTheme="minorHAnsi" w:cstheme="minorHAnsi"/>
          <w:noProof/>
          <w:sz w:val="22"/>
          <w:szCs w:val="22"/>
          <w:lang w:val="es-ES"/>
        </w:rPr>
        <w:t>La Secretaría participó activamente en el tercer período de sesiones de la Asamblea de las Naciones Unidas sobre el Medio Ambiente (UNEA-3) que se celebró en Nairobi del 4 al 6 de diciembre de 2017, destacando la función de los humedales en el control de la contaminación y la purificación del agua y, más ampliamente, su contribución al logro del ODS 6. La Convención de Ramsar sobre los Humedales y su Cuarto Plan Estratégico para 2016-2024 se mencionan en las resoluciones sobre “Abordar la contaminación del agua para proteger y restaurar los ecosistemas relacionados con el agua” y “Mitigar la contaminación incorporando la diversidad biológica en sectores clave”. La Secretaria General formuló declaraciones en el Diálogo de Liderazgo sobre soluciones prácticas para un planeta libre de contaminación, en un debate de alto nivel sobre la protección de arrecifes de coral y manglares, y en un evento sobre género y medio ambiente, especialmente durante la presentación de la red internacional de campeones por el género (International Gender Champions). La Secretaria General pronunció una declaración en la sesión plenaria sobre el papel que desempeñan los humedales como una solución sostenible para la purificación del agua y participó en una reunión con los jefes de las secretarías de acuerdos multilaterales sobre el medio ambiente (AMMA) sobre un enfoque integrado para la aplicación de la dimensión ambiental de la Agenda 2030 para el Desarrollo Sostenible y los ODS.</w:t>
      </w:r>
    </w:p>
    <w:p w14:paraId="5DC7FE54" w14:textId="77777777" w:rsidR="009D4535" w:rsidRPr="005C40EF" w:rsidRDefault="009D4535" w:rsidP="002213E9">
      <w:pPr>
        <w:autoSpaceDE w:val="0"/>
        <w:autoSpaceDN w:val="0"/>
        <w:adjustRightInd w:val="0"/>
        <w:ind w:left="425" w:hanging="425"/>
        <w:rPr>
          <w:rFonts w:asciiTheme="minorHAnsi" w:hAnsiTheme="minorHAnsi" w:cstheme="minorHAnsi"/>
          <w:noProof/>
          <w:sz w:val="22"/>
          <w:szCs w:val="22"/>
          <w:lang w:val="es-ES"/>
        </w:rPr>
      </w:pPr>
    </w:p>
    <w:p w14:paraId="07EE1218" w14:textId="26291932" w:rsidR="00BC4873" w:rsidRPr="005C40EF" w:rsidRDefault="002213E9" w:rsidP="002213E9">
      <w:pPr>
        <w:autoSpaceDE w:val="0"/>
        <w:autoSpaceDN w:val="0"/>
        <w:adjustRightInd w:val="0"/>
        <w:ind w:left="425" w:hanging="425"/>
        <w:rPr>
          <w:rFonts w:asciiTheme="minorHAnsi" w:hAnsiTheme="minorHAnsi" w:cstheme="minorHAnsi"/>
          <w:noProof/>
          <w:sz w:val="22"/>
          <w:szCs w:val="22"/>
          <w:lang w:val="es-ES"/>
        </w:rPr>
      </w:pPr>
      <w:r>
        <w:rPr>
          <w:rFonts w:asciiTheme="minorHAnsi" w:hAnsiTheme="minorHAnsi" w:cstheme="minorHAnsi"/>
          <w:noProof/>
          <w:sz w:val="22"/>
          <w:szCs w:val="22"/>
          <w:lang w:val="es-ES"/>
        </w:rPr>
        <w:t>22.</w:t>
      </w:r>
      <w:r>
        <w:rPr>
          <w:rFonts w:asciiTheme="minorHAnsi" w:hAnsiTheme="minorHAnsi" w:cstheme="minorHAnsi"/>
          <w:noProof/>
          <w:sz w:val="22"/>
          <w:szCs w:val="22"/>
          <w:lang w:val="es-ES"/>
        </w:rPr>
        <w:tab/>
      </w:r>
      <w:r w:rsidR="00BC4873" w:rsidRPr="005C40EF">
        <w:rPr>
          <w:rFonts w:asciiTheme="minorHAnsi" w:hAnsiTheme="minorHAnsi" w:cstheme="minorHAnsi"/>
          <w:noProof/>
          <w:sz w:val="22"/>
          <w:szCs w:val="22"/>
          <w:lang w:val="es-ES"/>
        </w:rPr>
        <w:t xml:space="preserve">Durante el período que abarca el informe, la Secretaría trató de fortalecer su relación con misiones y organismos de las Naciones Unidas cuya sede se encuentra en Ginebra. El 21 de </w:t>
      </w:r>
      <w:r w:rsidR="00BC4873" w:rsidRPr="005C40EF">
        <w:rPr>
          <w:rFonts w:asciiTheme="minorHAnsi" w:hAnsiTheme="minorHAnsi" w:cstheme="minorHAnsi"/>
          <w:noProof/>
          <w:sz w:val="22"/>
          <w:szCs w:val="22"/>
          <w:lang w:val="es-ES"/>
        </w:rPr>
        <w:lastRenderedPageBreak/>
        <w:t xml:space="preserve">junio de 2017, la Secretaria General hizo una presentación sobre “La Convención de Ramsar sobre los Humedales hacia los Objetivos de Desarrollo Sostenible” en el marco de una reunión informativa ejecutiva dirigida a las misiones permanentes, celebrada en la Oficina de las Naciones Unidas en Ginebra (ONUG) y organizada por el </w:t>
      </w:r>
      <w:r w:rsidR="0077031F" w:rsidRPr="005C40EF">
        <w:rPr>
          <w:rFonts w:asciiTheme="minorHAnsi" w:hAnsiTheme="minorHAnsi" w:cstheme="minorHAnsi"/>
          <w:noProof/>
          <w:sz w:val="22"/>
          <w:szCs w:val="22"/>
          <w:lang w:val="es-ES"/>
        </w:rPr>
        <w:t>director</w:t>
      </w:r>
      <w:r w:rsidR="00BC4873" w:rsidRPr="005C40EF">
        <w:rPr>
          <w:rFonts w:asciiTheme="minorHAnsi" w:hAnsiTheme="minorHAnsi" w:cstheme="minorHAnsi"/>
          <w:noProof/>
          <w:sz w:val="22"/>
          <w:szCs w:val="22"/>
          <w:lang w:val="es-ES"/>
        </w:rPr>
        <w:t xml:space="preserve"> de la misma. Una reunión informativa sobre la COP13 para las misiones permanentes de las Naciones Unidas en Ginebra, también organizada por la ONUG, está programada para el 13 de septiembre de 2018</w:t>
      </w:r>
      <w:r w:rsidR="006B13A7" w:rsidRPr="005C40EF">
        <w:rPr>
          <w:rFonts w:asciiTheme="minorHAnsi" w:hAnsiTheme="minorHAnsi" w:cstheme="minorHAnsi"/>
          <w:noProof/>
          <w:sz w:val="22"/>
          <w:szCs w:val="22"/>
          <w:lang w:val="es-ES"/>
        </w:rPr>
        <w:t>.</w:t>
      </w:r>
      <w:r w:rsidR="00BC4873" w:rsidRPr="005C40EF">
        <w:rPr>
          <w:rFonts w:asciiTheme="minorHAnsi" w:hAnsiTheme="minorHAnsi" w:cstheme="minorHAnsi"/>
          <w:noProof/>
          <w:sz w:val="22"/>
          <w:szCs w:val="22"/>
          <w:lang w:val="es-ES"/>
        </w:rPr>
        <w:t xml:space="preserve">  </w:t>
      </w:r>
    </w:p>
    <w:p w14:paraId="284802F5" w14:textId="77777777" w:rsidR="00127E63" w:rsidRPr="005C40EF" w:rsidRDefault="00127E63" w:rsidP="002213E9">
      <w:pPr>
        <w:autoSpaceDE w:val="0"/>
        <w:autoSpaceDN w:val="0"/>
        <w:adjustRightInd w:val="0"/>
        <w:ind w:left="425" w:hanging="425"/>
        <w:rPr>
          <w:rFonts w:asciiTheme="minorHAnsi" w:hAnsiTheme="minorHAnsi" w:cstheme="minorHAnsi"/>
          <w:noProof/>
          <w:sz w:val="22"/>
          <w:szCs w:val="22"/>
          <w:lang w:val="es-ES"/>
        </w:rPr>
      </w:pPr>
    </w:p>
    <w:p w14:paraId="0FAC713D" w14:textId="0F42DA10" w:rsidR="00BC4873" w:rsidRPr="005C40EF" w:rsidRDefault="002213E9" w:rsidP="002213E9">
      <w:pPr>
        <w:autoSpaceDE w:val="0"/>
        <w:autoSpaceDN w:val="0"/>
        <w:adjustRightInd w:val="0"/>
        <w:ind w:left="425" w:hanging="425"/>
        <w:rPr>
          <w:rFonts w:asciiTheme="minorHAnsi" w:hAnsiTheme="minorHAnsi" w:cstheme="minorHAnsi"/>
          <w:noProof/>
          <w:sz w:val="22"/>
          <w:szCs w:val="22"/>
          <w:lang w:val="es-ES"/>
        </w:rPr>
      </w:pPr>
      <w:r>
        <w:rPr>
          <w:rFonts w:asciiTheme="minorHAnsi" w:hAnsiTheme="minorHAnsi" w:cstheme="minorHAnsi"/>
          <w:noProof/>
          <w:sz w:val="22"/>
          <w:szCs w:val="22"/>
          <w:lang w:val="es-ES"/>
        </w:rPr>
        <w:t>23.</w:t>
      </w:r>
      <w:r>
        <w:rPr>
          <w:rFonts w:asciiTheme="minorHAnsi" w:hAnsiTheme="minorHAnsi" w:cstheme="minorHAnsi"/>
          <w:noProof/>
          <w:sz w:val="22"/>
          <w:szCs w:val="22"/>
          <w:lang w:val="es-ES"/>
        </w:rPr>
        <w:tab/>
      </w:r>
      <w:r w:rsidR="00BC4873" w:rsidRPr="005C40EF">
        <w:rPr>
          <w:rFonts w:asciiTheme="minorHAnsi" w:hAnsiTheme="minorHAnsi" w:cstheme="minorHAnsi"/>
          <w:noProof/>
          <w:sz w:val="22"/>
          <w:szCs w:val="22"/>
          <w:lang w:val="es-ES"/>
        </w:rPr>
        <w:t>Otros aspectos destacados incluyen los siguientes:</w:t>
      </w:r>
    </w:p>
    <w:p w14:paraId="1F670B16" w14:textId="77777777" w:rsidR="00DB1663" w:rsidRPr="005C40EF" w:rsidRDefault="00DB1663" w:rsidP="00C81B75">
      <w:pPr>
        <w:pStyle w:val="NormalNonumber"/>
        <w:spacing w:after="0"/>
        <w:ind w:left="425" w:hanging="425"/>
        <w:rPr>
          <w:rFonts w:asciiTheme="minorHAnsi" w:hAnsiTheme="minorHAnsi" w:cstheme="minorHAnsi"/>
          <w:noProof/>
          <w:sz w:val="22"/>
          <w:szCs w:val="22"/>
          <w:lang w:val="es-ES"/>
        </w:rPr>
      </w:pPr>
    </w:p>
    <w:p w14:paraId="7FBBB169" w14:textId="7D0FC797" w:rsidR="00BC4873" w:rsidRPr="005C40EF" w:rsidRDefault="00BC4873" w:rsidP="00BC4873">
      <w:pPr>
        <w:pStyle w:val="ListParagraph"/>
        <w:numPr>
          <w:ilvl w:val="0"/>
          <w:numId w:val="2"/>
        </w:numPr>
        <w:ind w:left="850" w:hanging="425"/>
        <w:rPr>
          <w:rFonts w:asciiTheme="minorHAnsi" w:hAnsiTheme="minorHAnsi" w:cstheme="minorHAnsi"/>
          <w:noProof/>
          <w:sz w:val="22"/>
          <w:szCs w:val="22"/>
          <w:lang w:val="es-ES"/>
        </w:rPr>
      </w:pPr>
      <w:r w:rsidRPr="005C40EF">
        <w:rPr>
          <w:rFonts w:asciiTheme="minorHAnsi" w:hAnsiTheme="minorHAnsi" w:cstheme="minorHAnsi"/>
          <w:noProof/>
          <w:sz w:val="22"/>
          <w:szCs w:val="22"/>
          <w:lang w:val="es-ES"/>
        </w:rPr>
        <w:t xml:space="preserve">Participación en la 13ª sesión del Comité de Ciencia y Tecnología de la </w:t>
      </w:r>
      <w:r w:rsidR="003166D9" w:rsidRPr="005C40EF">
        <w:rPr>
          <w:rFonts w:asciiTheme="minorHAnsi" w:hAnsiTheme="minorHAnsi" w:cstheme="minorHAnsi"/>
          <w:noProof/>
          <w:sz w:val="22"/>
          <w:szCs w:val="22"/>
          <w:lang w:val="es-ES"/>
        </w:rPr>
        <w:t>CNULD</w:t>
      </w:r>
      <w:r w:rsidRPr="005C40EF">
        <w:rPr>
          <w:rFonts w:asciiTheme="minorHAnsi" w:hAnsiTheme="minorHAnsi" w:cstheme="minorHAnsi"/>
          <w:noProof/>
          <w:sz w:val="22"/>
          <w:szCs w:val="22"/>
          <w:lang w:val="es-ES"/>
        </w:rPr>
        <w:t xml:space="preserve"> en Ordos (China) del 6 al 9 de septiembre de 2017, que incluyó</w:t>
      </w:r>
      <w:r w:rsidR="006B13A7" w:rsidRPr="005C40EF">
        <w:rPr>
          <w:rFonts w:asciiTheme="minorHAnsi" w:hAnsiTheme="minorHAnsi" w:cstheme="minorHAnsi"/>
          <w:noProof/>
          <w:sz w:val="22"/>
          <w:szCs w:val="22"/>
          <w:lang w:val="es-ES"/>
        </w:rPr>
        <w:t xml:space="preserve"> una presentación en</w:t>
      </w:r>
      <w:r w:rsidRPr="005C40EF">
        <w:rPr>
          <w:rFonts w:asciiTheme="minorHAnsi" w:hAnsiTheme="minorHAnsi" w:cstheme="minorHAnsi"/>
          <w:noProof/>
          <w:sz w:val="22"/>
          <w:szCs w:val="22"/>
          <w:lang w:val="es-ES"/>
        </w:rPr>
        <w:t xml:space="preserve"> </w:t>
      </w:r>
      <w:r w:rsidR="006B13A7" w:rsidRPr="005C40EF">
        <w:rPr>
          <w:rFonts w:asciiTheme="minorHAnsi" w:hAnsiTheme="minorHAnsi" w:cstheme="minorHAnsi"/>
          <w:noProof/>
          <w:sz w:val="22"/>
          <w:szCs w:val="22"/>
          <w:lang w:val="es-ES"/>
        </w:rPr>
        <w:t>la</w:t>
      </w:r>
      <w:r w:rsidRPr="005C40EF">
        <w:rPr>
          <w:rFonts w:asciiTheme="minorHAnsi" w:hAnsiTheme="minorHAnsi" w:cstheme="minorHAnsi"/>
          <w:noProof/>
          <w:sz w:val="22"/>
          <w:szCs w:val="22"/>
          <w:lang w:val="es-ES"/>
        </w:rPr>
        <w:t xml:space="preserve"> </w:t>
      </w:r>
      <w:r w:rsidR="006B13A7" w:rsidRPr="005C40EF">
        <w:rPr>
          <w:rFonts w:asciiTheme="minorHAnsi" w:hAnsiTheme="minorHAnsi" w:cstheme="minorHAnsi"/>
          <w:noProof/>
          <w:sz w:val="22"/>
          <w:szCs w:val="22"/>
          <w:lang w:val="es-ES"/>
        </w:rPr>
        <w:t>reunión</w:t>
      </w:r>
      <w:r w:rsidRPr="005C40EF">
        <w:rPr>
          <w:rFonts w:asciiTheme="minorHAnsi" w:hAnsiTheme="minorHAnsi" w:cstheme="minorHAnsi"/>
          <w:noProof/>
          <w:sz w:val="22"/>
          <w:szCs w:val="22"/>
          <w:lang w:val="es-ES"/>
        </w:rPr>
        <w:t xml:space="preserve"> informativa </w:t>
      </w:r>
      <w:r w:rsidR="006B13A7" w:rsidRPr="005C40EF">
        <w:rPr>
          <w:rFonts w:asciiTheme="minorHAnsi" w:hAnsiTheme="minorHAnsi" w:cstheme="minorHAnsi"/>
          <w:noProof/>
          <w:sz w:val="22"/>
          <w:szCs w:val="22"/>
          <w:lang w:val="es-ES"/>
        </w:rPr>
        <w:t>de progresos de la IPBES sobre la e</w:t>
      </w:r>
      <w:r w:rsidRPr="005C40EF">
        <w:rPr>
          <w:rFonts w:asciiTheme="minorHAnsi" w:hAnsiTheme="minorHAnsi" w:cstheme="minorHAnsi"/>
          <w:noProof/>
          <w:sz w:val="22"/>
          <w:szCs w:val="22"/>
          <w:lang w:val="es-ES"/>
        </w:rPr>
        <w:t xml:space="preserve">valuación </w:t>
      </w:r>
      <w:r w:rsidR="006B13A7" w:rsidRPr="005C40EF">
        <w:rPr>
          <w:rFonts w:asciiTheme="minorHAnsi" w:hAnsiTheme="minorHAnsi" w:cstheme="minorHAnsi"/>
          <w:noProof/>
          <w:sz w:val="22"/>
          <w:szCs w:val="22"/>
          <w:lang w:val="es-ES"/>
        </w:rPr>
        <w:t>de</w:t>
      </w:r>
      <w:r w:rsidRPr="005C40EF">
        <w:rPr>
          <w:rFonts w:asciiTheme="minorHAnsi" w:hAnsiTheme="minorHAnsi" w:cstheme="minorHAnsi"/>
          <w:noProof/>
          <w:sz w:val="22"/>
          <w:szCs w:val="22"/>
          <w:lang w:val="es-ES"/>
        </w:rPr>
        <w:t xml:space="preserve"> la degradación y restauración de la tierra. Hay conversaciones en curso con la Secretaría de la CNULD sobre oportunidades de </w:t>
      </w:r>
      <w:r w:rsidR="003166D9" w:rsidRPr="005C40EF">
        <w:rPr>
          <w:rFonts w:asciiTheme="minorHAnsi" w:hAnsiTheme="minorHAnsi" w:cstheme="minorHAnsi"/>
          <w:noProof/>
          <w:sz w:val="22"/>
          <w:szCs w:val="22"/>
          <w:lang w:val="es-ES"/>
        </w:rPr>
        <w:t>colaboración;</w:t>
      </w:r>
    </w:p>
    <w:p w14:paraId="41EB7AF4" w14:textId="77777777" w:rsidR="0071474A" w:rsidRPr="005C40EF" w:rsidRDefault="0071474A" w:rsidP="00C81B75">
      <w:pPr>
        <w:rPr>
          <w:rFonts w:asciiTheme="minorHAnsi" w:hAnsiTheme="minorHAnsi" w:cstheme="minorHAnsi"/>
          <w:noProof/>
          <w:sz w:val="22"/>
          <w:szCs w:val="22"/>
          <w:lang w:val="es-ES"/>
        </w:rPr>
      </w:pPr>
    </w:p>
    <w:p w14:paraId="3E623275" w14:textId="2B248F58" w:rsidR="003166D9" w:rsidRPr="005C40EF" w:rsidRDefault="003166D9" w:rsidP="003166D9">
      <w:pPr>
        <w:pStyle w:val="ListParagraph"/>
        <w:numPr>
          <w:ilvl w:val="0"/>
          <w:numId w:val="2"/>
        </w:numPr>
        <w:ind w:left="850" w:hanging="425"/>
        <w:rPr>
          <w:rFonts w:asciiTheme="minorHAnsi" w:hAnsiTheme="minorHAnsi" w:cstheme="minorHAnsi"/>
          <w:noProof/>
          <w:sz w:val="22"/>
          <w:szCs w:val="22"/>
          <w:lang w:val="es-ES"/>
        </w:rPr>
      </w:pPr>
      <w:r w:rsidRPr="005C40EF">
        <w:rPr>
          <w:rFonts w:asciiTheme="minorHAnsi" w:hAnsiTheme="minorHAnsi" w:cstheme="minorHAnsi"/>
          <w:noProof/>
          <w:sz w:val="22"/>
          <w:szCs w:val="22"/>
          <w:lang w:val="es-ES"/>
        </w:rPr>
        <w:t>Participación en la COP de la Convención sobre la conservación de las especies migratorias de animales silvestres (CEM) que se celebró del 23 al 28 de octubre de 2017 y en la que la Secretaría estuvo representada en el debate del grupo de alto nivel sobre “Contaminación y vida silvestre”</w:t>
      </w:r>
      <w:r w:rsidR="008355D8" w:rsidRPr="005C40EF">
        <w:rPr>
          <w:rFonts w:asciiTheme="minorHAnsi" w:hAnsiTheme="minorHAnsi" w:cstheme="minorHAnsi"/>
          <w:noProof/>
          <w:sz w:val="22"/>
          <w:szCs w:val="22"/>
          <w:lang w:val="es-ES"/>
        </w:rPr>
        <w:t xml:space="preserve"> y en tres eventos paralelos;</w:t>
      </w:r>
    </w:p>
    <w:p w14:paraId="714C8509" w14:textId="77777777" w:rsidR="0048758E" w:rsidRPr="005C40EF" w:rsidRDefault="0048758E" w:rsidP="0048758E">
      <w:pPr>
        <w:rPr>
          <w:rFonts w:asciiTheme="minorHAnsi" w:hAnsiTheme="minorHAnsi" w:cstheme="minorHAnsi"/>
          <w:noProof/>
          <w:sz w:val="22"/>
          <w:szCs w:val="22"/>
          <w:lang w:val="es-ES"/>
        </w:rPr>
      </w:pPr>
    </w:p>
    <w:p w14:paraId="51778595" w14:textId="75B270D9" w:rsidR="0048758E" w:rsidRPr="005C40EF" w:rsidRDefault="00DE4886" w:rsidP="0048758E">
      <w:pPr>
        <w:pStyle w:val="ListParagraph"/>
        <w:numPr>
          <w:ilvl w:val="0"/>
          <w:numId w:val="2"/>
        </w:numPr>
        <w:ind w:left="850" w:hanging="425"/>
        <w:rPr>
          <w:rFonts w:asciiTheme="minorHAnsi" w:hAnsiTheme="minorHAnsi" w:cstheme="minorHAnsi"/>
          <w:noProof/>
          <w:sz w:val="22"/>
          <w:szCs w:val="22"/>
          <w:lang w:val="es-ES"/>
        </w:rPr>
      </w:pPr>
      <w:r w:rsidRPr="005C40EF">
        <w:rPr>
          <w:rFonts w:asciiTheme="minorHAnsi" w:hAnsiTheme="minorHAnsi" w:cstheme="minorHAnsi"/>
          <w:noProof/>
          <w:sz w:val="22"/>
          <w:szCs w:val="22"/>
          <w:lang w:val="es-ES"/>
        </w:rPr>
        <w:t>Participació</w:t>
      </w:r>
      <w:r w:rsidR="0048758E" w:rsidRPr="005C40EF">
        <w:rPr>
          <w:rFonts w:asciiTheme="minorHAnsi" w:hAnsiTheme="minorHAnsi" w:cstheme="minorHAnsi"/>
          <w:noProof/>
          <w:sz w:val="22"/>
          <w:szCs w:val="22"/>
          <w:lang w:val="es-ES"/>
        </w:rPr>
        <w:t>n en el programa sobre el agua</w:t>
      </w:r>
      <w:r w:rsidR="00BC467A" w:rsidRPr="005C40EF">
        <w:rPr>
          <w:rFonts w:asciiTheme="minorHAnsi" w:hAnsiTheme="minorHAnsi" w:cstheme="minorHAnsi"/>
          <w:noProof/>
          <w:sz w:val="22"/>
          <w:szCs w:val="22"/>
          <w:lang w:val="es-ES"/>
        </w:rPr>
        <w:t>, en</w:t>
      </w:r>
      <w:r w:rsidRPr="005C40EF">
        <w:rPr>
          <w:rFonts w:asciiTheme="minorHAnsi" w:hAnsiTheme="minorHAnsi" w:cstheme="minorHAnsi"/>
          <w:noProof/>
          <w:sz w:val="22"/>
          <w:szCs w:val="22"/>
          <w:lang w:val="es-ES"/>
        </w:rPr>
        <w:t>: la Cumbre Internacional del Agua en Abu Dhabi (</w:t>
      </w:r>
      <w:r w:rsidR="004448EF" w:rsidRPr="005C40EF">
        <w:rPr>
          <w:rFonts w:asciiTheme="minorHAnsi" w:hAnsiTheme="minorHAnsi" w:cstheme="minorHAnsi"/>
          <w:noProof/>
          <w:sz w:val="22"/>
          <w:szCs w:val="22"/>
          <w:lang w:val="es-ES"/>
        </w:rPr>
        <w:t xml:space="preserve">del </w:t>
      </w:r>
      <w:r w:rsidRPr="005C40EF">
        <w:rPr>
          <w:rFonts w:asciiTheme="minorHAnsi" w:hAnsiTheme="minorHAnsi" w:cstheme="minorHAnsi"/>
          <w:noProof/>
          <w:sz w:val="22"/>
          <w:szCs w:val="22"/>
          <w:lang w:val="es-ES"/>
        </w:rPr>
        <w:t>18 a</w:t>
      </w:r>
      <w:r w:rsidR="004448EF" w:rsidRPr="005C40EF">
        <w:rPr>
          <w:rFonts w:asciiTheme="minorHAnsi" w:hAnsiTheme="minorHAnsi" w:cstheme="minorHAnsi"/>
          <w:noProof/>
          <w:sz w:val="22"/>
          <w:szCs w:val="22"/>
          <w:lang w:val="es-ES"/>
        </w:rPr>
        <w:t>l</w:t>
      </w:r>
      <w:r w:rsidRPr="005C40EF">
        <w:rPr>
          <w:rFonts w:asciiTheme="minorHAnsi" w:hAnsiTheme="minorHAnsi" w:cstheme="minorHAnsi"/>
          <w:noProof/>
          <w:sz w:val="22"/>
          <w:szCs w:val="22"/>
          <w:lang w:val="es-ES"/>
        </w:rPr>
        <w:t xml:space="preserve"> 21 de enero de 2016), la Cumbre del Agua en Budapest (</w:t>
      </w:r>
      <w:r w:rsidR="004448EF" w:rsidRPr="005C40EF">
        <w:rPr>
          <w:rFonts w:asciiTheme="minorHAnsi" w:hAnsiTheme="minorHAnsi" w:cstheme="minorHAnsi"/>
          <w:noProof/>
          <w:sz w:val="22"/>
          <w:szCs w:val="22"/>
          <w:lang w:val="es-ES"/>
        </w:rPr>
        <w:t xml:space="preserve">del </w:t>
      </w:r>
      <w:r w:rsidRPr="005C40EF">
        <w:rPr>
          <w:rFonts w:asciiTheme="minorHAnsi" w:hAnsiTheme="minorHAnsi" w:cstheme="minorHAnsi"/>
          <w:noProof/>
          <w:sz w:val="22"/>
          <w:szCs w:val="22"/>
          <w:lang w:val="es-ES"/>
        </w:rPr>
        <w:t>28 a</w:t>
      </w:r>
      <w:r w:rsidR="004448EF" w:rsidRPr="005C40EF">
        <w:rPr>
          <w:rFonts w:asciiTheme="minorHAnsi" w:hAnsiTheme="minorHAnsi" w:cstheme="minorHAnsi"/>
          <w:noProof/>
          <w:sz w:val="22"/>
          <w:szCs w:val="22"/>
          <w:lang w:val="es-ES"/>
        </w:rPr>
        <w:t>l</w:t>
      </w:r>
      <w:r w:rsidRPr="005C40EF">
        <w:rPr>
          <w:rFonts w:asciiTheme="minorHAnsi" w:hAnsiTheme="minorHAnsi" w:cstheme="minorHAnsi"/>
          <w:noProof/>
          <w:sz w:val="22"/>
          <w:szCs w:val="22"/>
          <w:lang w:val="es-ES"/>
        </w:rPr>
        <w:t xml:space="preserve"> 30 de noviembre de 2016), la Semana Mundial del Agua en Estocolmo (</w:t>
      </w:r>
      <w:r w:rsidR="004448EF" w:rsidRPr="005C40EF">
        <w:rPr>
          <w:rFonts w:asciiTheme="minorHAnsi" w:hAnsiTheme="minorHAnsi" w:cstheme="minorHAnsi"/>
          <w:noProof/>
          <w:sz w:val="22"/>
          <w:szCs w:val="22"/>
          <w:lang w:val="es-ES"/>
        </w:rPr>
        <w:t xml:space="preserve">del </w:t>
      </w:r>
      <w:r w:rsidRPr="005C40EF">
        <w:rPr>
          <w:rFonts w:asciiTheme="minorHAnsi" w:hAnsiTheme="minorHAnsi" w:cstheme="minorHAnsi"/>
          <w:noProof/>
          <w:sz w:val="22"/>
          <w:szCs w:val="22"/>
          <w:lang w:val="es-ES"/>
        </w:rPr>
        <w:t>28 de agosto a</w:t>
      </w:r>
      <w:r w:rsidR="004448EF" w:rsidRPr="005C40EF">
        <w:rPr>
          <w:rFonts w:asciiTheme="minorHAnsi" w:hAnsiTheme="minorHAnsi" w:cstheme="minorHAnsi"/>
          <w:noProof/>
          <w:sz w:val="22"/>
          <w:szCs w:val="22"/>
          <w:lang w:val="es-ES"/>
        </w:rPr>
        <w:t>l</w:t>
      </w:r>
      <w:r w:rsidRPr="005C40EF">
        <w:rPr>
          <w:rFonts w:asciiTheme="minorHAnsi" w:hAnsiTheme="minorHAnsi" w:cstheme="minorHAnsi"/>
          <w:noProof/>
          <w:sz w:val="22"/>
          <w:szCs w:val="22"/>
          <w:lang w:val="es-ES"/>
        </w:rPr>
        <w:t xml:space="preserve"> 2 de septiembre de 2016) y </w:t>
      </w:r>
      <w:r w:rsidR="00BC467A" w:rsidRPr="005C40EF">
        <w:rPr>
          <w:rFonts w:asciiTheme="minorHAnsi" w:hAnsiTheme="minorHAnsi" w:cstheme="minorHAnsi"/>
          <w:noProof/>
          <w:sz w:val="22"/>
          <w:szCs w:val="22"/>
          <w:lang w:val="es-ES"/>
        </w:rPr>
        <w:t xml:space="preserve">en </w:t>
      </w:r>
      <w:r w:rsidRPr="005C40EF">
        <w:rPr>
          <w:rFonts w:asciiTheme="minorHAnsi" w:hAnsiTheme="minorHAnsi" w:cstheme="minorHAnsi"/>
          <w:noProof/>
          <w:sz w:val="22"/>
          <w:szCs w:val="22"/>
          <w:lang w:val="es-ES"/>
        </w:rPr>
        <w:t>2017 (</w:t>
      </w:r>
      <w:r w:rsidR="004448EF" w:rsidRPr="005C40EF">
        <w:rPr>
          <w:rFonts w:asciiTheme="minorHAnsi" w:hAnsiTheme="minorHAnsi" w:cstheme="minorHAnsi"/>
          <w:noProof/>
          <w:sz w:val="22"/>
          <w:szCs w:val="22"/>
          <w:lang w:val="es-ES"/>
        </w:rPr>
        <w:t xml:space="preserve">del </w:t>
      </w:r>
      <w:r w:rsidRPr="005C40EF">
        <w:rPr>
          <w:rFonts w:asciiTheme="minorHAnsi" w:hAnsiTheme="minorHAnsi" w:cstheme="minorHAnsi"/>
          <w:noProof/>
          <w:sz w:val="22"/>
          <w:szCs w:val="22"/>
          <w:lang w:val="es-ES"/>
        </w:rPr>
        <w:t>24 a</w:t>
      </w:r>
      <w:r w:rsidR="004448EF" w:rsidRPr="005C40EF">
        <w:rPr>
          <w:rFonts w:asciiTheme="minorHAnsi" w:hAnsiTheme="minorHAnsi" w:cstheme="minorHAnsi"/>
          <w:noProof/>
          <w:sz w:val="22"/>
          <w:szCs w:val="22"/>
          <w:lang w:val="es-ES"/>
        </w:rPr>
        <w:t>l</w:t>
      </w:r>
      <w:r w:rsidRPr="005C40EF">
        <w:rPr>
          <w:rFonts w:asciiTheme="minorHAnsi" w:hAnsiTheme="minorHAnsi" w:cstheme="minorHAnsi"/>
          <w:noProof/>
          <w:sz w:val="22"/>
          <w:szCs w:val="22"/>
          <w:lang w:val="es-ES"/>
        </w:rPr>
        <w:t xml:space="preserve"> 31 de agosto de 2017), </w:t>
      </w:r>
      <w:r w:rsidR="0048758E" w:rsidRPr="005C40EF">
        <w:rPr>
          <w:rFonts w:asciiTheme="minorHAnsi" w:hAnsiTheme="minorHAnsi" w:cstheme="minorHAnsi"/>
          <w:noProof/>
          <w:sz w:val="22"/>
          <w:szCs w:val="22"/>
          <w:lang w:val="es-ES"/>
        </w:rPr>
        <w:t xml:space="preserve">lo que incluyó </w:t>
      </w:r>
      <w:r w:rsidRPr="005C40EF">
        <w:rPr>
          <w:rFonts w:asciiTheme="minorHAnsi" w:hAnsiTheme="minorHAnsi" w:cstheme="minorHAnsi"/>
          <w:noProof/>
          <w:sz w:val="22"/>
          <w:szCs w:val="22"/>
          <w:lang w:val="es-ES"/>
        </w:rPr>
        <w:t xml:space="preserve">reuniones de ONU-Agua y participación como panelistas en la sesión de diálogo de alto nivel sobre </w:t>
      </w:r>
      <w:r w:rsidR="00BC467A" w:rsidRPr="005C40EF">
        <w:rPr>
          <w:rFonts w:asciiTheme="minorHAnsi" w:hAnsiTheme="minorHAnsi" w:cstheme="minorHAnsi"/>
          <w:noProof/>
          <w:sz w:val="22"/>
          <w:szCs w:val="22"/>
          <w:lang w:val="es-ES"/>
        </w:rPr>
        <w:t>Building a Resilient Future through Water [D</w:t>
      </w:r>
      <w:r w:rsidRPr="005C40EF">
        <w:rPr>
          <w:rFonts w:asciiTheme="minorHAnsi" w:hAnsiTheme="minorHAnsi" w:cstheme="minorHAnsi"/>
          <w:noProof/>
          <w:sz w:val="22"/>
          <w:szCs w:val="22"/>
          <w:lang w:val="es-ES"/>
        </w:rPr>
        <w:t>esarrollo</w:t>
      </w:r>
      <w:r w:rsidR="0048758E" w:rsidRPr="005C40EF">
        <w:rPr>
          <w:rFonts w:asciiTheme="minorHAnsi" w:hAnsiTheme="minorHAnsi" w:cstheme="minorHAnsi"/>
          <w:noProof/>
          <w:sz w:val="22"/>
          <w:szCs w:val="22"/>
          <w:lang w:val="es-ES"/>
        </w:rPr>
        <w:t xml:space="preserve"> de un futuro r</w:t>
      </w:r>
      <w:r w:rsidRPr="005C40EF">
        <w:rPr>
          <w:rFonts w:asciiTheme="minorHAnsi" w:hAnsiTheme="minorHAnsi" w:cstheme="minorHAnsi"/>
          <w:noProof/>
          <w:sz w:val="22"/>
          <w:szCs w:val="22"/>
          <w:lang w:val="es-ES"/>
        </w:rPr>
        <w:t>esiliente a travé</w:t>
      </w:r>
      <w:r w:rsidR="0048758E" w:rsidRPr="005C40EF">
        <w:rPr>
          <w:rFonts w:asciiTheme="minorHAnsi" w:hAnsiTheme="minorHAnsi" w:cstheme="minorHAnsi"/>
          <w:noProof/>
          <w:sz w:val="22"/>
          <w:szCs w:val="22"/>
          <w:lang w:val="es-ES"/>
        </w:rPr>
        <w:t>s del a</w:t>
      </w:r>
      <w:r w:rsidRPr="005C40EF">
        <w:rPr>
          <w:rFonts w:asciiTheme="minorHAnsi" w:hAnsiTheme="minorHAnsi" w:cstheme="minorHAnsi"/>
          <w:noProof/>
          <w:sz w:val="22"/>
          <w:szCs w:val="22"/>
          <w:lang w:val="es-ES"/>
        </w:rPr>
        <w:t>gua</w:t>
      </w:r>
      <w:r w:rsidR="00BC467A" w:rsidRPr="005C40EF">
        <w:rPr>
          <w:rFonts w:asciiTheme="minorHAnsi" w:hAnsiTheme="minorHAnsi" w:cstheme="minorHAnsi"/>
          <w:noProof/>
          <w:sz w:val="22"/>
          <w:szCs w:val="22"/>
          <w:lang w:val="es-ES"/>
        </w:rPr>
        <w:t>]</w:t>
      </w:r>
      <w:r w:rsidRPr="005C40EF">
        <w:rPr>
          <w:rFonts w:asciiTheme="minorHAnsi" w:hAnsiTheme="minorHAnsi" w:cstheme="minorHAnsi"/>
          <w:noProof/>
          <w:sz w:val="22"/>
          <w:szCs w:val="22"/>
          <w:lang w:val="es-ES"/>
        </w:rPr>
        <w:t xml:space="preserve"> y </w:t>
      </w:r>
      <w:r w:rsidR="0048758E" w:rsidRPr="005C40EF">
        <w:rPr>
          <w:rFonts w:asciiTheme="minorHAnsi" w:hAnsiTheme="minorHAnsi" w:cstheme="minorHAnsi"/>
          <w:noProof/>
          <w:sz w:val="22"/>
          <w:szCs w:val="22"/>
          <w:lang w:val="es-ES"/>
        </w:rPr>
        <w:t xml:space="preserve">eventos sobre la Alliance for Freshwater Life, </w:t>
      </w:r>
      <w:r w:rsidR="00BC467A" w:rsidRPr="005C40EF">
        <w:rPr>
          <w:rFonts w:asciiTheme="minorHAnsi" w:hAnsiTheme="minorHAnsi" w:cstheme="minorHAnsi"/>
          <w:noProof/>
          <w:sz w:val="22"/>
          <w:szCs w:val="22"/>
          <w:lang w:val="es-ES"/>
        </w:rPr>
        <w:t>Nature-Based Solutions for Better Climate Resistance [</w:t>
      </w:r>
      <w:r w:rsidR="0048758E" w:rsidRPr="005C40EF">
        <w:rPr>
          <w:rFonts w:asciiTheme="minorHAnsi" w:hAnsiTheme="minorHAnsi" w:cstheme="minorHAnsi"/>
          <w:noProof/>
          <w:sz w:val="22"/>
          <w:szCs w:val="22"/>
          <w:lang w:val="es-ES"/>
        </w:rPr>
        <w:t>Soluciones basadas en la naturaleza para una mejor resistencia climática</w:t>
      </w:r>
      <w:r w:rsidR="00BC467A" w:rsidRPr="005C40EF">
        <w:rPr>
          <w:rFonts w:asciiTheme="minorHAnsi" w:hAnsiTheme="minorHAnsi" w:cstheme="minorHAnsi"/>
          <w:noProof/>
          <w:sz w:val="22"/>
          <w:szCs w:val="22"/>
          <w:lang w:val="es-ES"/>
        </w:rPr>
        <w:t>]</w:t>
      </w:r>
      <w:r w:rsidR="0048758E" w:rsidRPr="005C40EF">
        <w:rPr>
          <w:rFonts w:asciiTheme="minorHAnsi" w:hAnsiTheme="minorHAnsi" w:cstheme="minorHAnsi"/>
          <w:noProof/>
          <w:sz w:val="22"/>
          <w:szCs w:val="22"/>
          <w:lang w:val="es-ES"/>
        </w:rPr>
        <w:t xml:space="preserve"> y Source-to-Sea Balancing Act [Equilibrio de la fuente al mar]; </w:t>
      </w:r>
      <w:r w:rsidR="00BC467A" w:rsidRPr="005C40EF">
        <w:rPr>
          <w:rFonts w:asciiTheme="minorHAnsi" w:hAnsiTheme="minorHAnsi" w:cstheme="minorHAnsi"/>
          <w:noProof/>
          <w:sz w:val="22"/>
          <w:szCs w:val="22"/>
          <w:lang w:val="es-ES"/>
        </w:rPr>
        <w:t xml:space="preserve">el Octavo </w:t>
      </w:r>
      <w:r w:rsidR="0048758E" w:rsidRPr="005C40EF">
        <w:rPr>
          <w:rFonts w:asciiTheme="minorHAnsi" w:hAnsiTheme="minorHAnsi" w:cstheme="minorHAnsi"/>
          <w:noProof/>
          <w:sz w:val="22"/>
          <w:szCs w:val="22"/>
          <w:lang w:val="es-ES"/>
        </w:rPr>
        <w:t>Foro</w:t>
      </w:r>
      <w:r w:rsidR="00BC467A" w:rsidRPr="005C40EF">
        <w:rPr>
          <w:rFonts w:asciiTheme="minorHAnsi" w:hAnsiTheme="minorHAnsi" w:cstheme="minorHAnsi"/>
          <w:noProof/>
          <w:sz w:val="22"/>
          <w:szCs w:val="22"/>
          <w:lang w:val="es-ES"/>
        </w:rPr>
        <w:t xml:space="preserve"> Mundial</w:t>
      </w:r>
      <w:r w:rsidR="0048758E" w:rsidRPr="005C40EF">
        <w:rPr>
          <w:rFonts w:asciiTheme="minorHAnsi" w:hAnsiTheme="minorHAnsi" w:cstheme="minorHAnsi"/>
          <w:noProof/>
          <w:sz w:val="22"/>
          <w:szCs w:val="22"/>
          <w:lang w:val="es-ES"/>
        </w:rPr>
        <w:t xml:space="preserve"> del Agua en Brasilia </w:t>
      </w:r>
      <w:r w:rsidR="00BC467A" w:rsidRPr="005C40EF">
        <w:rPr>
          <w:rFonts w:asciiTheme="minorHAnsi" w:hAnsiTheme="minorHAnsi" w:cstheme="minorHAnsi"/>
          <w:noProof/>
          <w:sz w:val="22"/>
          <w:szCs w:val="22"/>
          <w:lang w:val="es-ES"/>
        </w:rPr>
        <w:t>(</w:t>
      </w:r>
      <w:r w:rsidR="004448EF" w:rsidRPr="005C40EF">
        <w:rPr>
          <w:rFonts w:asciiTheme="minorHAnsi" w:hAnsiTheme="minorHAnsi" w:cstheme="minorHAnsi"/>
          <w:noProof/>
          <w:sz w:val="22"/>
          <w:szCs w:val="22"/>
          <w:lang w:val="es-ES"/>
        </w:rPr>
        <w:t xml:space="preserve">del </w:t>
      </w:r>
      <w:r w:rsidR="00BC467A" w:rsidRPr="005C40EF">
        <w:rPr>
          <w:rFonts w:asciiTheme="minorHAnsi" w:hAnsiTheme="minorHAnsi" w:cstheme="minorHAnsi"/>
          <w:noProof/>
          <w:sz w:val="22"/>
          <w:szCs w:val="22"/>
          <w:lang w:val="es-ES"/>
        </w:rPr>
        <w:t>18 a</w:t>
      </w:r>
      <w:r w:rsidR="004448EF" w:rsidRPr="005C40EF">
        <w:rPr>
          <w:rFonts w:asciiTheme="minorHAnsi" w:hAnsiTheme="minorHAnsi" w:cstheme="minorHAnsi"/>
          <w:noProof/>
          <w:sz w:val="22"/>
          <w:szCs w:val="22"/>
          <w:lang w:val="es-ES"/>
        </w:rPr>
        <w:t>l</w:t>
      </w:r>
      <w:r w:rsidR="00BC467A" w:rsidRPr="005C40EF">
        <w:rPr>
          <w:rFonts w:asciiTheme="minorHAnsi" w:hAnsiTheme="minorHAnsi" w:cstheme="minorHAnsi"/>
          <w:noProof/>
          <w:sz w:val="22"/>
          <w:szCs w:val="22"/>
          <w:lang w:val="es-ES"/>
        </w:rPr>
        <w:t xml:space="preserve"> </w:t>
      </w:r>
      <w:r w:rsidR="0048758E" w:rsidRPr="005C40EF">
        <w:rPr>
          <w:rFonts w:asciiTheme="minorHAnsi" w:hAnsiTheme="minorHAnsi" w:cstheme="minorHAnsi"/>
          <w:noProof/>
          <w:sz w:val="22"/>
          <w:szCs w:val="22"/>
          <w:lang w:val="es-ES"/>
        </w:rPr>
        <w:t>23 de marzo de 2018</w:t>
      </w:r>
      <w:r w:rsidR="00BC467A" w:rsidRPr="005C40EF">
        <w:rPr>
          <w:rFonts w:asciiTheme="minorHAnsi" w:hAnsiTheme="minorHAnsi" w:cstheme="minorHAnsi"/>
          <w:noProof/>
          <w:sz w:val="22"/>
          <w:szCs w:val="22"/>
          <w:lang w:val="es-ES"/>
        </w:rPr>
        <w:t>)</w:t>
      </w:r>
      <w:r w:rsidR="0048758E" w:rsidRPr="005C40EF">
        <w:rPr>
          <w:rFonts w:asciiTheme="minorHAnsi" w:hAnsiTheme="minorHAnsi" w:cstheme="minorHAnsi"/>
          <w:noProof/>
          <w:sz w:val="22"/>
          <w:szCs w:val="22"/>
          <w:lang w:val="es-ES"/>
        </w:rPr>
        <w:t xml:space="preserve">; y aportes </w:t>
      </w:r>
      <w:r w:rsidR="00BC467A" w:rsidRPr="005C40EF">
        <w:rPr>
          <w:rFonts w:asciiTheme="minorHAnsi" w:hAnsiTheme="minorHAnsi" w:cstheme="minorHAnsi"/>
          <w:noProof/>
          <w:sz w:val="22"/>
          <w:szCs w:val="22"/>
          <w:lang w:val="es-ES"/>
        </w:rPr>
        <w:t>para el</w:t>
      </w:r>
      <w:r w:rsidR="0048758E" w:rsidRPr="005C40EF">
        <w:rPr>
          <w:rFonts w:asciiTheme="minorHAnsi" w:hAnsiTheme="minorHAnsi" w:cstheme="minorHAnsi"/>
          <w:noProof/>
          <w:sz w:val="22"/>
          <w:szCs w:val="22"/>
          <w:lang w:val="es-ES"/>
        </w:rPr>
        <w:t xml:space="preserve"> Informe Mundial sobre el Desarrollo </w:t>
      </w:r>
      <w:r w:rsidR="00BC467A" w:rsidRPr="005C40EF">
        <w:rPr>
          <w:rFonts w:asciiTheme="minorHAnsi" w:hAnsiTheme="minorHAnsi" w:cstheme="minorHAnsi"/>
          <w:noProof/>
          <w:sz w:val="22"/>
          <w:szCs w:val="22"/>
          <w:lang w:val="es-ES"/>
        </w:rPr>
        <w:t>de los Recursos Hídricos de</w:t>
      </w:r>
      <w:r w:rsidR="0048758E" w:rsidRPr="005C40EF">
        <w:rPr>
          <w:rFonts w:asciiTheme="minorHAnsi" w:hAnsiTheme="minorHAnsi" w:cstheme="minorHAnsi"/>
          <w:noProof/>
          <w:sz w:val="22"/>
          <w:szCs w:val="22"/>
          <w:lang w:val="es-ES"/>
        </w:rPr>
        <w:t xml:space="preserve"> 2018</w:t>
      </w:r>
      <w:r w:rsidR="00BC467A" w:rsidRPr="005C40EF">
        <w:rPr>
          <w:rFonts w:asciiTheme="minorHAnsi" w:hAnsiTheme="minorHAnsi" w:cstheme="minorHAnsi"/>
          <w:noProof/>
          <w:sz w:val="22"/>
          <w:szCs w:val="22"/>
          <w:lang w:val="es-ES"/>
        </w:rPr>
        <w:t xml:space="preserve"> que se centra en “La n</w:t>
      </w:r>
      <w:r w:rsidR="0048758E" w:rsidRPr="005C40EF">
        <w:rPr>
          <w:rFonts w:asciiTheme="minorHAnsi" w:hAnsiTheme="minorHAnsi" w:cstheme="minorHAnsi"/>
          <w:noProof/>
          <w:sz w:val="22"/>
          <w:szCs w:val="22"/>
          <w:lang w:val="es-ES"/>
        </w:rPr>
        <w:t xml:space="preserve">aturaleza y </w:t>
      </w:r>
      <w:r w:rsidR="00BC467A" w:rsidRPr="005C40EF">
        <w:rPr>
          <w:rFonts w:asciiTheme="minorHAnsi" w:hAnsiTheme="minorHAnsi" w:cstheme="minorHAnsi"/>
          <w:noProof/>
          <w:sz w:val="22"/>
          <w:szCs w:val="22"/>
          <w:lang w:val="es-ES"/>
        </w:rPr>
        <w:t>el agua” y se</w:t>
      </w:r>
      <w:r w:rsidR="0048758E" w:rsidRPr="005C40EF">
        <w:rPr>
          <w:rFonts w:asciiTheme="minorHAnsi" w:hAnsiTheme="minorHAnsi" w:cstheme="minorHAnsi"/>
          <w:noProof/>
          <w:sz w:val="22"/>
          <w:szCs w:val="22"/>
          <w:lang w:val="es-ES"/>
        </w:rPr>
        <w:t xml:space="preserve"> </w:t>
      </w:r>
      <w:r w:rsidR="00BC467A" w:rsidRPr="005C40EF">
        <w:rPr>
          <w:rFonts w:asciiTheme="minorHAnsi" w:hAnsiTheme="minorHAnsi" w:cstheme="minorHAnsi"/>
          <w:noProof/>
          <w:sz w:val="22"/>
          <w:szCs w:val="22"/>
          <w:lang w:val="es-ES"/>
        </w:rPr>
        <w:t>presentó</w:t>
      </w:r>
      <w:r w:rsidR="0048758E" w:rsidRPr="005C40EF">
        <w:rPr>
          <w:rFonts w:asciiTheme="minorHAnsi" w:hAnsiTheme="minorHAnsi" w:cstheme="minorHAnsi"/>
          <w:noProof/>
          <w:sz w:val="22"/>
          <w:szCs w:val="22"/>
          <w:lang w:val="es-ES"/>
        </w:rPr>
        <w:t xml:space="preserve"> en marzo de 2018;</w:t>
      </w:r>
    </w:p>
    <w:p w14:paraId="7192DA10" w14:textId="52B16A6E" w:rsidR="00127E63" w:rsidRPr="005C40EF" w:rsidRDefault="00127E63" w:rsidP="0048758E">
      <w:pPr>
        <w:pStyle w:val="ListParagraph"/>
        <w:ind w:left="850"/>
        <w:rPr>
          <w:rFonts w:asciiTheme="minorHAnsi" w:hAnsiTheme="minorHAnsi" w:cstheme="minorHAnsi"/>
          <w:noProof/>
          <w:sz w:val="22"/>
          <w:szCs w:val="22"/>
          <w:lang w:val="es-ES"/>
        </w:rPr>
      </w:pPr>
    </w:p>
    <w:p w14:paraId="4297ECE5" w14:textId="6BA01E2E" w:rsidR="00BC467A" w:rsidRPr="005C40EF" w:rsidRDefault="00BC467A" w:rsidP="00BC467A">
      <w:pPr>
        <w:pStyle w:val="ListParagraph"/>
        <w:numPr>
          <w:ilvl w:val="0"/>
          <w:numId w:val="2"/>
        </w:numPr>
        <w:ind w:left="850" w:hanging="425"/>
        <w:rPr>
          <w:rFonts w:asciiTheme="minorHAnsi" w:hAnsiTheme="minorHAnsi" w:cstheme="minorHAnsi"/>
          <w:noProof/>
          <w:sz w:val="22"/>
          <w:szCs w:val="22"/>
          <w:lang w:val="es-ES"/>
        </w:rPr>
      </w:pPr>
      <w:r w:rsidRPr="005C40EF">
        <w:rPr>
          <w:rFonts w:asciiTheme="minorHAnsi" w:hAnsiTheme="minorHAnsi" w:cstheme="minorHAnsi"/>
          <w:noProof/>
          <w:sz w:val="22"/>
          <w:szCs w:val="22"/>
          <w:lang w:val="es-ES"/>
        </w:rPr>
        <w:t>Contribución a evaluaciones importante</w:t>
      </w:r>
      <w:r w:rsidR="0029740E" w:rsidRPr="005C40EF">
        <w:rPr>
          <w:rFonts w:asciiTheme="minorHAnsi" w:hAnsiTheme="minorHAnsi" w:cstheme="minorHAnsi"/>
          <w:noProof/>
          <w:sz w:val="22"/>
          <w:szCs w:val="22"/>
          <w:lang w:val="es-ES"/>
        </w:rPr>
        <w:t>s</w:t>
      </w:r>
      <w:r w:rsidRPr="005C40EF">
        <w:rPr>
          <w:rFonts w:asciiTheme="minorHAnsi" w:hAnsiTheme="minorHAnsi" w:cstheme="minorHAnsi"/>
          <w:noProof/>
          <w:sz w:val="22"/>
          <w:szCs w:val="22"/>
          <w:lang w:val="es-ES"/>
        </w:rPr>
        <w:t xml:space="preserve">, además de las de la IPBES, en particular: el sexto informe </w:t>
      </w:r>
      <w:r w:rsidR="0029740E" w:rsidRPr="005C40EF">
        <w:rPr>
          <w:rFonts w:asciiTheme="minorHAnsi" w:hAnsiTheme="minorHAnsi" w:cstheme="minorHAnsi"/>
          <w:noProof/>
          <w:sz w:val="22"/>
          <w:szCs w:val="22"/>
          <w:lang w:val="es-ES"/>
        </w:rPr>
        <w:t>de las Perspectivas</w:t>
      </w:r>
      <w:r w:rsidRPr="005C40EF">
        <w:rPr>
          <w:rFonts w:asciiTheme="minorHAnsi" w:hAnsiTheme="minorHAnsi" w:cstheme="minorHAnsi"/>
          <w:noProof/>
          <w:sz w:val="22"/>
          <w:szCs w:val="22"/>
          <w:lang w:val="es-ES"/>
        </w:rPr>
        <w:t xml:space="preserve"> </w:t>
      </w:r>
      <w:r w:rsidR="0029740E" w:rsidRPr="005C40EF">
        <w:rPr>
          <w:rFonts w:asciiTheme="minorHAnsi" w:hAnsiTheme="minorHAnsi" w:cstheme="minorHAnsi"/>
          <w:noProof/>
          <w:sz w:val="22"/>
          <w:szCs w:val="22"/>
          <w:lang w:val="es-ES"/>
        </w:rPr>
        <w:t xml:space="preserve">del Medio Ambiente Mundial </w:t>
      </w:r>
      <w:r w:rsidRPr="005C40EF">
        <w:rPr>
          <w:rFonts w:asciiTheme="minorHAnsi" w:hAnsiTheme="minorHAnsi" w:cstheme="minorHAnsi"/>
          <w:noProof/>
          <w:sz w:val="22"/>
          <w:szCs w:val="22"/>
          <w:lang w:val="es-ES"/>
        </w:rPr>
        <w:t>(</w:t>
      </w:r>
      <w:r w:rsidR="00FE1567" w:rsidRPr="005C40EF">
        <w:rPr>
          <w:rFonts w:asciiTheme="minorHAnsi" w:hAnsiTheme="minorHAnsi" w:cstheme="minorHAnsi"/>
          <w:noProof/>
          <w:sz w:val="22"/>
          <w:szCs w:val="22"/>
          <w:lang w:val="es-ES"/>
        </w:rPr>
        <w:t xml:space="preserve">capítulo sobre el agua dulce del </w:t>
      </w:r>
      <w:r w:rsidRPr="005C40EF">
        <w:rPr>
          <w:rFonts w:asciiTheme="minorHAnsi" w:hAnsiTheme="minorHAnsi" w:cstheme="minorHAnsi"/>
          <w:noProof/>
          <w:sz w:val="22"/>
          <w:szCs w:val="22"/>
          <w:lang w:val="es-ES"/>
        </w:rPr>
        <w:t>GEO-6)</w:t>
      </w:r>
      <w:r w:rsidR="00FE1567" w:rsidRPr="005C40EF">
        <w:rPr>
          <w:rFonts w:asciiTheme="minorHAnsi" w:hAnsiTheme="minorHAnsi" w:cstheme="minorHAnsi"/>
          <w:noProof/>
          <w:sz w:val="22"/>
          <w:szCs w:val="22"/>
          <w:lang w:val="es-ES"/>
        </w:rPr>
        <w:t>,</w:t>
      </w:r>
      <w:r w:rsidRPr="005C40EF">
        <w:rPr>
          <w:rFonts w:asciiTheme="minorHAnsi" w:hAnsiTheme="minorHAnsi" w:cstheme="minorHAnsi"/>
          <w:noProof/>
          <w:sz w:val="22"/>
          <w:szCs w:val="22"/>
          <w:lang w:val="es-ES"/>
        </w:rPr>
        <w:t xml:space="preserve"> y participación del GECT en la convocatoria de examinadores del primer proyecto del mejoramiento de 2019 de las Directrices de 2006 del Grupo Intergubernamental de Expertos sobre el Cambio Climático (IPCC) para los inventarios nacionales</w:t>
      </w:r>
      <w:r w:rsidR="00FE1567" w:rsidRPr="005C40EF">
        <w:rPr>
          <w:rFonts w:asciiTheme="minorHAnsi" w:hAnsiTheme="minorHAnsi" w:cstheme="minorHAnsi"/>
          <w:noProof/>
          <w:sz w:val="22"/>
          <w:szCs w:val="22"/>
          <w:lang w:val="es-ES"/>
        </w:rPr>
        <w:t xml:space="preserve"> de gases de efecto invernadero; y</w:t>
      </w:r>
    </w:p>
    <w:p w14:paraId="3F4D8C69" w14:textId="77777777" w:rsidR="005D05E1" w:rsidRPr="005C40EF" w:rsidRDefault="005D05E1" w:rsidP="005D05E1">
      <w:pPr>
        <w:rPr>
          <w:rFonts w:asciiTheme="minorHAnsi" w:hAnsiTheme="minorHAnsi" w:cstheme="minorHAnsi"/>
          <w:noProof/>
          <w:sz w:val="22"/>
          <w:szCs w:val="22"/>
          <w:lang w:val="es-ES"/>
        </w:rPr>
      </w:pPr>
    </w:p>
    <w:p w14:paraId="354C6F95" w14:textId="1CB9801C" w:rsidR="00FE1567" w:rsidRPr="005C40EF" w:rsidRDefault="00FE1567" w:rsidP="00290840">
      <w:pPr>
        <w:pStyle w:val="ListParagraph"/>
        <w:numPr>
          <w:ilvl w:val="0"/>
          <w:numId w:val="2"/>
        </w:numPr>
        <w:ind w:left="850" w:hanging="425"/>
        <w:rPr>
          <w:rFonts w:asciiTheme="minorHAnsi" w:hAnsiTheme="minorHAnsi" w:cstheme="minorHAnsi"/>
          <w:noProof/>
          <w:sz w:val="22"/>
          <w:szCs w:val="22"/>
          <w:lang w:val="es-ES"/>
        </w:rPr>
      </w:pPr>
      <w:r w:rsidRPr="005C40EF">
        <w:rPr>
          <w:rFonts w:asciiTheme="minorHAnsi" w:hAnsiTheme="minorHAnsi" w:cstheme="minorHAnsi"/>
          <w:noProof/>
          <w:sz w:val="22"/>
          <w:szCs w:val="22"/>
          <w:lang w:val="es-ES"/>
        </w:rPr>
        <w:t>Colaboración con la Secretaría del AEWA como miembro del comité directivo del proyecto “Renforcement d’Expertise au Sud du Sahara sur les Oiseaux et leur Utilisation Rationnelle en faveur des Communautés et de leur Environnement” de la Organización de las Naciones Unidas para la Alimentación y la Agricultura (FAO).</w:t>
      </w:r>
    </w:p>
    <w:p w14:paraId="346D24C5" w14:textId="77777777" w:rsidR="009461BB" w:rsidRPr="005C40EF" w:rsidRDefault="009461BB" w:rsidP="00290840">
      <w:pPr>
        <w:pStyle w:val="ListParagraph"/>
        <w:ind w:left="360"/>
        <w:rPr>
          <w:rFonts w:asciiTheme="minorHAnsi" w:hAnsiTheme="minorHAnsi" w:cstheme="minorHAnsi"/>
          <w:noProof/>
          <w:sz w:val="22"/>
          <w:szCs w:val="22"/>
          <w:lang w:val="es-ES"/>
        </w:rPr>
      </w:pPr>
    </w:p>
    <w:p w14:paraId="752B9D63" w14:textId="021D9037" w:rsidR="00B830FD" w:rsidRPr="005C40EF" w:rsidRDefault="002213E9" w:rsidP="002213E9">
      <w:pPr>
        <w:autoSpaceDE w:val="0"/>
        <w:autoSpaceDN w:val="0"/>
        <w:adjustRightInd w:val="0"/>
        <w:ind w:left="425" w:hanging="425"/>
        <w:rPr>
          <w:rFonts w:asciiTheme="minorHAnsi" w:hAnsiTheme="minorHAnsi" w:cstheme="minorHAnsi"/>
          <w:noProof/>
          <w:sz w:val="22"/>
          <w:szCs w:val="22"/>
          <w:lang w:val="es-ES"/>
        </w:rPr>
      </w:pPr>
      <w:r>
        <w:rPr>
          <w:rFonts w:asciiTheme="minorHAnsi" w:hAnsiTheme="minorHAnsi" w:cstheme="minorHAnsi"/>
          <w:noProof/>
          <w:sz w:val="22"/>
          <w:szCs w:val="22"/>
          <w:lang w:val="es-ES"/>
        </w:rPr>
        <w:t>24.</w:t>
      </w:r>
      <w:r>
        <w:rPr>
          <w:rFonts w:asciiTheme="minorHAnsi" w:hAnsiTheme="minorHAnsi" w:cstheme="minorHAnsi"/>
          <w:noProof/>
          <w:sz w:val="22"/>
          <w:szCs w:val="22"/>
          <w:lang w:val="es-ES"/>
        </w:rPr>
        <w:tab/>
      </w:r>
      <w:r w:rsidR="00290840" w:rsidRPr="005C40EF">
        <w:rPr>
          <w:rFonts w:asciiTheme="minorHAnsi" w:hAnsiTheme="minorHAnsi" w:cstheme="minorHAnsi"/>
          <w:noProof/>
          <w:sz w:val="22"/>
          <w:szCs w:val="22"/>
          <w:lang w:val="es-ES"/>
        </w:rPr>
        <w:t xml:space="preserve">En cumplimiento de su mandato, la Secretaría ha </w:t>
      </w:r>
      <w:r w:rsidR="004176FC" w:rsidRPr="005C40EF">
        <w:rPr>
          <w:rFonts w:asciiTheme="minorHAnsi" w:hAnsiTheme="minorHAnsi" w:cstheme="minorHAnsi"/>
          <w:noProof/>
          <w:sz w:val="22"/>
          <w:szCs w:val="22"/>
          <w:lang w:val="es-ES"/>
        </w:rPr>
        <w:t>aumentado</w:t>
      </w:r>
      <w:r w:rsidR="00290840" w:rsidRPr="005C40EF">
        <w:rPr>
          <w:rFonts w:asciiTheme="minorHAnsi" w:hAnsiTheme="minorHAnsi" w:cstheme="minorHAnsi"/>
          <w:noProof/>
          <w:sz w:val="22"/>
          <w:szCs w:val="22"/>
          <w:lang w:val="es-ES"/>
        </w:rPr>
        <w:t xml:space="preserve"> su compromiso con los acuerdos multilaterales sobre el medio ambiente y los procesos de las Naciones Unidas pertinentes. Sin embargo, un gran obstáculo en el período que abarca el informe fue que se negó a la Secretaría el derecho a participar, en nombre de la Convención, en la reunión del Foro Político de Alto Nivel de las Naciones Unidas en julio de 2017, que revisa la aplicación de los ODS y en general la Agenda 2030 para el Desarrollo Sostenible. Esto se debió a que la Secretaría no </w:t>
      </w:r>
      <w:r w:rsidR="004176FC" w:rsidRPr="005C40EF">
        <w:rPr>
          <w:rFonts w:asciiTheme="minorHAnsi" w:hAnsiTheme="minorHAnsi" w:cstheme="minorHAnsi"/>
          <w:noProof/>
          <w:sz w:val="22"/>
          <w:szCs w:val="22"/>
          <w:lang w:val="es-ES"/>
        </w:rPr>
        <w:t>goza de la</w:t>
      </w:r>
      <w:r w:rsidR="00290840" w:rsidRPr="005C40EF">
        <w:rPr>
          <w:rFonts w:asciiTheme="minorHAnsi" w:hAnsiTheme="minorHAnsi" w:cstheme="minorHAnsi"/>
          <w:noProof/>
          <w:sz w:val="22"/>
          <w:szCs w:val="22"/>
          <w:lang w:val="es-ES"/>
        </w:rPr>
        <w:t xml:space="preserve"> </w:t>
      </w:r>
      <w:r w:rsidR="00290840" w:rsidRPr="005C40EF">
        <w:rPr>
          <w:rFonts w:asciiTheme="minorHAnsi" w:hAnsiTheme="minorHAnsi" w:cstheme="minorHAnsi"/>
          <w:noProof/>
          <w:sz w:val="22"/>
          <w:szCs w:val="22"/>
          <w:lang w:val="es-ES"/>
        </w:rPr>
        <w:lastRenderedPageBreak/>
        <w:t xml:space="preserve">condición de observador en la Asamblea General de las Naciones Unidas ni en el Consejo Económico y Social de las Naciones Unidas, que es la plataforma de las Naciones Unidas para el debate sobre el desarrollo sostenible. La Secretaría informó al Equipo Ejecutivo y a los copresidentes del FWG y, junto con el Asesor Jurídico, brindó apoyo al Uruguay, como </w:t>
      </w:r>
      <w:r w:rsidR="004176FC" w:rsidRPr="005C40EF">
        <w:rPr>
          <w:rFonts w:asciiTheme="minorHAnsi" w:hAnsiTheme="minorHAnsi" w:cstheme="minorHAnsi"/>
          <w:noProof/>
          <w:sz w:val="22"/>
          <w:szCs w:val="22"/>
          <w:lang w:val="es-ES"/>
        </w:rPr>
        <w:t>presidente</w:t>
      </w:r>
      <w:r w:rsidR="00290840" w:rsidRPr="005C40EF">
        <w:rPr>
          <w:rFonts w:asciiTheme="minorHAnsi" w:hAnsiTheme="minorHAnsi" w:cstheme="minorHAnsi"/>
          <w:noProof/>
          <w:sz w:val="22"/>
          <w:szCs w:val="22"/>
          <w:lang w:val="es-ES"/>
        </w:rPr>
        <w:t xml:space="preserve"> del Comité Permanente, para solicitar a la Asamblea General </w:t>
      </w:r>
      <w:r w:rsidR="00B830FD" w:rsidRPr="005C40EF">
        <w:rPr>
          <w:rFonts w:asciiTheme="minorHAnsi" w:hAnsiTheme="minorHAnsi" w:cstheme="minorHAnsi"/>
          <w:noProof/>
          <w:sz w:val="22"/>
          <w:szCs w:val="22"/>
          <w:lang w:val="es-ES"/>
        </w:rPr>
        <w:t xml:space="preserve">que conceda </w:t>
      </w:r>
      <w:r w:rsidR="00290840" w:rsidRPr="005C40EF">
        <w:rPr>
          <w:rFonts w:asciiTheme="minorHAnsi" w:hAnsiTheme="minorHAnsi" w:cstheme="minorHAnsi"/>
          <w:noProof/>
          <w:sz w:val="22"/>
          <w:szCs w:val="22"/>
          <w:lang w:val="es-ES"/>
        </w:rPr>
        <w:t>la condición de observador</w:t>
      </w:r>
      <w:r w:rsidR="00B830FD" w:rsidRPr="005C40EF">
        <w:rPr>
          <w:rFonts w:asciiTheme="minorHAnsi" w:hAnsiTheme="minorHAnsi" w:cstheme="minorHAnsi"/>
          <w:noProof/>
          <w:sz w:val="22"/>
          <w:szCs w:val="22"/>
          <w:lang w:val="es-ES"/>
        </w:rPr>
        <w:t xml:space="preserve"> a la Secretaría de Ramsar</w:t>
      </w:r>
      <w:r w:rsidR="00290840" w:rsidRPr="005C40EF">
        <w:rPr>
          <w:rFonts w:asciiTheme="minorHAnsi" w:hAnsiTheme="minorHAnsi" w:cstheme="minorHAnsi"/>
          <w:noProof/>
          <w:sz w:val="22"/>
          <w:szCs w:val="22"/>
          <w:lang w:val="es-ES"/>
        </w:rPr>
        <w:t>. La solicitud se aplazó hasta la 73ª sesión de la Asamblea General de las Naciones U</w:t>
      </w:r>
      <w:r w:rsidR="00B830FD" w:rsidRPr="005C40EF">
        <w:rPr>
          <w:rFonts w:asciiTheme="minorHAnsi" w:hAnsiTheme="minorHAnsi" w:cstheme="minorHAnsi"/>
          <w:noProof/>
          <w:sz w:val="22"/>
          <w:szCs w:val="22"/>
          <w:lang w:val="es-ES"/>
        </w:rPr>
        <w:t>nidas</w:t>
      </w:r>
      <w:r w:rsidR="00CA1C37" w:rsidRPr="005C40EF">
        <w:rPr>
          <w:rFonts w:asciiTheme="minorHAnsi" w:hAnsiTheme="minorHAnsi" w:cstheme="minorHAnsi"/>
          <w:noProof/>
          <w:sz w:val="22"/>
          <w:szCs w:val="22"/>
          <w:lang w:val="es-ES"/>
        </w:rPr>
        <w:t>,</w:t>
      </w:r>
      <w:r w:rsidR="00B830FD" w:rsidRPr="005C40EF">
        <w:rPr>
          <w:rFonts w:asciiTheme="minorHAnsi" w:hAnsiTheme="minorHAnsi" w:cstheme="minorHAnsi"/>
          <w:noProof/>
          <w:sz w:val="22"/>
          <w:szCs w:val="22"/>
          <w:lang w:val="es-ES"/>
        </w:rPr>
        <w:t xml:space="preserve"> cuyo inicio está programada para el 18 de septiembre de 2018</w:t>
      </w:r>
      <w:r w:rsidR="00CA1C37" w:rsidRPr="005C40EF">
        <w:rPr>
          <w:rFonts w:asciiTheme="minorHAnsi" w:hAnsiTheme="minorHAnsi" w:cstheme="minorHAnsi"/>
          <w:noProof/>
          <w:sz w:val="22"/>
          <w:szCs w:val="22"/>
          <w:lang w:val="es-ES"/>
        </w:rPr>
        <w:t>,</w:t>
      </w:r>
      <w:r w:rsidR="00B830FD" w:rsidRPr="005C40EF">
        <w:rPr>
          <w:rFonts w:asciiTheme="minorHAnsi" w:hAnsiTheme="minorHAnsi" w:cstheme="minorHAnsi"/>
          <w:noProof/>
          <w:sz w:val="22"/>
          <w:szCs w:val="22"/>
          <w:lang w:val="es-ES"/>
        </w:rPr>
        <w:t xml:space="preserve"> y </w:t>
      </w:r>
      <w:r w:rsidR="00CA1C37" w:rsidRPr="005C40EF">
        <w:rPr>
          <w:rFonts w:asciiTheme="minorHAnsi" w:hAnsiTheme="minorHAnsi" w:cstheme="minorHAnsi"/>
          <w:noProof/>
          <w:sz w:val="22"/>
          <w:szCs w:val="22"/>
          <w:lang w:val="es-ES"/>
        </w:rPr>
        <w:t>forma parte de</w:t>
      </w:r>
      <w:r w:rsidR="00B830FD" w:rsidRPr="005C40EF">
        <w:rPr>
          <w:rFonts w:asciiTheme="minorHAnsi" w:hAnsiTheme="minorHAnsi" w:cstheme="minorHAnsi"/>
          <w:noProof/>
          <w:sz w:val="22"/>
          <w:szCs w:val="22"/>
          <w:lang w:val="es-ES"/>
        </w:rPr>
        <w:t xml:space="preserve"> su orden del día. En la reunión SC54, en la Decisión SC54-07, el Comité Permanente “instruyó a la Secretaría, junto con las Partes interesadas, a que continuara estudiando las opciones para obtener acceso a las reuniones de la Asamblea General de las Naciones Unidas y los foros de alto nivel relacionados”. Este tema forma parte de los órdenes del día de las reuniones SC55 y COP13. Mientras tanto, la Secretaría pudo asistir al Foro Político </w:t>
      </w:r>
      <w:r w:rsidR="00A612B7">
        <w:rPr>
          <w:rFonts w:asciiTheme="minorHAnsi" w:hAnsiTheme="minorHAnsi" w:cstheme="minorHAnsi"/>
          <w:noProof/>
          <w:sz w:val="22"/>
          <w:szCs w:val="22"/>
          <w:lang w:val="es-ES"/>
        </w:rPr>
        <w:t xml:space="preserve">de Alto Nivel en julio de 2018 </w:t>
      </w:r>
      <w:r w:rsidR="00B830FD" w:rsidRPr="005C40EF">
        <w:rPr>
          <w:rFonts w:asciiTheme="minorHAnsi" w:hAnsiTheme="minorHAnsi" w:cstheme="minorHAnsi"/>
          <w:noProof/>
          <w:sz w:val="22"/>
          <w:szCs w:val="22"/>
          <w:lang w:val="es-ES"/>
        </w:rPr>
        <w:t>como miembro de la delegación de la</w:t>
      </w:r>
      <w:r w:rsidR="00CA1C37" w:rsidRPr="005C40EF">
        <w:rPr>
          <w:rFonts w:asciiTheme="minorHAnsi" w:hAnsiTheme="minorHAnsi" w:cstheme="minorHAnsi"/>
          <w:noProof/>
          <w:sz w:val="22"/>
          <w:szCs w:val="22"/>
          <w:lang w:val="es-ES"/>
        </w:rPr>
        <w:t xml:space="preserve"> UICN. La Secretaría también ha enfrentado</w:t>
      </w:r>
      <w:r w:rsidR="00B830FD" w:rsidRPr="005C40EF">
        <w:rPr>
          <w:rFonts w:asciiTheme="minorHAnsi" w:hAnsiTheme="minorHAnsi" w:cstheme="minorHAnsi"/>
          <w:noProof/>
          <w:sz w:val="22"/>
          <w:szCs w:val="22"/>
          <w:lang w:val="es-ES"/>
        </w:rPr>
        <w:t xml:space="preserve"> limitaciones para su participación en el programa de las Naciones Uni</w:t>
      </w:r>
      <w:r w:rsidR="004176FC" w:rsidRPr="005C40EF">
        <w:rPr>
          <w:rFonts w:asciiTheme="minorHAnsi" w:hAnsiTheme="minorHAnsi" w:cstheme="minorHAnsi"/>
          <w:noProof/>
          <w:sz w:val="22"/>
          <w:szCs w:val="22"/>
          <w:lang w:val="es-ES"/>
        </w:rPr>
        <w:t>das sobre los recursos hídricos</w:t>
      </w:r>
      <w:r w:rsidR="00B830FD" w:rsidRPr="005C40EF">
        <w:rPr>
          <w:rFonts w:asciiTheme="minorHAnsi" w:hAnsiTheme="minorHAnsi" w:cstheme="minorHAnsi"/>
          <w:noProof/>
          <w:sz w:val="22"/>
          <w:szCs w:val="22"/>
          <w:lang w:val="es-ES"/>
        </w:rPr>
        <w:t xml:space="preserve"> que ONU-Agua coordina </w:t>
      </w:r>
      <w:r w:rsidR="00CA1C37" w:rsidRPr="005C40EF">
        <w:rPr>
          <w:rFonts w:asciiTheme="minorHAnsi" w:hAnsiTheme="minorHAnsi" w:cstheme="minorHAnsi"/>
          <w:noProof/>
          <w:sz w:val="22"/>
          <w:szCs w:val="22"/>
          <w:lang w:val="es-ES"/>
        </w:rPr>
        <w:t>a lo largo del</w:t>
      </w:r>
      <w:r w:rsidR="00B830FD" w:rsidRPr="005C40EF">
        <w:rPr>
          <w:rFonts w:asciiTheme="minorHAnsi" w:hAnsiTheme="minorHAnsi" w:cstheme="minorHAnsi"/>
          <w:noProof/>
          <w:sz w:val="22"/>
          <w:szCs w:val="22"/>
          <w:lang w:val="es-ES"/>
        </w:rPr>
        <w:t xml:space="preserve"> sistema de las Naciones Unidas. Contrariamente a otros acuerdos multilaterales sobre el medio ambiente, la Convención de Ramsar no es un “miembro” de ONU-Agua, ya que no forma parte del sistema de las Naciones Unidas. La Secretaría</w:t>
      </w:r>
      <w:r w:rsidR="00CA1C37" w:rsidRPr="005C40EF">
        <w:rPr>
          <w:rFonts w:asciiTheme="minorHAnsi" w:hAnsiTheme="minorHAnsi" w:cstheme="minorHAnsi"/>
          <w:noProof/>
          <w:sz w:val="22"/>
          <w:szCs w:val="22"/>
          <w:lang w:val="es-ES"/>
        </w:rPr>
        <w:t xml:space="preserve"> solo puede contribuir como “asociada”</w:t>
      </w:r>
      <w:r w:rsidR="00B830FD" w:rsidRPr="005C40EF">
        <w:rPr>
          <w:rFonts w:asciiTheme="minorHAnsi" w:hAnsiTheme="minorHAnsi" w:cstheme="minorHAnsi"/>
          <w:noProof/>
          <w:sz w:val="22"/>
          <w:szCs w:val="22"/>
          <w:lang w:val="es-ES"/>
        </w:rPr>
        <w:t xml:space="preserve">, lo que implica limitaciones </w:t>
      </w:r>
      <w:r w:rsidR="00CA1C37" w:rsidRPr="005C40EF">
        <w:rPr>
          <w:rFonts w:asciiTheme="minorHAnsi" w:hAnsiTheme="minorHAnsi" w:cstheme="minorHAnsi"/>
          <w:noProof/>
          <w:sz w:val="22"/>
          <w:szCs w:val="22"/>
          <w:lang w:val="es-ES"/>
        </w:rPr>
        <w:t>en su participación</w:t>
      </w:r>
      <w:r w:rsidR="00B830FD" w:rsidRPr="005C40EF">
        <w:rPr>
          <w:rFonts w:asciiTheme="minorHAnsi" w:hAnsiTheme="minorHAnsi" w:cstheme="minorHAnsi"/>
          <w:noProof/>
          <w:sz w:val="22"/>
          <w:szCs w:val="22"/>
          <w:lang w:val="es-ES"/>
        </w:rPr>
        <w:t>.</w:t>
      </w:r>
    </w:p>
    <w:p w14:paraId="76046519" w14:textId="77777777" w:rsidR="00290840" w:rsidRPr="005C40EF" w:rsidRDefault="00290840" w:rsidP="00C81B75">
      <w:pPr>
        <w:rPr>
          <w:rFonts w:asciiTheme="minorHAnsi" w:hAnsiTheme="minorHAnsi" w:cstheme="minorHAnsi"/>
          <w:noProof/>
          <w:sz w:val="22"/>
          <w:szCs w:val="22"/>
          <w:lang w:val="es-ES"/>
        </w:rPr>
      </w:pPr>
    </w:p>
    <w:p w14:paraId="756723E6" w14:textId="77777777" w:rsidR="00CA1C37" w:rsidRPr="005C40EF" w:rsidRDefault="00CA1C37" w:rsidP="00CA1C37">
      <w:pPr>
        <w:rPr>
          <w:rFonts w:asciiTheme="minorHAnsi" w:hAnsiTheme="minorHAnsi" w:cstheme="minorHAnsi"/>
          <w:bCs/>
          <w:noProof/>
          <w:sz w:val="22"/>
          <w:szCs w:val="22"/>
          <w:u w:val="single"/>
          <w:lang w:val="es-ES"/>
        </w:rPr>
      </w:pPr>
      <w:r w:rsidRPr="005C40EF">
        <w:rPr>
          <w:rFonts w:asciiTheme="minorHAnsi" w:hAnsiTheme="minorHAnsi" w:cstheme="minorHAnsi"/>
          <w:bCs/>
          <w:noProof/>
          <w:sz w:val="22"/>
          <w:szCs w:val="22"/>
          <w:u w:val="single"/>
          <w:lang w:val="es-ES"/>
        </w:rPr>
        <w:t xml:space="preserve">Reforzar el apoyo y facilitar la aplicación </w:t>
      </w:r>
    </w:p>
    <w:p w14:paraId="298AAD2B" w14:textId="77777777" w:rsidR="0091414E" w:rsidRPr="005C40EF" w:rsidRDefault="0091414E" w:rsidP="00C81B75">
      <w:pPr>
        <w:keepNext/>
        <w:rPr>
          <w:rFonts w:asciiTheme="minorHAnsi" w:hAnsiTheme="minorHAnsi" w:cstheme="minorHAnsi"/>
          <w:noProof/>
          <w:sz w:val="22"/>
          <w:szCs w:val="22"/>
          <w:lang w:val="es-ES"/>
        </w:rPr>
      </w:pPr>
    </w:p>
    <w:p w14:paraId="025D574E" w14:textId="20CE1049" w:rsidR="00CA1C37" w:rsidRPr="005C40EF" w:rsidRDefault="002213E9" w:rsidP="002213E9">
      <w:pPr>
        <w:autoSpaceDE w:val="0"/>
        <w:autoSpaceDN w:val="0"/>
        <w:adjustRightInd w:val="0"/>
        <w:ind w:left="425" w:hanging="425"/>
        <w:rPr>
          <w:rFonts w:asciiTheme="minorHAnsi" w:hAnsiTheme="minorHAnsi" w:cstheme="minorHAnsi"/>
          <w:noProof/>
          <w:sz w:val="22"/>
          <w:szCs w:val="22"/>
          <w:lang w:val="es-ES"/>
        </w:rPr>
      </w:pPr>
      <w:r>
        <w:rPr>
          <w:rFonts w:asciiTheme="minorHAnsi" w:hAnsiTheme="minorHAnsi" w:cstheme="minorHAnsi"/>
          <w:noProof/>
          <w:sz w:val="22"/>
          <w:szCs w:val="22"/>
          <w:lang w:val="es-ES"/>
        </w:rPr>
        <w:t>25.</w:t>
      </w:r>
      <w:r>
        <w:rPr>
          <w:rFonts w:asciiTheme="minorHAnsi" w:hAnsiTheme="minorHAnsi" w:cstheme="minorHAnsi"/>
          <w:noProof/>
          <w:sz w:val="22"/>
          <w:szCs w:val="22"/>
          <w:lang w:val="es-ES"/>
        </w:rPr>
        <w:tab/>
      </w:r>
      <w:r w:rsidR="00525F5F" w:rsidRPr="005C40EF">
        <w:rPr>
          <w:rFonts w:asciiTheme="minorHAnsi" w:hAnsiTheme="minorHAnsi" w:cstheme="minorHAnsi"/>
          <w:noProof/>
          <w:sz w:val="22"/>
          <w:szCs w:val="22"/>
          <w:lang w:val="es-ES"/>
        </w:rPr>
        <w:t>A lo largo</w:t>
      </w:r>
      <w:r w:rsidR="00B430AF" w:rsidRPr="005C40EF">
        <w:rPr>
          <w:rFonts w:asciiTheme="minorHAnsi" w:hAnsiTheme="minorHAnsi" w:cstheme="minorHAnsi"/>
          <w:noProof/>
          <w:sz w:val="22"/>
          <w:szCs w:val="22"/>
          <w:lang w:val="es-ES"/>
        </w:rPr>
        <w:t xml:space="preserve"> </w:t>
      </w:r>
      <w:r w:rsidR="00525F5F" w:rsidRPr="005C40EF">
        <w:rPr>
          <w:rFonts w:asciiTheme="minorHAnsi" w:hAnsiTheme="minorHAnsi" w:cstheme="minorHAnsi"/>
          <w:noProof/>
          <w:sz w:val="22"/>
          <w:szCs w:val="22"/>
          <w:lang w:val="es-ES"/>
        </w:rPr>
        <w:t>d</w:t>
      </w:r>
      <w:r w:rsidR="00B430AF" w:rsidRPr="005C40EF">
        <w:rPr>
          <w:rFonts w:asciiTheme="minorHAnsi" w:hAnsiTheme="minorHAnsi" w:cstheme="minorHAnsi"/>
          <w:noProof/>
          <w:sz w:val="22"/>
          <w:szCs w:val="22"/>
          <w:lang w:val="es-ES"/>
        </w:rPr>
        <w:t>el trienio</w:t>
      </w:r>
      <w:r w:rsidR="00CA1C37" w:rsidRPr="005C40EF">
        <w:rPr>
          <w:rFonts w:asciiTheme="minorHAnsi" w:hAnsiTheme="minorHAnsi" w:cstheme="minorHAnsi"/>
          <w:noProof/>
          <w:sz w:val="22"/>
          <w:szCs w:val="22"/>
          <w:lang w:val="es-ES"/>
        </w:rPr>
        <w:t xml:space="preserve">, la Secretaría ha prestado su apoyo en los procesos de designación de </w:t>
      </w:r>
      <w:r w:rsidR="00B430AF" w:rsidRPr="005C40EF">
        <w:rPr>
          <w:rFonts w:asciiTheme="minorHAnsi" w:hAnsiTheme="minorHAnsi" w:cstheme="minorHAnsi"/>
          <w:noProof/>
          <w:sz w:val="22"/>
          <w:szCs w:val="22"/>
          <w:lang w:val="es-ES"/>
        </w:rPr>
        <w:t>131</w:t>
      </w:r>
      <w:r w:rsidR="00CA1C37" w:rsidRPr="005C40EF">
        <w:rPr>
          <w:rFonts w:asciiTheme="minorHAnsi" w:hAnsiTheme="minorHAnsi" w:cstheme="minorHAnsi"/>
          <w:noProof/>
          <w:sz w:val="22"/>
          <w:szCs w:val="22"/>
          <w:lang w:val="es-ES"/>
        </w:rPr>
        <w:t xml:space="preserve"> sitios Ramsar y actualización de la información de </w:t>
      </w:r>
      <w:r w:rsidR="00B430AF" w:rsidRPr="005C40EF">
        <w:rPr>
          <w:rFonts w:asciiTheme="minorHAnsi" w:hAnsiTheme="minorHAnsi" w:cstheme="minorHAnsi"/>
          <w:noProof/>
          <w:sz w:val="22"/>
          <w:szCs w:val="22"/>
          <w:lang w:val="es-ES"/>
        </w:rPr>
        <w:t xml:space="preserve">299 </w:t>
      </w:r>
      <w:r w:rsidR="00CA1C37" w:rsidRPr="005C40EF">
        <w:rPr>
          <w:rFonts w:asciiTheme="minorHAnsi" w:hAnsiTheme="minorHAnsi" w:cstheme="minorHAnsi"/>
          <w:noProof/>
          <w:sz w:val="22"/>
          <w:szCs w:val="22"/>
          <w:lang w:val="es-ES"/>
        </w:rPr>
        <w:t xml:space="preserve">sitios Ramsar existentes, </w:t>
      </w:r>
      <w:r w:rsidR="00525F5F" w:rsidRPr="005C40EF">
        <w:rPr>
          <w:rFonts w:asciiTheme="minorHAnsi" w:hAnsiTheme="minorHAnsi" w:cstheme="minorHAnsi"/>
          <w:noProof/>
          <w:sz w:val="22"/>
          <w:szCs w:val="22"/>
          <w:lang w:val="es-ES"/>
        </w:rPr>
        <w:t>incluso</w:t>
      </w:r>
      <w:r w:rsidR="00CA1C37" w:rsidRPr="005C40EF">
        <w:rPr>
          <w:rFonts w:asciiTheme="minorHAnsi" w:hAnsiTheme="minorHAnsi" w:cstheme="minorHAnsi"/>
          <w:noProof/>
          <w:sz w:val="22"/>
          <w:szCs w:val="22"/>
          <w:lang w:val="es-ES"/>
        </w:rPr>
        <w:t xml:space="preserve"> en la </w:t>
      </w:r>
      <w:r w:rsidR="00B430AF" w:rsidRPr="005C40EF">
        <w:rPr>
          <w:rFonts w:asciiTheme="minorHAnsi" w:hAnsiTheme="minorHAnsi" w:cstheme="minorHAnsi"/>
          <w:noProof/>
          <w:sz w:val="22"/>
          <w:szCs w:val="22"/>
          <w:lang w:val="es-ES"/>
        </w:rPr>
        <w:t xml:space="preserve">transferencia de </w:t>
      </w:r>
      <w:r w:rsidR="00CA1C37" w:rsidRPr="005C40EF">
        <w:rPr>
          <w:rFonts w:asciiTheme="minorHAnsi" w:hAnsiTheme="minorHAnsi" w:cstheme="minorHAnsi"/>
          <w:noProof/>
          <w:sz w:val="22"/>
          <w:szCs w:val="22"/>
          <w:lang w:val="es-ES"/>
        </w:rPr>
        <w:t xml:space="preserve">datos </w:t>
      </w:r>
      <w:r w:rsidR="00B430AF" w:rsidRPr="005C40EF">
        <w:rPr>
          <w:rFonts w:asciiTheme="minorHAnsi" w:hAnsiTheme="minorHAnsi" w:cstheme="minorHAnsi"/>
          <w:noProof/>
          <w:sz w:val="22"/>
          <w:szCs w:val="22"/>
          <w:lang w:val="es-ES"/>
        </w:rPr>
        <w:t>al nuevo</w:t>
      </w:r>
      <w:r w:rsidR="00CA1C37" w:rsidRPr="005C40EF">
        <w:rPr>
          <w:rFonts w:asciiTheme="minorHAnsi" w:hAnsiTheme="minorHAnsi" w:cstheme="minorHAnsi"/>
          <w:noProof/>
          <w:sz w:val="22"/>
          <w:szCs w:val="22"/>
          <w:lang w:val="es-ES"/>
        </w:rPr>
        <w:t xml:space="preserve"> Sistema de Información de Sitios Ramsar (SISR) y las publicaciones y traducciones correspondientes. Asimismo, la Secretaría apoyó a las Partes Contratantes mediante </w:t>
      </w:r>
      <w:r w:rsidR="00B430AF" w:rsidRPr="005C40EF">
        <w:rPr>
          <w:rFonts w:asciiTheme="minorHAnsi" w:hAnsiTheme="minorHAnsi" w:cstheme="minorHAnsi"/>
          <w:noProof/>
          <w:sz w:val="22"/>
          <w:szCs w:val="22"/>
          <w:lang w:val="es-ES"/>
        </w:rPr>
        <w:t>nueve</w:t>
      </w:r>
      <w:r w:rsidR="00CA1C37" w:rsidRPr="005C40EF">
        <w:rPr>
          <w:rFonts w:asciiTheme="minorHAnsi" w:hAnsiTheme="minorHAnsi" w:cstheme="minorHAnsi"/>
          <w:noProof/>
          <w:sz w:val="22"/>
          <w:szCs w:val="22"/>
          <w:lang w:val="es-ES"/>
        </w:rPr>
        <w:t xml:space="preserve"> Misiones Ramsar de Asesoramiento (MRA)</w:t>
      </w:r>
      <w:r w:rsidR="00B430AF" w:rsidRPr="005C40EF">
        <w:rPr>
          <w:rFonts w:asciiTheme="minorHAnsi" w:hAnsiTheme="minorHAnsi" w:cstheme="minorHAnsi"/>
          <w:noProof/>
          <w:sz w:val="22"/>
          <w:szCs w:val="22"/>
          <w:lang w:val="es-ES"/>
        </w:rPr>
        <w:t xml:space="preserve">: el Estado Plurinacional de Bolivia (Los Lípez), Colombia (Sistema Delta Estuarino del Río Magdalena, Ciénaga Grande de Santa Marta), </w:t>
      </w:r>
      <w:r w:rsidR="00CA1C37" w:rsidRPr="005C40EF">
        <w:rPr>
          <w:rFonts w:asciiTheme="minorHAnsi" w:hAnsiTheme="minorHAnsi" w:cstheme="minorHAnsi"/>
          <w:noProof/>
          <w:sz w:val="22"/>
          <w:szCs w:val="22"/>
          <w:lang w:val="es-ES"/>
        </w:rPr>
        <w:t xml:space="preserve">los Emiratos Árabes Unidos (Ras Al Khor), Indonesia (Berbak National Park), el Iraq y la República Islámica del Irán (Hawizeh Marsh, Central Marsh y Hammar Marsh), Italia (Laguna di Venezia: Valle Averto junto con el Centro del Patrimonio Mundial), </w:t>
      </w:r>
      <w:r w:rsidR="00B430AF" w:rsidRPr="005C40EF">
        <w:rPr>
          <w:rFonts w:asciiTheme="minorHAnsi" w:hAnsiTheme="minorHAnsi" w:cstheme="minorHAnsi"/>
          <w:noProof/>
          <w:sz w:val="22"/>
          <w:szCs w:val="22"/>
          <w:lang w:val="es-ES"/>
        </w:rPr>
        <w:t xml:space="preserve">Nicaragua </w:t>
      </w:r>
      <w:r w:rsidR="00304DD5" w:rsidRPr="005C40EF">
        <w:rPr>
          <w:rFonts w:asciiTheme="minorHAnsi" w:hAnsiTheme="minorHAnsi" w:cstheme="minorHAnsi"/>
          <w:noProof/>
          <w:sz w:val="22"/>
          <w:szCs w:val="22"/>
          <w:lang w:val="es-ES"/>
        </w:rPr>
        <w:t>(Sistema</w:t>
      </w:r>
      <w:r w:rsidR="00B430AF" w:rsidRPr="005C40EF">
        <w:rPr>
          <w:rFonts w:asciiTheme="minorHAnsi" w:hAnsiTheme="minorHAnsi" w:cstheme="minorHAnsi"/>
          <w:noProof/>
          <w:sz w:val="22"/>
          <w:szCs w:val="22"/>
          <w:lang w:val="es-ES"/>
        </w:rPr>
        <w:t xml:space="preserve"> de Humedales de San Miguelito)</w:t>
      </w:r>
      <w:r w:rsidR="00304DD5" w:rsidRPr="005C40EF">
        <w:rPr>
          <w:rFonts w:asciiTheme="minorHAnsi" w:hAnsiTheme="minorHAnsi" w:cstheme="minorHAnsi"/>
          <w:noProof/>
          <w:sz w:val="22"/>
          <w:szCs w:val="22"/>
          <w:lang w:val="es-ES"/>
        </w:rPr>
        <w:t xml:space="preserve">, Noruega (Nordre Tyrifjord Wetland System) </w:t>
      </w:r>
      <w:r w:rsidR="00B430AF" w:rsidRPr="005C40EF">
        <w:rPr>
          <w:rFonts w:asciiTheme="minorHAnsi" w:hAnsiTheme="minorHAnsi" w:cstheme="minorHAnsi"/>
          <w:noProof/>
          <w:sz w:val="22"/>
          <w:szCs w:val="22"/>
          <w:lang w:val="es-ES"/>
        </w:rPr>
        <w:t>y</w:t>
      </w:r>
      <w:r w:rsidR="00CA1C37" w:rsidRPr="005C40EF">
        <w:rPr>
          <w:rFonts w:asciiTheme="minorHAnsi" w:hAnsiTheme="minorHAnsi" w:cstheme="minorHAnsi"/>
          <w:noProof/>
          <w:sz w:val="22"/>
          <w:szCs w:val="22"/>
          <w:lang w:val="es-ES"/>
        </w:rPr>
        <w:t xml:space="preserve"> la República Unida de Tanzanía (Kilombero Valley Floodplain). La</w:t>
      </w:r>
      <w:r w:rsidR="00304DD5" w:rsidRPr="005C40EF">
        <w:rPr>
          <w:rFonts w:asciiTheme="minorHAnsi" w:hAnsiTheme="minorHAnsi" w:cstheme="minorHAnsi"/>
          <w:noProof/>
          <w:sz w:val="22"/>
          <w:szCs w:val="22"/>
          <w:lang w:val="es-ES"/>
        </w:rPr>
        <w:t xml:space="preserve"> reunión</w:t>
      </w:r>
      <w:r w:rsidR="00CA1C37" w:rsidRPr="005C40EF">
        <w:rPr>
          <w:rFonts w:asciiTheme="minorHAnsi" w:hAnsiTheme="minorHAnsi" w:cstheme="minorHAnsi"/>
          <w:noProof/>
          <w:sz w:val="22"/>
          <w:szCs w:val="22"/>
          <w:lang w:val="es-ES"/>
        </w:rPr>
        <w:t xml:space="preserve"> SC53 aprobó fondos para </w:t>
      </w:r>
      <w:r w:rsidR="00304DD5" w:rsidRPr="005C40EF">
        <w:rPr>
          <w:rFonts w:asciiTheme="minorHAnsi" w:hAnsiTheme="minorHAnsi" w:cstheme="minorHAnsi"/>
          <w:noProof/>
          <w:sz w:val="22"/>
          <w:szCs w:val="22"/>
          <w:lang w:val="es-ES"/>
        </w:rPr>
        <w:t xml:space="preserve">otras </w:t>
      </w:r>
      <w:r w:rsidR="00CA1C37" w:rsidRPr="005C40EF">
        <w:rPr>
          <w:rFonts w:asciiTheme="minorHAnsi" w:hAnsiTheme="minorHAnsi" w:cstheme="minorHAnsi"/>
          <w:noProof/>
          <w:sz w:val="22"/>
          <w:szCs w:val="22"/>
          <w:lang w:val="es-ES"/>
        </w:rPr>
        <w:t>Misiones Ramsar de Asesoramiento en Côte d’Ivoire (Grand Bassam Ramsar Site), Nicaragua (Sistema de Humedales de la Bahía de Bluefields y Corn Island) y Uganda (Murchison Falls-Albert D</w:t>
      </w:r>
      <w:r w:rsidR="00304DD5" w:rsidRPr="005C40EF">
        <w:rPr>
          <w:rFonts w:asciiTheme="minorHAnsi" w:hAnsiTheme="minorHAnsi" w:cstheme="minorHAnsi"/>
          <w:noProof/>
          <w:sz w:val="22"/>
          <w:szCs w:val="22"/>
          <w:lang w:val="es-ES"/>
        </w:rPr>
        <w:t>elta Wetland System Ramsar Site</w:t>
      </w:r>
      <w:r w:rsidR="00CA1C37" w:rsidRPr="005C40EF">
        <w:rPr>
          <w:rFonts w:asciiTheme="minorHAnsi" w:hAnsiTheme="minorHAnsi" w:cstheme="minorHAnsi"/>
          <w:noProof/>
          <w:sz w:val="22"/>
          <w:szCs w:val="22"/>
          <w:lang w:val="es-ES"/>
        </w:rPr>
        <w:t xml:space="preserve"> y Lake George Ramsar Site) que se llevarán a cabo en</w:t>
      </w:r>
      <w:r w:rsidR="00304DD5" w:rsidRPr="005C40EF">
        <w:rPr>
          <w:rFonts w:asciiTheme="minorHAnsi" w:hAnsiTheme="minorHAnsi" w:cstheme="minorHAnsi"/>
          <w:noProof/>
          <w:sz w:val="22"/>
          <w:szCs w:val="22"/>
          <w:lang w:val="es-ES"/>
        </w:rPr>
        <w:t xml:space="preserve"> octubre de</w:t>
      </w:r>
      <w:r w:rsidR="00CA1C37" w:rsidRPr="005C40EF">
        <w:rPr>
          <w:rFonts w:asciiTheme="minorHAnsi" w:hAnsiTheme="minorHAnsi" w:cstheme="minorHAnsi"/>
          <w:noProof/>
          <w:sz w:val="22"/>
          <w:szCs w:val="22"/>
          <w:lang w:val="es-ES"/>
        </w:rPr>
        <w:t xml:space="preserve"> 2018.</w:t>
      </w:r>
      <w:r w:rsidR="00304DD5" w:rsidRPr="005C40EF">
        <w:rPr>
          <w:rFonts w:asciiTheme="minorHAnsi" w:hAnsiTheme="minorHAnsi" w:cstheme="minorHAnsi"/>
          <w:noProof/>
          <w:sz w:val="22"/>
          <w:szCs w:val="22"/>
          <w:lang w:val="es-ES"/>
        </w:rPr>
        <w:t xml:space="preserve"> Se prestó apoyo a 30 Partes Contratantes para la elaboración de inventarios de humedales. Habrá nuevas oportunid</w:t>
      </w:r>
      <w:r w:rsidR="00AC365A" w:rsidRPr="005C40EF">
        <w:rPr>
          <w:rFonts w:asciiTheme="minorHAnsi" w:hAnsiTheme="minorHAnsi" w:cstheme="minorHAnsi"/>
          <w:noProof/>
          <w:sz w:val="22"/>
          <w:szCs w:val="22"/>
          <w:lang w:val="es-ES"/>
        </w:rPr>
        <w:t>a</w:t>
      </w:r>
      <w:r w:rsidR="00304DD5" w:rsidRPr="005C40EF">
        <w:rPr>
          <w:rFonts w:asciiTheme="minorHAnsi" w:hAnsiTheme="minorHAnsi" w:cstheme="minorHAnsi"/>
          <w:noProof/>
          <w:sz w:val="22"/>
          <w:szCs w:val="22"/>
          <w:lang w:val="es-ES"/>
        </w:rPr>
        <w:t xml:space="preserve">des para apoyar a las Partes Contratantes en este ámbito con la designación de la Convención de Ramsar como uno de los custodios del </w:t>
      </w:r>
      <w:r w:rsidR="00AC365A" w:rsidRPr="005C40EF">
        <w:rPr>
          <w:rFonts w:asciiTheme="minorHAnsi" w:hAnsiTheme="minorHAnsi" w:cstheme="minorHAnsi"/>
          <w:noProof/>
          <w:sz w:val="22"/>
          <w:szCs w:val="22"/>
          <w:lang w:val="es-ES"/>
        </w:rPr>
        <w:t xml:space="preserve">Indicador 6.6.1 de los ODS </w:t>
      </w:r>
      <w:r w:rsidR="00304DD5" w:rsidRPr="005C40EF">
        <w:rPr>
          <w:rFonts w:asciiTheme="minorHAnsi" w:hAnsiTheme="minorHAnsi" w:cstheme="minorHAnsi"/>
          <w:noProof/>
          <w:sz w:val="22"/>
          <w:szCs w:val="22"/>
          <w:lang w:val="es-ES"/>
        </w:rPr>
        <w:t>sobre la extensión de los humedales</w:t>
      </w:r>
      <w:r w:rsidR="005364DA" w:rsidRPr="005C40EF">
        <w:rPr>
          <w:rFonts w:asciiTheme="minorHAnsi" w:hAnsiTheme="minorHAnsi" w:cstheme="minorHAnsi"/>
          <w:noProof/>
          <w:sz w:val="22"/>
          <w:szCs w:val="22"/>
          <w:lang w:val="es-ES"/>
        </w:rPr>
        <w:t>.</w:t>
      </w:r>
    </w:p>
    <w:p w14:paraId="538076E0" w14:textId="77777777" w:rsidR="00CA1C37" w:rsidRPr="005C40EF" w:rsidRDefault="00CA1C37" w:rsidP="002213E9">
      <w:pPr>
        <w:autoSpaceDE w:val="0"/>
        <w:autoSpaceDN w:val="0"/>
        <w:adjustRightInd w:val="0"/>
        <w:ind w:left="425" w:hanging="425"/>
        <w:rPr>
          <w:rFonts w:asciiTheme="minorHAnsi" w:hAnsiTheme="minorHAnsi" w:cstheme="minorHAnsi"/>
          <w:noProof/>
          <w:sz w:val="22"/>
          <w:szCs w:val="22"/>
          <w:lang w:val="es-ES"/>
        </w:rPr>
      </w:pPr>
    </w:p>
    <w:p w14:paraId="010EB278" w14:textId="601851CB" w:rsidR="005364DA" w:rsidRPr="005C40EF" w:rsidRDefault="002213E9" w:rsidP="002213E9">
      <w:pPr>
        <w:autoSpaceDE w:val="0"/>
        <w:autoSpaceDN w:val="0"/>
        <w:adjustRightInd w:val="0"/>
        <w:ind w:left="425" w:hanging="425"/>
        <w:rPr>
          <w:rFonts w:asciiTheme="minorHAnsi" w:hAnsiTheme="minorHAnsi" w:cstheme="minorHAnsi"/>
          <w:noProof/>
          <w:sz w:val="22"/>
          <w:szCs w:val="22"/>
          <w:lang w:val="es-ES"/>
        </w:rPr>
      </w:pPr>
      <w:r>
        <w:rPr>
          <w:rFonts w:asciiTheme="minorHAnsi" w:hAnsiTheme="minorHAnsi" w:cstheme="minorHAnsi"/>
          <w:noProof/>
          <w:sz w:val="22"/>
          <w:szCs w:val="22"/>
          <w:lang w:val="es-ES"/>
        </w:rPr>
        <w:t>26.</w:t>
      </w:r>
      <w:r>
        <w:rPr>
          <w:rFonts w:asciiTheme="minorHAnsi" w:hAnsiTheme="minorHAnsi" w:cstheme="minorHAnsi"/>
          <w:noProof/>
          <w:sz w:val="22"/>
          <w:szCs w:val="22"/>
          <w:lang w:val="es-ES"/>
        </w:rPr>
        <w:tab/>
      </w:r>
      <w:r w:rsidR="005364DA" w:rsidRPr="005C40EF">
        <w:rPr>
          <w:rFonts w:asciiTheme="minorHAnsi" w:hAnsiTheme="minorHAnsi" w:cstheme="minorHAnsi"/>
          <w:noProof/>
          <w:sz w:val="22"/>
          <w:szCs w:val="22"/>
          <w:lang w:val="es-ES"/>
        </w:rPr>
        <w:t xml:space="preserve">La Secretaría ha dado prioridad a la transferencia de datos </w:t>
      </w:r>
      <w:r w:rsidR="00DB37F3" w:rsidRPr="005C40EF">
        <w:rPr>
          <w:rFonts w:asciiTheme="minorHAnsi" w:hAnsiTheme="minorHAnsi" w:cstheme="minorHAnsi"/>
          <w:noProof/>
          <w:sz w:val="22"/>
          <w:szCs w:val="22"/>
          <w:lang w:val="es-ES"/>
        </w:rPr>
        <w:t>a</w:t>
      </w:r>
      <w:r w:rsidR="005364DA" w:rsidRPr="005C40EF">
        <w:rPr>
          <w:rFonts w:asciiTheme="minorHAnsi" w:hAnsiTheme="minorHAnsi" w:cstheme="minorHAnsi"/>
          <w:noProof/>
          <w:sz w:val="22"/>
          <w:szCs w:val="22"/>
          <w:lang w:val="es-ES"/>
        </w:rPr>
        <w:t>l nuevo SISR. La recolección de datos se finalizó para 1.096 sitios Ramsar</w:t>
      </w:r>
      <w:r w:rsidR="00525F5F" w:rsidRPr="005C40EF">
        <w:rPr>
          <w:rFonts w:asciiTheme="minorHAnsi" w:hAnsiTheme="minorHAnsi" w:cstheme="minorHAnsi"/>
          <w:noProof/>
          <w:sz w:val="22"/>
          <w:szCs w:val="22"/>
          <w:lang w:val="es-ES"/>
        </w:rPr>
        <w:t>,</w:t>
      </w:r>
      <w:r w:rsidR="005364DA" w:rsidRPr="005C40EF">
        <w:rPr>
          <w:rFonts w:asciiTheme="minorHAnsi" w:hAnsiTheme="minorHAnsi" w:cstheme="minorHAnsi"/>
          <w:noProof/>
          <w:sz w:val="22"/>
          <w:szCs w:val="22"/>
          <w:lang w:val="es-ES"/>
        </w:rPr>
        <w:t xml:space="preserve"> y todos los datos de la antigua base de datos migraron a la nueva plataforma del SISR.</w:t>
      </w:r>
    </w:p>
    <w:p w14:paraId="5D375E92" w14:textId="77777777" w:rsidR="00D352B8" w:rsidRPr="005C40EF" w:rsidRDefault="00D352B8" w:rsidP="002213E9">
      <w:pPr>
        <w:autoSpaceDE w:val="0"/>
        <w:autoSpaceDN w:val="0"/>
        <w:adjustRightInd w:val="0"/>
        <w:ind w:left="425" w:hanging="425"/>
        <w:rPr>
          <w:rFonts w:asciiTheme="minorHAnsi" w:hAnsiTheme="minorHAnsi" w:cstheme="minorHAnsi"/>
          <w:noProof/>
          <w:sz w:val="22"/>
          <w:szCs w:val="22"/>
          <w:lang w:val="es-ES"/>
        </w:rPr>
      </w:pPr>
    </w:p>
    <w:p w14:paraId="39469DE7" w14:textId="63CB7BBA" w:rsidR="005364DA" w:rsidRPr="005C40EF" w:rsidRDefault="002213E9" w:rsidP="002213E9">
      <w:pPr>
        <w:autoSpaceDE w:val="0"/>
        <w:autoSpaceDN w:val="0"/>
        <w:adjustRightInd w:val="0"/>
        <w:ind w:left="425" w:hanging="425"/>
        <w:rPr>
          <w:rFonts w:asciiTheme="minorHAnsi" w:hAnsiTheme="minorHAnsi" w:cstheme="minorHAnsi"/>
          <w:noProof/>
          <w:sz w:val="22"/>
          <w:szCs w:val="22"/>
          <w:lang w:val="es-ES"/>
        </w:rPr>
      </w:pPr>
      <w:r>
        <w:rPr>
          <w:rFonts w:asciiTheme="minorHAnsi" w:hAnsiTheme="minorHAnsi" w:cstheme="minorHAnsi"/>
          <w:noProof/>
          <w:sz w:val="22"/>
          <w:szCs w:val="22"/>
          <w:lang w:val="es-ES"/>
        </w:rPr>
        <w:t>27.</w:t>
      </w:r>
      <w:r>
        <w:rPr>
          <w:rFonts w:asciiTheme="minorHAnsi" w:hAnsiTheme="minorHAnsi" w:cstheme="minorHAnsi"/>
          <w:noProof/>
          <w:sz w:val="22"/>
          <w:szCs w:val="22"/>
          <w:lang w:val="es-ES"/>
        </w:rPr>
        <w:tab/>
      </w:r>
      <w:r w:rsidR="005364DA" w:rsidRPr="005C40EF">
        <w:rPr>
          <w:rFonts w:asciiTheme="minorHAnsi" w:hAnsiTheme="minorHAnsi" w:cstheme="minorHAnsi"/>
          <w:noProof/>
          <w:sz w:val="22"/>
          <w:szCs w:val="22"/>
          <w:lang w:val="es-ES"/>
        </w:rPr>
        <w:t xml:space="preserve">La Secretaría </w:t>
      </w:r>
      <w:r w:rsidR="00C15D28" w:rsidRPr="005C40EF">
        <w:rPr>
          <w:rFonts w:asciiTheme="minorHAnsi" w:hAnsiTheme="minorHAnsi" w:cstheme="minorHAnsi"/>
          <w:noProof/>
          <w:sz w:val="22"/>
          <w:szCs w:val="22"/>
          <w:lang w:val="es-ES"/>
        </w:rPr>
        <w:t xml:space="preserve">continúa </w:t>
      </w:r>
      <w:r w:rsidR="00475C61" w:rsidRPr="005C40EF">
        <w:rPr>
          <w:rFonts w:asciiTheme="minorHAnsi" w:hAnsiTheme="minorHAnsi" w:cstheme="minorHAnsi"/>
          <w:noProof/>
          <w:sz w:val="22"/>
          <w:szCs w:val="22"/>
          <w:lang w:val="es-ES"/>
        </w:rPr>
        <w:t>reforzando</w:t>
      </w:r>
      <w:r w:rsidR="005364DA" w:rsidRPr="005C40EF">
        <w:rPr>
          <w:rFonts w:asciiTheme="minorHAnsi" w:hAnsiTheme="minorHAnsi" w:cstheme="minorHAnsi"/>
          <w:noProof/>
          <w:sz w:val="22"/>
          <w:szCs w:val="22"/>
          <w:lang w:val="es-ES"/>
        </w:rPr>
        <w:t xml:space="preserve"> su papel facilitador (en relación con el apoyo directo a Partes Contratantes individuales) con el fin de emplear sus capacidades y recursos limitados de la forma más </w:t>
      </w:r>
      <w:r w:rsidR="00C15D28" w:rsidRPr="005C40EF">
        <w:rPr>
          <w:rFonts w:asciiTheme="minorHAnsi" w:hAnsiTheme="minorHAnsi" w:cstheme="minorHAnsi"/>
          <w:noProof/>
          <w:sz w:val="22"/>
          <w:szCs w:val="22"/>
          <w:lang w:val="es-ES"/>
        </w:rPr>
        <w:t>eficiente</w:t>
      </w:r>
      <w:r w:rsidR="005364DA" w:rsidRPr="005C40EF">
        <w:rPr>
          <w:rFonts w:asciiTheme="minorHAnsi" w:hAnsiTheme="minorHAnsi" w:cstheme="minorHAnsi"/>
          <w:noProof/>
          <w:sz w:val="22"/>
          <w:szCs w:val="22"/>
          <w:lang w:val="es-ES"/>
        </w:rPr>
        <w:t xml:space="preserve"> y estratégica. Con respecto a la creación de capacidad, la Secretaría</w:t>
      </w:r>
      <w:r w:rsidR="00C15D28" w:rsidRPr="005C40EF">
        <w:rPr>
          <w:rFonts w:asciiTheme="minorHAnsi" w:hAnsiTheme="minorHAnsi" w:cstheme="minorHAnsi"/>
          <w:noProof/>
          <w:sz w:val="22"/>
          <w:szCs w:val="22"/>
          <w:lang w:val="es-ES"/>
        </w:rPr>
        <w:t xml:space="preserve"> participó en numerosas iniciativas de creaci</w:t>
      </w:r>
      <w:r w:rsidR="00475C61" w:rsidRPr="005C40EF">
        <w:rPr>
          <w:rFonts w:asciiTheme="minorHAnsi" w:hAnsiTheme="minorHAnsi" w:cstheme="minorHAnsi"/>
          <w:noProof/>
          <w:sz w:val="22"/>
          <w:szCs w:val="22"/>
          <w:lang w:val="es-ES"/>
        </w:rPr>
        <w:t xml:space="preserve">ón de capacidad, </w:t>
      </w:r>
      <w:r w:rsidR="0084760E" w:rsidRPr="005C40EF">
        <w:rPr>
          <w:rFonts w:asciiTheme="minorHAnsi" w:hAnsiTheme="minorHAnsi" w:cstheme="minorHAnsi"/>
          <w:noProof/>
          <w:sz w:val="22"/>
          <w:szCs w:val="22"/>
          <w:lang w:val="es-ES"/>
        </w:rPr>
        <w:t xml:space="preserve">tales </w:t>
      </w:r>
      <w:r w:rsidR="00740CF1" w:rsidRPr="005C40EF">
        <w:rPr>
          <w:rFonts w:asciiTheme="minorHAnsi" w:hAnsiTheme="minorHAnsi" w:cstheme="minorHAnsi"/>
          <w:noProof/>
          <w:sz w:val="22"/>
          <w:szCs w:val="22"/>
          <w:lang w:val="es-ES"/>
        </w:rPr>
        <w:t>como</w:t>
      </w:r>
      <w:r w:rsidR="00475C61" w:rsidRPr="005C40EF">
        <w:rPr>
          <w:rFonts w:asciiTheme="minorHAnsi" w:hAnsiTheme="minorHAnsi" w:cstheme="minorHAnsi"/>
          <w:noProof/>
          <w:sz w:val="22"/>
          <w:szCs w:val="22"/>
          <w:lang w:val="es-ES"/>
        </w:rPr>
        <w:t xml:space="preserve"> </w:t>
      </w:r>
      <w:r w:rsidR="00C15D28" w:rsidRPr="005C40EF">
        <w:rPr>
          <w:rFonts w:asciiTheme="minorHAnsi" w:hAnsiTheme="minorHAnsi" w:cstheme="minorHAnsi"/>
          <w:noProof/>
          <w:sz w:val="22"/>
          <w:szCs w:val="22"/>
          <w:lang w:val="es-ES"/>
        </w:rPr>
        <w:t>sesiones y talleres de capacitación. Al examinar la mejora de su eficacia y alcance, la Secretaría</w:t>
      </w:r>
      <w:r w:rsidR="005364DA" w:rsidRPr="005C40EF">
        <w:rPr>
          <w:rFonts w:asciiTheme="minorHAnsi" w:hAnsiTheme="minorHAnsi" w:cstheme="minorHAnsi"/>
          <w:noProof/>
          <w:sz w:val="22"/>
          <w:szCs w:val="22"/>
          <w:lang w:val="es-ES"/>
        </w:rPr>
        <w:t xml:space="preserve"> introdujo métodos basados ​​en Internet, en especial el uso de seminarios a través de Internet. </w:t>
      </w:r>
      <w:r w:rsidR="00304463" w:rsidRPr="005C40EF">
        <w:rPr>
          <w:rFonts w:asciiTheme="minorHAnsi" w:hAnsiTheme="minorHAnsi" w:cstheme="minorHAnsi"/>
          <w:noProof/>
          <w:sz w:val="22"/>
          <w:szCs w:val="22"/>
          <w:lang w:val="es-ES"/>
        </w:rPr>
        <w:t>A finales de 2017, s</w:t>
      </w:r>
      <w:r w:rsidR="005364DA" w:rsidRPr="005C40EF">
        <w:rPr>
          <w:rFonts w:asciiTheme="minorHAnsi" w:hAnsiTheme="minorHAnsi" w:cstheme="minorHAnsi"/>
          <w:noProof/>
          <w:sz w:val="22"/>
          <w:szCs w:val="22"/>
          <w:lang w:val="es-ES"/>
        </w:rPr>
        <w:t xml:space="preserve">e </w:t>
      </w:r>
      <w:r w:rsidR="005364DA" w:rsidRPr="005C40EF">
        <w:rPr>
          <w:rFonts w:asciiTheme="minorHAnsi" w:hAnsiTheme="minorHAnsi" w:cstheme="minorHAnsi"/>
          <w:noProof/>
          <w:sz w:val="22"/>
          <w:szCs w:val="22"/>
          <w:lang w:val="es-ES"/>
        </w:rPr>
        <w:lastRenderedPageBreak/>
        <w:t xml:space="preserve">organizaron cuatro sesiones para impartir capacitación sobre el uso del SISR en las que se contó con 53 participantes de 23 Partes Contratantes. A fin de apoyar a las Partes Contratantes en la elaboración de informes nacionales y presentar informes de avance sobre la extensión de los humedales como contribución al </w:t>
      </w:r>
      <w:r w:rsidR="00740CF1" w:rsidRPr="005C40EF">
        <w:rPr>
          <w:rFonts w:asciiTheme="minorHAnsi" w:hAnsiTheme="minorHAnsi" w:cstheme="minorHAnsi"/>
          <w:noProof/>
          <w:sz w:val="22"/>
          <w:szCs w:val="22"/>
          <w:lang w:val="es-ES"/>
        </w:rPr>
        <w:t xml:space="preserve">Indicador </w:t>
      </w:r>
      <w:r w:rsidR="005364DA" w:rsidRPr="005C40EF">
        <w:rPr>
          <w:rFonts w:asciiTheme="minorHAnsi" w:hAnsiTheme="minorHAnsi" w:cstheme="minorHAnsi"/>
          <w:noProof/>
          <w:sz w:val="22"/>
          <w:szCs w:val="22"/>
          <w:lang w:val="es-ES"/>
        </w:rPr>
        <w:t>6.6.1</w:t>
      </w:r>
      <w:r w:rsidR="00740CF1" w:rsidRPr="005C40EF">
        <w:rPr>
          <w:rFonts w:asciiTheme="minorHAnsi" w:hAnsiTheme="minorHAnsi" w:cstheme="minorHAnsi"/>
          <w:noProof/>
          <w:sz w:val="22"/>
          <w:szCs w:val="22"/>
          <w:lang w:val="es-ES"/>
        </w:rPr>
        <w:t xml:space="preserve"> de los ODS</w:t>
      </w:r>
      <w:r w:rsidR="005364DA" w:rsidRPr="005C40EF">
        <w:rPr>
          <w:rFonts w:asciiTheme="minorHAnsi" w:hAnsiTheme="minorHAnsi" w:cstheme="minorHAnsi"/>
          <w:noProof/>
          <w:sz w:val="22"/>
          <w:szCs w:val="22"/>
          <w:lang w:val="es-ES"/>
        </w:rPr>
        <w:t xml:space="preserve">, la Secretaría desarrolló un tutorial del Sistema de presentación en línea </w:t>
      </w:r>
      <w:r w:rsidR="00740CF1" w:rsidRPr="005C40EF">
        <w:rPr>
          <w:rFonts w:asciiTheme="minorHAnsi" w:hAnsiTheme="minorHAnsi" w:cstheme="minorHAnsi"/>
          <w:noProof/>
          <w:sz w:val="22"/>
          <w:szCs w:val="22"/>
          <w:lang w:val="es-ES"/>
        </w:rPr>
        <w:t>de</w:t>
      </w:r>
      <w:r w:rsidR="005364DA" w:rsidRPr="005C40EF">
        <w:rPr>
          <w:rFonts w:asciiTheme="minorHAnsi" w:hAnsiTheme="minorHAnsi" w:cstheme="minorHAnsi"/>
          <w:noProof/>
          <w:sz w:val="22"/>
          <w:szCs w:val="22"/>
          <w:lang w:val="es-ES"/>
        </w:rPr>
        <w:t xml:space="preserve"> los informes n</w:t>
      </w:r>
      <w:r w:rsidR="00740CF1" w:rsidRPr="005C40EF">
        <w:rPr>
          <w:rFonts w:asciiTheme="minorHAnsi" w:hAnsiTheme="minorHAnsi" w:cstheme="minorHAnsi"/>
          <w:noProof/>
          <w:sz w:val="22"/>
          <w:szCs w:val="22"/>
          <w:lang w:val="es-ES"/>
        </w:rPr>
        <w:t>acionales, y</w:t>
      </w:r>
      <w:r w:rsidR="005364DA" w:rsidRPr="005C40EF">
        <w:rPr>
          <w:rFonts w:asciiTheme="minorHAnsi" w:hAnsiTheme="minorHAnsi" w:cstheme="minorHAnsi"/>
          <w:noProof/>
          <w:sz w:val="22"/>
          <w:szCs w:val="22"/>
          <w:lang w:val="es-ES"/>
        </w:rPr>
        <w:t xml:space="preserve"> lineamientos sobre la información que debe proporcionarse en la Meta 8, “Inventario nacional de humedales”, en especial sobre la extensión de los humedales. Este tutorial se impartió en seminarios a través de Internet y llamadas por Skype. Otro ámbito en el que se fortalecieron las capacidades es el uso de herramientas de observación de la tierra para la cartografía y el inventario de humedales (GlobWetland Africa Toolbox). </w:t>
      </w:r>
      <w:r w:rsidR="00055A7F" w:rsidRPr="005C40EF">
        <w:rPr>
          <w:rFonts w:asciiTheme="minorHAnsi" w:hAnsiTheme="minorHAnsi" w:cstheme="minorHAnsi"/>
          <w:noProof/>
          <w:sz w:val="22"/>
          <w:szCs w:val="22"/>
          <w:lang w:val="es-ES"/>
        </w:rPr>
        <w:t>Hay iniciativas en curso</w:t>
      </w:r>
      <w:r w:rsidR="005364DA" w:rsidRPr="005C40EF">
        <w:rPr>
          <w:rFonts w:asciiTheme="minorHAnsi" w:hAnsiTheme="minorHAnsi" w:cstheme="minorHAnsi"/>
          <w:noProof/>
          <w:sz w:val="22"/>
          <w:szCs w:val="22"/>
          <w:lang w:val="es-ES"/>
        </w:rPr>
        <w:t xml:space="preserve"> para </w:t>
      </w:r>
      <w:r w:rsidR="00740CF1" w:rsidRPr="005C40EF">
        <w:rPr>
          <w:rFonts w:asciiTheme="minorHAnsi" w:hAnsiTheme="minorHAnsi" w:cstheme="minorHAnsi"/>
          <w:noProof/>
          <w:sz w:val="22"/>
          <w:szCs w:val="22"/>
          <w:lang w:val="es-ES"/>
        </w:rPr>
        <w:t>establecer un</w:t>
      </w:r>
      <w:r w:rsidR="005364DA" w:rsidRPr="005C40EF">
        <w:rPr>
          <w:rFonts w:asciiTheme="minorHAnsi" w:hAnsiTheme="minorHAnsi" w:cstheme="minorHAnsi"/>
          <w:noProof/>
          <w:sz w:val="22"/>
          <w:szCs w:val="22"/>
          <w:lang w:val="es-ES"/>
        </w:rPr>
        <w:t xml:space="preserve"> enfoque más coordinado </w:t>
      </w:r>
      <w:r w:rsidR="00740CF1" w:rsidRPr="005C40EF">
        <w:rPr>
          <w:rFonts w:asciiTheme="minorHAnsi" w:hAnsiTheme="minorHAnsi" w:cstheme="minorHAnsi"/>
          <w:noProof/>
          <w:sz w:val="22"/>
          <w:szCs w:val="22"/>
          <w:lang w:val="es-ES"/>
        </w:rPr>
        <w:t>que englobe a toda la Secretaría para</w:t>
      </w:r>
      <w:r w:rsidR="005364DA" w:rsidRPr="005C40EF">
        <w:rPr>
          <w:rFonts w:asciiTheme="minorHAnsi" w:hAnsiTheme="minorHAnsi" w:cstheme="minorHAnsi"/>
          <w:noProof/>
          <w:sz w:val="22"/>
          <w:szCs w:val="22"/>
          <w:lang w:val="es-ES"/>
        </w:rPr>
        <w:t xml:space="preserve"> la capacitación en todas las regiones</w:t>
      </w:r>
      <w:r w:rsidR="00740CF1" w:rsidRPr="005C40EF">
        <w:rPr>
          <w:rFonts w:asciiTheme="minorHAnsi" w:hAnsiTheme="minorHAnsi" w:cstheme="minorHAnsi"/>
          <w:noProof/>
          <w:sz w:val="22"/>
          <w:szCs w:val="22"/>
          <w:lang w:val="es-ES"/>
        </w:rPr>
        <w:t xml:space="preserve">. Esto </w:t>
      </w:r>
      <w:r w:rsidR="005364DA" w:rsidRPr="005C40EF">
        <w:rPr>
          <w:rFonts w:asciiTheme="minorHAnsi" w:hAnsiTheme="minorHAnsi" w:cstheme="minorHAnsi"/>
          <w:noProof/>
          <w:sz w:val="22"/>
          <w:szCs w:val="22"/>
          <w:lang w:val="es-ES"/>
        </w:rPr>
        <w:t xml:space="preserve">incluye la identificación de las necesidades y áreas prioritarias </w:t>
      </w:r>
      <w:r w:rsidR="00055A7F" w:rsidRPr="005C40EF">
        <w:rPr>
          <w:rFonts w:asciiTheme="minorHAnsi" w:hAnsiTheme="minorHAnsi" w:cstheme="minorHAnsi"/>
          <w:noProof/>
          <w:sz w:val="22"/>
          <w:szCs w:val="22"/>
          <w:lang w:val="es-ES"/>
        </w:rPr>
        <w:t>que requieren de creación de capacidad;</w:t>
      </w:r>
      <w:r w:rsidR="005364DA" w:rsidRPr="005C40EF">
        <w:rPr>
          <w:rFonts w:asciiTheme="minorHAnsi" w:hAnsiTheme="minorHAnsi" w:cstheme="minorHAnsi"/>
          <w:noProof/>
          <w:sz w:val="22"/>
          <w:szCs w:val="22"/>
          <w:lang w:val="es-ES"/>
        </w:rPr>
        <w:t xml:space="preserve"> el desarrollo y uso de enfoques, materiales e instrumentos</w:t>
      </w:r>
      <w:r w:rsidR="00BC03CB" w:rsidRPr="005C40EF">
        <w:rPr>
          <w:rFonts w:asciiTheme="minorHAnsi" w:hAnsiTheme="minorHAnsi" w:cstheme="minorHAnsi"/>
          <w:noProof/>
          <w:sz w:val="22"/>
          <w:szCs w:val="22"/>
          <w:lang w:val="es-ES"/>
        </w:rPr>
        <w:t xml:space="preserve"> comunes</w:t>
      </w:r>
      <w:r w:rsidR="005364DA" w:rsidRPr="005C40EF">
        <w:rPr>
          <w:rFonts w:asciiTheme="minorHAnsi" w:hAnsiTheme="minorHAnsi" w:cstheme="minorHAnsi"/>
          <w:noProof/>
          <w:sz w:val="22"/>
          <w:szCs w:val="22"/>
          <w:lang w:val="es-ES"/>
        </w:rPr>
        <w:t xml:space="preserve"> (como el uso de s</w:t>
      </w:r>
      <w:r w:rsidR="00055A7F" w:rsidRPr="005C40EF">
        <w:rPr>
          <w:rFonts w:asciiTheme="minorHAnsi" w:hAnsiTheme="minorHAnsi" w:cstheme="minorHAnsi"/>
          <w:noProof/>
          <w:sz w:val="22"/>
          <w:szCs w:val="22"/>
          <w:lang w:val="es-ES"/>
        </w:rPr>
        <w:t>eminarios a través de Internet);</w:t>
      </w:r>
      <w:r w:rsidR="005364DA" w:rsidRPr="005C40EF">
        <w:rPr>
          <w:rFonts w:asciiTheme="minorHAnsi" w:hAnsiTheme="minorHAnsi" w:cstheme="minorHAnsi"/>
          <w:noProof/>
          <w:sz w:val="22"/>
          <w:szCs w:val="22"/>
          <w:lang w:val="es-ES"/>
        </w:rPr>
        <w:t xml:space="preserve"> la creación de asociaciones de colaboración para la capacitación</w:t>
      </w:r>
      <w:r w:rsidR="00055A7F" w:rsidRPr="005C40EF">
        <w:rPr>
          <w:rFonts w:asciiTheme="minorHAnsi" w:hAnsiTheme="minorHAnsi" w:cstheme="minorHAnsi"/>
          <w:noProof/>
          <w:sz w:val="22"/>
          <w:szCs w:val="22"/>
          <w:lang w:val="es-ES"/>
        </w:rPr>
        <w:t>;</w:t>
      </w:r>
      <w:r w:rsidR="005364DA" w:rsidRPr="005C40EF">
        <w:rPr>
          <w:rFonts w:asciiTheme="minorHAnsi" w:hAnsiTheme="minorHAnsi" w:cstheme="minorHAnsi"/>
          <w:noProof/>
          <w:sz w:val="22"/>
          <w:szCs w:val="22"/>
          <w:lang w:val="es-ES"/>
        </w:rPr>
        <w:t xml:space="preserve"> y el seguimiento de los resultados.</w:t>
      </w:r>
    </w:p>
    <w:p w14:paraId="50B45001" w14:textId="77777777" w:rsidR="001D3733" w:rsidRPr="005C40EF" w:rsidRDefault="001D3733" w:rsidP="002213E9">
      <w:pPr>
        <w:autoSpaceDE w:val="0"/>
        <w:autoSpaceDN w:val="0"/>
        <w:adjustRightInd w:val="0"/>
        <w:ind w:left="425" w:hanging="425"/>
        <w:rPr>
          <w:rFonts w:asciiTheme="minorHAnsi" w:hAnsiTheme="minorHAnsi" w:cstheme="minorHAnsi"/>
          <w:noProof/>
          <w:sz w:val="22"/>
          <w:szCs w:val="22"/>
          <w:lang w:val="es-ES"/>
        </w:rPr>
      </w:pPr>
    </w:p>
    <w:p w14:paraId="0C1F6DA8" w14:textId="05384915" w:rsidR="003C427C" w:rsidRPr="005C40EF" w:rsidRDefault="002213E9" w:rsidP="002213E9">
      <w:pPr>
        <w:autoSpaceDE w:val="0"/>
        <w:autoSpaceDN w:val="0"/>
        <w:adjustRightInd w:val="0"/>
        <w:ind w:left="425" w:hanging="425"/>
        <w:rPr>
          <w:rFonts w:asciiTheme="minorHAnsi" w:hAnsiTheme="minorHAnsi" w:cstheme="minorHAnsi"/>
          <w:noProof/>
          <w:sz w:val="22"/>
          <w:szCs w:val="22"/>
          <w:lang w:val="es-ES"/>
        </w:rPr>
      </w:pPr>
      <w:r>
        <w:rPr>
          <w:rFonts w:asciiTheme="minorHAnsi" w:hAnsiTheme="minorHAnsi" w:cstheme="minorHAnsi"/>
          <w:noProof/>
          <w:sz w:val="22"/>
          <w:szCs w:val="22"/>
          <w:lang w:val="es-ES"/>
        </w:rPr>
        <w:t>28.</w:t>
      </w:r>
      <w:r>
        <w:rPr>
          <w:rFonts w:asciiTheme="minorHAnsi" w:hAnsiTheme="minorHAnsi" w:cstheme="minorHAnsi"/>
          <w:noProof/>
          <w:sz w:val="22"/>
          <w:szCs w:val="22"/>
          <w:lang w:val="es-ES"/>
        </w:rPr>
        <w:tab/>
      </w:r>
      <w:r w:rsidR="00BC03CB" w:rsidRPr="005C40EF">
        <w:rPr>
          <w:rFonts w:asciiTheme="minorHAnsi" w:hAnsiTheme="minorHAnsi" w:cstheme="minorHAnsi"/>
          <w:noProof/>
          <w:sz w:val="22"/>
          <w:szCs w:val="22"/>
          <w:lang w:val="es-ES"/>
        </w:rPr>
        <w:t>En el contexto de la promoción de su papel facilitador, la Secretaría sigue apoyando</w:t>
      </w:r>
      <w:r w:rsidR="00F836AB" w:rsidRPr="005C40EF">
        <w:rPr>
          <w:rFonts w:asciiTheme="minorHAnsi" w:hAnsiTheme="minorHAnsi" w:cstheme="minorHAnsi"/>
          <w:noProof/>
          <w:sz w:val="22"/>
          <w:szCs w:val="22"/>
          <w:lang w:val="es-ES"/>
        </w:rPr>
        <w:t xml:space="preserve"> a</w:t>
      </w:r>
      <w:r w:rsidR="00BC03CB" w:rsidRPr="005C40EF">
        <w:rPr>
          <w:rFonts w:asciiTheme="minorHAnsi" w:hAnsiTheme="minorHAnsi" w:cstheme="minorHAnsi"/>
          <w:noProof/>
          <w:sz w:val="22"/>
          <w:szCs w:val="22"/>
          <w:lang w:val="es-ES"/>
        </w:rPr>
        <w:t xml:space="preserve"> las iniciativas regionales que permanecen activas, </w:t>
      </w:r>
      <w:r w:rsidR="00264CA1" w:rsidRPr="005C40EF">
        <w:rPr>
          <w:rFonts w:asciiTheme="minorHAnsi" w:hAnsiTheme="minorHAnsi" w:cstheme="minorHAnsi"/>
          <w:noProof/>
          <w:sz w:val="22"/>
          <w:szCs w:val="22"/>
          <w:lang w:val="es-ES"/>
        </w:rPr>
        <w:t>entre otras cosas</w:t>
      </w:r>
      <w:r w:rsidR="00BC03CB" w:rsidRPr="005C40EF">
        <w:rPr>
          <w:rFonts w:asciiTheme="minorHAnsi" w:hAnsiTheme="minorHAnsi" w:cstheme="minorHAnsi"/>
          <w:noProof/>
          <w:sz w:val="22"/>
          <w:szCs w:val="22"/>
          <w:lang w:val="es-ES"/>
        </w:rPr>
        <w:t xml:space="preserve">: </w:t>
      </w:r>
      <w:r w:rsidR="00264CA1" w:rsidRPr="005C40EF">
        <w:rPr>
          <w:rFonts w:asciiTheme="minorHAnsi" w:hAnsiTheme="minorHAnsi" w:cstheme="minorHAnsi"/>
          <w:noProof/>
          <w:sz w:val="22"/>
          <w:szCs w:val="22"/>
          <w:lang w:val="es-ES"/>
        </w:rPr>
        <w:t>participando</w:t>
      </w:r>
      <w:r w:rsidR="00BC03CB" w:rsidRPr="005C40EF">
        <w:rPr>
          <w:rFonts w:asciiTheme="minorHAnsi" w:hAnsiTheme="minorHAnsi" w:cstheme="minorHAnsi"/>
          <w:noProof/>
          <w:sz w:val="22"/>
          <w:szCs w:val="22"/>
          <w:lang w:val="es-ES"/>
        </w:rPr>
        <w:t xml:space="preserve"> en sus reuniones de coordinaci</w:t>
      </w:r>
      <w:r w:rsidR="00E5761B" w:rsidRPr="005C40EF">
        <w:rPr>
          <w:rFonts w:asciiTheme="minorHAnsi" w:hAnsiTheme="minorHAnsi" w:cstheme="minorHAnsi"/>
          <w:noProof/>
          <w:sz w:val="22"/>
          <w:szCs w:val="22"/>
          <w:lang w:val="es-ES"/>
        </w:rPr>
        <w:t>ón,</w:t>
      </w:r>
      <w:r w:rsidR="00BC03CB" w:rsidRPr="005C40EF">
        <w:rPr>
          <w:rFonts w:asciiTheme="minorHAnsi" w:hAnsiTheme="minorHAnsi" w:cstheme="minorHAnsi"/>
          <w:noProof/>
          <w:sz w:val="22"/>
          <w:szCs w:val="22"/>
          <w:lang w:val="es-ES"/>
        </w:rPr>
        <w:t xml:space="preserve"> </w:t>
      </w:r>
      <w:r w:rsidR="00264CA1" w:rsidRPr="005C40EF">
        <w:rPr>
          <w:rFonts w:asciiTheme="minorHAnsi" w:hAnsiTheme="minorHAnsi" w:cstheme="minorHAnsi"/>
          <w:noProof/>
          <w:sz w:val="22"/>
          <w:szCs w:val="22"/>
          <w:lang w:val="es-ES"/>
        </w:rPr>
        <w:t>asesorando</w:t>
      </w:r>
      <w:r w:rsidR="00E5761B" w:rsidRPr="005C40EF">
        <w:rPr>
          <w:rFonts w:asciiTheme="minorHAnsi" w:hAnsiTheme="minorHAnsi" w:cstheme="minorHAnsi"/>
          <w:noProof/>
          <w:sz w:val="22"/>
          <w:szCs w:val="22"/>
          <w:lang w:val="es-ES"/>
        </w:rPr>
        <w:t xml:space="preserve"> y apoyando</w:t>
      </w:r>
      <w:r w:rsidR="00BC03CB" w:rsidRPr="005C40EF">
        <w:rPr>
          <w:rFonts w:asciiTheme="minorHAnsi" w:hAnsiTheme="minorHAnsi" w:cstheme="minorHAnsi"/>
          <w:noProof/>
          <w:sz w:val="22"/>
          <w:szCs w:val="22"/>
          <w:lang w:val="es-ES"/>
        </w:rPr>
        <w:t xml:space="preserve"> la ejecución de sus actividades</w:t>
      </w:r>
      <w:r w:rsidR="00E5761B" w:rsidRPr="005C40EF">
        <w:rPr>
          <w:rFonts w:asciiTheme="minorHAnsi" w:hAnsiTheme="minorHAnsi" w:cstheme="minorHAnsi"/>
          <w:noProof/>
          <w:sz w:val="22"/>
          <w:szCs w:val="22"/>
          <w:lang w:val="es-ES"/>
        </w:rPr>
        <w:t>, apoyando</w:t>
      </w:r>
      <w:r w:rsidR="00BC03CB" w:rsidRPr="005C40EF">
        <w:rPr>
          <w:rFonts w:asciiTheme="minorHAnsi" w:hAnsiTheme="minorHAnsi" w:cstheme="minorHAnsi"/>
          <w:noProof/>
          <w:sz w:val="22"/>
          <w:szCs w:val="22"/>
          <w:lang w:val="es-ES"/>
        </w:rPr>
        <w:t xml:space="preserve"> sus esfuerzos de recaudación de fondos en </w:t>
      </w:r>
      <w:r w:rsidR="00D15C10" w:rsidRPr="005C40EF">
        <w:rPr>
          <w:rFonts w:asciiTheme="minorHAnsi" w:hAnsiTheme="minorHAnsi" w:cstheme="minorHAnsi"/>
          <w:noProof/>
          <w:sz w:val="22"/>
          <w:szCs w:val="22"/>
          <w:lang w:val="es-ES"/>
        </w:rPr>
        <w:t>consonancia</w:t>
      </w:r>
      <w:r w:rsidR="00BC03CB" w:rsidRPr="005C40EF">
        <w:rPr>
          <w:rFonts w:asciiTheme="minorHAnsi" w:hAnsiTheme="minorHAnsi" w:cstheme="minorHAnsi"/>
          <w:noProof/>
          <w:sz w:val="22"/>
          <w:szCs w:val="22"/>
          <w:lang w:val="es-ES"/>
        </w:rPr>
        <w:t xml:space="preserve"> con las prioridades </w:t>
      </w:r>
      <w:r w:rsidR="00E5761B" w:rsidRPr="005C40EF">
        <w:rPr>
          <w:rFonts w:asciiTheme="minorHAnsi" w:hAnsiTheme="minorHAnsi" w:cstheme="minorHAnsi"/>
          <w:noProof/>
          <w:sz w:val="22"/>
          <w:szCs w:val="22"/>
          <w:lang w:val="es-ES"/>
        </w:rPr>
        <w:t>aprobadas por la COP12,</w:t>
      </w:r>
      <w:r w:rsidR="00BC03CB" w:rsidRPr="005C40EF">
        <w:rPr>
          <w:rFonts w:asciiTheme="minorHAnsi" w:hAnsiTheme="minorHAnsi" w:cstheme="minorHAnsi"/>
          <w:noProof/>
          <w:sz w:val="22"/>
          <w:szCs w:val="22"/>
          <w:lang w:val="es-ES"/>
        </w:rPr>
        <w:t xml:space="preserve"> </w:t>
      </w:r>
      <w:r w:rsidR="00E5761B" w:rsidRPr="005C40EF">
        <w:rPr>
          <w:rFonts w:asciiTheme="minorHAnsi" w:hAnsiTheme="minorHAnsi" w:cstheme="minorHAnsi"/>
          <w:noProof/>
          <w:sz w:val="22"/>
          <w:szCs w:val="22"/>
          <w:lang w:val="es-ES"/>
        </w:rPr>
        <w:t>facilitando y compilando</w:t>
      </w:r>
      <w:r w:rsidR="00BC03CB" w:rsidRPr="005C40EF">
        <w:rPr>
          <w:rFonts w:asciiTheme="minorHAnsi" w:hAnsiTheme="minorHAnsi" w:cstheme="minorHAnsi"/>
          <w:noProof/>
          <w:sz w:val="22"/>
          <w:szCs w:val="22"/>
          <w:lang w:val="es-ES"/>
        </w:rPr>
        <w:t xml:space="preserve"> sus informes para el Comit</w:t>
      </w:r>
      <w:r w:rsidR="00E5761B" w:rsidRPr="005C40EF">
        <w:rPr>
          <w:rFonts w:asciiTheme="minorHAnsi" w:hAnsiTheme="minorHAnsi" w:cstheme="minorHAnsi"/>
          <w:noProof/>
          <w:sz w:val="22"/>
          <w:szCs w:val="22"/>
          <w:lang w:val="es-ES"/>
        </w:rPr>
        <w:t>é Permanente,</w:t>
      </w:r>
      <w:r w:rsidR="00BC03CB" w:rsidRPr="005C40EF">
        <w:rPr>
          <w:rFonts w:asciiTheme="minorHAnsi" w:hAnsiTheme="minorHAnsi" w:cstheme="minorHAnsi"/>
          <w:noProof/>
          <w:sz w:val="22"/>
          <w:szCs w:val="22"/>
          <w:lang w:val="es-ES"/>
        </w:rPr>
        <w:t xml:space="preserve"> y </w:t>
      </w:r>
      <w:r w:rsidR="00E5761B" w:rsidRPr="005C40EF">
        <w:rPr>
          <w:rFonts w:asciiTheme="minorHAnsi" w:hAnsiTheme="minorHAnsi" w:cstheme="minorHAnsi"/>
          <w:noProof/>
          <w:sz w:val="22"/>
          <w:szCs w:val="22"/>
          <w:lang w:val="es-ES"/>
        </w:rPr>
        <w:t>brindando apoyo</w:t>
      </w:r>
      <w:r w:rsidR="00BC03CB" w:rsidRPr="005C40EF">
        <w:rPr>
          <w:rFonts w:asciiTheme="minorHAnsi" w:hAnsiTheme="minorHAnsi" w:cstheme="minorHAnsi"/>
          <w:noProof/>
          <w:sz w:val="22"/>
          <w:szCs w:val="22"/>
          <w:lang w:val="es-ES"/>
        </w:rPr>
        <w:t xml:space="preserve"> al Grupo de trabajo del Comité Permane</w:t>
      </w:r>
      <w:r w:rsidR="00E5761B" w:rsidRPr="005C40EF">
        <w:rPr>
          <w:rFonts w:asciiTheme="minorHAnsi" w:hAnsiTheme="minorHAnsi" w:cstheme="minorHAnsi"/>
          <w:noProof/>
          <w:sz w:val="22"/>
          <w:szCs w:val="22"/>
          <w:lang w:val="es-ES"/>
        </w:rPr>
        <w:t>n</w:t>
      </w:r>
      <w:r w:rsidR="00BC03CB" w:rsidRPr="005C40EF">
        <w:rPr>
          <w:rFonts w:asciiTheme="minorHAnsi" w:hAnsiTheme="minorHAnsi" w:cstheme="minorHAnsi"/>
          <w:noProof/>
          <w:sz w:val="22"/>
          <w:szCs w:val="22"/>
          <w:lang w:val="es-ES"/>
        </w:rPr>
        <w:t xml:space="preserve">te sobre iniciativas regionales. </w:t>
      </w:r>
      <w:r w:rsidR="00E5761B" w:rsidRPr="005C40EF">
        <w:rPr>
          <w:rFonts w:asciiTheme="minorHAnsi" w:hAnsiTheme="minorHAnsi" w:cstheme="minorHAnsi"/>
          <w:noProof/>
          <w:sz w:val="22"/>
          <w:szCs w:val="22"/>
          <w:lang w:val="es-ES"/>
        </w:rPr>
        <w:t>Asimismo</w:t>
      </w:r>
      <w:r w:rsidR="00BC03CB" w:rsidRPr="005C40EF">
        <w:rPr>
          <w:rFonts w:asciiTheme="minorHAnsi" w:hAnsiTheme="minorHAnsi" w:cstheme="minorHAnsi"/>
          <w:noProof/>
          <w:sz w:val="22"/>
          <w:szCs w:val="22"/>
          <w:lang w:val="es-ES"/>
        </w:rPr>
        <w:t>, la Secretaría ha participado en alianzas estratégicas</w:t>
      </w:r>
      <w:r w:rsidR="00E5761B" w:rsidRPr="005C40EF">
        <w:rPr>
          <w:rFonts w:asciiTheme="minorHAnsi" w:hAnsiTheme="minorHAnsi" w:cstheme="minorHAnsi"/>
          <w:noProof/>
          <w:sz w:val="22"/>
          <w:szCs w:val="22"/>
          <w:lang w:val="es-ES"/>
        </w:rPr>
        <w:t xml:space="preserve"> y</w:t>
      </w:r>
      <w:r w:rsidR="00BC03CB" w:rsidRPr="005C40EF">
        <w:rPr>
          <w:rFonts w:asciiTheme="minorHAnsi" w:hAnsiTheme="minorHAnsi" w:cstheme="minorHAnsi"/>
          <w:noProof/>
          <w:sz w:val="22"/>
          <w:szCs w:val="22"/>
          <w:lang w:val="es-ES"/>
        </w:rPr>
        <w:t xml:space="preserve"> renovó su asociación de colaboración con Danone por tres años (2017-2019). Como consecuencia de la extensión de esta asociación hay recursos asignados para el Día Mundial de los Humedales y los Premios Ramsar, así como para otras actividades para aumentar la visibilidad y el conocimiento de los humedales y la Convención. La alianza también prevé la colaboración para la gestión sostenible de cuencas y el cambio climático con herramientas y metodologías validadas. En vista del cambio en las prioridades de Danone, la Secretaría prevé que, a partir de 2019, tendrá que recaudar fondos adicionales para </w:t>
      </w:r>
      <w:r w:rsidR="00E5761B" w:rsidRPr="005C40EF">
        <w:rPr>
          <w:rFonts w:asciiTheme="minorHAnsi" w:hAnsiTheme="minorHAnsi" w:cstheme="minorHAnsi"/>
          <w:noProof/>
          <w:sz w:val="22"/>
          <w:szCs w:val="22"/>
          <w:lang w:val="es-ES"/>
        </w:rPr>
        <w:t>las celebraciones d</w:t>
      </w:r>
      <w:r w:rsidR="00BC03CB" w:rsidRPr="005C40EF">
        <w:rPr>
          <w:rFonts w:asciiTheme="minorHAnsi" w:hAnsiTheme="minorHAnsi" w:cstheme="minorHAnsi"/>
          <w:noProof/>
          <w:sz w:val="22"/>
          <w:szCs w:val="22"/>
          <w:lang w:val="es-ES"/>
        </w:rPr>
        <w:t xml:space="preserve">el Día Mundial de los Humedales y para el programa de los Premios Ramsar. La alianza con Danone continúa abriendo puertas a nuevas oportunidades, como la posible colaboración con el Fondo Livelihoods y el CEO Water Mandate. La asociación de colaboración de Star Alliance con la Convención y la UICN finalizó en 2017 debido a un cambio </w:t>
      </w:r>
      <w:r w:rsidR="00E5761B" w:rsidRPr="005C40EF">
        <w:rPr>
          <w:rFonts w:asciiTheme="minorHAnsi" w:hAnsiTheme="minorHAnsi" w:cstheme="minorHAnsi"/>
          <w:noProof/>
          <w:sz w:val="22"/>
          <w:szCs w:val="22"/>
          <w:lang w:val="es-ES"/>
        </w:rPr>
        <w:t>en las</w:t>
      </w:r>
      <w:r w:rsidR="00BC03CB" w:rsidRPr="005C40EF">
        <w:rPr>
          <w:rFonts w:asciiTheme="minorHAnsi" w:hAnsiTheme="minorHAnsi" w:cstheme="minorHAnsi"/>
          <w:noProof/>
          <w:sz w:val="22"/>
          <w:szCs w:val="22"/>
          <w:lang w:val="es-ES"/>
        </w:rPr>
        <w:t xml:space="preserve"> prioridades de gestión de Star Alliance. </w:t>
      </w:r>
      <w:r w:rsidR="00264CA1" w:rsidRPr="005C40EF">
        <w:rPr>
          <w:rFonts w:asciiTheme="minorHAnsi" w:hAnsiTheme="minorHAnsi" w:cstheme="minorHAnsi"/>
          <w:noProof/>
          <w:sz w:val="22"/>
          <w:szCs w:val="22"/>
          <w:lang w:val="es-ES"/>
        </w:rPr>
        <w:t>El</w:t>
      </w:r>
      <w:r w:rsidR="00BC03CB" w:rsidRPr="005C40EF">
        <w:rPr>
          <w:rFonts w:asciiTheme="minorHAnsi" w:hAnsiTheme="minorHAnsi" w:cstheme="minorHAnsi"/>
          <w:noProof/>
          <w:sz w:val="22"/>
          <w:szCs w:val="22"/>
          <w:lang w:val="es-ES"/>
        </w:rPr>
        <w:t xml:space="preserve"> proyecto MAVA </w:t>
      </w:r>
      <w:r w:rsidR="00264CA1" w:rsidRPr="005C40EF">
        <w:rPr>
          <w:rFonts w:asciiTheme="minorHAnsi" w:hAnsiTheme="minorHAnsi" w:cstheme="minorHAnsi"/>
          <w:noProof/>
          <w:sz w:val="22"/>
          <w:szCs w:val="22"/>
          <w:lang w:val="es-ES"/>
        </w:rPr>
        <w:t>sobre</w:t>
      </w:r>
      <w:r w:rsidR="00E5761B" w:rsidRPr="005C40EF">
        <w:rPr>
          <w:rFonts w:asciiTheme="minorHAnsi" w:hAnsiTheme="minorHAnsi" w:cstheme="minorHAnsi"/>
          <w:noProof/>
          <w:sz w:val="22"/>
          <w:szCs w:val="22"/>
          <w:lang w:val="es-ES"/>
        </w:rPr>
        <w:t xml:space="preserve"> la</w:t>
      </w:r>
      <w:r w:rsidR="00264CA1" w:rsidRPr="005C40EF">
        <w:rPr>
          <w:rFonts w:asciiTheme="minorHAnsi" w:hAnsiTheme="minorHAnsi" w:cstheme="minorHAnsi"/>
          <w:noProof/>
          <w:sz w:val="22"/>
          <w:szCs w:val="22"/>
          <w:lang w:val="es-ES"/>
        </w:rPr>
        <w:t xml:space="preserve"> Conservación del Patrimonio Natural y Cultural en los Humedales llegó</w:t>
      </w:r>
      <w:r w:rsidR="00BC03CB" w:rsidRPr="005C40EF">
        <w:rPr>
          <w:rFonts w:asciiTheme="minorHAnsi" w:hAnsiTheme="minorHAnsi" w:cstheme="minorHAnsi"/>
          <w:noProof/>
          <w:sz w:val="22"/>
          <w:szCs w:val="22"/>
          <w:lang w:val="es-ES"/>
        </w:rPr>
        <w:t xml:space="preserve"> a su fin en marzo de 2018</w:t>
      </w:r>
      <w:r w:rsidR="00264CA1" w:rsidRPr="005C40EF">
        <w:rPr>
          <w:rFonts w:asciiTheme="minorHAnsi" w:hAnsiTheme="minorHAnsi" w:cstheme="minorHAnsi"/>
          <w:noProof/>
          <w:sz w:val="22"/>
          <w:szCs w:val="22"/>
          <w:lang w:val="es-ES"/>
        </w:rPr>
        <w:t xml:space="preserve"> y el Comité Permanente </w:t>
      </w:r>
      <w:r w:rsidR="00E5761B" w:rsidRPr="005C40EF">
        <w:rPr>
          <w:rFonts w:asciiTheme="minorHAnsi" w:hAnsiTheme="minorHAnsi" w:cstheme="minorHAnsi"/>
          <w:noProof/>
          <w:sz w:val="22"/>
          <w:szCs w:val="22"/>
          <w:lang w:val="es-ES"/>
        </w:rPr>
        <w:t>brindó</w:t>
      </w:r>
      <w:r w:rsidR="00264CA1" w:rsidRPr="005C40EF">
        <w:rPr>
          <w:rFonts w:asciiTheme="minorHAnsi" w:hAnsiTheme="minorHAnsi" w:cstheme="minorHAnsi"/>
          <w:noProof/>
          <w:sz w:val="22"/>
          <w:szCs w:val="22"/>
          <w:lang w:val="es-ES"/>
        </w:rPr>
        <w:t xml:space="preserve"> orientaciones para su fase final.</w:t>
      </w:r>
      <w:r w:rsidR="00BC03CB" w:rsidRPr="005C40EF">
        <w:rPr>
          <w:rFonts w:asciiTheme="minorHAnsi" w:hAnsiTheme="minorHAnsi" w:cstheme="minorHAnsi"/>
          <w:noProof/>
          <w:sz w:val="22"/>
          <w:szCs w:val="22"/>
          <w:lang w:val="es-ES"/>
        </w:rPr>
        <w:t xml:space="preserve"> La Secretaría ha examinado las alianzas existentes para las que se </w:t>
      </w:r>
      <w:r w:rsidR="00264CA1" w:rsidRPr="005C40EF">
        <w:rPr>
          <w:rFonts w:asciiTheme="minorHAnsi" w:hAnsiTheme="minorHAnsi" w:cstheme="minorHAnsi"/>
          <w:noProof/>
          <w:sz w:val="22"/>
          <w:szCs w:val="22"/>
          <w:lang w:val="es-ES"/>
        </w:rPr>
        <w:t>utilizan acuerdos de cooperación (por ejemplo,</w:t>
      </w:r>
      <w:r w:rsidR="00BC03CB" w:rsidRPr="005C40EF">
        <w:rPr>
          <w:rFonts w:asciiTheme="minorHAnsi" w:hAnsiTheme="minorHAnsi" w:cstheme="minorHAnsi"/>
          <w:noProof/>
          <w:sz w:val="22"/>
          <w:szCs w:val="22"/>
          <w:lang w:val="es-ES"/>
        </w:rPr>
        <w:t xml:space="preserve"> memorandos de</w:t>
      </w:r>
      <w:r w:rsidR="00F836AB" w:rsidRPr="005C40EF">
        <w:rPr>
          <w:rFonts w:asciiTheme="minorHAnsi" w:hAnsiTheme="minorHAnsi" w:cstheme="minorHAnsi"/>
          <w:noProof/>
          <w:sz w:val="22"/>
          <w:szCs w:val="22"/>
          <w:lang w:val="es-ES"/>
        </w:rPr>
        <w:t xml:space="preserve"> cooperación,</w:t>
      </w:r>
      <w:r w:rsidR="00264CA1" w:rsidRPr="005C40EF">
        <w:rPr>
          <w:rFonts w:asciiTheme="minorHAnsi" w:hAnsiTheme="minorHAnsi" w:cstheme="minorHAnsi"/>
          <w:noProof/>
          <w:sz w:val="22"/>
          <w:szCs w:val="22"/>
          <w:lang w:val="es-ES"/>
        </w:rPr>
        <w:t xml:space="preserve"> memorandos de</w:t>
      </w:r>
      <w:r w:rsidR="00BC03CB" w:rsidRPr="005C40EF">
        <w:rPr>
          <w:rFonts w:asciiTheme="minorHAnsi" w:hAnsiTheme="minorHAnsi" w:cstheme="minorHAnsi"/>
          <w:noProof/>
          <w:sz w:val="22"/>
          <w:szCs w:val="22"/>
          <w:lang w:val="es-ES"/>
        </w:rPr>
        <w:t xml:space="preserve"> entendimiento</w:t>
      </w:r>
      <w:r w:rsidR="00264CA1" w:rsidRPr="005C40EF">
        <w:rPr>
          <w:rFonts w:asciiTheme="minorHAnsi" w:hAnsiTheme="minorHAnsi" w:cstheme="minorHAnsi"/>
          <w:noProof/>
          <w:sz w:val="22"/>
          <w:szCs w:val="22"/>
          <w:lang w:val="es-ES"/>
        </w:rPr>
        <w:t>)</w:t>
      </w:r>
      <w:r w:rsidR="00BC03CB" w:rsidRPr="005C40EF">
        <w:rPr>
          <w:rFonts w:asciiTheme="minorHAnsi" w:hAnsiTheme="minorHAnsi" w:cstheme="minorHAnsi"/>
          <w:noProof/>
          <w:sz w:val="22"/>
          <w:szCs w:val="22"/>
          <w:lang w:val="es-ES"/>
        </w:rPr>
        <w:t xml:space="preserve"> </w:t>
      </w:r>
      <w:r w:rsidR="00264CA1" w:rsidRPr="005C40EF">
        <w:rPr>
          <w:rFonts w:asciiTheme="minorHAnsi" w:hAnsiTheme="minorHAnsi" w:cstheme="minorHAnsi"/>
          <w:noProof/>
          <w:sz w:val="22"/>
          <w:szCs w:val="22"/>
          <w:lang w:val="es-ES"/>
        </w:rPr>
        <w:t xml:space="preserve">y presentó sus conclusiones </w:t>
      </w:r>
      <w:r w:rsidR="00E5761B" w:rsidRPr="005C40EF">
        <w:rPr>
          <w:rFonts w:asciiTheme="minorHAnsi" w:hAnsiTheme="minorHAnsi" w:cstheme="minorHAnsi"/>
          <w:noProof/>
          <w:sz w:val="22"/>
          <w:szCs w:val="22"/>
          <w:lang w:val="es-ES"/>
        </w:rPr>
        <w:t>en</w:t>
      </w:r>
      <w:r w:rsidR="00264CA1" w:rsidRPr="005C40EF">
        <w:rPr>
          <w:rFonts w:asciiTheme="minorHAnsi" w:hAnsiTheme="minorHAnsi" w:cstheme="minorHAnsi"/>
          <w:noProof/>
          <w:sz w:val="22"/>
          <w:szCs w:val="22"/>
          <w:lang w:val="es-ES"/>
        </w:rPr>
        <w:t xml:space="preserve"> la reunión SC54. El Comité Permane</w:t>
      </w:r>
      <w:r w:rsidR="00E5761B" w:rsidRPr="005C40EF">
        <w:rPr>
          <w:rFonts w:asciiTheme="minorHAnsi" w:hAnsiTheme="minorHAnsi" w:cstheme="minorHAnsi"/>
          <w:noProof/>
          <w:sz w:val="22"/>
          <w:szCs w:val="22"/>
          <w:lang w:val="es-ES"/>
        </w:rPr>
        <w:t>n</w:t>
      </w:r>
      <w:r w:rsidR="00264CA1" w:rsidRPr="005C40EF">
        <w:rPr>
          <w:rFonts w:asciiTheme="minorHAnsi" w:hAnsiTheme="minorHAnsi" w:cstheme="minorHAnsi"/>
          <w:noProof/>
          <w:sz w:val="22"/>
          <w:szCs w:val="22"/>
          <w:lang w:val="es-ES"/>
        </w:rPr>
        <w:t>te aprobó el enfoque propuesto y el árbol de decisiones</w:t>
      </w:r>
      <w:r w:rsidR="00E5761B" w:rsidRPr="005C40EF">
        <w:rPr>
          <w:rFonts w:asciiTheme="minorHAnsi" w:hAnsiTheme="minorHAnsi" w:cstheme="minorHAnsi"/>
          <w:noProof/>
          <w:sz w:val="22"/>
          <w:szCs w:val="22"/>
          <w:lang w:val="es-ES"/>
        </w:rPr>
        <w:t xml:space="preserve"> correspondiente</w:t>
      </w:r>
      <w:r w:rsidR="00264CA1" w:rsidRPr="005C40EF">
        <w:rPr>
          <w:rFonts w:asciiTheme="minorHAnsi" w:hAnsiTheme="minorHAnsi" w:cstheme="minorHAnsi"/>
          <w:noProof/>
          <w:sz w:val="22"/>
          <w:szCs w:val="22"/>
          <w:lang w:val="es-ES"/>
        </w:rPr>
        <w:t xml:space="preserve"> para determinar cuándo </w:t>
      </w:r>
      <w:r w:rsidR="00E5761B" w:rsidRPr="005C40EF">
        <w:rPr>
          <w:rFonts w:asciiTheme="minorHAnsi" w:hAnsiTheme="minorHAnsi" w:cstheme="minorHAnsi"/>
          <w:noProof/>
          <w:sz w:val="22"/>
          <w:szCs w:val="22"/>
          <w:lang w:val="es-ES"/>
        </w:rPr>
        <w:t>deberían utilizarse</w:t>
      </w:r>
      <w:r w:rsidR="00264CA1" w:rsidRPr="005C40EF">
        <w:rPr>
          <w:rFonts w:asciiTheme="minorHAnsi" w:hAnsiTheme="minorHAnsi" w:cstheme="minorHAnsi"/>
          <w:noProof/>
          <w:sz w:val="22"/>
          <w:szCs w:val="22"/>
          <w:lang w:val="es-ES"/>
        </w:rPr>
        <w:t xml:space="preserve"> acuerdos de cooperación. </w:t>
      </w:r>
    </w:p>
    <w:p w14:paraId="69BFD5E4" w14:textId="77777777" w:rsidR="00264CA1" w:rsidRPr="005C40EF" w:rsidRDefault="00264CA1" w:rsidP="002213E9">
      <w:pPr>
        <w:autoSpaceDE w:val="0"/>
        <w:autoSpaceDN w:val="0"/>
        <w:adjustRightInd w:val="0"/>
        <w:ind w:left="425" w:hanging="425"/>
        <w:rPr>
          <w:rFonts w:asciiTheme="minorHAnsi" w:hAnsiTheme="minorHAnsi" w:cstheme="minorHAnsi"/>
          <w:noProof/>
          <w:sz w:val="22"/>
          <w:szCs w:val="22"/>
          <w:lang w:val="es-ES"/>
        </w:rPr>
      </w:pPr>
    </w:p>
    <w:p w14:paraId="24170D14" w14:textId="5B11A333" w:rsidR="001A0ACF" w:rsidRPr="005C40EF" w:rsidRDefault="002213E9" w:rsidP="002213E9">
      <w:pPr>
        <w:autoSpaceDE w:val="0"/>
        <w:autoSpaceDN w:val="0"/>
        <w:adjustRightInd w:val="0"/>
        <w:ind w:left="425" w:hanging="425"/>
        <w:rPr>
          <w:rFonts w:asciiTheme="minorHAnsi" w:hAnsiTheme="minorHAnsi" w:cstheme="minorHAnsi"/>
          <w:noProof/>
          <w:sz w:val="22"/>
          <w:szCs w:val="22"/>
          <w:lang w:val="es-ES"/>
        </w:rPr>
      </w:pPr>
      <w:r>
        <w:rPr>
          <w:rFonts w:asciiTheme="minorHAnsi" w:hAnsiTheme="minorHAnsi" w:cstheme="minorHAnsi"/>
          <w:noProof/>
          <w:sz w:val="22"/>
          <w:szCs w:val="22"/>
          <w:lang w:val="es-ES"/>
        </w:rPr>
        <w:t>29.</w:t>
      </w:r>
      <w:r>
        <w:rPr>
          <w:rFonts w:asciiTheme="minorHAnsi" w:hAnsiTheme="minorHAnsi" w:cstheme="minorHAnsi"/>
          <w:noProof/>
          <w:sz w:val="22"/>
          <w:szCs w:val="22"/>
          <w:lang w:val="es-ES"/>
        </w:rPr>
        <w:tab/>
      </w:r>
      <w:r w:rsidR="00E5761B" w:rsidRPr="005C40EF">
        <w:rPr>
          <w:rFonts w:asciiTheme="minorHAnsi" w:hAnsiTheme="minorHAnsi" w:cstheme="minorHAnsi"/>
          <w:noProof/>
          <w:sz w:val="22"/>
          <w:szCs w:val="22"/>
          <w:lang w:val="es-ES"/>
        </w:rPr>
        <w:t xml:space="preserve">El 2 de mayo de 2017, la Secretaría organizó una reunión de los jefes de las OIA para renovar el Memorando de cooperación existente y especificar formas más estratégicas de </w:t>
      </w:r>
      <w:r w:rsidR="005834EA" w:rsidRPr="005C40EF">
        <w:rPr>
          <w:rFonts w:asciiTheme="minorHAnsi" w:hAnsiTheme="minorHAnsi" w:cstheme="minorHAnsi"/>
          <w:noProof/>
          <w:sz w:val="22"/>
          <w:szCs w:val="22"/>
          <w:lang w:val="es-ES"/>
        </w:rPr>
        <w:t>colaborar</w:t>
      </w:r>
      <w:r w:rsidR="00E5761B" w:rsidRPr="005C40EF">
        <w:rPr>
          <w:rFonts w:asciiTheme="minorHAnsi" w:hAnsiTheme="minorHAnsi" w:cstheme="minorHAnsi"/>
          <w:noProof/>
          <w:sz w:val="22"/>
          <w:szCs w:val="22"/>
          <w:lang w:val="es-ES"/>
        </w:rPr>
        <w:t xml:space="preserve">. Esta reunión dio como resultado un acuerdo sobre actividades conjuntas que permitirían </w:t>
      </w:r>
      <w:r w:rsidR="005834EA" w:rsidRPr="005C40EF">
        <w:rPr>
          <w:rFonts w:asciiTheme="minorHAnsi" w:hAnsiTheme="minorHAnsi" w:cstheme="minorHAnsi"/>
          <w:noProof/>
          <w:sz w:val="22"/>
          <w:szCs w:val="22"/>
          <w:lang w:val="es-ES"/>
        </w:rPr>
        <w:t>que</w:t>
      </w:r>
      <w:r w:rsidR="00E5761B" w:rsidRPr="005C40EF">
        <w:rPr>
          <w:rFonts w:asciiTheme="minorHAnsi" w:hAnsiTheme="minorHAnsi" w:cstheme="minorHAnsi"/>
          <w:noProof/>
          <w:sz w:val="22"/>
          <w:szCs w:val="22"/>
          <w:lang w:val="es-ES"/>
        </w:rPr>
        <w:t xml:space="preserve"> l</w:t>
      </w:r>
      <w:r w:rsidR="005834EA" w:rsidRPr="005C40EF">
        <w:rPr>
          <w:rFonts w:asciiTheme="minorHAnsi" w:hAnsiTheme="minorHAnsi" w:cstheme="minorHAnsi"/>
          <w:noProof/>
          <w:sz w:val="22"/>
          <w:szCs w:val="22"/>
          <w:lang w:val="es-ES"/>
        </w:rPr>
        <w:t>a asociación se convierta en “un todo mayor que la suma de sus partes”</w:t>
      </w:r>
      <w:r w:rsidR="00E5761B" w:rsidRPr="005C40EF">
        <w:rPr>
          <w:rFonts w:asciiTheme="minorHAnsi" w:hAnsiTheme="minorHAnsi" w:cstheme="minorHAnsi"/>
          <w:noProof/>
          <w:sz w:val="22"/>
          <w:szCs w:val="22"/>
          <w:lang w:val="es-ES"/>
        </w:rPr>
        <w:t xml:space="preserve">. Estas actividades conjuntas se reflejaron posteriormente en el </w:t>
      </w:r>
      <w:r w:rsidR="005834EA" w:rsidRPr="005C40EF">
        <w:rPr>
          <w:rFonts w:asciiTheme="minorHAnsi" w:hAnsiTheme="minorHAnsi" w:cstheme="minorHAnsi"/>
          <w:noProof/>
          <w:sz w:val="22"/>
          <w:szCs w:val="22"/>
          <w:lang w:val="es-ES"/>
        </w:rPr>
        <w:t>Memorando de cooperación</w:t>
      </w:r>
      <w:r w:rsidR="00E5761B" w:rsidRPr="005C40EF">
        <w:rPr>
          <w:rFonts w:asciiTheme="minorHAnsi" w:hAnsiTheme="minorHAnsi" w:cstheme="minorHAnsi"/>
          <w:noProof/>
          <w:sz w:val="22"/>
          <w:szCs w:val="22"/>
          <w:lang w:val="es-ES"/>
        </w:rPr>
        <w:t xml:space="preserve"> revisado para el período 2018-2024.</w:t>
      </w:r>
    </w:p>
    <w:p w14:paraId="15E085D9" w14:textId="77777777" w:rsidR="00E5761B" w:rsidRPr="005C40EF" w:rsidRDefault="00E5761B" w:rsidP="002213E9">
      <w:pPr>
        <w:autoSpaceDE w:val="0"/>
        <w:autoSpaceDN w:val="0"/>
        <w:adjustRightInd w:val="0"/>
        <w:ind w:left="425" w:hanging="425"/>
        <w:rPr>
          <w:rFonts w:asciiTheme="minorHAnsi" w:hAnsiTheme="minorHAnsi" w:cstheme="minorHAnsi"/>
          <w:noProof/>
          <w:sz w:val="22"/>
          <w:szCs w:val="22"/>
          <w:lang w:val="es-ES"/>
        </w:rPr>
      </w:pPr>
    </w:p>
    <w:p w14:paraId="5EE076DC" w14:textId="2D2EDCE0" w:rsidR="005834EA" w:rsidRPr="00A612B7" w:rsidRDefault="002213E9" w:rsidP="002213E9">
      <w:pPr>
        <w:autoSpaceDE w:val="0"/>
        <w:autoSpaceDN w:val="0"/>
        <w:adjustRightInd w:val="0"/>
        <w:ind w:left="425" w:hanging="425"/>
        <w:rPr>
          <w:rFonts w:asciiTheme="minorHAnsi" w:hAnsiTheme="minorHAnsi" w:cstheme="minorHAnsi"/>
          <w:noProof/>
          <w:sz w:val="22"/>
          <w:szCs w:val="22"/>
          <w:lang w:val="es-ES"/>
        </w:rPr>
      </w:pPr>
      <w:r>
        <w:rPr>
          <w:rFonts w:asciiTheme="minorHAnsi" w:hAnsiTheme="minorHAnsi" w:cstheme="minorHAnsi"/>
          <w:noProof/>
          <w:sz w:val="22"/>
          <w:szCs w:val="22"/>
          <w:lang w:val="es-ES"/>
        </w:rPr>
        <w:t>30.</w:t>
      </w:r>
      <w:r>
        <w:rPr>
          <w:rFonts w:asciiTheme="minorHAnsi" w:hAnsiTheme="minorHAnsi" w:cstheme="minorHAnsi"/>
          <w:noProof/>
          <w:sz w:val="22"/>
          <w:szCs w:val="22"/>
          <w:lang w:val="es-ES"/>
        </w:rPr>
        <w:tab/>
      </w:r>
      <w:r w:rsidR="005834EA" w:rsidRPr="00A612B7">
        <w:rPr>
          <w:rFonts w:asciiTheme="minorHAnsi" w:hAnsiTheme="minorHAnsi" w:cstheme="minorHAnsi"/>
          <w:noProof/>
          <w:sz w:val="22"/>
          <w:szCs w:val="22"/>
          <w:lang w:val="es-ES"/>
        </w:rPr>
        <w:t>Con respecto a la movilización de recursos</w:t>
      </w:r>
      <w:r w:rsidR="009836CF" w:rsidRPr="00A612B7">
        <w:rPr>
          <w:rFonts w:asciiTheme="minorHAnsi" w:hAnsiTheme="minorHAnsi" w:cstheme="minorHAnsi"/>
          <w:noProof/>
          <w:sz w:val="22"/>
          <w:szCs w:val="22"/>
          <w:lang w:val="es-ES"/>
        </w:rPr>
        <w:t xml:space="preserve"> </w:t>
      </w:r>
      <w:r w:rsidR="005834EA" w:rsidRPr="00A612B7">
        <w:rPr>
          <w:rFonts w:asciiTheme="minorHAnsi" w:hAnsiTheme="minorHAnsi" w:cstheme="minorHAnsi"/>
          <w:noProof/>
          <w:sz w:val="22"/>
          <w:szCs w:val="22"/>
          <w:lang w:val="es-ES"/>
        </w:rPr>
        <w:t>durante el trienio los fondos complementarios sumaron 2.312.000</w:t>
      </w:r>
      <w:r w:rsidR="009836CF" w:rsidRPr="00A612B7">
        <w:rPr>
          <w:rFonts w:asciiTheme="minorHAnsi" w:hAnsiTheme="minorHAnsi" w:cstheme="minorHAnsi"/>
          <w:noProof/>
          <w:sz w:val="22"/>
          <w:szCs w:val="22"/>
          <w:lang w:val="es-ES"/>
        </w:rPr>
        <w:t xml:space="preserve"> francos suizos</w:t>
      </w:r>
      <w:r w:rsidR="005834EA" w:rsidRPr="00A612B7">
        <w:rPr>
          <w:rFonts w:asciiTheme="minorHAnsi" w:hAnsiTheme="minorHAnsi" w:cstheme="minorHAnsi"/>
          <w:noProof/>
          <w:sz w:val="22"/>
          <w:szCs w:val="22"/>
          <w:lang w:val="es-ES"/>
        </w:rPr>
        <w:t xml:space="preserve"> para apoyar las prioridades establecidas por la COP en</w:t>
      </w:r>
      <w:r w:rsidR="00F61C6B" w:rsidRPr="00A612B7">
        <w:rPr>
          <w:rFonts w:asciiTheme="minorHAnsi" w:hAnsiTheme="minorHAnsi" w:cstheme="minorHAnsi"/>
          <w:noProof/>
          <w:sz w:val="22"/>
          <w:szCs w:val="22"/>
          <w:lang w:val="es-ES"/>
        </w:rPr>
        <w:t xml:space="preserve"> el Anexo 3 de la</w:t>
      </w:r>
      <w:r w:rsidR="005834EA" w:rsidRPr="00A612B7">
        <w:rPr>
          <w:rFonts w:asciiTheme="minorHAnsi" w:hAnsiTheme="minorHAnsi" w:cstheme="minorHAnsi"/>
          <w:noProof/>
          <w:sz w:val="22"/>
          <w:szCs w:val="22"/>
          <w:lang w:val="es-ES"/>
        </w:rPr>
        <w:t xml:space="preserve"> Resolución XII.7. Durante este período, se recaudaron 157.000</w:t>
      </w:r>
      <w:r w:rsidR="009836CF" w:rsidRPr="00A612B7">
        <w:rPr>
          <w:rFonts w:asciiTheme="minorHAnsi" w:hAnsiTheme="minorHAnsi" w:cstheme="minorHAnsi"/>
          <w:noProof/>
          <w:sz w:val="22"/>
          <w:szCs w:val="22"/>
          <w:lang w:val="es-ES"/>
        </w:rPr>
        <w:t xml:space="preserve"> francos suizos</w:t>
      </w:r>
      <w:r w:rsidR="005834EA" w:rsidRPr="00A612B7">
        <w:rPr>
          <w:rFonts w:asciiTheme="minorHAnsi" w:hAnsiTheme="minorHAnsi" w:cstheme="minorHAnsi"/>
          <w:noProof/>
          <w:sz w:val="22"/>
          <w:szCs w:val="22"/>
          <w:lang w:val="es-ES"/>
        </w:rPr>
        <w:t xml:space="preserve"> para </w:t>
      </w:r>
      <w:r w:rsidR="005834EA" w:rsidRPr="00A612B7">
        <w:rPr>
          <w:rFonts w:asciiTheme="minorHAnsi" w:hAnsiTheme="minorHAnsi" w:cstheme="minorHAnsi"/>
          <w:noProof/>
          <w:sz w:val="22"/>
          <w:szCs w:val="22"/>
          <w:lang w:val="es-ES"/>
        </w:rPr>
        <w:lastRenderedPageBreak/>
        <w:t>Misiones Ramsar de Asesoramiento, 221.000</w:t>
      </w:r>
      <w:r w:rsidR="009836CF" w:rsidRPr="00A612B7">
        <w:rPr>
          <w:rFonts w:asciiTheme="minorHAnsi" w:hAnsiTheme="minorHAnsi" w:cstheme="minorHAnsi"/>
          <w:noProof/>
          <w:sz w:val="22"/>
          <w:szCs w:val="22"/>
          <w:lang w:val="es-ES"/>
        </w:rPr>
        <w:t xml:space="preserve"> francos suizos</w:t>
      </w:r>
      <w:r w:rsidR="005834EA" w:rsidRPr="00A612B7">
        <w:rPr>
          <w:rFonts w:asciiTheme="minorHAnsi" w:hAnsiTheme="minorHAnsi" w:cstheme="minorHAnsi"/>
          <w:noProof/>
          <w:sz w:val="22"/>
          <w:szCs w:val="22"/>
          <w:lang w:val="es-ES"/>
        </w:rPr>
        <w:t xml:space="preserve"> </w:t>
      </w:r>
      <w:r w:rsidR="009836CF" w:rsidRPr="00A612B7">
        <w:rPr>
          <w:rFonts w:asciiTheme="minorHAnsi" w:hAnsiTheme="minorHAnsi" w:cstheme="minorHAnsi"/>
          <w:noProof/>
          <w:sz w:val="22"/>
          <w:szCs w:val="22"/>
          <w:lang w:val="es-ES"/>
        </w:rPr>
        <w:t xml:space="preserve">de apoyo para </w:t>
      </w:r>
      <w:r w:rsidR="005834EA" w:rsidRPr="00A612B7">
        <w:rPr>
          <w:rFonts w:asciiTheme="minorHAnsi" w:hAnsiTheme="minorHAnsi" w:cstheme="minorHAnsi"/>
          <w:noProof/>
          <w:sz w:val="22"/>
          <w:szCs w:val="22"/>
          <w:lang w:val="es-ES"/>
        </w:rPr>
        <w:t xml:space="preserve">viajes de delegados patrocinados </w:t>
      </w:r>
      <w:r w:rsidR="005A1FD6" w:rsidRPr="00A612B7">
        <w:rPr>
          <w:rFonts w:asciiTheme="minorHAnsi" w:hAnsiTheme="minorHAnsi" w:cstheme="minorHAnsi"/>
          <w:noProof/>
          <w:sz w:val="22"/>
          <w:szCs w:val="22"/>
          <w:lang w:val="es-ES"/>
        </w:rPr>
        <w:t>a</w:t>
      </w:r>
      <w:r w:rsidR="005834EA" w:rsidRPr="00A612B7">
        <w:rPr>
          <w:rFonts w:asciiTheme="minorHAnsi" w:hAnsiTheme="minorHAnsi" w:cstheme="minorHAnsi"/>
          <w:noProof/>
          <w:sz w:val="22"/>
          <w:szCs w:val="22"/>
          <w:lang w:val="es-ES"/>
        </w:rPr>
        <w:t xml:space="preserve"> la COP13 y reuniones previas a la COP, y </w:t>
      </w:r>
      <w:r w:rsidR="00F61C6B" w:rsidRPr="00A612B7">
        <w:rPr>
          <w:rFonts w:asciiTheme="minorHAnsi" w:hAnsiTheme="minorHAnsi" w:cstheme="minorHAnsi"/>
          <w:noProof/>
          <w:sz w:val="22"/>
          <w:szCs w:val="22"/>
          <w:lang w:val="es-ES"/>
        </w:rPr>
        <w:t>33.</w:t>
      </w:r>
      <w:r w:rsidR="005834EA" w:rsidRPr="00A612B7">
        <w:rPr>
          <w:rFonts w:asciiTheme="minorHAnsi" w:hAnsiTheme="minorHAnsi" w:cstheme="minorHAnsi"/>
          <w:noProof/>
          <w:sz w:val="22"/>
          <w:szCs w:val="22"/>
          <w:lang w:val="es-ES"/>
        </w:rPr>
        <w:t>000</w:t>
      </w:r>
      <w:r w:rsidR="009836CF" w:rsidRPr="00A612B7">
        <w:rPr>
          <w:rFonts w:asciiTheme="minorHAnsi" w:hAnsiTheme="minorHAnsi" w:cstheme="minorHAnsi"/>
          <w:noProof/>
          <w:sz w:val="22"/>
          <w:szCs w:val="22"/>
          <w:lang w:val="es-ES"/>
        </w:rPr>
        <w:t xml:space="preserve"> francos suizos</w:t>
      </w:r>
      <w:r w:rsidR="005834EA" w:rsidRPr="00A612B7">
        <w:rPr>
          <w:rFonts w:asciiTheme="minorHAnsi" w:hAnsiTheme="minorHAnsi" w:cstheme="minorHAnsi"/>
          <w:noProof/>
          <w:sz w:val="22"/>
          <w:szCs w:val="22"/>
          <w:lang w:val="es-ES"/>
        </w:rPr>
        <w:t xml:space="preserve"> para iniciativas regionales. Un </w:t>
      </w:r>
      <w:r w:rsidR="009836CF" w:rsidRPr="00A612B7">
        <w:rPr>
          <w:rFonts w:asciiTheme="minorHAnsi" w:hAnsiTheme="minorHAnsi" w:cstheme="minorHAnsi"/>
          <w:noProof/>
          <w:sz w:val="22"/>
          <w:szCs w:val="22"/>
          <w:lang w:val="es-ES"/>
        </w:rPr>
        <w:t>acontecimiento</w:t>
      </w:r>
      <w:r w:rsidR="005834EA" w:rsidRPr="00A612B7">
        <w:rPr>
          <w:rFonts w:asciiTheme="minorHAnsi" w:hAnsiTheme="minorHAnsi" w:cstheme="minorHAnsi"/>
          <w:noProof/>
          <w:sz w:val="22"/>
          <w:szCs w:val="22"/>
          <w:lang w:val="es-ES"/>
        </w:rPr>
        <w:t xml:space="preserve"> destacado en el período que abarca el informe fue </w:t>
      </w:r>
      <w:r w:rsidR="00F61C6B" w:rsidRPr="00A612B7">
        <w:rPr>
          <w:rFonts w:asciiTheme="minorHAnsi" w:hAnsiTheme="minorHAnsi" w:cstheme="minorHAnsi"/>
          <w:noProof/>
          <w:sz w:val="22"/>
          <w:szCs w:val="22"/>
          <w:lang w:val="es-ES"/>
        </w:rPr>
        <w:t>l</w:t>
      </w:r>
      <w:r w:rsidR="00CF7C0A" w:rsidRPr="00A612B7">
        <w:rPr>
          <w:rFonts w:asciiTheme="minorHAnsi" w:hAnsiTheme="minorHAnsi" w:cstheme="minorHAnsi"/>
          <w:noProof/>
          <w:sz w:val="22"/>
          <w:szCs w:val="22"/>
          <w:lang w:val="es-ES"/>
        </w:rPr>
        <w:t>a contratación del Director de Movilización de R</w:t>
      </w:r>
      <w:r w:rsidR="005834EA" w:rsidRPr="00A612B7">
        <w:rPr>
          <w:rFonts w:asciiTheme="minorHAnsi" w:hAnsiTheme="minorHAnsi" w:cstheme="minorHAnsi"/>
          <w:noProof/>
          <w:sz w:val="22"/>
          <w:szCs w:val="22"/>
          <w:lang w:val="es-ES"/>
        </w:rPr>
        <w:t>ecursos y</w:t>
      </w:r>
      <w:r w:rsidR="00CF7C0A" w:rsidRPr="00A612B7">
        <w:rPr>
          <w:rFonts w:asciiTheme="minorHAnsi" w:hAnsiTheme="minorHAnsi" w:cstheme="minorHAnsi"/>
          <w:noProof/>
          <w:sz w:val="22"/>
          <w:szCs w:val="22"/>
          <w:lang w:val="es-ES"/>
        </w:rPr>
        <w:t xml:space="preserve"> D</w:t>
      </w:r>
      <w:r w:rsidR="005834EA" w:rsidRPr="00A612B7">
        <w:rPr>
          <w:rFonts w:asciiTheme="minorHAnsi" w:hAnsiTheme="minorHAnsi" w:cstheme="minorHAnsi"/>
          <w:noProof/>
          <w:sz w:val="22"/>
          <w:szCs w:val="22"/>
          <w:lang w:val="es-ES"/>
        </w:rPr>
        <w:t>ivulgación. Un primer paso importante fue el d</w:t>
      </w:r>
      <w:r w:rsidR="00F61C6B" w:rsidRPr="00A612B7">
        <w:rPr>
          <w:rFonts w:asciiTheme="minorHAnsi" w:hAnsiTheme="minorHAnsi" w:cstheme="minorHAnsi"/>
          <w:noProof/>
          <w:sz w:val="22"/>
          <w:szCs w:val="22"/>
          <w:lang w:val="es-ES"/>
        </w:rPr>
        <w:t>esarrollo de una Estrategia de movilización de r</w:t>
      </w:r>
      <w:r w:rsidR="005834EA" w:rsidRPr="00A612B7">
        <w:rPr>
          <w:rFonts w:asciiTheme="minorHAnsi" w:hAnsiTheme="minorHAnsi" w:cstheme="minorHAnsi"/>
          <w:noProof/>
          <w:sz w:val="22"/>
          <w:szCs w:val="22"/>
          <w:lang w:val="es-ES"/>
        </w:rPr>
        <w:t xml:space="preserve">ecursos como se solicita en la Decisión SC52-23. Este plan </w:t>
      </w:r>
      <w:r w:rsidR="005A1FD6" w:rsidRPr="00A612B7">
        <w:rPr>
          <w:rFonts w:asciiTheme="minorHAnsi" w:hAnsiTheme="minorHAnsi" w:cstheme="minorHAnsi"/>
          <w:noProof/>
          <w:sz w:val="22"/>
          <w:szCs w:val="22"/>
          <w:lang w:val="es-ES"/>
        </w:rPr>
        <w:t>se presentó</w:t>
      </w:r>
      <w:r w:rsidR="005834EA" w:rsidRPr="00A612B7">
        <w:rPr>
          <w:rFonts w:asciiTheme="minorHAnsi" w:hAnsiTheme="minorHAnsi" w:cstheme="minorHAnsi"/>
          <w:noProof/>
          <w:sz w:val="22"/>
          <w:szCs w:val="22"/>
          <w:lang w:val="es-ES"/>
        </w:rPr>
        <w:t xml:space="preserve"> en la</w:t>
      </w:r>
      <w:r w:rsidR="00F61C6B" w:rsidRPr="00A612B7">
        <w:rPr>
          <w:rFonts w:asciiTheme="minorHAnsi" w:hAnsiTheme="minorHAnsi" w:cstheme="minorHAnsi"/>
          <w:noProof/>
          <w:sz w:val="22"/>
          <w:szCs w:val="22"/>
          <w:lang w:val="es-ES"/>
        </w:rPr>
        <w:t xml:space="preserve"> reunión</w:t>
      </w:r>
      <w:r w:rsidR="005834EA" w:rsidRPr="00A612B7">
        <w:rPr>
          <w:rFonts w:asciiTheme="minorHAnsi" w:hAnsiTheme="minorHAnsi" w:cstheme="minorHAnsi"/>
          <w:noProof/>
          <w:sz w:val="22"/>
          <w:szCs w:val="22"/>
          <w:lang w:val="es-ES"/>
        </w:rPr>
        <w:t xml:space="preserve"> SC54 y el Comité Permanente</w:t>
      </w:r>
      <w:r w:rsidR="005A1FD6" w:rsidRPr="00A612B7">
        <w:rPr>
          <w:rFonts w:asciiTheme="minorHAnsi" w:hAnsiTheme="minorHAnsi" w:cstheme="minorHAnsi"/>
          <w:noProof/>
          <w:sz w:val="22"/>
          <w:szCs w:val="22"/>
          <w:lang w:val="es-ES"/>
        </w:rPr>
        <w:t xml:space="preserve"> lo aprobó</w:t>
      </w:r>
      <w:r w:rsidR="005834EA" w:rsidRPr="00A612B7">
        <w:rPr>
          <w:rFonts w:asciiTheme="minorHAnsi" w:hAnsiTheme="minorHAnsi" w:cstheme="minorHAnsi"/>
          <w:noProof/>
          <w:sz w:val="22"/>
          <w:szCs w:val="22"/>
          <w:lang w:val="es-ES"/>
        </w:rPr>
        <w:t>. Esto permitirá un enfoque más estratégico para esta importante área de trabajo de la Secretaría.</w:t>
      </w:r>
    </w:p>
    <w:p w14:paraId="0AC2014D" w14:textId="77777777" w:rsidR="005834EA" w:rsidRPr="005C40EF" w:rsidRDefault="005834EA" w:rsidP="002213E9">
      <w:pPr>
        <w:autoSpaceDE w:val="0"/>
        <w:autoSpaceDN w:val="0"/>
        <w:adjustRightInd w:val="0"/>
        <w:ind w:left="425" w:hanging="425"/>
        <w:rPr>
          <w:rFonts w:asciiTheme="minorHAnsi" w:hAnsiTheme="minorHAnsi" w:cstheme="minorHAnsi"/>
          <w:noProof/>
          <w:sz w:val="22"/>
          <w:szCs w:val="22"/>
          <w:lang w:val="es-ES"/>
        </w:rPr>
      </w:pPr>
    </w:p>
    <w:p w14:paraId="2429C77A" w14:textId="75CC7E0D" w:rsidR="00825C38" w:rsidRPr="005C40EF" w:rsidRDefault="002213E9" w:rsidP="002213E9">
      <w:pPr>
        <w:autoSpaceDE w:val="0"/>
        <w:autoSpaceDN w:val="0"/>
        <w:adjustRightInd w:val="0"/>
        <w:ind w:left="425" w:hanging="425"/>
        <w:rPr>
          <w:rFonts w:asciiTheme="minorHAnsi" w:hAnsiTheme="minorHAnsi" w:cstheme="minorHAnsi"/>
          <w:noProof/>
          <w:sz w:val="22"/>
          <w:szCs w:val="22"/>
          <w:lang w:val="es-ES"/>
        </w:rPr>
      </w:pPr>
      <w:r>
        <w:rPr>
          <w:rFonts w:asciiTheme="minorHAnsi" w:hAnsiTheme="minorHAnsi" w:cstheme="minorHAnsi"/>
          <w:noProof/>
          <w:sz w:val="22"/>
          <w:szCs w:val="22"/>
          <w:lang w:val="es-ES"/>
        </w:rPr>
        <w:t>31.</w:t>
      </w:r>
      <w:r>
        <w:rPr>
          <w:rFonts w:asciiTheme="minorHAnsi" w:hAnsiTheme="minorHAnsi" w:cstheme="minorHAnsi"/>
          <w:noProof/>
          <w:sz w:val="22"/>
          <w:szCs w:val="22"/>
          <w:lang w:val="es-ES"/>
        </w:rPr>
        <w:tab/>
      </w:r>
      <w:r w:rsidR="00825C38" w:rsidRPr="005C40EF">
        <w:rPr>
          <w:rFonts w:asciiTheme="minorHAnsi" w:hAnsiTheme="minorHAnsi" w:cstheme="minorHAnsi"/>
          <w:noProof/>
          <w:sz w:val="22"/>
          <w:szCs w:val="22"/>
          <w:lang w:val="es-ES"/>
        </w:rPr>
        <w:t xml:space="preserve">Asimismo, la Secretaría ha prestado su apoyo a las Partes Contratantes en sus esfuerzos de recaudación de fondos. En África, ayudó al Gabón a desarrollar un proyecto financiado por el FMAM denominado “Proyecto de </w:t>
      </w:r>
      <w:r w:rsidR="00727D84" w:rsidRPr="005C40EF">
        <w:rPr>
          <w:rFonts w:asciiTheme="minorHAnsi" w:hAnsiTheme="minorHAnsi" w:cstheme="minorHAnsi"/>
          <w:noProof/>
          <w:sz w:val="22"/>
          <w:szCs w:val="22"/>
          <w:lang w:val="es-ES"/>
        </w:rPr>
        <w:t>manejo</w:t>
      </w:r>
      <w:r w:rsidR="00825C38" w:rsidRPr="005C40EF">
        <w:rPr>
          <w:rFonts w:asciiTheme="minorHAnsi" w:hAnsiTheme="minorHAnsi" w:cstheme="minorHAnsi"/>
          <w:noProof/>
          <w:sz w:val="22"/>
          <w:szCs w:val="22"/>
          <w:lang w:val="es-ES"/>
        </w:rPr>
        <w:t xml:space="preserve"> sostenible de ecosistemas fundamentales de humedales” por valor de 7.521 millones de dólares de los EE.UU. y actualmente está ayudando a Benin, Burkina Faso</w:t>
      </w:r>
      <w:r w:rsidR="00BF2C16" w:rsidRPr="005C40EF">
        <w:rPr>
          <w:rFonts w:asciiTheme="minorHAnsi" w:hAnsiTheme="minorHAnsi" w:cstheme="minorHAnsi"/>
          <w:noProof/>
          <w:sz w:val="22"/>
          <w:szCs w:val="22"/>
          <w:lang w:val="es-ES"/>
        </w:rPr>
        <w:t xml:space="preserve"> y Guinea</w:t>
      </w:r>
      <w:r w:rsidR="00825C38" w:rsidRPr="005C40EF">
        <w:rPr>
          <w:rFonts w:asciiTheme="minorHAnsi" w:hAnsiTheme="minorHAnsi" w:cstheme="minorHAnsi"/>
          <w:noProof/>
          <w:sz w:val="22"/>
          <w:szCs w:val="22"/>
          <w:lang w:val="es-ES"/>
        </w:rPr>
        <w:t xml:space="preserve"> a desarrollar proyectos relacionados con los humedales que se presentarán al Fondo Verde del Clima. </w:t>
      </w:r>
      <w:r w:rsidR="00BF2C16" w:rsidRPr="005C40EF">
        <w:rPr>
          <w:rFonts w:asciiTheme="minorHAnsi" w:hAnsiTheme="minorHAnsi" w:cstheme="minorHAnsi"/>
          <w:noProof/>
          <w:sz w:val="22"/>
          <w:szCs w:val="22"/>
          <w:lang w:val="es-ES"/>
        </w:rPr>
        <w:t xml:space="preserve">En Asia, trabajó con la Oficina Regional de la UICN en Asia en un proyecto por valor de 2.530.000 euros, titulado “Fomento de la resiliencia de los humedales en la región del Bajo Mekong a través de una iniciativa regional de Ramsar”. </w:t>
      </w:r>
      <w:r w:rsidR="00825C38" w:rsidRPr="005C40EF">
        <w:rPr>
          <w:rFonts w:asciiTheme="minorHAnsi" w:hAnsiTheme="minorHAnsi" w:cstheme="minorHAnsi"/>
          <w:noProof/>
          <w:sz w:val="22"/>
          <w:szCs w:val="22"/>
          <w:lang w:val="es-ES"/>
        </w:rPr>
        <w:t>En las Américas, la recaudación de fondos se ha centrado en las prioridades identificadas por las Partes Contratantes, a saber, las iniciativas regionales. La Secretaría y las Partes Contratantes están buscando donantes para las iniciativas regionales</w:t>
      </w:r>
      <w:r w:rsidR="00BF2C16" w:rsidRPr="005C40EF">
        <w:rPr>
          <w:rFonts w:asciiTheme="minorHAnsi" w:hAnsiTheme="minorHAnsi" w:cstheme="minorHAnsi"/>
          <w:noProof/>
          <w:sz w:val="22"/>
          <w:szCs w:val="22"/>
          <w:lang w:val="es-ES"/>
        </w:rPr>
        <w:t xml:space="preserve"> de los Humedales Altoandinos,</w:t>
      </w:r>
      <w:r w:rsidR="00825C38" w:rsidRPr="005C40EF">
        <w:rPr>
          <w:rFonts w:asciiTheme="minorHAnsi" w:hAnsiTheme="minorHAnsi" w:cstheme="minorHAnsi"/>
          <w:noProof/>
          <w:sz w:val="22"/>
          <w:szCs w:val="22"/>
          <w:lang w:val="es-ES"/>
        </w:rPr>
        <w:t xml:space="preserve"> de la Cuenca del Plata, y Manglares y Corales. </w:t>
      </w:r>
      <w:r w:rsidR="00BF2C16" w:rsidRPr="005C40EF">
        <w:rPr>
          <w:rFonts w:asciiTheme="minorHAnsi" w:hAnsiTheme="minorHAnsi" w:cstheme="minorHAnsi"/>
          <w:noProof/>
          <w:sz w:val="22"/>
          <w:szCs w:val="22"/>
          <w:lang w:val="es-ES"/>
        </w:rPr>
        <w:t>En Europa, facilitó intercambios entre la Comisión Europea (donante principal), los coordinadores de proyectos relacionados con los humedales y las autoridades administrativas de Ramsar con el fin de</w:t>
      </w:r>
      <w:r w:rsidR="008325A1" w:rsidRPr="005C40EF">
        <w:rPr>
          <w:rFonts w:asciiTheme="minorHAnsi" w:hAnsiTheme="minorHAnsi" w:cstheme="minorHAnsi"/>
          <w:noProof/>
          <w:sz w:val="22"/>
          <w:szCs w:val="22"/>
          <w:lang w:val="es-ES"/>
        </w:rPr>
        <w:t xml:space="preserve"> que los proyectos financiados por la UE</w:t>
      </w:r>
      <w:r w:rsidR="00BF2C16" w:rsidRPr="005C40EF">
        <w:rPr>
          <w:rFonts w:asciiTheme="minorHAnsi" w:hAnsiTheme="minorHAnsi" w:cstheme="minorHAnsi"/>
          <w:noProof/>
          <w:sz w:val="22"/>
          <w:szCs w:val="22"/>
          <w:lang w:val="es-ES"/>
        </w:rPr>
        <w:t xml:space="preserve"> </w:t>
      </w:r>
      <w:r w:rsidR="00CF7C0A" w:rsidRPr="005C40EF">
        <w:rPr>
          <w:rFonts w:asciiTheme="minorHAnsi" w:hAnsiTheme="minorHAnsi" w:cstheme="minorHAnsi"/>
          <w:noProof/>
          <w:sz w:val="22"/>
          <w:szCs w:val="22"/>
          <w:lang w:val="es-ES"/>
        </w:rPr>
        <w:t>generen</w:t>
      </w:r>
      <w:r w:rsidR="00BF2C16" w:rsidRPr="005C40EF">
        <w:rPr>
          <w:rFonts w:asciiTheme="minorHAnsi" w:hAnsiTheme="minorHAnsi" w:cstheme="minorHAnsi"/>
          <w:noProof/>
          <w:sz w:val="22"/>
          <w:szCs w:val="22"/>
          <w:lang w:val="es-ES"/>
        </w:rPr>
        <w:t xml:space="preserve"> los máximos beneficios para el manejo de</w:t>
      </w:r>
      <w:r w:rsidR="008325A1" w:rsidRPr="005C40EF">
        <w:rPr>
          <w:rFonts w:asciiTheme="minorHAnsi" w:hAnsiTheme="minorHAnsi" w:cstheme="minorHAnsi"/>
          <w:noProof/>
          <w:sz w:val="22"/>
          <w:szCs w:val="22"/>
          <w:lang w:val="es-ES"/>
        </w:rPr>
        <w:t xml:space="preserve"> los</w:t>
      </w:r>
      <w:r w:rsidR="00CF7C0A" w:rsidRPr="005C40EF">
        <w:rPr>
          <w:rFonts w:asciiTheme="minorHAnsi" w:hAnsiTheme="minorHAnsi" w:cstheme="minorHAnsi"/>
          <w:noProof/>
          <w:sz w:val="22"/>
          <w:szCs w:val="22"/>
          <w:lang w:val="es-ES"/>
        </w:rPr>
        <w:t xml:space="preserve"> humedales,</w:t>
      </w:r>
      <w:r w:rsidR="00BF2C16" w:rsidRPr="005C40EF">
        <w:rPr>
          <w:rFonts w:asciiTheme="minorHAnsi" w:hAnsiTheme="minorHAnsi" w:cstheme="minorHAnsi"/>
          <w:noProof/>
          <w:sz w:val="22"/>
          <w:szCs w:val="22"/>
          <w:lang w:val="es-ES"/>
        </w:rPr>
        <w:t xml:space="preserve"> </w:t>
      </w:r>
      <w:r w:rsidR="00A830C5" w:rsidRPr="005C40EF">
        <w:rPr>
          <w:rFonts w:asciiTheme="minorHAnsi" w:hAnsiTheme="minorHAnsi" w:cstheme="minorHAnsi"/>
          <w:noProof/>
          <w:sz w:val="22"/>
          <w:szCs w:val="22"/>
          <w:lang w:val="es-ES"/>
        </w:rPr>
        <w:t xml:space="preserve">y </w:t>
      </w:r>
      <w:r w:rsidR="00BF2C16" w:rsidRPr="005C40EF">
        <w:rPr>
          <w:rFonts w:asciiTheme="minorHAnsi" w:hAnsiTheme="minorHAnsi" w:cstheme="minorHAnsi"/>
          <w:noProof/>
          <w:sz w:val="22"/>
          <w:szCs w:val="22"/>
          <w:lang w:val="es-ES"/>
        </w:rPr>
        <w:t xml:space="preserve">la restauración y </w:t>
      </w:r>
      <w:r w:rsidR="00CF7C0A" w:rsidRPr="005C40EF">
        <w:rPr>
          <w:rFonts w:asciiTheme="minorHAnsi" w:hAnsiTheme="minorHAnsi" w:cstheme="minorHAnsi"/>
          <w:noProof/>
          <w:sz w:val="22"/>
          <w:szCs w:val="22"/>
          <w:lang w:val="es-ES"/>
        </w:rPr>
        <w:t>formulación</w:t>
      </w:r>
      <w:r w:rsidR="00BF2C16" w:rsidRPr="005C40EF">
        <w:rPr>
          <w:rFonts w:asciiTheme="minorHAnsi" w:hAnsiTheme="minorHAnsi" w:cstheme="minorHAnsi"/>
          <w:noProof/>
          <w:sz w:val="22"/>
          <w:szCs w:val="22"/>
          <w:lang w:val="es-ES"/>
        </w:rPr>
        <w:t xml:space="preserve"> de políticas a todos los niveles. </w:t>
      </w:r>
    </w:p>
    <w:p w14:paraId="16F964B6" w14:textId="77777777" w:rsidR="00670185" w:rsidRPr="005C40EF" w:rsidRDefault="00670185" w:rsidP="008325A1">
      <w:pPr>
        <w:rPr>
          <w:rFonts w:asciiTheme="minorHAnsi" w:hAnsiTheme="minorHAnsi" w:cstheme="minorHAnsi"/>
          <w:noProof/>
          <w:sz w:val="22"/>
          <w:szCs w:val="22"/>
          <w:lang w:val="es-ES"/>
        </w:rPr>
      </w:pPr>
    </w:p>
    <w:p w14:paraId="6299F07E" w14:textId="77777777" w:rsidR="00566EE8" w:rsidRPr="005C40EF" w:rsidRDefault="00566EE8" w:rsidP="00566EE8">
      <w:pPr>
        <w:rPr>
          <w:noProof/>
          <w:lang w:val="es-ES" w:eastAsia="ru-RU"/>
        </w:rPr>
      </w:pPr>
      <w:r w:rsidRPr="005C40EF">
        <w:rPr>
          <w:rFonts w:asciiTheme="minorHAnsi" w:hAnsiTheme="minorHAnsi" w:cstheme="minorHAnsi"/>
          <w:bCs/>
          <w:noProof/>
          <w:sz w:val="22"/>
          <w:szCs w:val="22"/>
          <w:u w:val="single"/>
          <w:lang w:val="es-ES"/>
        </w:rPr>
        <w:t>Mejorar la visibilidad de los humedales y de la Convención</w:t>
      </w:r>
      <w:r w:rsidRPr="005C40EF">
        <w:rPr>
          <w:b/>
          <w:noProof/>
          <w:lang w:val="es-ES"/>
        </w:rPr>
        <w:t xml:space="preserve"> </w:t>
      </w:r>
    </w:p>
    <w:p w14:paraId="59992128" w14:textId="77777777" w:rsidR="00566EE8" w:rsidRPr="005C40EF" w:rsidRDefault="00566EE8" w:rsidP="008325A1">
      <w:pPr>
        <w:rPr>
          <w:rFonts w:asciiTheme="minorHAnsi" w:hAnsiTheme="minorHAnsi" w:cstheme="minorHAnsi"/>
          <w:noProof/>
          <w:sz w:val="22"/>
          <w:szCs w:val="22"/>
          <w:lang w:val="es-ES"/>
        </w:rPr>
      </w:pPr>
    </w:p>
    <w:p w14:paraId="2CDAEB0A" w14:textId="4A5F72F5" w:rsidR="00D352B8" w:rsidRPr="005C40EF" w:rsidRDefault="009C1179" w:rsidP="009C1179">
      <w:pPr>
        <w:autoSpaceDE w:val="0"/>
        <w:autoSpaceDN w:val="0"/>
        <w:adjustRightInd w:val="0"/>
        <w:ind w:left="425" w:hanging="425"/>
        <w:rPr>
          <w:rFonts w:asciiTheme="minorHAnsi" w:hAnsiTheme="minorHAnsi" w:cstheme="minorHAnsi"/>
          <w:noProof/>
          <w:sz w:val="22"/>
          <w:szCs w:val="22"/>
          <w:lang w:val="es-ES"/>
        </w:rPr>
      </w:pPr>
      <w:r>
        <w:rPr>
          <w:rFonts w:asciiTheme="minorHAnsi" w:hAnsiTheme="minorHAnsi" w:cstheme="minorHAnsi"/>
          <w:noProof/>
          <w:sz w:val="22"/>
          <w:szCs w:val="22"/>
          <w:lang w:val="es-ES"/>
        </w:rPr>
        <w:t>32.</w:t>
      </w:r>
      <w:r>
        <w:rPr>
          <w:rFonts w:asciiTheme="minorHAnsi" w:hAnsiTheme="minorHAnsi" w:cstheme="minorHAnsi"/>
          <w:noProof/>
          <w:sz w:val="22"/>
          <w:szCs w:val="22"/>
          <w:lang w:val="es-ES"/>
        </w:rPr>
        <w:tab/>
      </w:r>
      <w:r w:rsidR="00566EE8" w:rsidRPr="005C40EF">
        <w:rPr>
          <w:rFonts w:asciiTheme="minorHAnsi" w:hAnsiTheme="minorHAnsi" w:cstheme="minorHAnsi"/>
          <w:noProof/>
          <w:sz w:val="22"/>
          <w:szCs w:val="22"/>
          <w:lang w:val="es-ES"/>
        </w:rPr>
        <w:t>La visibilidad de los humedales y la Convención está aumentando mediante una variedad de iniciativas de divulgación de comunicaciones. La Secretaría ha fortalecido el intercambio de información entre los interesados de la Conve</w:t>
      </w:r>
      <w:r w:rsidR="002726CA" w:rsidRPr="005C40EF">
        <w:rPr>
          <w:rFonts w:asciiTheme="minorHAnsi" w:hAnsiTheme="minorHAnsi" w:cstheme="minorHAnsi"/>
          <w:noProof/>
          <w:sz w:val="22"/>
          <w:szCs w:val="22"/>
          <w:lang w:val="es-ES"/>
        </w:rPr>
        <w:t xml:space="preserve">nción y ha aumentado </w:t>
      </w:r>
      <w:r w:rsidR="00566EE8" w:rsidRPr="005C40EF">
        <w:rPr>
          <w:rFonts w:asciiTheme="minorHAnsi" w:hAnsiTheme="minorHAnsi" w:cstheme="minorHAnsi"/>
          <w:noProof/>
          <w:sz w:val="22"/>
          <w:szCs w:val="22"/>
          <w:lang w:val="es-ES"/>
        </w:rPr>
        <w:t>la concienciación pública sobre los servicios y beneficios que aportan los humedales, a través del sitio web de Ramsar, las redes sociales, boletines informativos, una amplia selección de listas de correo</w:t>
      </w:r>
      <w:r w:rsidR="002726CA" w:rsidRPr="005C40EF">
        <w:rPr>
          <w:rFonts w:asciiTheme="minorHAnsi" w:hAnsiTheme="minorHAnsi" w:cstheme="minorHAnsi"/>
          <w:noProof/>
          <w:sz w:val="22"/>
          <w:szCs w:val="22"/>
          <w:lang w:val="es-ES"/>
        </w:rPr>
        <w:t xml:space="preserve"> electrónico,</w:t>
      </w:r>
      <w:r w:rsidR="00CF7C0A" w:rsidRPr="005C40EF">
        <w:rPr>
          <w:rFonts w:asciiTheme="minorHAnsi" w:hAnsiTheme="minorHAnsi" w:cstheme="minorHAnsi"/>
          <w:noProof/>
          <w:sz w:val="22"/>
          <w:szCs w:val="22"/>
          <w:lang w:val="es-ES"/>
        </w:rPr>
        <w:t xml:space="preserve"> y</w:t>
      </w:r>
      <w:r w:rsidR="002726CA" w:rsidRPr="005C40EF">
        <w:rPr>
          <w:rFonts w:asciiTheme="minorHAnsi" w:hAnsiTheme="minorHAnsi" w:cstheme="minorHAnsi"/>
          <w:noProof/>
          <w:sz w:val="22"/>
          <w:szCs w:val="22"/>
          <w:lang w:val="es-ES"/>
        </w:rPr>
        <w:t xml:space="preserve"> </w:t>
      </w:r>
      <w:r w:rsidR="00566EE8" w:rsidRPr="005C40EF">
        <w:rPr>
          <w:rFonts w:asciiTheme="minorHAnsi" w:hAnsiTheme="minorHAnsi" w:cstheme="minorHAnsi"/>
          <w:noProof/>
          <w:sz w:val="22"/>
          <w:szCs w:val="22"/>
          <w:lang w:val="es-ES"/>
        </w:rPr>
        <w:t xml:space="preserve">campañas de </w:t>
      </w:r>
      <w:r w:rsidR="0082290E" w:rsidRPr="005C40EF">
        <w:rPr>
          <w:rFonts w:asciiTheme="minorHAnsi" w:hAnsiTheme="minorHAnsi" w:cstheme="minorHAnsi"/>
          <w:noProof/>
          <w:sz w:val="22"/>
          <w:szCs w:val="22"/>
          <w:lang w:val="es-ES"/>
        </w:rPr>
        <w:t>divulgación</w:t>
      </w:r>
      <w:r w:rsidR="00566EE8" w:rsidRPr="005C40EF">
        <w:rPr>
          <w:rFonts w:asciiTheme="minorHAnsi" w:hAnsiTheme="minorHAnsi" w:cstheme="minorHAnsi"/>
          <w:noProof/>
          <w:sz w:val="22"/>
          <w:szCs w:val="22"/>
          <w:lang w:val="es-ES"/>
        </w:rPr>
        <w:t xml:space="preserve"> sobre temas como el Día Mundial de los Humedales. La Secretaría ha adoptado </w:t>
      </w:r>
      <w:r w:rsidR="002726CA" w:rsidRPr="005C40EF">
        <w:rPr>
          <w:rFonts w:asciiTheme="minorHAnsi" w:hAnsiTheme="minorHAnsi" w:cstheme="minorHAnsi"/>
          <w:noProof/>
          <w:sz w:val="22"/>
          <w:szCs w:val="22"/>
          <w:lang w:val="es-ES"/>
        </w:rPr>
        <w:t>un</w:t>
      </w:r>
      <w:r w:rsidR="00566EE8" w:rsidRPr="005C40EF">
        <w:rPr>
          <w:rFonts w:asciiTheme="minorHAnsi" w:hAnsiTheme="minorHAnsi" w:cstheme="minorHAnsi"/>
          <w:noProof/>
          <w:sz w:val="22"/>
          <w:szCs w:val="22"/>
          <w:lang w:val="es-ES"/>
        </w:rPr>
        <w:t xml:space="preserve"> enfoque</w:t>
      </w:r>
      <w:r w:rsidR="002726CA" w:rsidRPr="005C40EF">
        <w:rPr>
          <w:rFonts w:asciiTheme="minorHAnsi" w:hAnsiTheme="minorHAnsi" w:cstheme="minorHAnsi"/>
          <w:noProof/>
          <w:sz w:val="22"/>
          <w:szCs w:val="22"/>
          <w:lang w:val="es-ES"/>
        </w:rPr>
        <w:t xml:space="preserve"> en el que </w:t>
      </w:r>
      <w:r w:rsidR="00566EE8" w:rsidRPr="005C40EF">
        <w:rPr>
          <w:rFonts w:asciiTheme="minorHAnsi" w:hAnsiTheme="minorHAnsi" w:cstheme="minorHAnsi"/>
          <w:noProof/>
          <w:sz w:val="22"/>
          <w:szCs w:val="22"/>
          <w:lang w:val="es-ES"/>
        </w:rPr>
        <w:t xml:space="preserve">toda la Secretaría </w:t>
      </w:r>
      <w:r w:rsidR="0082290E" w:rsidRPr="005C40EF">
        <w:rPr>
          <w:rFonts w:asciiTheme="minorHAnsi" w:hAnsiTheme="minorHAnsi" w:cstheme="minorHAnsi"/>
          <w:noProof/>
          <w:sz w:val="22"/>
          <w:szCs w:val="22"/>
          <w:lang w:val="es-ES"/>
        </w:rPr>
        <w:t xml:space="preserve">habla </w:t>
      </w:r>
      <w:r w:rsidR="00566EE8" w:rsidRPr="005C40EF">
        <w:rPr>
          <w:rFonts w:asciiTheme="minorHAnsi" w:hAnsiTheme="minorHAnsi" w:cstheme="minorHAnsi"/>
          <w:noProof/>
          <w:sz w:val="22"/>
          <w:szCs w:val="22"/>
          <w:lang w:val="es-ES"/>
        </w:rPr>
        <w:t>“</w:t>
      </w:r>
      <w:r w:rsidR="0082290E" w:rsidRPr="005C40EF">
        <w:rPr>
          <w:rFonts w:asciiTheme="minorHAnsi" w:hAnsiTheme="minorHAnsi" w:cstheme="minorHAnsi"/>
          <w:noProof/>
          <w:sz w:val="22"/>
          <w:szCs w:val="22"/>
          <w:lang w:val="es-ES"/>
        </w:rPr>
        <w:t xml:space="preserve">con </w:t>
      </w:r>
      <w:r w:rsidR="00566EE8" w:rsidRPr="005C40EF">
        <w:rPr>
          <w:rFonts w:asciiTheme="minorHAnsi" w:hAnsiTheme="minorHAnsi" w:cstheme="minorHAnsi"/>
          <w:noProof/>
          <w:sz w:val="22"/>
          <w:szCs w:val="22"/>
          <w:lang w:val="es-ES"/>
        </w:rPr>
        <w:t>una sola voz”</w:t>
      </w:r>
      <w:r w:rsidR="0082290E" w:rsidRPr="005C40EF">
        <w:rPr>
          <w:rFonts w:asciiTheme="minorHAnsi" w:hAnsiTheme="minorHAnsi" w:cstheme="minorHAnsi"/>
          <w:noProof/>
          <w:sz w:val="22"/>
          <w:szCs w:val="22"/>
          <w:lang w:val="es-ES"/>
        </w:rPr>
        <w:t xml:space="preserve"> a su público objetivo </w:t>
      </w:r>
      <w:r w:rsidR="00566EE8" w:rsidRPr="005C40EF">
        <w:rPr>
          <w:rFonts w:asciiTheme="minorHAnsi" w:hAnsiTheme="minorHAnsi" w:cstheme="minorHAnsi"/>
          <w:noProof/>
          <w:sz w:val="22"/>
          <w:szCs w:val="22"/>
          <w:lang w:val="es-ES"/>
        </w:rPr>
        <w:t xml:space="preserve">sobre cuestiones relacionadas con los humedales y </w:t>
      </w:r>
      <w:r w:rsidR="002726CA" w:rsidRPr="005C40EF">
        <w:rPr>
          <w:rFonts w:asciiTheme="minorHAnsi" w:hAnsiTheme="minorHAnsi" w:cstheme="minorHAnsi"/>
          <w:noProof/>
          <w:sz w:val="22"/>
          <w:szCs w:val="22"/>
          <w:lang w:val="es-ES"/>
        </w:rPr>
        <w:t>sobre la vinculación de</w:t>
      </w:r>
      <w:r w:rsidR="00566EE8" w:rsidRPr="005C40EF">
        <w:rPr>
          <w:rFonts w:asciiTheme="minorHAnsi" w:hAnsiTheme="minorHAnsi" w:cstheme="minorHAnsi"/>
          <w:noProof/>
          <w:sz w:val="22"/>
          <w:szCs w:val="22"/>
          <w:lang w:val="es-ES"/>
        </w:rPr>
        <w:t xml:space="preserve"> los humedales con los marcos normativos pertinentes, tales como los ODS y el cambio climático. Desde la puesta en marcha del nuevo sitio web de Ramsar en 2015, el tráfico en el sitio ha aumentado </w:t>
      </w:r>
      <w:r w:rsidR="00796F31" w:rsidRPr="005C40EF">
        <w:rPr>
          <w:rFonts w:asciiTheme="minorHAnsi" w:hAnsiTheme="minorHAnsi" w:cstheme="minorHAnsi"/>
          <w:noProof/>
          <w:sz w:val="22"/>
          <w:szCs w:val="22"/>
          <w:lang w:val="es-ES"/>
        </w:rPr>
        <w:t>un</w:t>
      </w:r>
      <w:r w:rsidR="00566EE8" w:rsidRPr="005C40EF">
        <w:rPr>
          <w:rFonts w:asciiTheme="minorHAnsi" w:hAnsiTheme="minorHAnsi" w:cstheme="minorHAnsi"/>
          <w:noProof/>
          <w:sz w:val="22"/>
          <w:szCs w:val="22"/>
          <w:lang w:val="es-ES"/>
        </w:rPr>
        <w:t xml:space="preserve"> 10 % </w:t>
      </w:r>
      <w:r w:rsidR="0082290E" w:rsidRPr="005C40EF">
        <w:rPr>
          <w:rFonts w:asciiTheme="minorHAnsi" w:hAnsiTheme="minorHAnsi" w:cstheme="minorHAnsi"/>
          <w:noProof/>
          <w:sz w:val="22"/>
          <w:szCs w:val="22"/>
          <w:lang w:val="es-ES"/>
        </w:rPr>
        <w:t>anualmente</w:t>
      </w:r>
      <w:r w:rsidR="00566EE8" w:rsidRPr="005C40EF">
        <w:rPr>
          <w:rFonts w:asciiTheme="minorHAnsi" w:hAnsiTheme="minorHAnsi" w:cstheme="minorHAnsi"/>
          <w:noProof/>
          <w:sz w:val="22"/>
          <w:szCs w:val="22"/>
          <w:lang w:val="es-ES"/>
        </w:rPr>
        <w:t xml:space="preserve">: </w:t>
      </w:r>
      <w:r w:rsidR="002726CA" w:rsidRPr="005C40EF">
        <w:rPr>
          <w:rFonts w:asciiTheme="minorHAnsi" w:hAnsiTheme="minorHAnsi" w:cstheme="minorHAnsi"/>
          <w:noProof/>
          <w:sz w:val="22"/>
          <w:szCs w:val="22"/>
          <w:lang w:val="es-ES"/>
        </w:rPr>
        <w:t xml:space="preserve">el sitio </w:t>
      </w:r>
      <w:r w:rsidR="00566EE8" w:rsidRPr="005C40EF">
        <w:rPr>
          <w:rFonts w:asciiTheme="minorHAnsi" w:hAnsiTheme="minorHAnsi" w:cstheme="minorHAnsi"/>
          <w:noProof/>
          <w:sz w:val="22"/>
          <w:szCs w:val="22"/>
          <w:lang w:val="es-ES"/>
        </w:rPr>
        <w:t>ha recibido más de 1,3 millones de visitas desde su puesta en marcha.</w:t>
      </w:r>
    </w:p>
    <w:p w14:paraId="38E1FA30" w14:textId="77777777" w:rsidR="00EE515A" w:rsidRPr="005C40EF" w:rsidRDefault="00EE515A" w:rsidP="009C1179">
      <w:pPr>
        <w:autoSpaceDE w:val="0"/>
        <w:autoSpaceDN w:val="0"/>
        <w:adjustRightInd w:val="0"/>
        <w:ind w:left="425" w:hanging="425"/>
        <w:rPr>
          <w:rFonts w:asciiTheme="minorHAnsi" w:hAnsiTheme="minorHAnsi" w:cstheme="minorHAnsi"/>
          <w:noProof/>
          <w:sz w:val="22"/>
          <w:szCs w:val="22"/>
          <w:lang w:val="es-ES"/>
        </w:rPr>
      </w:pPr>
    </w:p>
    <w:p w14:paraId="669D8CE6" w14:textId="21E4BCAD" w:rsidR="002A66F8" w:rsidRPr="005C40EF" w:rsidRDefault="009C1179" w:rsidP="009C1179">
      <w:pPr>
        <w:autoSpaceDE w:val="0"/>
        <w:autoSpaceDN w:val="0"/>
        <w:adjustRightInd w:val="0"/>
        <w:ind w:left="425" w:hanging="425"/>
        <w:rPr>
          <w:rFonts w:asciiTheme="minorHAnsi" w:hAnsiTheme="minorHAnsi" w:cstheme="minorHAnsi"/>
          <w:noProof/>
          <w:sz w:val="22"/>
          <w:szCs w:val="22"/>
          <w:lang w:val="es-ES"/>
        </w:rPr>
      </w:pPr>
      <w:r>
        <w:rPr>
          <w:rFonts w:asciiTheme="minorHAnsi" w:hAnsiTheme="minorHAnsi" w:cstheme="minorHAnsi"/>
          <w:noProof/>
          <w:sz w:val="22"/>
          <w:szCs w:val="22"/>
          <w:lang w:val="es-ES"/>
        </w:rPr>
        <w:t>33.</w:t>
      </w:r>
      <w:r>
        <w:rPr>
          <w:rFonts w:asciiTheme="minorHAnsi" w:hAnsiTheme="minorHAnsi" w:cstheme="minorHAnsi"/>
          <w:noProof/>
          <w:sz w:val="22"/>
          <w:szCs w:val="22"/>
          <w:lang w:val="es-ES"/>
        </w:rPr>
        <w:tab/>
      </w:r>
      <w:r w:rsidR="002726CA" w:rsidRPr="005C40EF">
        <w:rPr>
          <w:rFonts w:asciiTheme="minorHAnsi" w:hAnsiTheme="minorHAnsi" w:cstheme="minorHAnsi"/>
          <w:noProof/>
          <w:sz w:val="22"/>
          <w:szCs w:val="22"/>
          <w:lang w:val="es-ES"/>
        </w:rPr>
        <w:t>Las actividades de divulgación de</w:t>
      </w:r>
      <w:r w:rsidR="007720DA" w:rsidRPr="005C40EF">
        <w:rPr>
          <w:rFonts w:asciiTheme="minorHAnsi" w:hAnsiTheme="minorHAnsi" w:cstheme="minorHAnsi"/>
          <w:noProof/>
          <w:sz w:val="22"/>
          <w:szCs w:val="22"/>
          <w:lang w:val="es-ES"/>
        </w:rPr>
        <w:t xml:space="preserve"> </w:t>
      </w:r>
      <w:r w:rsidR="002726CA" w:rsidRPr="005C40EF">
        <w:rPr>
          <w:rFonts w:asciiTheme="minorHAnsi" w:hAnsiTheme="minorHAnsi" w:cstheme="minorHAnsi"/>
          <w:noProof/>
          <w:sz w:val="22"/>
          <w:szCs w:val="22"/>
          <w:lang w:val="es-ES"/>
        </w:rPr>
        <w:t xml:space="preserve">comunicaciones han aumentado </w:t>
      </w:r>
      <w:r w:rsidR="007720DA" w:rsidRPr="005C40EF">
        <w:rPr>
          <w:rFonts w:asciiTheme="minorHAnsi" w:hAnsiTheme="minorHAnsi" w:cstheme="minorHAnsi"/>
          <w:noProof/>
          <w:sz w:val="22"/>
          <w:szCs w:val="22"/>
          <w:lang w:val="es-ES"/>
        </w:rPr>
        <w:t>en</w:t>
      </w:r>
      <w:r w:rsidR="002726CA" w:rsidRPr="005C40EF">
        <w:rPr>
          <w:rFonts w:asciiTheme="minorHAnsi" w:hAnsiTheme="minorHAnsi" w:cstheme="minorHAnsi"/>
          <w:noProof/>
          <w:sz w:val="22"/>
          <w:szCs w:val="22"/>
          <w:lang w:val="es-ES"/>
        </w:rPr>
        <w:t xml:space="preserve"> apoyo de la participación de la Secretaría en más de 60 foros y eventos mundiales </w:t>
      </w:r>
      <w:r w:rsidR="00B72DF0" w:rsidRPr="005C40EF">
        <w:rPr>
          <w:rFonts w:asciiTheme="minorHAnsi" w:hAnsiTheme="minorHAnsi" w:cstheme="minorHAnsi"/>
          <w:noProof/>
          <w:sz w:val="22"/>
          <w:szCs w:val="22"/>
          <w:lang w:val="es-ES"/>
        </w:rPr>
        <w:t>a lo largo</w:t>
      </w:r>
      <w:r w:rsidR="007720DA" w:rsidRPr="005C40EF">
        <w:rPr>
          <w:rFonts w:asciiTheme="minorHAnsi" w:hAnsiTheme="minorHAnsi" w:cstheme="minorHAnsi"/>
          <w:noProof/>
          <w:sz w:val="22"/>
          <w:szCs w:val="22"/>
          <w:lang w:val="es-ES"/>
        </w:rPr>
        <w:t xml:space="preserve"> </w:t>
      </w:r>
      <w:r w:rsidR="00B72DF0" w:rsidRPr="005C40EF">
        <w:rPr>
          <w:rFonts w:asciiTheme="minorHAnsi" w:hAnsiTheme="minorHAnsi" w:cstheme="minorHAnsi"/>
          <w:noProof/>
          <w:sz w:val="22"/>
          <w:szCs w:val="22"/>
          <w:lang w:val="es-ES"/>
        </w:rPr>
        <w:t>d</w:t>
      </w:r>
      <w:r w:rsidR="007720DA" w:rsidRPr="005C40EF">
        <w:rPr>
          <w:rFonts w:asciiTheme="minorHAnsi" w:hAnsiTheme="minorHAnsi" w:cstheme="minorHAnsi"/>
          <w:noProof/>
          <w:sz w:val="22"/>
          <w:szCs w:val="22"/>
          <w:lang w:val="es-ES"/>
        </w:rPr>
        <w:t>el</w:t>
      </w:r>
      <w:r w:rsidR="002726CA" w:rsidRPr="005C40EF">
        <w:rPr>
          <w:rFonts w:asciiTheme="minorHAnsi" w:hAnsiTheme="minorHAnsi" w:cstheme="minorHAnsi"/>
          <w:noProof/>
          <w:sz w:val="22"/>
          <w:szCs w:val="22"/>
          <w:lang w:val="es-ES"/>
        </w:rPr>
        <w:t xml:space="preserve"> trienio. </w:t>
      </w:r>
      <w:r w:rsidR="00B72DF0" w:rsidRPr="005C40EF">
        <w:rPr>
          <w:rFonts w:asciiTheme="minorHAnsi" w:hAnsiTheme="minorHAnsi" w:cstheme="minorHAnsi"/>
          <w:noProof/>
          <w:sz w:val="22"/>
          <w:szCs w:val="22"/>
          <w:lang w:val="es-ES"/>
        </w:rPr>
        <w:t>Entre los principales</w:t>
      </w:r>
      <w:r w:rsidR="002726CA" w:rsidRPr="005C40EF">
        <w:rPr>
          <w:rFonts w:asciiTheme="minorHAnsi" w:hAnsiTheme="minorHAnsi" w:cstheme="minorHAnsi"/>
          <w:noProof/>
          <w:sz w:val="22"/>
          <w:szCs w:val="22"/>
          <w:lang w:val="es-ES"/>
        </w:rPr>
        <w:t xml:space="preserve"> mensajes de la Convención de Ramsar transmitidos a través de los medios de comunicación social y otros canales de comunicación </w:t>
      </w:r>
      <w:r w:rsidR="00B72DF0" w:rsidRPr="005C40EF">
        <w:rPr>
          <w:rFonts w:asciiTheme="minorHAnsi" w:hAnsiTheme="minorHAnsi" w:cstheme="minorHAnsi"/>
          <w:noProof/>
          <w:sz w:val="22"/>
          <w:szCs w:val="22"/>
          <w:lang w:val="es-ES"/>
        </w:rPr>
        <w:t>están los siguientes</w:t>
      </w:r>
      <w:r w:rsidR="007720DA" w:rsidRPr="005C40EF">
        <w:rPr>
          <w:rFonts w:asciiTheme="minorHAnsi" w:hAnsiTheme="minorHAnsi" w:cstheme="minorHAnsi"/>
          <w:noProof/>
          <w:sz w:val="22"/>
          <w:szCs w:val="22"/>
          <w:lang w:val="es-ES"/>
        </w:rPr>
        <w:t>:</w:t>
      </w:r>
      <w:r w:rsidR="002726CA" w:rsidRPr="005C40EF">
        <w:rPr>
          <w:rFonts w:asciiTheme="minorHAnsi" w:hAnsiTheme="minorHAnsi" w:cstheme="minorHAnsi"/>
          <w:noProof/>
          <w:sz w:val="22"/>
          <w:szCs w:val="22"/>
          <w:lang w:val="es-ES"/>
        </w:rPr>
        <w:t xml:space="preserve"> </w:t>
      </w:r>
      <w:r w:rsidR="007720DA" w:rsidRPr="005C40EF">
        <w:rPr>
          <w:rFonts w:asciiTheme="minorHAnsi" w:hAnsiTheme="minorHAnsi" w:cstheme="minorHAnsi"/>
          <w:noProof/>
          <w:sz w:val="22"/>
          <w:szCs w:val="22"/>
          <w:lang w:val="es-ES"/>
        </w:rPr>
        <w:t>el papel</w:t>
      </w:r>
      <w:r w:rsidR="002726CA" w:rsidRPr="005C40EF">
        <w:rPr>
          <w:rFonts w:asciiTheme="minorHAnsi" w:hAnsiTheme="minorHAnsi" w:cstheme="minorHAnsi"/>
          <w:noProof/>
          <w:sz w:val="22"/>
          <w:szCs w:val="22"/>
          <w:lang w:val="es-ES"/>
        </w:rPr>
        <w:t xml:space="preserve"> de los humedales en la mitigación del cambio climático y la adaptación a él, la calidad y cantidad del agua</w:t>
      </w:r>
      <w:r w:rsidR="00B72DF0" w:rsidRPr="005C40EF">
        <w:rPr>
          <w:rFonts w:asciiTheme="minorHAnsi" w:hAnsiTheme="minorHAnsi" w:cstheme="minorHAnsi"/>
          <w:noProof/>
          <w:sz w:val="22"/>
          <w:szCs w:val="22"/>
          <w:lang w:val="es-ES"/>
        </w:rPr>
        <w:t>,</w:t>
      </w:r>
      <w:r w:rsidR="002726CA" w:rsidRPr="005C40EF">
        <w:rPr>
          <w:rFonts w:asciiTheme="minorHAnsi" w:hAnsiTheme="minorHAnsi" w:cstheme="minorHAnsi"/>
          <w:noProof/>
          <w:sz w:val="22"/>
          <w:szCs w:val="22"/>
          <w:lang w:val="es-ES"/>
        </w:rPr>
        <w:t xml:space="preserve"> y la reducción del riesgo de desastres. Se ha </w:t>
      </w:r>
      <w:r w:rsidR="007720DA" w:rsidRPr="005C40EF">
        <w:rPr>
          <w:rFonts w:asciiTheme="minorHAnsi" w:hAnsiTheme="minorHAnsi" w:cstheme="minorHAnsi"/>
          <w:noProof/>
          <w:sz w:val="22"/>
          <w:szCs w:val="22"/>
          <w:lang w:val="es-ES"/>
        </w:rPr>
        <w:t>llegado directamente a más</w:t>
      </w:r>
      <w:r w:rsidR="002726CA" w:rsidRPr="005C40EF">
        <w:rPr>
          <w:rFonts w:asciiTheme="minorHAnsi" w:hAnsiTheme="minorHAnsi" w:cstheme="minorHAnsi"/>
          <w:noProof/>
          <w:sz w:val="22"/>
          <w:szCs w:val="22"/>
          <w:lang w:val="es-ES"/>
        </w:rPr>
        <w:t xml:space="preserve"> de 800.000 personas</w:t>
      </w:r>
      <w:r w:rsidR="007720DA" w:rsidRPr="005C40EF">
        <w:rPr>
          <w:rFonts w:asciiTheme="minorHAnsi" w:hAnsiTheme="minorHAnsi" w:cstheme="minorHAnsi"/>
          <w:noProof/>
          <w:sz w:val="22"/>
          <w:szCs w:val="22"/>
          <w:lang w:val="es-ES"/>
        </w:rPr>
        <w:t xml:space="preserve"> a través de los medios sociales. La Secretaria General de Ramsar y la Secretaria Ejecutiva de la CMNUCC publicaron un artículo de opinión conjunto en más de 30 medios de comunicación, </w:t>
      </w:r>
      <w:r w:rsidR="00B72DF0" w:rsidRPr="005C40EF">
        <w:rPr>
          <w:rFonts w:asciiTheme="minorHAnsi" w:hAnsiTheme="minorHAnsi" w:cstheme="minorHAnsi"/>
          <w:noProof/>
          <w:sz w:val="22"/>
          <w:szCs w:val="22"/>
          <w:lang w:val="es-ES"/>
        </w:rPr>
        <w:t>lo que generó</w:t>
      </w:r>
      <w:r w:rsidR="007720DA" w:rsidRPr="005C40EF">
        <w:rPr>
          <w:rFonts w:asciiTheme="minorHAnsi" w:hAnsiTheme="minorHAnsi" w:cstheme="minorHAnsi"/>
          <w:noProof/>
          <w:sz w:val="22"/>
          <w:szCs w:val="22"/>
          <w:lang w:val="es-ES"/>
        </w:rPr>
        <w:t xml:space="preserve"> una audiencia potencial de 10 millones de personas.</w:t>
      </w:r>
    </w:p>
    <w:p w14:paraId="16CA2902" w14:textId="77777777" w:rsidR="002A66F8" w:rsidRPr="005C40EF" w:rsidRDefault="002A66F8" w:rsidP="009C1179">
      <w:pPr>
        <w:autoSpaceDE w:val="0"/>
        <w:autoSpaceDN w:val="0"/>
        <w:adjustRightInd w:val="0"/>
        <w:ind w:left="425" w:hanging="425"/>
        <w:rPr>
          <w:rFonts w:asciiTheme="minorHAnsi" w:hAnsiTheme="minorHAnsi" w:cstheme="minorHAnsi"/>
          <w:noProof/>
          <w:sz w:val="22"/>
          <w:szCs w:val="22"/>
          <w:lang w:val="es-ES"/>
        </w:rPr>
      </w:pPr>
    </w:p>
    <w:p w14:paraId="682CB936" w14:textId="45E066FB" w:rsidR="002A66F8" w:rsidRPr="005C40EF" w:rsidRDefault="009C1179" w:rsidP="009C1179">
      <w:pPr>
        <w:autoSpaceDE w:val="0"/>
        <w:autoSpaceDN w:val="0"/>
        <w:adjustRightInd w:val="0"/>
        <w:ind w:left="425" w:hanging="425"/>
        <w:rPr>
          <w:rFonts w:asciiTheme="minorHAnsi" w:hAnsiTheme="minorHAnsi" w:cstheme="minorHAnsi"/>
          <w:noProof/>
          <w:sz w:val="22"/>
          <w:szCs w:val="22"/>
          <w:lang w:val="es-ES"/>
        </w:rPr>
      </w:pPr>
      <w:r>
        <w:rPr>
          <w:rFonts w:asciiTheme="minorHAnsi" w:hAnsiTheme="minorHAnsi" w:cstheme="minorHAnsi"/>
          <w:noProof/>
          <w:sz w:val="22"/>
          <w:szCs w:val="22"/>
          <w:lang w:val="es-ES"/>
        </w:rPr>
        <w:t>34.</w:t>
      </w:r>
      <w:r>
        <w:rPr>
          <w:rFonts w:asciiTheme="minorHAnsi" w:hAnsiTheme="minorHAnsi" w:cstheme="minorHAnsi"/>
          <w:noProof/>
          <w:sz w:val="22"/>
          <w:szCs w:val="22"/>
          <w:lang w:val="es-ES"/>
        </w:rPr>
        <w:tab/>
      </w:r>
      <w:r w:rsidR="002A66F8" w:rsidRPr="005C40EF">
        <w:rPr>
          <w:rFonts w:asciiTheme="minorHAnsi" w:hAnsiTheme="minorHAnsi" w:cstheme="minorHAnsi"/>
          <w:noProof/>
          <w:sz w:val="22"/>
          <w:szCs w:val="22"/>
          <w:lang w:val="es-ES"/>
        </w:rPr>
        <w:t xml:space="preserve">El equipo de comunicaciones trabajó en estrecha colaboración con la Presidencia del GECT </w:t>
      </w:r>
      <w:r w:rsidR="00D830BD" w:rsidRPr="005C40EF">
        <w:rPr>
          <w:rFonts w:asciiTheme="minorHAnsi" w:hAnsiTheme="minorHAnsi" w:cstheme="minorHAnsi"/>
          <w:noProof/>
          <w:sz w:val="22"/>
          <w:szCs w:val="22"/>
          <w:lang w:val="es-ES"/>
        </w:rPr>
        <w:t>a fin de</w:t>
      </w:r>
      <w:r w:rsidR="002A66F8" w:rsidRPr="005C40EF">
        <w:rPr>
          <w:rFonts w:asciiTheme="minorHAnsi" w:hAnsiTheme="minorHAnsi" w:cstheme="minorHAnsi"/>
          <w:noProof/>
          <w:sz w:val="22"/>
          <w:szCs w:val="22"/>
          <w:lang w:val="es-ES"/>
        </w:rPr>
        <w:t xml:space="preserve"> desarrollar actividades de divulgación para cada producto del GECT y </w:t>
      </w:r>
      <w:r w:rsidR="00D830BD" w:rsidRPr="005C40EF">
        <w:rPr>
          <w:rFonts w:asciiTheme="minorHAnsi" w:hAnsiTheme="minorHAnsi" w:cstheme="minorHAnsi"/>
          <w:noProof/>
          <w:sz w:val="22"/>
          <w:szCs w:val="22"/>
          <w:lang w:val="es-ES"/>
        </w:rPr>
        <w:t>aportó</w:t>
      </w:r>
      <w:r w:rsidR="002A66F8" w:rsidRPr="005C40EF">
        <w:rPr>
          <w:rFonts w:asciiTheme="minorHAnsi" w:hAnsiTheme="minorHAnsi" w:cstheme="minorHAnsi"/>
          <w:noProof/>
          <w:sz w:val="22"/>
          <w:szCs w:val="22"/>
          <w:lang w:val="es-ES"/>
        </w:rPr>
        <w:t xml:space="preserve"> orientaciones</w:t>
      </w:r>
      <w:r w:rsidR="00D830BD" w:rsidRPr="005C40EF">
        <w:rPr>
          <w:rFonts w:asciiTheme="minorHAnsi" w:hAnsiTheme="minorHAnsi" w:cstheme="minorHAnsi"/>
          <w:noProof/>
          <w:sz w:val="22"/>
          <w:szCs w:val="22"/>
          <w:lang w:val="es-ES"/>
        </w:rPr>
        <w:t xml:space="preserve"> </w:t>
      </w:r>
      <w:r w:rsidR="00D830BD" w:rsidRPr="005C40EF">
        <w:rPr>
          <w:rFonts w:asciiTheme="minorHAnsi" w:hAnsiTheme="minorHAnsi" w:cstheme="minorHAnsi"/>
          <w:noProof/>
          <w:sz w:val="22"/>
          <w:szCs w:val="22"/>
          <w:lang w:val="es-ES"/>
        </w:rPr>
        <w:lastRenderedPageBreak/>
        <w:t>para</w:t>
      </w:r>
      <w:r w:rsidR="002A66F8" w:rsidRPr="005C40EF">
        <w:rPr>
          <w:rFonts w:asciiTheme="minorHAnsi" w:hAnsiTheme="minorHAnsi" w:cstheme="minorHAnsi"/>
          <w:noProof/>
          <w:sz w:val="22"/>
          <w:szCs w:val="22"/>
          <w:lang w:val="es-ES"/>
        </w:rPr>
        <w:t xml:space="preserve"> que estos productos </w:t>
      </w:r>
      <w:r w:rsidR="00D830BD" w:rsidRPr="005C40EF">
        <w:rPr>
          <w:rFonts w:asciiTheme="minorHAnsi" w:hAnsiTheme="minorHAnsi" w:cstheme="minorHAnsi"/>
          <w:noProof/>
          <w:sz w:val="22"/>
          <w:szCs w:val="22"/>
          <w:lang w:val="es-ES"/>
        </w:rPr>
        <w:t>se vuelvan</w:t>
      </w:r>
      <w:r w:rsidR="002A66F8" w:rsidRPr="005C40EF">
        <w:rPr>
          <w:rFonts w:asciiTheme="minorHAnsi" w:hAnsiTheme="minorHAnsi" w:cstheme="minorHAnsi"/>
          <w:noProof/>
          <w:sz w:val="22"/>
          <w:szCs w:val="22"/>
          <w:lang w:val="es-ES"/>
        </w:rPr>
        <w:t xml:space="preserve"> más pertinentes para las políticas y apropiados </w:t>
      </w:r>
      <w:r w:rsidR="00D830BD" w:rsidRPr="005C40EF">
        <w:rPr>
          <w:rFonts w:asciiTheme="minorHAnsi" w:hAnsiTheme="minorHAnsi" w:cstheme="minorHAnsi"/>
          <w:noProof/>
          <w:sz w:val="22"/>
          <w:szCs w:val="22"/>
          <w:lang w:val="es-ES"/>
        </w:rPr>
        <w:t xml:space="preserve">con fines </w:t>
      </w:r>
      <w:r w:rsidR="002A66F8" w:rsidRPr="005C40EF">
        <w:rPr>
          <w:rFonts w:asciiTheme="minorHAnsi" w:hAnsiTheme="minorHAnsi" w:cstheme="minorHAnsi"/>
          <w:noProof/>
          <w:sz w:val="22"/>
          <w:szCs w:val="22"/>
          <w:lang w:val="es-ES"/>
        </w:rPr>
        <w:t xml:space="preserve">de comunicación. </w:t>
      </w:r>
      <w:r w:rsidR="00D830BD" w:rsidRPr="005C40EF">
        <w:rPr>
          <w:rFonts w:asciiTheme="minorHAnsi" w:hAnsiTheme="minorHAnsi" w:cstheme="minorHAnsi"/>
          <w:noProof/>
          <w:sz w:val="22"/>
          <w:szCs w:val="22"/>
          <w:lang w:val="es-ES"/>
        </w:rPr>
        <w:t xml:space="preserve">Una de las principales esferas </w:t>
      </w:r>
      <w:r w:rsidR="002A66F8" w:rsidRPr="005C40EF">
        <w:rPr>
          <w:rFonts w:asciiTheme="minorHAnsi" w:hAnsiTheme="minorHAnsi" w:cstheme="minorHAnsi"/>
          <w:noProof/>
          <w:sz w:val="22"/>
          <w:szCs w:val="22"/>
          <w:lang w:val="es-ES"/>
        </w:rPr>
        <w:t>de trabajo ha sido la elaboración y presentaci</w:t>
      </w:r>
      <w:r w:rsidR="00D830BD" w:rsidRPr="005C40EF">
        <w:rPr>
          <w:rFonts w:asciiTheme="minorHAnsi" w:hAnsiTheme="minorHAnsi" w:cstheme="minorHAnsi"/>
          <w:noProof/>
          <w:sz w:val="22"/>
          <w:szCs w:val="22"/>
          <w:lang w:val="es-ES"/>
        </w:rPr>
        <w:t>ón de la Perspectiva m</w:t>
      </w:r>
      <w:r w:rsidR="002A66F8" w:rsidRPr="005C40EF">
        <w:rPr>
          <w:rFonts w:asciiTheme="minorHAnsi" w:hAnsiTheme="minorHAnsi" w:cstheme="minorHAnsi"/>
          <w:noProof/>
          <w:sz w:val="22"/>
          <w:szCs w:val="22"/>
          <w:lang w:val="es-ES"/>
        </w:rPr>
        <w:t>undial de l</w:t>
      </w:r>
      <w:r w:rsidR="00D830BD" w:rsidRPr="005C40EF">
        <w:rPr>
          <w:rFonts w:asciiTheme="minorHAnsi" w:hAnsiTheme="minorHAnsi" w:cstheme="minorHAnsi"/>
          <w:noProof/>
          <w:sz w:val="22"/>
          <w:szCs w:val="22"/>
          <w:lang w:val="es-ES"/>
        </w:rPr>
        <w:t>os h</w:t>
      </w:r>
      <w:r w:rsidR="002A66F8" w:rsidRPr="005C40EF">
        <w:rPr>
          <w:rFonts w:asciiTheme="minorHAnsi" w:hAnsiTheme="minorHAnsi" w:cstheme="minorHAnsi"/>
          <w:noProof/>
          <w:sz w:val="22"/>
          <w:szCs w:val="22"/>
          <w:lang w:val="es-ES"/>
        </w:rPr>
        <w:t>umedales, lo que incluye el desarrollo y ejecución de un plan de divulgación en los medios de comunicaci</w:t>
      </w:r>
      <w:r w:rsidR="00D830BD" w:rsidRPr="005C40EF">
        <w:rPr>
          <w:rFonts w:asciiTheme="minorHAnsi" w:hAnsiTheme="minorHAnsi" w:cstheme="minorHAnsi"/>
          <w:noProof/>
          <w:sz w:val="22"/>
          <w:szCs w:val="22"/>
          <w:lang w:val="es-ES"/>
        </w:rPr>
        <w:t>ón y las redes sociales</w:t>
      </w:r>
      <w:r w:rsidR="002A66F8" w:rsidRPr="005C40EF">
        <w:rPr>
          <w:rFonts w:asciiTheme="minorHAnsi" w:hAnsiTheme="minorHAnsi" w:cstheme="minorHAnsi"/>
          <w:noProof/>
          <w:sz w:val="22"/>
          <w:szCs w:val="22"/>
          <w:lang w:val="es-ES"/>
        </w:rPr>
        <w:t xml:space="preserve">. </w:t>
      </w:r>
      <w:r w:rsidR="00160E25" w:rsidRPr="005C40EF">
        <w:rPr>
          <w:rFonts w:asciiTheme="minorHAnsi" w:hAnsiTheme="minorHAnsi" w:cstheme="minorHAnsi"/>
          <w:noProof/>
          <w:sz w:val="22"/>
          <w:szCs w:val="22"/>
          <w:lang w:val="es-ES"/>
        </w:rPr>
        <w:t>Se creó un</w:t>
      </w:r>
      <w:r w:rsidR="002A66F8" w:rsidRPr="005C40EF">
        <w:rPr>
          <w:rFonts w:asciiTheme="minorHAnsi" w:hAnsiTheme="minorHAnsi" w:cstheme="minorHAnsi"/>
          <w:noProof/>
          <w:sz w:val="22"/>
          <w:szCs w:val="22"/>
          <w:lang w:val="es-ES"/>
        </w:rPr>
        <w:t xml:space="preserve"> micrositio separado para la </w:t>
      </w:r>
      <w:r w:rsidR="00D830BD" w:rsidRPr="005C40EF">
        <w:rPr>
          <w:rFonts w:asciiTheme="minorHAnsi" w:hAnsiTheme="minorHAnsi" w:cstheme="minorHAnsi"/>
          <w:noProof/>
          <w:sz w:val="22"/>
          <w:szCs w:val="22"/>
          <w:lang w:val="es-ES"/>
        </w:rPr>
        <w:t>Perspectiva m</w:t>
      </w:r>
      <w:r w:rsidR="002A66F8" w:rsidRPr="005C40EF">
        <w:rPr>
          <w:rFonts w:asciiTheme="minorHAnsi" w:hAnsiTheme="minorHAnsi" w:cstheme="minorHAnsi"/>
          <w:noProof/>
          <w:sz w:val="22"/>
          <w:szCs w:val="22"/>
          <w:lang w:val="es-ES"/>
        </w:rPr>
        <w:t>undial de l</w:t>
      </w:r>
      <w:r w:rsidR="00D830BD" w:rsidRPr="005C40EF">
        <w:rPr>
          <w:rFonts w:asciiTheme="minorHAnsi" w:hAnsiTheme="minorHAnsi" w:cstheme="minorHAnsi"/>
          <w:noProof/>
          <w:sz w:val="22"/>
          <w:szCs w:val="22"/>
          <w:lang w:val="es-ES"/>
        </w:rPr>
        <w:t>os h</w:t>
      </w:r>
      <w:r w:rsidR="002A66F8" w:rsidRPr="005C40EF">
        <w:rPr>
          <w:rFonts w:asciiTheme="minorHAnsi" w:hAnsiTheme="minorHAnsi" w:cstheme="minorHAnsi"/>
          <w:noProof/>
          <w:sz w:val="22"/>
          <w:szCs w:val="22"/>
          <w:lang w:val="es-ES"/>
        </w:rPr>
        <w:t>umedales</w:t>
      </w:r>
      <w:r w:rsidR="00160E25" w:rsidRPr="005C40EF">
        <w:rPr>
          <w:rFonts w:asciiTheme="minorHAnsi" w:hAnsiTheme="minorHAnsi" w:cstheme="minorHAnsi"/>
          <w:noProof/>
          <w:sz w:val="22"/>
          <w:szCs w:val="22"/>
          <w:lang w:val="es-ES"/>
        </w:rPr>
        <w:t xml:space="preserve"> y productos relacionados, lo que se</w:t>
      </w:r>
      <w:r w:rsidR="002A66F8" w:rsidRPr="005C40EF">
        <w:rPr>
          <w:rFonts w:asciiTheme="minorHAnsi" w:hAnsiTheme="minorHAnsi" w:cstheme="minorHAnsi"/>
          <w:noProof/>
          <w:sz w:val="22"/>
          <w:szCs w:val="22"/>
          <w:lang w:val="es-ES"/>
        </w:rPr>
        <w:t xml:space="preserve"> comunicó a los medios de comunicación mundiales y al público.</w:t>
      </w:r>
    </w:p>
    <w:p w14:paraId="01106F2A" w14:textId="77777777" w:rsidR="002A66F8" w:rsidRPr="005C40EF" w:rsidRDefault="002A66F8" w:rsidP="009C1179">
      <w:pPr>
        <w:autoSpaceDE w:val="0"/>
        <w:autoSpaceDN w:val="0"/>
        <w:adjustRightInd w:val="0"/>
        <w:ind w:left="425" w:hanging="425"/>
        <w:rPr>
          <w:rFonts w:asciiTheme="minorHAnsi" w:hAnsiTheme="minorHAnsi" w:cstheme="minorHAnsi"/>
          <w:noProof/>
          <w:sz w:val="22"/>
          <w:szCs w:val="22"/>
          <w:lang w:val="es-ES"/>
        </w:rPr>
      </w:pPr>
    </w:p>
    <w:p w14:paraId="041A82C9" w14:textId="29AB2A59" w:rsidR="00EE515A" w:rsidRPr="005C40EF" w:rsidRDefault="009C1179" w:rsidP="009C1179">
      <w:pPr>
        <w:autoSpaceDE w:val="0"/>
        <w:autoSpaceDN w:val="0"/>
        <w:adjustRightInd w:val="0"/>
        <w:ind w:left="425" w:hanging="425"/>
        <w:rPr>
          <w:rFonts w:asciiTheme="minorHAnsi" w:hAnsiTheme="minorHAnsi" w:cstheme="minorHAnsi"/>
          <w:noProof/>
          <w:sz w:val="22"/>
          <w:szCs w:val="22"/>
          <w:lang w:val="es-ES"/>
        </w:rPr>
      </w:pPr>
      <w:r>
        <w:rPr>
          <w:rFonts w:asciiTheme="minorHAnsi" w:hAnsiTheme="minorHAnsi" w:cstheme="minorHAnsi"/>
          <w:noProof/>
          <w:sz w:val="22"/>
          <w:szCs w:val="22"/>
          <w:lang w:val="es-ES"/>
        </w:rPr>
        <w:t>35.</w:t>
      </w:r>
      <w:r>
        <w:rPr>
          <w:rFonts w:asciiTheme="minorHAnsi" w:hAnsiTheme="minorHAnsi" w:cstheme="minorHAnsi"/>
          <w:noProof/>
          <w:sz w:val="22"/>
          <w:szCs w:val="22"/>
          <w:lang w:val="es-ES"/>
        </w:rPr>
        <w:tab/>
      </w:r>
      <w:r w:rsidR="00DE1A00" w:rsidRPr="005C40EF">
        <w:rPr>
          <w:rFonts w:asciiTheme="minorHAnsi" w:hAnsiTheme="minorHAnsi" w:cstheme="minorHAnsi"/>
          <w:noProof/>
          <w:sz w:val="22"/>
          <w:szCs w:val="22"/>
          <w:lang w:val="es-ES"/>
        </w:rPr>
        <w:t xml:space="preserve">Estas iniciativas de comunicación han formado parte de la aplicación del Plan de Acción de CECoP por parte de la Secretaría. La Secretaría ha evaluado el nivel de aplicación del Plan y examinado los resultados previstos teniendo en cuenta su capacidad y </w:t>
      </w:r>
      <w:r w:rsidR="00160E25" w:rsidRPr="005C40EF">
        <w:rPr>
          <w:rFonts w:asciiTheme="minorHAnsi" w:hAnsiTheme="minorHAnsi" w:cstheme="minorHAnsi"/>
          <w:noProof/>
          <w:sz w:val="22"/>
          <w:szCs w:val="22"/>
          <w:lang w:val="es-ES"/>
        </w:rPr>
        <w:t>adoptando</w:t>
      </w:r>
      <w:r w:rsidR="00DE1A00" w:rsidRPr="005C40EF">
        <w:rPr>
          <w:rFonts w:asciiTheme="minorHAnsi" w:hAnsiTheme="minorHAnsi" w:cstheme="minorHAnsi"/>
          <w:noProof/>
          <w:sz w:val="22"/>
          <w:szCs w:val="22"/>
          <w:lang w:val="es-ES"/>
        </w:rPr>
        <w:t xml:space="preserve"> un enfoque que engloba a toda la Secretaría. La Secretaría ha integrado los resultados del Plan en sus planes de trabajo trienales y anuales a fin de armonizar y racionalizar su trabajo, con la aprobación de las reuniones SC53 y SC54.</w:t>
      </w:r>
    </w:p>
    <w:p w14:paraId="10800E42" w14:textId="77777777" w:rsidR="00DE1A00" w:rsidRPr="005C40EF" w:rsidRDefault="00DE1A00" w:rsidP="009C1179">
      <w:pPr>
        <w:autoSpaceDE w:val="0"/>
        <w:autoSpaceDN w:val="0"/>
        <w:adjustRightInd w:val="0"/>
        <w:ind w:left="425" w:hanging="425"/>
        <w:rPr>
          <w:rFonts w:asciiTheme="minorHAnsi" w:hAnsiTheme="minorHAnsi" w:cstheme="minorHAnsi"/>
          <w:noProof/>
          <w:sz w:val="22"/>
          <w:szCs w:val="22"/>
          <w:lang w:val="es-ES"/>
        </w:rPr>
      </w:pPr>
    </w:p>
    <w:p w14:paraId="26ED7881" w14:textId="5C9DE29A" w:rsidR="00DE1A00" w:rsidRPr="005C40EF" w:rsidRDefault="009C1179" w:rsidP="009C1179">
      <w:pPr>
        <w:autoSpaceDE w:val="0"/>
        <w:autoSpaceDN w:val="0"/>
        <w:adjustRightInd w:val="0"/>
        <w:ind w:left="425" w:hanging="425"/>
        <w:rPr>
          <w:rFonts w:asciiTheme="minorHAnsi" w:hAnsiTheme="minorHAnsi" w:cstheme="minorHAnsi"/>
          <w:noProof/>
          <w:sz w:val="22"/>
          <w:szCs w:val="22"/>
          <w:lang w:val="es-ES"/>
        </w:rPr>
      </w:pPr>
      <w:r>
        <w:rPr>
          <w:rFonts w:asciiTheme="minorHAnsi" w:hAnsiTheme="minorHAnsi" w:cstheme="minorHAnsi"/>
          <w:noProof/>
          <w:sz w:val="22"/>
          <w:szCs w:val="22"/>
          <w:lang w:val="es-ES"/>
        </w:rPr>
        <w:t>36.</w:t>
      </w:r>
      <w:r>
        <w:rPr>
          <w:rFonts w:asciiTheme="minorHAnsi" w:hAnsiTheme="minorHAnsi" w:cstheme="minorHAnsi"/>
          <w:noProof/>
          <w:sz w:val="22"/>
          <w:szCs w:val="22"/>
          <w:lang w:val="es-ES"/>
        </w:rPr>
        <w:tab/>
      </w:r>
      <w:r w:rsidR="00DE1A00" w:rsidRPr="005C40EF">
        <w:rPr>
          <w:rFonts w:asciiTheme="minorHAnsi" w:hAnsiTheme="minorHAnsi" w:cstheme="minorHAnsi"/>
          <w:noProof/>
          <w:sz w:val="22"/>
          <w:szCs w:val="22"/>
          <w:lang w:val="es-ES"/>
        </w:rPr>
        <w:t xml:space="preserve">El Día Mundial de los Humedales sigue siendo una plataforma poderosa de divulgación para hacer conciencia sobre los humedales </w:t>
      </w:r>
      <w:r w:rsidR="00C3491A" w:rsidRPr="005C40EF">
        <w:rPr>
          <w:rFonts w:asciiTheme="minorHAnsi" w:hAnsiTheme="minorHAnsi" w:cstheme="minorHAnsi"/>
          <w:noProof/>
          <w:sz w:val="22"/>
          <w:szCs w:val="22"/>
          <w:lang w:val="es-ES"/>
        </w:rPr>
        <w:t>en los planos</w:t>
      </w:r>
      <w:r w:rsidR="00DE1A00" w:rsidRPr="005C40EF">
        <w:rPr>
          <w:rFonts w:asciiTheme="minorHAnsi" w:hAnsiTheme="minorHAnsi" w:cstheme="minorHAnsi"/>
          <w:noProof/>
          <w:sz w:val="22"/>
          <w:szCs w:val="22"/>
          <w:lang w:val="es-ES"/>
        </w:rPr>
        <w:t xml:space="preserve"> mundial y nacional. </w:t>
      </w:r>
      <w:r w:rsidR="009126D1" w:rsidRPr="005C40EF">
        <w:rPr>
          <w:rFonts w:asciiTheme="minorHAnsi" w:hAnsiTheme="minorHAnsi" w:cstheme="minorHAnsi"/>
          <w:noProof/>
          <w:sz w:val="22"/>
          <w:szCs w:val="22"/>
          <w:lang w:val="es-ES"/>
        </w:rPr>
        <w:t>A lo largo</w:t>
      </w:r>
      <w:r w:rsidR="00DE1A00" w:rsidRPr="005C40EF">
        <w:rPr>
          <w:rFonts w:asciiTheme="minorHAnsi" w:hAnsiTheme="minorHAnsi" w:cstheme="minorHAnsi"/>
          <w:noProof/>
          <w:sz w:val="22"/>
          <w:szCs w:val="22"/>
          <w:lang w:val="es-ES"/>
        </w:rPr>
        <w:t xml:space="preserve"> </w:t>
      </w:r>
      <w:r w:rsidR="009126D1" w:rsidRPr="005C40EF">
        <w:rPr>
          <w:rFonts w:asciiTheme="minorHAnsi" w:hAnsiTheme="minorHAnsi" w:cstheme="minorHAnsi"/>
          <w:noProof/>
          <w:sz w:val="22"/>
          <w:szCs w:val="22"/>
          <w:lang w:val="es-ES"/>
        </w:rPr>
        <w:t>d</w:t>
      </w:r>
      <w:r w:rsidR="00DE1A00" w:rsidRPr="005C40EF">
        <w:rPr>
          <w:rFonts w:asciiTheme="minorHAnsi" w:hAnsiTheme="minorHAnsi" w:cstheme="minorHAnsi"/>
          <w:noProof/>
          <w:sz w:val="22"/>
          <w:szCs w:val="22"/>
          <w:lang w:val="es-ES"/>
        </w:rPr>
        <w:t xml:space="preserve">el trienio la Secretaría observó un aumento </w:t>
      </w:r>
      <w:r w:rsidR="009126D1" w:rsidRPr="005C40EF">
        <w:rPr>
          <w:rFonts w:asciiTheme="minorHAnsi" w:hAnsiTheme="minorHAnsi" w:cstheme="minorHAnsi"/>
          <w:noProof/>
          <w:sz w:val="22"/>
          <w:szCs w:val="22"/>
          <w:lang w:val="es-ES"/>
        </w:rPr>
        <w:t>constante</w:t>
      </w:r>
      <w:r w:rsidR="00DE1A00" w:rsidRPr="005C40EF">
        <w:rPr>
          <w:rFonts w:asciiTheme="minorHAnsi" w:hAnsiTheme="minorHAnsi" w:cstheme="minorHAnsi"/>
          <w:noProof/>
          <w:sz w:val="22"/>
          <w:szCs w:val="22"/>
          <w:lang w:val="es-ES"/>
        </w:rPr>
        <w:t xml:space="preserve"> en el número de eventos organizados por las Partes y otras organizaciones </w:t>
      </w:r>
      <w:r w:rsidR="009126D1" w:rsidRPr="005C40EF">
        <w:rPr>
          <w:rFonts w:asciiTheme="minorHAnsi" w:hAnsiTheme="minorHAnsi" w:cstheme="minorHAnsi"/>
          <w:noProof/>
          <w:sz w:val="22"/>
          <w:szCs w:val="22"/>
          <w:lang w:val="es-ES"/>
        </w:rPr>
        <w:t>para el medio ambiente:</w:t>
      </w:r>
      <w:r w:rsidR="00DE1A00" w:rsidRPr="005C40EF">
        <w:rPr>
          <w:rFonts w:asciiTheme="minorHAnsi" w:hAnsiTheme="minorHAnsi" w:cstheme="minorHAnsi"/>
          <w:noProof/>
          <w:sz w:val="22"/>
          <w:szCs w:val="22"/>
          <w:lang w:val="es-ES"/>
        </w:rPr>
        <w:t xml:space="preserve"> desde 1.346 (2016) hasta 1.507 (2018). Con financiación del Grupo Danone, la Secretar</w:t>
      </w:r>
      <w:r w:rsidR="009126D1" w:rsidRPr="005C40EF">
        <w:rPr>
          <w:rFonts w:asciiTheme="minorHAnsi" w:hAnsiTheme="minorHAnsi" w:cstheme="minorHAnsi"/>
          <w:noProof/>
          <w:sz w:val="22"/>
          <w:szCs w:val="22"/>
          <w:lang w:val="es-ES"/>
        </w:rPr>
        <w:t>ía produjo una va</w:t>
      </w:r>
      <w:r w:rsidR="00616D76" w:rsidRPr="005C40EF">
        <w:rPr>
          <w:rFonts w:asciiTheme="minorHAnsi" w:hAnsiTheme="minorHAnsi" w:cstheme="minorHAnsi"/>
          <w:noProof/>
          <w:sz w:val="22"/>
          <w:szCs w:val="22"/>
          <w:lang w:val="es-ES"/>
        </w:rPr>
        <w:t>r</w:t>
      </w:r>
      <w:r w:rsidR="00DE1A00" w:rsidRPr="005C40EF">
        <w:rPr>
          <w:rFonts w:asciiTheme="minorHAnsi" w:hAnsiTheme="minorHAnsi" w:cstheme="minorHAnsi"/>
          <w:noProof/>
          <w:sz w:val="22"/>
          <w:szCs w:val="22"/>
          <w:lang w:val="es-ES"/>
        </w:rPr>
        <w:t xml:space="preserve">iedad de materiales </w:t>
      </w:r>
      <w:r w:rsidR="00616D76" w:rsidRPr="005C40EF">
        <w:rPr>
          <w:rFonts w:asciiTheme="minorHAnsi" w:hAnsiTheme="minorHAnsi" w:cstheme="minorHAnsi"/>
          <w:noProof/>
          <w:sz w:val="22"/>
          <w:szCs w:val="22"/>
          <w:lang w:val="es-ES"/>
        </w:rPr>
        <w:t xml:space="preserve">informativos </w:t>
      </w:r>
      <w:r w:rsidR="00DE1A00" w:rsidRPr="005C40EF">
        <w:rPr>
          <w:rFonts w:asciiTheme="minorHAnsi" w:hAnsiTheme="minorHAnsi" w:cstheme="minorHAnsi"/>
          <w:noProof/>
          <w:sz w:val="22"/>
          <w:szCs w:val="22"/>
          <w:lang w:val="es-ES"/>
        </w:rPr>
        <w:t xml:space="preserve">para apoyar </w:t>
      </w:r>
      <w:r w:rsidR="00616D76" w:rsidRPr="005C40EF">
        <w:rPr>
          <w:rFonts w:asciiTheme="minorHAnsi" w:hAnsiTheme="minorHAnsi" w:cstheme="minorHAnsi"/>
          <w:noProof/>
          <w:sz w:val="22"/>
          <w:szCs w:val="22"/>
          <w:lang w:val="es-ES"/>
        </w:rPr>
        <w:t>los esfuerzos</w:t>
      </w:r>
      <w:r w:rsidR="00DE1A00" w:rsidRPr="005C40EF">
        <w:rPr>
          <w:rFonts w:asciiTheme="minorHAnsi" w:hAnsiTheme="minorHAnsi" w:cstheme="minorHAnsi"/>
          <w:noProof/>
          <w:sz w:val="22"/>
          <w:szCs w:val="22"/>
          <w:lang w:val="es-ES"/>
        </w:rPr>
        <w:t xml:space="preserve"> de divulgación de las Partes sobre los temas </w:t>
      </w:r>
      <w:r w:rsidR="000E4887" w:rsidRPr="005C40EF">
        <w:rPr>
          <w:rFonts w:asciiTheme="minorHAnsi" w:hAnsiTheme="minorHAnsi" w:cstheme="minorHAnsi"/>
          <w:noProof/>
          <w:sz w:val="22"/>
          <w:szCs w:val="22"/>
          <w:lang w:val="es-ES"/>
        </w:rPr>
        <w:t>siguientes:</w:t>
      </w:r>
      <w:r w:rsidR="00DE1A00" w:rsidRPr="005C40EF">
        <w:rPr>
          <w:rFonts w:asciiTheme="minorHAnsi" w:hAnsiTheme="minorHAnsi" w:cstheme="minorHAnsi"/>
          <w:noProof/>
          <w:sz w:val="22"/>
          <w:szCs w:val="22"/>
          <w:lang w:val="es-ES"/>
        </w:rPr>
        <w:t xml:space="preserve"> medios de subsistencia (2016), reducción del riesgo de desastres (2017) y humedales urbanos (2018). Además, la Secretaría </w:t>
      </w:r>
      <w:r w:rsidR="000E4887" w:rsidRPr="005C40EF">
        <w:rPr>
          <w:rFonts w:asciiTheme="minorHAnsi" w:hAnsiTheme="minorHAnsi" w:cstheme="minorHAnsi"/>
          <w:noProof/>
          <w:sz w:val="22"/>
          <w:szCs w:val="22"/>
          <w:lang w:val="es-ES"/>
        </w:rPr>
        <w:t>solicitó</w:t>
      </w:r>
      <w:r w:rsidR="00DE1A00" w:rsidRPr="005C40EF">
        <w:rPr>
          <w:rFonts w:asciiTheme="minorHAnsi" w:hAnsiTheme="minorHAnsi" w:cstheme="minorHAnsi"/>
          <w:noProof/>
          <w:sz w:val="22"/>
          <w:szCs w:val="22"/>
          <w:lang w:val="es-ES"/>
        </w:rPr>
        <w:t xml:space="preserve"> la colaboración estratégica de las OIA y organismos pertinentes de las Naciones Unidas para aprovechar sus redes y llegar a un público más amplio. </w:t>
      </w:r>
      <w:r w:rsidR="000E4887" w:rsidRPr="005C40EF">
        <w:rPr>
          <w:rFonts w:asciiTheme="minorHAnsi" w:hAnsiTheme="minorHAnsi" w:cstheme="minorHAnsi"/>
          <w:noProof/>
          <w:sz w:val="22"/>
          <w:szCs w:val="22"/>
          <w:lang w:val="es-ES"/>
        </w:rPr>
        <w:t>Entre estos están</w:t>
      </w:r>
      <w:r w:rsidR="009126D1" w:rsidRPr="005C40EF">
        <w:rPr>
          <w:rFonts w:asciiTheme="minorHAnsi" w:hAnsiTheme="minorHAnsi" w:cstheme="minorHAnsi"/>
          <w:noProof/>
          <w:sz w:val="22"/>
          <w:szCs w:val="22"/>
          <w:lang w:val="es-ES"/>
        </w:rPr>
        <w:t xml:space="preserve"> el Programa de las Naciones Unidas para el Medio Ambiente (PNUMA), la Oficina de las Naciones Unidas para la Reducción del Riesgo de Desastres (UNISDR) y ONU-Hábitat. Las redes sociales y el Concurso mundial de fotografía para jóvenes sobre los humedales de 2016 y 2017 fueron otros canales importantes que se utilizaron par</w:t>
      </w:r>
      <w:r w:rsidR="006E3213" w:rsidRPr="005C40EF">
        <w:rPr>
          <w:rFonts w:asciiTheme="minorHAnsi" w:hAnsiTheme="minorHAnsi" w:cstheme="minorHAnsi"/>
          <w:noProof/>
          <w:sz w:val="22"/>
          <w:szCs w:val="22"/>
          <w:lang w:val="es-ES"/>
        </w:rPr>
        <w:t>a</w:t>
      </w:r>
      <w:r w:rsidR="009126D1" w:rsidRPr="005C40EF">
        <w:rPr>
          <w:rFonts w:asciiTheme="minorHAnsi" w:hAnsiTheme="minorHAnsi" w:cstheme="minorHAnsi"/>
          <w:noProof/>
          <w:sz w:val="22"/>
          <w:szCs w:val="22"/>
          <w:lang w:val="es-ES"/>
        </w:rPr>
        <w:t xml:space="preserve"> </w:t>
      </w:r>
      <w:r w:rsidR="00796F31" w:rsidRPr="005C40EF">
        <w:rPr>
          <w:rFonts w:asciiTheme="minorHAnsi" w:hAnsiTheme="minorHAnsi" w:cstheme="minorHAnsi"/>
          <w:noProof/>
          <w:sz w:val="22"/>
          <w:szCs w:val="22"/>
          <w:lang w:val="es-ES"/>
        </w:rPr>
        <w:t>sensibilizar a</w:t>
      </w:r>
      <w:r w:rsidR="009126D1" w:rsidRPr="005C40EF">
        <w:rPr>
          <w:rFonts w:asciiTheme="minorHAnsi" w:hAnsiTheme="minorHAnsi" w:cstheme="minorHAnsi"/>
          <w:noProof/>
          <w:sz w:val="22"/>
          <w:szCs w:val="22"/>
          <w:lang w:val="es-ES"/>
        </w:rPr>
        <w:t xml:space="preserve"> los jóvenes y </w:t>
      </w:r>
      <w:r w:rsidR="00796F31" w:rsidRPr="005C40EF">
        <w:rPr>
          <w:rFonts w:asciiTheme="minorHAnsi" w:hAnsiTheme="minorHAnsi" w:cstheme="minorHAnsi"/>
          <w:noProof/>
          <w:sz w:val="22"/>
          <w:szCs w:val="22"/>
          <w:lang w:val="es-ES"/>
        </w:rPr>
        <w:t xml:space="preserve">aumentar </w:t>
      </w:r>
      <w:r w:rsidR="009126D1" w:rsidRPr="005C40EF">
        <w:rPr>
          <w:rFonts w:asciiTheme="minorHAnsi" w:hAnsiTheme="minorHAnsi" w:cstheme="minorHAnsi"/>
          <w:noProof/>
          <w:sz w:val="22"/>
          <w:szCs w:val="22"/>
          <w:lang w:val="es-ES"/>
        </w:rPr>
        <w:t>su participación en el D</w:t>
      </w:r>
      <w:r w:rsidR="00796F31" w:rsidRPr="005C40EF">
        <w:rPr>
          <w:rFonts w:asciiTheme="minorHAnsi" w:hAnsiTheme="minorHAnsi" w:cstheme="minorHAnsi"/>
          <w:noProof/>
          <w:sz w:val="22"/>
          <w:szCs w:val="22"/>
          <w:lang w:val="es-ES"/>
        </w:rPr>
        <w:t>ía Mundial de los Humedales. E</w:t>
      </w:r>
      <w:r w:rsidR="009126D1" w:rsidRPr="005C40EF">
        <w:rPr>
          <w:rFonts w:asciiTheme="minorHAnsi" w:hAnsiTheme="minorHAnsi" w:cstheme="minorHAnsi"/>
          <w:noProof/>
          <w:sz w:val="22"/>
          <w:szCs w:val="22"/>
          <w:lang w:val="es-ES"/>
        </w:rPr>
        <w:t xml:space="preserve">specíficamente, </w:t>
      </w:r>
      <w:r w:rsidR="006E3213" w:rsidRPr="005C40EF">
        <w:rPr>
          <w:rFonts w:asciiTheme="minorHAnsi" w:hAnsiTheme="minorHAnsi" w:cstheme="minorHAnsi"/>
          <w:noProof/>
          <w:sz w:val="22"/>
          <w:szCs w:val="22"/>
          <w:lang w:val="es-ES"/>
        </w:rPr>
        <w:t>a lo largo</w:t>
      </w:r>
      <w:r w:rsidR="009126D1" w:rsidRPr="005C40EF">
        <w:rPr>
          <w:rFonts w:asciiTheme="minorHAnsi" w:hAnsiTheme="minorHAnsi" w:cstheme="minorHAnsi"/>
          <w:noProof/>
          <w:sz w:val="22"/>
          <w:szCs w:val="22"/>
          <w:lang w:val="es-ES"/>
        </w:rPr>
        <w:t xml:space="preserve"> </w:t>
      </w:r>
      <w:r w:rsidR="006E3213" w:rsidRPr="005C40EF">
        <w:rPr>
          <w:rFonts w:asciiTheme="minorHAnsi" w:hAnsiTheme="minorHAnsi" w:cstheme="minorHAnsi"/>
          <w:noProof/>
          <w:sz w:val="22"/>
          <w:szCs w:val="22"/>
          <w:lang w:val="es-ES"/>
        </w:rPr>
        <w:t>d</w:t>
      </w:r>
      <w:r w:rsidR="009126D1" w:rsidRPr="005C40EF">
        <w:rPr>
          <w:rFonts w:asciiTheme="minorHAnsi" w:hAnsiTheme="minorHAnsi" w:cstheme="minorHAnsi"/>
          <w:noProof/>
          <w:sz w:val="22"/>
          <w:szCs w:val="22"/>
          <w:lang w:val="es-ES"/>
        </w:rPr>
        <w:t xml:space="preserve">el trienio </w:t>
      </w:r>
      <w:r w:rsidR="006E3213" w:rsidRPr="005C40EF">
        <w:rPr>
          <w:rFonts w:asciiTheme="minorHAnsi" w:hAnsiTheme="minorHAnsi" w:cstheme="minorHAnsi"/>
          <w:noProof/>
          <w:sz w:val="22"/>
          <w:szCs w:val="22"/>
          <w:lang w:val="es-ES"/>
        </w:rPr>
        <w:t xml:space="preserve">se llegó a unos 16 </w:t>
      </w:r>
      <w:r w:rsidR="009126D1" w:rsidRPr="005C40EF">
        <w:rPr>
          <w:rFonts w:asciiTheme="minorHAnsi" w:hAnsiTheme="minorHAnsi" w:cstheme="minorHAnsi"/>
          <w:noProof/>
          <w:sz w:val="22"/>
          <w:szCs w:val="22"/>
          <w:lang w:val="es-ES"/>
        </w:rPr>
        <w:t xml:space="preserve">millones de personas </w:t>
      </w:r>
      <w:r w:rsidR="006E3213" w:rsidRPr="005C40EF">
        <w:rPr>
          <w:rFonts w:asciiTheme="minorHAnsi" w:hAnsiTheme="minorHAnsi" w:cstheme="minorHAnsi"/>
          <w:noProof/>
          <w:sz w:val="22"/>
          <w:szCs w:val="22"/>
          <w:lang w:val="es-ES"/>
        </w:rPr>
        <w:t xml:space="preserve">en </w:t>
      </w:r>
      <w:r w:rsidR="009126D1" w:rsidRPr="005C40EF">
        <w:rPr>
          <w:rFonts w:asciiTheme="minorHAnsi" w:hAnsiTheme="minorHAnsi" w:cstheme="minorHAnsi"/>
          <w:noProof/>
          <w:sz w:val="22"/>
          <w:szCs w:val="22"/>
          <w:lang w:val="es-ES"/>
        </w:rPr>
        <w:t xml:space="preserve">2016, 25 millones en 2017 y 9 millones en 2018 </w:t>
      </w:r>
      <w:r w:rsidR="006E3213" w:rsidRPr="005C40EF">
        <w:rPr>
          <w:rFonts w:asciiTheme="minorHAnsi" w:hAnsiTheme="minorHAnsi" w:cstheme="minorHAnsi"/>
          <w:noProof/>
          <w:sz w:val="22"/>
          <w:szCs w:val="22"/>
          <w:lang w:val="es-ES"/>
        </w:rPr>
        <w:t>(</w:t>
      </w:r>
      <w:r w:rsidR="009126D1" w:rsidRPr="005C40EF">
        <w:rPr>
          <w:rFonts w:asciiTheme="minorHAnsi" w:hAnsiTheme="minorHAnsi" w:cstheme="minorHAnsi"/>
          <w:noProof/>
          <w:sz w:val="22"/>
          <w:szCs w:val="22"/>
          <w:lang w:val="es-ES"/>
        </w:rPr>
        <w:t xml:space="preserve">hasta </w:t>
      </w:r>
      <w:r w:rsidR="006E3213" w:rsidRPr="005C40EF">
        <w:rPr>
          <w:rFonts w:asciiTheme="minorHAnsi" w:hAnsiTheme="minorHAnsi" w:cstheme="minorHAnsi"/>
          <w:noProof/>
          <w:sz w:val="22"/>
          <w:szCs w:val="22"/>
          <w:lang w:val="es-ES"/>
        </w:rPr>
        <w:t xml:space="preserve">la fecha) mediante el uso combinado de las plataformas de redes sociales Facebook, Twitter, </w:t>
      </w:r>
      <w:r w:rsidR="00D36182" w:rsidRPr="005C40EF">
        <w:rPr>
          <w:rFonts w:asciiTheme="minorHAnsi" w:hAnsiTheme="minorHAnsi" w:cstheme="minorHAnsi"/>
          <w:noProof/>
          <w:sz w:val="22"/>
          <w:szCs w:val="22"/>
          <w:lang w:val="es-ES"/>
        </w:rPr>
        <w:t>YouTube</w:t>
      </w:r>
      <w:r w:rsidR="006E3213" w:rsidRPr="005C40EF">
        <w:rPr>
          <w:rFonts w:asciiTheme="minorHAnsi" w:hAnsiTheme="minorHAnsi" w:cstheme="minorHAnsi"/>
          <w:noProof/>
          <w:sz w:val="22"/>
          <w:szCs w:val="22"/>
          <w:lang w:val="es-ES"/>
        </w:rPr>
        <w:t xml:space="preserve"> e Instagram</w:t>
      </w:r>
      <w:r w:rsidR="009126D1" w:rsidRPr="005C40EF">
        <w:rPr>
          <w:rFonts w:asciiTheme="minorHAnsi" w:hAnsiTheme="minorHAnsi" w:cstheme="minorHAnsi"/>
          <w:noProof/>
          <w:sz w:val="22"/>
          <w:szCs w:val="22"/>
          <w:lang w:val="es-ES"/>
        </w:rPr>
        <w:t>.</w:t>
      </w:r>
    </w:p>
    <w:p w14:paraId="1C6DC3C7" w14:textId="77777777" w:rsidR="00EE515A" w:rsidRPr="005C40EF" w:rsidRDefault="00EE515A" w:rsidP="005C28FB">
      <w:pPr>
        <w:rPr>
          <w:rFonts w:asciiTheme="minorHAnsi" w:hAnsiTheme="minorHAnsi" w:cstheme="minorHAnsi"/>
          <w:noProof/>
          <w:sz w:val="22"/>
          <w:szCs w:val="22"/>
          <w:lang w:val="es-ES"/>
        </w:rPr>
      </w:pPr>
    </w:p>
    <w:p w14:paraId="27580D39" w14:textId="77777777" w:rsidR="00616D76" w:rsidRPr="005C40EF" w:rsidRDefault="00616D76" w:rsidP="00616D76">
      <w:pPr>
        <w:rPr>
          <w:rFonts w:asciiTheme="minorHAnsi" w:hAnsiTheme="minorHAnsi" w:cstheme="minorHAnsi"/>
          <w:bCs/>
          <w:noProof/>
          <w:sz w:val="22"/>
          <w:szCs w:val="22"/>
          <w:u w:val="single"/>
          <w:lang w:val="es-ES"/>
        </w:rPr>
      </w:pPr>
      <w:r w:rsidRPr="005C40EF">
        <w:rPr>
          <w:rFonts w:asciiTheme="minorHAnsi" w:hAnsiTheme="minorHAnsi" w:cstheme="minorHAnsi"/>
          <w:bCs/>
          <w:noProof/>
          <w:sz w:val="22"/>
          <w:szCs w:val="22"/>
          <w:u w:val="single"/>
          <w:lang w:val="es-ES"/>
        </w:rPr>
        <w:t xml:space="preserve">Reforzar la eficacia y la eficiencia de la Secretaría </w:t>
      </w:r>
    </w:p>
    <w:p w14:paraId="77FFF947" w14:textId="77777777" w:rsidR="00616D76" w:rsidRPr="005C40EF" w:rsidRDefault="00616D76" w:rsidP="00616D76">
      <w:pPr>
        <w:rPr>
          <w:rFonts w:cs="Arial"/>
          <w:noProof/>
          <w:lang w:val="es-ES"/>
        </w:rPr>
      </w:pPr>
    </w:p>
    <w:p w14:paraId="284916BE" w14:textId="752DE7F2" w:rsidR="00EC16E3" w:rsidRPr="005C40EF" w:rsidRDefault="009C1179" w:rsidP="009C1179">
      <w:pPr>
        <w:autoSpaceDE w:val="0"/>
        <w:autoSpaceDN w:val="0"/>
        <w:adjustRightInd w:val="0"/>
        <w:ind w:left="425" w:hanging="425"/>
        <w:rPr>
          <w:rFonts w:asciiTheme="minorHAnsi" w:hAnsiTheme="minorHAnsi" w:cstheme="minorHAnsi"/>
          <w:noProof/>
          <w:sz w:val="22"/>
          <w:szCs w:val="22"/>
          <w:lang w:val="es-ES"/>
        </w:rPr>
      </w:pPr>
      <w:r>
        <w:rPr>
          <w:rFonts w:asciiTheme="minorHAnsi" w:hAnsiTheme="minorHAnsi" w:cstheme="minorHAnsi"/>
          <w:noProof/>
          <w:sz w:val="22"/>
          <w:szCs w:val="22"/>
          <w:lang w:val="es-ES"/>
        </w:rPr>
        <w:t>37.</w:t>
      </w:r>
      <w:r>
        <w:rPr>
          <w:rFonts w:asciiTheme="minorHAnsi" w:hAnsiTheme="minorHAnsi" w:cstheme="minorHAnsi"/>
          <w:noProof/>
          <w:sz w:val="22"/>
          <w:szCs w:val="22"/>
          <w:lang w:val="es-ES"/>
        </w:rPr>
        <w:tab/>
      </w:r>
      <w:r w:rsidR="00616D76" w:rsidRPr="005C40EF">
        <w:rPr>
          <w:rFonts w:asciiTheme="minorHAnsi" w:hAnsiTheme="minorHAnsi" w:cstheme="minorHAnsi"/>
          <w:noProof/>
          <w:sz w:val="22"/>
          <w:szCs w:val="22"/>
          <w:lang w:val="es-ES"/>
        </w:rPr>
        <w:t xml:space="preserve">El objetivo rector </w:t>
      </w:r>
      <w:r w:rsidR="00EC16E3" w:rsidRPr="005C40EF">
        <w:rPr>
          <w:rFonts w:asciiTheme="minorHAnsi" w:hAnsiTheme="minorHAnsi" w:cstheme="minorHAnsi"/>
          <w:noProof/>
          <w:sz w:val="22"/>
          <w:szCs w:val="22"/>
          <w:lang w:val="es-ES"/>
        </w:rPr>
        <w:t xml:space="preserve">desde que la Secretaria General actual asumió el cargo </w:t>
      </w:r>
      <w:r w:rsidR="00616D76" w:rsidRPr="005C40EF">
        <w:rPr>
          <w:rFonts w:asciiTheme="minorHAnsi" w:hAnsiTheme="minorHAnsi" w:cstheme="minorHAnsi"/>
          <w:noProof/>
          <w:sz w:val="22"/>
          <w:szCs w:val="22"/>
          <w:lang w:val="es-ES"/>
        </w:rPr>
        <w:t xml:space="preserve">ha sido “organizar para cumplir” el Plan Estratégico de la Convención y el mandato de las Partes Contratantes, y utilizar de la manera más eficiente los recursos limitados de la Convención y las capacidades de la Secretaría. </w:t>
      </w:r>
    </w:p>
    <w:p w14:paraId="18AD061C" w14:textId="77777777" w:rsidR="00EC16E3" w:rsidRPr="005C40EF" w:rsidRDefault="00EC16E3" w:rsidP="009C1179">
      <w:pPr>
        <w:autoSpaceDE w:val="0"/>
        <w:autoSpaceDN w:val="0"/>
        <w:adjustRightInd w:val="0"/>
        <w:ind w:left="425" w:hanging="425"/>
        <w:rPr>
          <w:rFonts w:asciiTheme="minorHAnsi" w:hAnsiTheme="minorHAnsi" w:cstheme="minorHAnsi"/>
          <w:noProof/>
          <w:sz w:val="22"/>
          <w:szCs w:val="22"/>
          <w:lang w:val="es-ES"/>
        </w:rPr>
      </w:pPr>
    </w:p>
    <w:p w14:paraId="320B1420" w14:textId="282575B7" w:rsidR="00616D76" w:rsidRDefault="009C1179" w:rsidP="009C1179">
      <w:pPr>
        <w:autoSpaceDE w:val="0"/>
        <w:autoSpaceDN w:val="0"/>
        <w:adjustRightInd w:val="0"/>
        <w:ind w:left="425" w:hanging="425"/>
        <w:rPr>
          <w:rFonts w:asciiTheme="minorHAnsi" w:hAnsiTheme="minorHAnsi" w:cstheme="minorHAnsi"/>
          <w:noProof/>
          <w:sz w:val="22"/>
          <w:szCs w:val="22"/>
          <w:lang w:val="es-ES"/>
        </w:rPr>
      </w:pPr>
      <w:r>
        <w:rPr>
          <w:rFonts w:asciiTheme="minorHAnsi" w:hAnsiTheme="minorHAnsi" w:cstheme="minorHAnsi"/>
          <w:noProof/>
          <w:sz w:val="22"/>
          <w:szCs w:val="22"/>
          <w:lang w:val="es-ES"/>
        </w:rPr>
        <w:t>38.</w:t>
      </w:r>
      <w:r>
        <w:rPr>
          <w:rFonts w:asciiTheme="minorHAnsi" w:hAnsiTheme="minorHAnsi" w:cstheme="minorHAnsi"/>
          <w:noProof/>
          <w:sz w:val="22"/>
          <w:szCs w:val="22"/>
          <w:lang w:val="es-ES"/>
        </w:rPr>
        <w:tab/>
      </w:r>
      <w:r w:rsidR="00EC16E3" w:rsidRPr="005C40EF">
        <w:rPr>
          <w:rFonts w:asciiTheme="minorHAnsi" w:hAnsiTheme="minorHAnsi" w:cstheme="minorHAnsi"/>
          <w:noProof/>
          <w:sz w:val="22"/>
          <w:szCs w:val="22"/>
          <w:lang w:val="es-ES"/>
        </w:rPr>
        <w:t>Se identificaron</w:t>
      </w:r>
      <w:r w:rsidR="00616D76" w:rsidRPr="005C40EF">
        <w:rPr>
          <w:rFonts w:asciiTheme="minorHAnsi" w:hAnsiTheme="minorHAnsi" w:cstheme="minorHAnsi"/>
          <w:noProof/>
          <w:sz w:val="22"/>
          <w:szCs w:val="22"/>
          <w:lang w:val="es-ES"/>
        </w:rPr>
        <w:t xml:space="preserve"> lagunas de capacidad </w:t>
      </w:r>
      <w:r w:rsidR="00820EA4" w:rsidRPr="005C40EF">
        <w:rPr>
          <w:rFonts w:asciiTheme="minorHAnsi" w:hAnsiTheme="minorHAnsi" w:cstheme="minorHAnsi"/>
          <w:noProof/>
          <w:sz w:val="22"/>
          <w:szCs w:val="22"/>
          <w:lang w:val="es-ES"/>
        </w:rPr>
        <w:t xml:space="preserve">sobre todo </w:t>
      </w:r>
      <w:r w:rsidR="00616D76" w:rsidRPr="005C40EF">
        <w:rPr>
          <w:rFonts w:asciiTheme="minorHAnsi" w:hAnsiTheme="minorHAnsi" w:cstheme="minorHAnsi"/>
          <w:noProof/>
          <w:sz w:val="22"/>
          <w:szCs w:val="22"/>
          <w:lang w:val="es-ES"/>
        </w:rPr>
        <w:t>en dos áreas, a saber, la función básica</w:t>
      </w:r>
      <w:r w:rsidR="00820EA4" w:rsidRPr="005C40EF">
        <w:rPr>
          <w:rFonts w:asciiTheme="minorHAnsi" w:hAnsiTheme="minorHAnsi" w:cstheme="minorHAnsi"/>
          <w:noProof/>
          <w:sz w:val="22"/>
          <w:szCs w:val="22"/>
          <w:lang w:val="es-ES"/>
        </w:rPr>
        <w:t xml:space="preserve"> de prestar apoyo </w:t>
      </w:r>
      <w:r w:rsidR="00616D76" w:rsidRPr="005C40EF">
        <w:rPr>
          <w:rFonts w:asciiTheme="minorHAnsi" w:hAnsiTheme="minorHAnsi" w:cstheme="minorHAnsi"/>
          <w:noProof/>
          <w:sz w:val="22"/>
          <w:szCs w:val="22"/>
          <w:lang w:val="es-ES"/>
        </w:rPr>
        <w:t xml:space="preserve">a los órganos de gobierno y subsidiarios y </w:t>
      </w:r>
      <w:r w:rsidR="00687B59" w:rsidRPr="005C40EF">
        <w:rPr>
          <w:rFonts w:asciiTheme="minorHAnsi" w:hAnsiTheme="minorHAnsi" w:cstheme="minorHAnsi"/>
          <w:noProof/>
          <w:sz w:val="22"/>
          <w:szCs w:val="22"/>
          <w:lang w:val="es-ES"/>
        </w:rPr>
        <w:t>el establecimiento de</w:t>
      </w:r>
      <w:r w:rsidR="00820EA4" w:rsidRPr="005C40EF">
        <w:rPr>
          <w:rFonts w:asciiTheme="minorHAnsi" w:hAnsiTheme="minorHAnsi" w:cstheme="minorHAnsi"/>
          <w:noProof/>
          <w:sz w:val="22"/>
          <w:szCs w:val="22"/>
          <w:lang w:val="es-ES"/>
        </w:rPr>
        <w:t xml:space="preserve"> </w:t>
      </w:r>
      <w:r w:rsidR="00616D76" w:rsidRPr="005C40EF">
        <w:rPr>
          <w:rFonts w:asciiTheme="minorHAnsi" w:hAnsiTheme="minorHAnsi" w:cstheme="minorHAnsi"/>
          <w:noProof/>
          <w:sz w:val="22"/>
          <w:szCs w:val="22"/>
          <w:lang w:val="es-ES"/>
        </w:rPr>
        <w:t>vínculos con los procesos de políticas relevantes a través de conocimientos científicos pertinentes para las políticas.</w:t>
      </w:r>
      <w:r w:rsidR="00820EA4" w:rsidRPr="005C40EF">
        <w:rPr>
          <w:rFonts w:asciiTheme="minorHAnsi" w:hAnsiTheme="minorHAnsi" w:cstheme="minorHAnsi"/>
          <w:noProof/>
          <w:sz w:val="22"/>
          <w:szCs w:val="22"/>
          <w:lang w:val="es-ES"/>
        </w:rPr>
        <w:t xml:space="preserve"> </w:t>
      </w:r>
      <w:r w:rsidR="00EC16E3" w:rsidRPr="005C40EF">
        <w:rPr>
          <w:rFonts w:asciiTheme="minorHAnsi" w:hAnsiTheme="minorHAnsi" w:cstheme="minorHAnsi"/>
          <w:noProof/>
          <w:sz w:val="22"/>
          <w:szCs w:val="22"/>
          <w:lang w:val="es-ES"/>
        </w:rPr>
        <w:t>Se han hecho ajustes a las descripciones de las funciones de</w:t>
      </w:r>
      <w:r w:rsidR="00687B59" w:rsidRPr="005C40EF">
        <w:rPr>
          <w:rFonts w:asciiTheme="minorHAnsi" w:hAnsiTheme="minorHAnsi" w:cstheme="minorHAnsi"/>
          <w:noProof/>
          <w:sz w:val="22"/>
          <w:szCs w:val="22"/>
          <w:lang w:val="es-ES"/>
        </w:rPr>
        <w:t xml:space="preserve"> los puestos vacante</w:t>
      </w:r>
      <w:r w:rsidR="00EC16E3" w:rsidRPr="005C40EF">
        <w:rPr>
          <w:rFonts w:asciiTheme="minorHAnsi" w:hAnsiTheme="minorHAnsi" w:cstheme="minorHAnsi"/>
          <w:noProof/>
          <w:sz w:val="22"/>
          <w:szCs w:val="22"/>
          <w:lang w:val="es-ES"/>
        </w:rPr>
        <w:t>s, incluso después de la jubilación de los titulares, y de</w:t>
      </w:r>
      <w:r w:rsidR="00687B59" w:rsidRPr="005C40EF">
        <w:rPr>
          <w:rFonts w:asciiTheme="minorHAnsi" w:hAnsiTheme="minorHAnsi" w:cstheme="minorHAnsi"/>
          <w:noProof/>
          <w:sz w:val="22"/>
          <w:szCs w:val="22"/>
          <w:lang w:val="es-ES"/>
        </w:rPr>
        <w:t>l</w:t>
      </w:r>
      <w:r w:rsidR="00EC16E3" w:rsidRPr="005C40EF">
        <w:rPr>
          <w:rFonts w:asciiTheme="minorHAnsi" w:hAnsiTheme="minorHAnsi" w:cstheme="minorHAnsi"/>
          <w:noProof/>
          <w:sz w:val="22"/>
          <w:szCs w:val="22"/>
          <w:lang w:val="es-ES"/>
        </w:rPr>
        <w:t xml:space="preserve"> personal administrativo para cubrir las lagunas de capacidad. En los dos últimos años, la Secretaria General ha contratado personal para los </w:t>
      </w:r>
      <w:r w:rsidR="00146259" w:rsidRPr="005C40EF">
        <w:rPr>
          <w:rFonts w:asciiTheme="minorHAnsi" w:hAnsiTheme="minorHAnsi" w:cstheme="minorHAnsi"/>
          <w:noProof/>
          <w:sz w:val="22"/>
          <w:szCs w:val="22"/>
          <w:lang w:val="es-ES"/>
        </w:rPr>
        <w:t>puestos</w:t>
      </w:r>
      <w:r w:rsidR="00EC16E3" w:rsidRPr="005C40EF">
        <w:rPr>
          <w:rFonts w:asciiTheme="minorHAnsi" w:hAnsiTheme="minorHAnsi" w:cstheme="minorHAnsi"/>
          <w:noProof/>
          <w:sz w:val="22"/>
          <w:szCs w:val="22"/>
          <w:lang w:val="es-ES"/>
        </w:rPr>
        <w:t xml:space="preserve"> siguientes: Secretario General Adjunto, con una descripción de funciones reorientada hacia los órganos de gobierno y subsidiarios y la rendición de cuentas en gene</w:t>
      </w:r>
      <w:r w:rsidR="002E5B04" w:rsidRPr="005C40EF">
        <w:rPr>
          <w:rFonts w:asciiTheme="minorHAnsi" w:hAnsiTheme="minorHAnsi" w:cstheme="minorHAnsi"/>
          <w:noProof/>
          <w:sz w:val="22"/>
          <w:szCs w:val="22"/>
          <w:lang w:val="es-ES"/>
        </w:rPr>
        <w:t>ral a las Partes Contratantes; el D</w:t>
      </w:r>
      <w:r w:rsidR="00AA6F03" w:rsidRPr="005C40EF">
        <w:rPr>
          <w:rFonts w:asciiTheme="minorHAnsi" w:hAnsiTheme="minorHAnsi" w:cstheme="minorHAnsi"/>
          <w:noProof/>
          <w:sz w:val="22"/>
          <w:szCs w:val="22"/>
          <w:lang w:val="es-ES"/>
        </w:rPr>
        <w:t>irector de M</w:t>
      </w:r>
      <w:r w:rsidR="00EC16E3" w:rsidRPr="005C40EF">
        <w:rPr>
          <w:rFonts w:asciiTheme="minorHAnsi" w:hAnsiTheme="minorHAnsi" w:cstheme="minorHAnsi"/>
          <w:noProof/>
          <w:sz w:val="22"/>
          <w:szCs w:val="22"/>
          <w:lang w:val="es-ES"/>
        </w:rPr>
        <w:t>ovilizaci</w:t>
      </w:r>
      <w:r w:rsidR="00AA6F03" w:rsidRPr="005C40EF">
        <w:rPr>
          <w:rFonts w:asciiTheme="minorHAnsi" w:hAnsiTheme="minorHAnsi" w:cstheme="minorHAnsi"/>
          <w:noProof/>
          <w:sz w:val="22"/>
          <w:szCs w:val="22"/>
          <w:lang w:val="es-ES"/>
        </w:rPr>
        <w:t>ón de Recursos y D</w:t>
      </w:r>
      <w:r w:rsidR="00EC16E3" w:rsidRPr="005C40EF">
        <w:rPr>
          <w:rFonts w:asciiTheme="minorHAnsi" w:hAnsiTheme="minorHAnsi" w:cstheme="minorHAnsi"/>
          <w:noProof/>
          <w:sz w:val="22"/>
          <w:szCs w:val="22"/>
          <w:lang w:val="es-ES"/>
        </w:rPr>
        <w:t>ivulgación (con</w:t>
      </w:r>
      <w:r w:rsidR="002E5B04" w:rsidRPr="005C40EF">
        <w:rPr>
          <w:rFonts w:asciiTheme="minorHAnsi" w:hAnsiTheme="minorHAnsi" w:cstheme="minorHAnsi"/>
          <w:noProof/>
          <w:sz w:val="22"/>
          <w:szCs w:val="22"/>
          <w:lang w:val="es-ES"/>
        </w:rPr>
        <w:t xml:space="preserve"> el</w:t>
      </w:r>
      <w:r w:rsidR="00EC16E3" w:rsidRPr="005C40EF">
        <w:rPr>
          <w:rFonts w:asciiTheme="minorHAnsi" w:hAnsiTheme="minorHAnsi" w:cstheme="minorHAnsi"/>
          <w:noProof/>
          <w:sz w:val="22"/>
          <w:szCs w:val="22"/>
          <w:lang w:val="es-ES"/>
        </w:rPr>
        <w:t xml:space="preserve"> asesoramiento del Grupo de trabajo </w:t>
      </w:r>
      <w:r w:rsidR="002E5B04" w:rsidRPr="005C40EF">
        <w:rPr>
          <w:rFonts w:asciiTheme="minorHAnsi" w:hAnsiTheme="minorHAnsi" w:cstheme="minorHAnsi"/>
          <w:noProof/>
          <w:sz w:val="22"/>
          <w:szCs w:val="22"/>
          <w:lang w:val="es-ES"/>
        </w:rPr>
        <w:t>sobre la</w:t>
      </w:r>
      <w:r w:rsidR="00EC16E3" w:rsidRPr="005C40EF">
        <w:rPr>
          <w:rFonts w:asciiTheme="minorHAnsi" w:hAnsiTheme="minorHAnsi" w:cstheme="minorHAnsi"/>
          <w:noProof/>
          <w:sz w:val="22"/>
          <w:szCs w:val="22"/>
          <w:lang w:val="es-ES"/>
        </w:rPr>
        <w:t xml:space="preserve"> movilización de recursos </w:t>
      </w:r>
      <w:r w:rsidR="00AA6F03" w:rsidRPr="005C40EF">
        <w:rPr>
          <w:rFonts w:asciiTheme="minorHAnsi" w:hAnsiTheme="minorHAnsi" w:cstheme="minorHAnsi"/>
          <w:noProof/>
          <w:sz w:val="22"/>
          <w:szCs w:val="22"/>
          <w:lang w:val="es-ES"/>
        </w:rPr>
        <w:t>para</w:t>
      </w:r>
      <w:r w:rsidR="00EC16E3" w:rsidRPr="005C40EF">
        <w:rPr>
          <w:rFonts w:asciiTheme="minorHAnsi" w:hAnsiTheme="minorHAnsi" w:cstheme="minorHAnsi"/>
          <w:noProof/>
          <w:sz w:val="22"/>
          <w:szCs w:val="22"/>
          <w:lang w:val="es-ES"/>
        </w:rPr>
        <w:t xml:space="preserve"> </w:t>
      </w:r>
      <w:r w:rsidR="005F72B8" w:rsidRPr="005C40EF">
        <w:rPr>
          <w:rFonts w:asciiTheme="minorHAnsi" w:hAnsiTheme="minorHAnsi" w:cstheme="minorHAnsi"/>
          <w:noProof/>
          <w:sz w:val="22"/>
          <w:szCs w:val="22"/>
          <w:lang w:val="es-ES"/>
        </w:rPr>
        <w:t>elaborar</w:t>
      </w:r>
      <w:r w:rsidR="00EC16E3" w:rsidRPr="005C40EF">
        <w:rPr>
          <w:rFonts w:asciiTheme="minorHAnsi" w:hAnsiTheme="minorHAnsi" w:cstheme="minorHAnsi"/>
          <w:noProof/>
          <w:sz w:val="22"/>
          <w:szCs w:val="22"/>
          <w:lang w:val="es-ES"/>
        </w:rPr>
        <w:t xml:space="preserve"> la descripción de funciones); </w:t>
      </w:r>
      <w:r w:rsidR="000E4887" w:rsidRPr="005C40EF">
        <w:rPr>
          <w:rFonts w:asciiTheme="minorHAnsi" w:hAnsiTheme="minorHAnsi" w:cstheme="minorHAnsi"/>
          <w:noProof/>
          <w:sz w:val="22"/>
          <w:szCs w:val="22"/>
          <w:lang w:val="es-ES"/>
        </w:rPr>
        <w:t>la</w:t>
      </w:r>
      <w:r w:rsidR="002E5B04" w:rsidRPr="005C40EF">
        <w:rPr>
          <w:rFonts w:asciiTheme="minorHAnsi" w:hAnsiTheme="minorHAnsi" w:cstheme="minorHAnsi"/>
          <w:noProof/>
          <w:sz w:val="22"/>
          <w:szCs w:val="22"/>
          <w:lang w:val="es-ES"/>
        </w:rPr>
        <w:t xml:space="preserve"> Oficial de Finanzas; el Asesor Regional Superior para Asia y Oceanía; </w:t>
      </w:r>
      <w:r w:rsidR="00A612B7">
        <w:rPr>
          <w:rFonts w:asciiTheme="minorHAnsi" w:hAnsiTheme="minorHAnsi" w:cstheme="minorHAnsi"/>
          <w:noProof/>
          <w:sz w:val="22"/>
          <w:szCs w:val="22"/>
          <w:lang w:val="es-ES"/>
        </w:rPr>
        <w:t xml:space="preserve">el </w:t>
      </w:r>
      <w:r w:rsidR="00A4071C">
        <w:rPr>
          <w:rFonts w:asciiTheme="minorHAnsi" w:hAnsiTheme="minorHAnsi" w:cstheme="minorHAnsi"/>
          <w:noProof/>
          <w:sz w:val="22"/>
          <w:szCs w:val="22"/>
          <w:lang w:val="es-ES"/>
        </w:rPr>
        <w:t>Director de Ciencia y P</w:t>
      </w:r>
      <w:r w:rsidR="00A612B7">
        <w:rPr>
          <w:rFonts w:asciiTheme="minorHAnsi" w:hAnsiTheme="minorHAnsi" w:cstheme="minorHAnsi"/>
          <w:noProof/>
          <w:sz w:val="22"/>
          <w:szCs w:val="22"/>
          <w:lang w:val="es-ES"/>
        </w:rPr>
        <w:t>ol</w:t>
      </w:r>
      <w:r w:rsidR="00A4071C">
        <w:rPr>
          <w:rFonts w:asciiTheme="minorHAnsi" w:hAnsiTheme="minorHAnsi" w:cstheme="minorHAnsi"/>
          <w:noProof/>
          <w:sz w:val="22"/>
          <w:szCs w:val="22"/>
          <w:lang w:val="es-ES"/>
        </w:rPr>
        <w:t>íticas;</w:t>
      </w:r>
      <w:r w:rsidR="00A612B7">
        <w:rPr>
          <w:rFonts w:asciiTheme="minorHAnsi" w:hAnsiTheme="minorHAnsi" w:cstheme="minorHAnsi"/>
          <w:noProof/>
          <w:sz w:val="22"/>
          <w:szCs w:val="22"/>
          <w:lang w:val="es-ES"/>
        </w:rPr>
        <w:t xml:space="preserve"> </w:t>
      </w:r>
      <w:r w:rsidR="002E5B04" w:rsidRPr="005C40EF">
        <w:rPr>
          <w:rFonts w:asciiTheme="minorHAnsi" w:hAnsiTheme="minorHAnsi" w:cstheme="minorHAnsi"/>
          <w:noProof/>
          <w:sz w:val="22"/>
          <w:szCs w:val="22"/>
          <w:lang w:val="es-ES"/>
        </w:rPr>
        <w:t xml:space="preserve">un asistente de conferencias (para </w:t>
      </w:r>
      <w:r w:rsidR="00AA6F03" w:rsidRPr="005C40EF">
        <w:rPr>
          <w:rFonts w:asciiTheme="minorHAnsi" w:hAnsiTheme="minorHAnsi" w:cstheme="minorHAnsi"/>
          <w:noProof/>
          <w:sz w:val="22"/>
          <w:szCs w:val="22"/>
          <w:lang w:val="es-ES"/>
        </w:rPr>
        <w:t>seguir reforzando</w:t>
      </w:r>
      <w:r w:rsidR="002E5B04" w:rsidRPr="005C40EF">
        <w:rPr>
          <w:rFonts w:asciiTheme="minorHAnsi" w:hAnsiTheme="minorHAnsi" w:cstheme="minorHAnsi"/>
          <w:noProof/>
          <w:sz w:val="22"/>
          <w:szCs w:val="22"/>
          <w:lang w:val="es-ES"/>
        </w:rPr>
        <w:t xml:space="preserve"> </w:t>
      </w:r>
      <w:r w:rsidR="002E5B04" w:rsidRPr="005C40EF">
        <w:rPr>
          <w:rFonts w:asciiTheme="minorHAnsi" w:hAnsiTheme="minorHAnsi" w:cstheme="minorHAnsi"/>
          <w:noProof/>
          <w:sz w:val="22"/>
          <w:szCs w:val="22"/>
          <w:lang w:val="es-ES"/>
        </w:rPr>
        <w:lastRenderedPageBreak/>
        <w:t xml:space="preserve">las capacidades </w:t>
      </w:r>
      <w:r w:rsidR="00AA6F03" w:rsidRPr="005C40EF">
        <w:rPr>
          <w:rFonts w:asciiTheme="minorHAnsi" w:hAnsiTheme="minorHAnsi" w:cstheme="minorHAnsi"/>
          <w:noProof/>
          <w:sz w:val="22"/>
          <w:szCs w:val="22"/>
          <w:lang w:val="es-ES"/>
        </w:rPr>
        <w:t>de</w:t>
      </w:r>
      <w:r w:rsidR="002E5B04" w:rsidRPr="005C40EF">
        <w:rPr>
          <w:rFonts w:asciiTheme="minorHAnsi" w:hAnsiTheme="minorHAnsi" w:cstheme="minorHAnsi"/>
          <w:noProof/>
          <w:sz w:val="22"/>
          <w:szCs w:val="22"/>
          <w:lang w:val="es-ES"/>
        </w:rPr>
        <w:t xml:space="preserve"> apoyo a los órganos subsidiarios</w:t>
      </w:r>
      <w:r w:rsidR="00AA6F03" w:rsidRPr="005C40EF">
        <w:rPr>
          <w:rFonts w:asciiTheme="minorHAnsi" w:hAnsiTheme="minorHAnsi" w:cstheme="minorHAnsi"/>
          <w:noProof/>
          <w:sz w:val="22"/>
          <w:szCs w:val="22"/>
          <w:lang w:val="es-ES"/>
        </w:rPr>
        <w:t xml:space="preserve"> </w:t>
      </w:r>
      <w:r w:rsidR="002E5B04" w:rsidRPr="005C40EF">
        <w:rPr>
          <w:rFonts w:asciiTheme="minorHAnsi" w:hAnsiTheme="minorHAnsi" w:cstheme="minorHAnsi"/>
          <w:noProof/>
          <w:sz w:val="22"/>
          <w:szCs w:val="22"/>
          <w:lang w:val="es-ES"/>
        </w:rPr>
        <w:t>y de gobierno); un asistente de comunicaciones</w:t>
      </w:r>
      <w:r w:rsidR="00AA6F03" w:rsidRPr="005C40EF">
        <w:rPr>
          <w:rFonts w:asciiTheme="minorHAnsi" w:hAnsiTheme="minorHAnsi" w:cstheme="minorHAnsi"/>
          <w:noProof/>
          <w:sz w:val="22"/>
          <w:szCs w:val="22"/>
          <w:lang w:val="es-ES"/>
        </w:rPr>
        <w:t>;</w:t>
      </w:r>
      <w:r w:rsidR="002E5B04" w:rsidRPr="005C40EF">
        <w:rPr>
          <w:rFonts w:asciiTheme="minorHAnsi" w:hAnsiTheme="minorHAnsi" w:cstheme="minorHAnsi"/>
          <w:noProof/>
          <w:sz w:val="22"/>
          <w:szCs w:val="22"/>
          <w:lang w:val="es-ES"/>
        </w:rPr>
        <w:t xml:space="preserve"> y tres pasantes.</w:t>
      </w:r>
      <w:r w:rsidR="00AA6F03" w:rsidRPr="005C40EF">
        <w:rPr>
          <w:rFonts w:asciiTheme="minorHAnsi" w:hAnsiTheme="minorHAnsi" w:cstheme="minorHAnsi"/>
          <w:noProof/>
          <w:sz w:val="22"/>
          <w:szCs w:val="22"/>
          <w:lang w:val="es-ES"/>
        </w:rPr>
        <w:t xml:space="preserve"> Se han hecho esfuerzos para que haya diversidad regional y de género en la medida de lo posible. Se ha contratado personal para </w:t>
      </w:r>
      <w:r w:rsidR="00A612B7">
        <w:rPr>
          <w:rFonts w:asciiTheme="minorHAnsi" w:hAnsiTheme="minorHAnsi" w:cstheme="minorHAnsi"/>
          <w:noProof/>
          <w:sz w:val="22"/>
          <w:szCs w:val="22"/>
          <w:lang w:val="es-ES"/>
        </w:rPr>
        <w:t>once</w:t>
      </w:r>
      <w:r w:rsidR="00AA6F03" w:rsidRPr="005C40EF">
        <w:rPr>
          <w:rFonts w:asciiTheme="minorHAnsi" w:hAnsiTheme="minorHAnsi" w:cstheme="minorHAnsi"/>
          <w:noProof/>
          <w:sz w:val="22"/>
          <w:szCs w:val="22"/>
          <w:lang w:val="es-ES"/>
        </w:rPr>
        <w:t xml:space="preserve"> puestos desde que la Secretaria General actual asumió </w:t>
      </w:r>
      <w:r w:rsidR="0070562C" w:rsidRPr="005C40EF">
        <w:rPr>
          <w:rFonts w:asciiTheme="minorHAnsi" w:hAnsiTheme="minorHAnsi" w:cstheme="minorHAnsi"/>
          <w:noProof/>
          <w:sz w:val="22"/>
          <w:szCs w:val="22"/>
          <w:lang w:val="es-ES"/>
        </w:rPr>
        <w:t>sus funciones</w:t>
      </w:r>
      <w:r w:rsidR="00AA6F03" w:rsidRPr="005C40EF">
        <w:rPr>
          <w:rFonts w:asciiTheme="minorHAnsi" w:hAnsiTheme="minorHAnsi" w:cstheme="minorHAnsi"/>
          <w:noProof/>
          <w:sz w:val="22"/>
          <w:szCs w:val="22"/>
          <w:lang w:val="es-ES"/>
        </w:rPr>
        <w:t>. Las personas contratadas provienen de las siguientes regiones: Europa (4), África (2), Asia (2), América del Norte (1</w:t>
      </w:r>
      <w:r w:rsidR="00A4071C">
        <w:rPr>
          <w:rFonts w:asciiTheme="minorHAnsi" w:hAnsiTheme="minorHAnsi" w:cstheme="minorHAnsi"/>
          <w:noProof/>
          <w:sz w:val="22"/>
          <w:szCs w:val="22"/>
          <w:lang w:val="es-ES"/>
        </w:rPr>
        <w:t>), América Latina y el Caribe (2</w:t>
      </w:r>
      <w:r w:rsidR="00AA6F03" w:rsidRPr="005C40EF">
        <w:rPr>
          <w:rFonts w:asciiTheme="minorHAnsi" w:hAnsiTheme="minorHAnsi" w:cstheme="minorHAnsi"/>
          <w:noProof/>
          <w:sz w:val="22"/>
          <w:szCs w:val="22"/>
          <w:lang w:val="es-ES"/>
        </w:rPr>
        <w:t xml:space="preserve">), Oceanía (0). Actualmente, el 60 % del personal </w:t>
      </w:r>
      <w:r w:rsidR="00A959C9" w:rsidRPr="005C40EF">
        <w:rPr>
          <w:rFonts w:asciiTheme="minorHAnsi" w:hAnsiTheme="minorHAnsi" w:cstheme="minorHAnsi"/>
          <w:noProof/>
          <w:sz w:val="22"/>
          <w:szCs w:val="22"/>
          <w:lang w:val="es-ES"/>
        </w:rPr>
        <w:t>está constituido por</w:t>
      </w:r>
      <w:r w:rsidR="00AA6F03" w:rsidRPr="005C40EF">
        <w:rPr>
          <w:rFonts w:asciiTheme="minorHAnsi" w:hAnsiTheme="minorHAnsi" w:cstheme="minorHAnsi"/>
          <w:noProof/>
          <w:sz w:val="22"/>
          <w:szCs w:val="22"/>
          <w:lang w:val="es-ES"/>
        </w:rPr>
        <w:t xml:space="preserve"> mujeres.</w:t>
      </w:r>
    </w:p>
    <w:p w14:paraId="2C8FBFE1" w14:textId="77777777" w:rsidR="00A612B7" w:rsidRDefault="00A612B7" w:rsidP="009C1179">
      <w:pPr>
        <w:autoSpaceDE w:val="0"/>
        <w:autoSpaceDN w:val="0"/>
        <w:adjustRightInd w:val="0"/>
        <w:ind w:left="425" w:hanging="425"/>
        <w:rPr>
          <w:rFonts w:asciiTheme="minorHAnsi" w:hAnsiTheme="minorHAnsi" w:cstheme="minorHAnsi"/>
          <w:noProof/>
          <w:sz w:val="22"/>
          <w:szCs w:val="22"/>
          <w:lang w:val="es-ES"/>
        </w:rPr>
      </w:pPr>
    </w:p>
    <w:p w14:paraId="4D7C171E" w14:textId="4441A5CE" w:rsidR="00A612B7" w:rsidRPr="005C40EF" w:rsidRDefault="009C1179" w:rsidP="009C1179">
      <w:pPr>
        <w:autoSpaceDE w:val="0"/>
        <w:autoSpaceDN w:val="0"/>
        <w:adjustRightInd w:val="0"/>
        <w:ind w:left="425" w:hanging="425"/>
        <w:rPr>
          <w:rFonts w:asciiTheme="minorHAnsi" w:hAnsiTheme="minorHAnsi" w:cstheme="minorHAnsi"/>
          <w:noProof/>
          <w:sz w:val="22"/>
          <w:szCs w:val="22"/>
          <w:lang w:val="es-ES"/>
        </w:rPr>
      </w:pPr>
      <w:r>
        <w:rPr>
          <w:rFonts w:asciiTheme="minorHAnsi" w:hAnsiTheme="minorHAnsi" w:cstheme="minorHAnsi"/>
          <w:noProof/>
          <w:sz w:val="22"/>
          <w:szCs w:val="22"/>
          <w:lang w:val="es-ES"/>
        </w:rPr>
        <w:t>39.</w:t>
      </w:r>
      <w:r>
        <w:rPr>
          <w:rFonts w:asciiTheme="minorHAnsi" w:hAnsiTheme="minorHAnsi" w:cstheme="minorHAnsi"/>
          <w:noProof/>
          <w:sz w:val="22"/>
          <w:szCs w:val="22"/>
          <w:lang w:val="es-ES"/>
        </w:rPr>
        <w:tab/>
      </w:r>
      <w:r w:rsidR="008C0E77">
        <w:rPr>
          <w:rFonts w:asciiTheme="minorHAnsi" w:hAnsiTheme="minorHAnsi" w:cstheme="minorHAnsi"/>
          <w:noProof/>
          <w:sz w:val="22"/>
          <w:szCs w:val="22"/>
          <w:lang w:val="es-ES"/>
        </w:rPr>
        <w:t>Se han evaluado activamente y se han adoptado tecnologías y prácticas institucionales que pueden mejorar la eficiencia y eficacia de la Secretaría. De particular importancia es la adopción de una nueva base de datos de Gestión de la Relación con los Clientes (CRM) que permitirá una gestión m</w:t>
      </w:r>
      <w:r w:rsidR="003E6226">
        <w:rPr>
          <w:rFonts w:asciiTheme="minorHAnsi" w:hAnsiTheme="minorHAnsi" w:cstheme="minorHAnsi"/>
          <w:noProof/>
          <w:sz w:val="22"/>
          <w:szCs w:val="22"/>
          <w:lang w:val="es-ES"/>
        </w:rPr>
        <w:t>ás eficiente de los correos,</w:t>
      </w:r>
      <w:r w:rsidR="008C0E77">
        <w:rPr>
          <w:rFonts w:asciiTheme="minorHAnsi" w:hAnsiTheme="minorHAnsi" w:cstheme="minorHAnsi"/>
          <w:noProof/>
          <w:sz w:val="22"/>
          <w:szCs w:val="22"/>
          <w:lang w:val="es-ES"/>
        </w:rPr>
        <w:t xml:space="preserve"> el registro de reuniones y contactos, y el cumplimiento de nuevas leyes de privacidad. La CRM se ha utilizado en la gestión de todos aspectos del registro para la COP13. </w:t>
      </w:r>
      <w:r w:rsidR="003E6226">
        <w:rPr>
          <w:rFonts w:asciiTheme="minorHAnsi" w:hAnsiTheme="minorHAnsi" w:cstheme="minorHAnsi"/>
          <w:noProof/>
          <w:sz w:val="22"/>
          <w:szCs w:val="22"/>
          <w:lang w:val="es-ES"/>
        </w:rPr>
        <w:t>Entre otras</w:t>
      </w:r>
      <w:r w:rsidR="008C0E77">
        <w:rPr>
          <w:rFonts w:asciiTheme="minorHAnsi" w:hAnsiTheme="minorHAnsi" w:cstheme="minorHAnsi"/>
          <w:noProof/>
          <w:sz w:val="22"/>
          <w:szCs w:val="22"/>
          <w:lang w:val="es-ES"/>
        </w:rPr>
        <w:t xml:space="preserve"> tecnologías que se han adoptado </w:t>
      </w:r>
      <w:r w:rsidR="003E6226">
        <w:rPr>
          <w:rFonts w:asciiTheme="minorHAnsi" w:hAnsiTheme="minorHAnsi" w:cstheme="minorHAnsi"/>
          <w:noProof/>
          <w:sz w:val="22"/>
          <w:szCs w:val="22"/>
          <w:lang w:val="es-ES"/>
        </w:rPr>
        <w:t>están los</w:t>
      </w:r>
      <w:r w:rsidR="008C0E77">
        <w:rPr>
          <w:rFonts w:asciiTheme="minorHAnsi" w:hAnsiTheme="minorHAnsi" w:cstheme="minorHAnsi"/>
          <w:noProof/>
          <w:sz w:val="22"/>
          <w:szCs w:val="22"/>
          <w:lang w:val="es-ES"/>
        </w:rPr>
        <w:t xml:space="preserve"> servicios de </w:t>
      </w:r>
      <w:r w:rsidR="007C1AE7">
        <w:rPr>
          <w:rFonts w:asciiTheme="minorHAnsi" w:hAnsiTheme="minorHAnsi" w:cstheme="minorHAnsi"/>
          <w:noProof/>
          <w:sz w:val="22"/>
          <w:szCs w:val="22"/>
          <w:lang w:val="es-ES"/>
        </w:rPr>
        <w:t>telefonía</w:t>
      </w:r>
      <w:r w:rsidR="008C0E77">
        <w:rPr>
          <w:rFonts w:asciiTheme="minorHAnsi" w:hAnsiTheme="minorHAnsi" w:cstheme="minorHAnsi"/>
          <w:noProof/>
          <w:sz w:val="22"/>
          <w:szCs w:val="22"/>
          <w:lang w:val="es-ES"/>
        </w:rPr>
        <w:t xml:space="preserve"> </w:t>
      </w:r>
      <w:r w:rsidR="003E6226">
        <w:rPr>
          <w:rFonts w:asciiTheme="minorHAnsi" w:hAnsiTheme="minorHAnsi" w:cstheme="minorHAnsi"/>
          <w:noProof/>
          <w:sz w:val="22"/>
          <w:szCs w:val="22"/>
          <w:lang w:val="es-ES"/>
        </w:rPr>
        <w:t>por</w:t>
      </w:r>
      <w:r w:rsidR="008C0E77">
        <w:rPr>
          <w:rFonts w:asciiTheme="minorHAnsi" w:hAnsiTheme="minorHAnsi" w:cstheme="minorHAnsi"/>
          <w:noProof/>
          <w:sz w:val="22"/>
          <w:szCs w:val="22"/>
          <w:lang w:val="es-ES"/>
        </w:rPr>
        <w:t xml:space="preserve"> Internet para llamadas en conferencia, aprendizaje en línea (seminarios a través de Internet) y </w:t>
      </w:r>
      <w:r w:rsidR="003E6226">
        <w:rPr>
          <w:rFonts w:asciiTheme="minorHAnsi" w:hAnsiTheme="minorHAnsi" w:cstheme="minorHAnsi"/>
          <w:noProof/>
          <w:sz w:val="22"/>
          <w:szCs w:val="22"/>
          <w:lang w:val="es-ES"/>
        </w:rPr>
        <w:t xml:space="preserve">una mayor utilización </w:t>
      </w:r>
      <w:r w:rsidR="008C0E77">
        <w:rPr>
          <w:rFonts w:asciiTheme="minorHAnsi" w:hAnsiTheme="minorHAnsi" w:cstheme="minorHAnsi"/>
          <w:noProof/>
          <w:sz w:val="22"/>
          <w:szCs w:val="22"/>
          <w:lang w:val="es-ES"/>
        </w:rPr>
        <w:t>de mecanismos</w:t>
      </w:r>
      <w:r w:rsidR="007C1AE7">
        <w:rPr>
          <w:rFonts w:asciiTheme="minorHAnsi" w:hAnsiTheme="minorHAnsi" w:cstheme="minorHAnsi"/>
          <w:noProof/>
          <w:sz w:val="22"/>
          <w:szCs w:val="22"/>
          <w:lang w:val="es-ES"/>
        </w:rPr>
        <w:t xml:space="preserve"> digitales</w:t>
      </w:r>
      <w:r w:rsidR="008C0E77">
        <w:rPr>
          <w:rFonts w:asciiTheme="minorHAnsi" w:hAnsiTheme="minorHAnsi" w:cstheme="minorHAnsi"/>
          <w:noProof/>
          <w:sz w:val="22"/>
          <w:szCs w:val="22"/>
          <w:lang w:val="es-ES"/>
        </w:rPr>
        <w:t xml:space="preserve"> de intercambio de documentos.</w:t>
      </w:r>
    </w:p>
    <w:p w14:paraId="4CCFE62D" w14:textId="77777777" w:rsidR="009D4535" w:rsidRPr="005C40EF" w:rsidRDefault="009D4535" w:rsidP="009C1179">
      <w:pPr>
        <w:autoSpaceDE w:val="0"/>
        <w:autoSpaceDN w:val="0"/>
        <w:adjustRightInd w:val="0"/>
        <w:ind w:left="425" w:hanging="425"/>
        <w:rPr>
          <w:rFonts w:asciiTheme="minorHAnsi" w:hAnsiTheme="minorHAnsi" w:cstheme="minorHAnsi"/>
          <w:noProof/>
          <w:sz w:val="22"/>
          <w:szCs w:val="22"/>
          <w:lang w:val="es-ES"/>
        </w:rPr>
      </w:pPr>
    </w:p>
    <w:p w14:paraId="057B5165" w14:textId="4FEA9499" w:rsidR="008D5A99" w:rsidRPr="005C40EF" w:rsidRDefault="009C1179" w:rsidP="009C1179">
      <w:pPr>
        <w:autoSpaceDE w:val="0"/>
        <w:autoSpaceDN w:val="0"/>
        <w:adjustRightInd w:val="0"/>
        <w:ind w:left="425" w:hanging="425"/>
        <w:rPr>
          <w:rFonts w:asciiTheme="minorHAnsi" w:hAnsiTheme="minorHAnsi" w:cstheme="minorHAnsi"/>
          <w:noProof/>
          <w:sz w:val="22"/>
          <w:szCs w:val="22"/>
          <w:lang w:val="es-ES"/>
        </w:rPr>
      </w:pPr>
      <w:r>
        <w:rPr>
          <w:rFonts w:asciiTheme="minorHAnsi" w:hAnsiTheme="minorHAnsi" w:cstheme="minorHAnsi"/>
          <w:noProof/>
          <w:sz w:val="22"/>
          <w:szCs w:val="22"/>
          <w:lang w:val="es-ES"/>
        </w:rPr>
        <w:t>40.</w:t>
      </w:r>
      <w:r>
        <w:rPr>
          <w:rFonts w:asciiTheme="minorHAnsi" w:hAnsiTheme="minorHAnsi" w:cstheme="minorHAnsi"/>
          <w:noProof/>
          <w:sz w:val="22"/>
          <w:szCs w:val="22"/>
          <w:lang w:val="es-ES"/>
        </w:rPr>
        <w:tab/>
      </w:r>
      <w:r w:rsidR="00DD5308" w:rsidRPr="005C40EF">
        <w:rPr>
          <w:rFonts w:asciiTheme="minorHAnsi" w:hAnsiTheme="minorHAnsi" w:cstheme="minorHAnsi"/>
          <w:noProof/>
          <w:sz w:val="22"/>
          <w:szCs w:val="22"/>
          <w:lang w:val="es-ES"/>
        </w:rPr>
        <w:t xml:space="preserve">En octubre de 2016, la </w:t>
      </w:r>
      <w:r w:rsidR="006E4B45" w:rsidRPr="005C40EF">
        <w:rPr>
          <w:rFonts w:asciiTheme="minorHAnsi" w:hAnsiTheme="minorHAnsi" w:cstheme="minorHAnsi"/>
          <w:noProof/>
          <w:sz w:val="22"/>
          <w:szCs w:val="22"/>
          <w:lang w:val="es-ES"/>
        </w:rPr>
        <w:t xml:space="preserve">Secretaria General </w:t>
      </w:r>
      <w:r w:rsidR="00DD5308" w:rsidRPr="005C40EF">
        <w:rPr>
          <w:rFonts w:asciiTheme="minorHAnsi" w:hAnsiTheme="minorHAnsi" w:cstheme="minorHAnsi"/>
          <w:noProof/>
          <w:sz w:val="22"/>
          <w:szCs w:val="22"/>
          <w:lang w:val="es-ES"/>
        </w:rPr>
        <w:t>realizó</w:t>
      </w:r>
      <w:r w:rsidR="006E4B45" w:rsidRPr="005C40EF">
        <w:rPr>
          <w:rFonts w:asciiTheme="minorHAnsi" w:hAnsiTheme="minorHAnsi" w:cstheme="minorHAnsi"/>
          <w:noProof/>
          <w:sz w:val="22"/>
          <w:szCs w:val="22"/>
          <w:lang w:val="es-ES"/>
        </w:rPr>
        <w:t xml:space="preserve"> un </w:t>
      </w:r>
      <w:r w:rsidR="0070133E" w:rsidRPr="005C40EF">
        <w:rPr>
          <w:rFonts w:asciiTheme="minorHAnsi" w:hAnsiTheme="minorHAnsi" w:cstheme="minorHAnsi"/>
          <w:noProof/>
          <w:sz w:val="22"/>
          <w:szCs w:val="22"/>
          <w:lang w:val="es-ES"/>
        </w:rPr>
        <w:t>examen</w:t>
      </w:r>
      <w:r w:rsidR="006E4B45" w:rsidRPr="005C40EF">
        <w:rPr>
          <w:rFonts w:asciiTheme="minorHAnsi" w:hAnsiTheme="minorHAnsi" w:cstheme="minorHAnsi"/>
          <w:noProof/>
          <w:sz w:val="22"/>
          <w:szCs w:val="22"/>
          <w:lang w:val="es-ES"/>
        </w:rPr>
        <w:t xml:space="preserve"> de la gestión financiera de la Secretaría </w:t>
      </w:r>
      <w:r w:rsidR="00DD5308" w:rsidRPr="005C40EF">
        <w:rPr>
          <w:rFonts w:asciiTheme="minorHAnsi" w:hAnsiTheme="minorHAnsi" w:cstheme="minorHAnsi"/>
          <w:noProof/>
          <w:sz w:val="22"/>
          <w:szCs w:val="22"/>
          <w:lang w:val="es-ES"/>
        </w:rPr>
        <w:t xml:space="preserve">y </w:t>
      </w:r>
      <w:r w:rsidR="00E57E81" w:rsidRPr="005C40EF">
        <w:rPr>
          <w:rFonts w:asciiTheme="minorHAnsi" w:hAnsiTheme="minorHAnsi" w:cstheme="minorHAnsi"/>
          <w:noProof/>
          <w:sz w:val="22"/>
          <w:szCs w:val="22"/>
          <w:lang w:val="es-ES"/>
        </w:rPr>
        <w:t>presentó</w:t>
      </w:r>
      <w:r w:rsidR="006E4B45" w:rsidRPr="005C40EF">
        <w:rPr>
          <w:rFonts w:asciiTheme="minorHAnsi" w:hAnsiTheme="minorHAnsi" w:cstheme="minorHAnsi"/>
          <w:noProof/>
          <w:sz w:val="22"/>
          <w:szCs w:val="22"/>
          <w:lang w:val="es-ES"/>
        </w:rPr>
        <w:t xml:space="preserve"> los informes correspondientes al Equipo Ejecutivo y al Subgrupo de Finanzas, el Grupo de trabajo de facilitación y las reuniones SC53 y SC54. Se han adoptado medidas y </w:t>
      </w:r>
      <w:r w:rsidR="00DD5308" w:rsidRPr="005C40EF">
        <w:rPr>
          <w:rFonts w:asciiTheme="minorHAnsi" w:hAnsiTheme="minorHAnsi" w:cstheme="minorHAnsi"/>
          <w:noProof/>
          <w:sz w:val="22"/>
          <w:szCs w:val="22"/>
          <w:lang w:val="es-ES"/>
        </w:rPr>
        <w:t>continúan los</w:t>
      </w:r>
      <w:r w:rsidR="006E4B45" w:rsidRPr="005C40EF">
        <w:rPr>
          <w:rFonts w:asciiTheme="minorHAnsi" w:hAnsiTheme="minorHAnsi" w:cstheme="minorHAnsi"/>
          <w:noProof/>
          <w:sz w:val="22"/>
          <w:szCs w:val="22"/>
          <w:lang w:val="es-ES"/>
        </w:rPr>
        <w:t xml:space="preserve"> esfuerzos </w:t>
      </w:r>
      <w:r w:rsidR="00DD5308" w:rsidRPr="005C40EF">
        <w:rPr>
          <w:rFonts w:asciiTheme="minorHAnsi" w:hAnsiTheme="minorHAnsi" w:cstheme="minorHAnsi"/>
          <w:noProof/>
          <w:sz w:val="22"/>
          <w:szCs w:val="22"/>
          <w:lang w:val="es-ES"/>
        </w:rPr>
        <w:t>por</w:t>
      </w:r>
      <w:r w:rsidR="006E4B45" w:rsidRPr="005C40EF">
        <w:rPr>
          <w:rFonts w:asciiTheme="minorHAnsi" w:hAnsiTheme="minorHAnsi" w:cstheme="minorHAnsi"/>
          <w:noProof/>
          <w:sz w:val="22"/>
          <w:szCs w:val="22"/>
          <w:lang w:val="es-ES"/>
        </w:rPr>
        <w:t xml:space="preserve"> abordar los problemas detectados y garantizar que </w:t>
      </w:r>
      <w:r w:rsidR="0070133E" w:rsidRPr="005C40EF">
        <w:rPr>
          <w:rFonts w:asciiTheme="minorHAnsi" w:hAnsiTheme="minorHAnsi" w:cstheme="minorHAnsi"/>
          <w:noProof/>
          <w:sz w:val="22"/>
          <w:szCs w:val="22"/>
          <w:lang w:val="es-ES"/>
        </w:rPr>
        <w:t xml:space="preserve">el </w:t>
      </w:r>
      <w:r w:rsidR="006E4B45" w:rsidRPr="005C40EF">
        <w:rPr>
          <w:rFonts w:asciiTheme="minorHAnsi" w:hAnsiTheme="minorHAnsi" w:cstheme="minorHAnsi"/>
          <w:noProof/>
          <w:sz w:val="22"/>
          <w:szCs w:val="22"/>
          <w:lang w:val="es-ES"/>
        </w:rPr>
        <w:t>sistema de gestión financiera</w:t>
      </w:r>
      <w:r w:rsidR="0070133E" w:rsidRPr="005C40EF">
        <w:rPr>
          <w:rFonts w:asciiTheme="minorHAnsi" w:hAnsiTheme="minorHAnsi" w:cstheme="minorHAnsi"/>
          <w:noProof/>
          <w:sz w:val="22"/>
          <w:szCs w:val="22"/>
          <w:lang w:val="es-ES"/>
        </w:rPr>
        <w:t xml:space="preserve"> la Convención sea</w:t>
      </w:r>
      <w:r w:rsidR="006E4B45" w:rsidRPr="005C40EF">
        <w:rPr>
          <w:rFonts w:asciiTheme="minorHAnsi" w:hAnsiTheme="minorHAnsi" w:cstheme="minorHAnsi"/>
          <w:noProof/>
          <w:sz w:val="22"/>
          <w:szCs w:val="22"/>
          <w:lang w:val="es-ES"/>
        </w:rPr>
        <w:t xml:space="preserve"> riguroso, transparente y responsable, en consonancia con las políticas y normas de la UICN.</w:t>
      </w:r>
      <w:r w:rsidR="00C36E28" w:rsidRPr="005C40EF">
        <w:rPr>
          <w:rFonts w:asciiTheme="minorHAnsi" w:hAnsiTheme="minorHAnsi" w:cstheme="minorHAnsi"/>
          <w:noProof/>
          <w:sz w:val="22"/>
          <w:szCs w:val="22"/>
          <w:lang w:val="es-ES"/>
        </w:rPr>
        <w:t xml:space="preserve"> </w:t>
      </w:r>
      <w:r w:rsidR="008D5A99" w:rsidRPr="005C40EF">
        <w:rPr>
          <w:rFonts w:asciiTheme="minorHAnsi" w:hAnsiTheme="minorHAnsi" w:cstheme="minorHAnsi"/>
          <w:noProof/>
          <w:sz w:val="22"/>
          <w:szCs w:val="22"/>
          <w:lang w:val="es-ES"/>
        </w:rPr>
        <w:t xml:space="preserve">Las mejoras realizadas en esta área fueron validadas por auditores externos. La Secretaría ha reforzado el cumplimiento de las políticas y procedimientos de la UICN, cuando procede, con procesos y procedimientos relacionados que se establecieron en 2017, o que se están estableciendo en 2018. Se ha creado capacidad en este sentido y se han incluido objetivos de desempeño en los puestos directivos. Conforme a lo dispuesto </w:t>
      </w:r>
      <w:r w:rsidR="005D049D" w:rsidRPr="005C40EF">
        <w:rPr>
          <w:rFonts w:asciiTheme="minorHAnsi" w:hAnsiTheme="minorHAnsi" w:cstheme="minorHAnsi"/>
          <w:noProof/>
          <w:sz w:val="22"/>
          <w:szCs w:val="22"/>
          <w:lang w:val="es-ES"/>
        </w:rPr>
        <w:t>en las reuniones</w:t>
      </w:r>
      <w:r w:rsidR="008D5A99" w:rsidRPr="005C40EF">
        <w:rPr>
          <w:rFonts w:asciiTheme="minorHAnsi" w:hAnsiTheme="minorHAnsi" w:cstheme="minorHAnsi"/>
          <w:noProof/>
          <w:sz w:val="22"/>
          <w:szCs w:val="22"/>
          <w:lang w:val="es-ES"/>
        </w:rPr>
        <w:t xml:space="preserve"> SC53</w:t>
      </w:r>
      <w:r w:rsidR="005D049D" w:rsidRPr="005C40EF">
        <w:rPr>
          <w:rFonts w:asciiTheme="minorHAnsi" w:hAnsiTheme="minorHAnsi" w:cstheme="minorHAnsi"/>
          <w:noProof/>
          <w:sz w:val="22"/>
          <w:szCs w:val="22"/>
          <w:lang w:val="es-ES"/>
        </w:rPr>
        <w:t xml:space="preserve"> y SC54</w:t>
      </w:r>
      <w:r w:rsidR="008D5A99" w:rsidRPr="005C40EF">
        <w:rPr>
          <w:rFonts w:asciiTheme="minorHAnsi" w:hAnsiTheme="minorHAnsi" w:cstheme="minorHAnsi"/>
          <w:noProof/>
          <w:sz w:val="22"/>
          <w:szCs w:val="22"/>
          <w:lang w:val="es-ES"/>
        </w:rPr>
        <w:t xml:space="preserve">, se está realizando un examen </w:t>
      </w:r>
      <w:r w:rsidR="00D24849" w:rsidRPr="005C40EF">
        <w:rPr>
          <w:rFonts w:asciiTheme="minorHAnsi" w:hAnsiTheme="minorHAnsi" w:cstheme="minorHAnsi"/>
          <w:noProof/>
          <w:sz w:val="22"/>
          <w:szCs w:val="22"/>
          <w:lang w:val="es-ES"/>
        </w:rPr>
        <w:t xml:space="preserve">financiero y </w:t>
      </w:r>
      <w:r w:rsidR="008D5A99" w:rsidRPr="005C40EF">
        <w:rPr>
          <w:rFonts w:asciiTheme="minorHAnsi" w:hAnsiTheme="minorHAnsi" w:cstheme="minorHAnsi"/>
          <w:noProof/>
          <w:sz w:val="22"/>
          <w:szCs w:val="22"/>
          <w:lang w:val="es-ES"/>
        </w:rPr>
        <w:t>administrativo</w:t>
      </w:r>
      <w:r w:rsidR="00D24849" w:rsidRPr="005C40EF">
        <w:rPr>
          <w:rFonts w:asciiTheme="minorHAnsi" w:hAnsiTheme="minorHAnsi" w:cstheme="minorHAnsi"/>
          <w:noProof/>
          <w:sz w:val="22"/>
          <w:szCs w:val="22"/>
          <w:lang w:val="es-ES"/>
        </w:rPr>
        <w:t xml:space="preserve"> </w:t>
      </w:r>
      <w:r w:rsidR="005D049D" w:rsidRPr="005C40EF">
        <w:rPr>
          <w:rFonts w:asciiTheme="minorHAnsi" w:hAnsiTheme="minorHAnsi" w:cstheme="minorHAnsi"/>
          <w:noProof/>
          <w:sz w:val="22"/>
          <w:szCs w:val="22"/>
          <w:lang w:val="es-ES"/>
        </w:rPr>
        <w:t>de los</w:t>
      </w:r>
      <w:r w:rsidR="00D24849" w:rsidRPr="005C40EF">
        <w:rPr>
          <w:rFonts w:asciiTheme="minorHAnsi" w:hAnsiTheme="minorHAnsi" w:cstheme="minorHAnsi"/>
          <w:noProof/>
          <w:sz w:val="22"/>
          <w:szCs w:val="22"/>
          <w:lang w:val="es-ES"/>
        </w:rPr>
        <w:t xml:space="preserve"> </w:t>
      </w:r>
      <w:r w:rsidR="008D5A99" w:rsidRPr="005C40EF">
        <w:rPr>
          <w:rFonts w:asciiTheme="minorHAnsi" w:hAnsiTheme="minorHAnsi" w:cstheme="minorHAnsi"/>
          <w:noProof/>
          <w:sz w:val="22"/>
          <w:szCs w:val="22"/>
          <w:lang w:val="es-ES"/>
        </w:rPr>
        <w:t xml:space="preserve">fondos complementarios. La Secretaría solicitó al </w:t>
      </w:r>
      <w:r w:rsidR="00866168" w:rsidRPr="005C40EF">
        <w:rPr>
          <w:rFonts w:asciiTheme="minorHAnsi" w:hAnsiTheme="minorHAnsi" w:cstheme="minorHAnsi"/>
          <w:noProof/>
          <w:sz w:val="22"/>
          <w:szCs w:val="22"/>
          <w:lang w:val="es-ES"/>
        </w:rPr>
        <w:t>jefe</w:t>
      </w:r>
      <w:r w:rsidR="008D5A99" w:rsidRPr="005C40EF">
        <w:rPr>
          <w:rFonts w:asciiTheme="minorHAnsi" w:hAnsiTheme="minorHAnsi" w:cstheme="minorHAnsi"/>
          <w:noProof/>
          <w:sz w:val="22"/>
          <w:szCs w:val="22"/>
          <w:lang w:val="es-ES"/>
        </w:rPr>
        <w:t xml:space="preserve"> de la Unidad de Supervisión de la UICN que realice el examen, y los resultados</w:t>
      </w:r>
      <w:r w:rsidR="00E13CBD" w:rsidRPr="005C40EF">
        <w:rPr>
          <w:rFonts w:asciiTheme="minorHAnsi" w:hAnsiTheme="minorHAnsi" w:cstheme="minorHAnsi"/>
          <w:noProof/>
          <w:sz w:val="22"/>
          <w:szCs w:val="22"/>
          <w:lang w:val="es-ES"/>
        </w:rPr>
        <w:t xml:space="preserve"> preliminares</w:t>
      </w:r>
      <w:r w:rsidR="008D5A99" w:rsidRPr="005C40EF">
        <w:rPr>
          <w:rFonts w:asciiTheme="minorHAnsi" w:hAnsiTheme="minorHAnsi" w:cstheme="minorHAnsi"/>
          <w:noProof/>
          <w:sz w:val="22"/>
          <w:szCs w:val="22"/>
          <w:lang w:val="es-ES"/>
        </w:rPr>
        <w:t xml:space="preserve"> se </w:t>
      </w:r>
      <w:r w:rsidR="00E13CBD" w:rsidRPr="005C40EF">
        <w:rPr>
          <w:rFonts w:asciiTheme="minorHAnsi" w:hAnsiTheme="minorHAnsi" w:cstheme="minorHAnsi"/>
          <w:noProof/>
          <w:sz w:val="22"/>
          <w:szCs w:val="22"/>
          <w:lang w:val="es-ES"/>
        </w:rPr>
        <w:t>presentaron</w:t>
      </w:r>
      <w:r w:rsidR="008D5A99" w:rsidRPr="005C40EF">
        <w:rPr>
          <w:rFonts w:asciiTheme="minorHAnsi" w:hAnsiTheme="minorHAnsi" w:cstheme="minorHAnsi"/>
          <w:noProof/>
          <w:sz w:val="22"/>
          <w:szCs w:val="22"/>
          <w:lang w:val="es-ES"/>
        </w:rPr>
        <w:t xml:space="preserve"> </w:t>
      </w:r>
      <w:r w:rsidR="00E13CBD" w:rsidRPr="005C40EF">
        <w:rPr>
          <w:rFonts w:asciiTheme="minorHAnsi" w:hAnsiTheme="minorHAnsi" w:cstheme="minorHAnsi"/>
          <w:noProof/>
          <w:sz w:val="22"/>
          <w:szCs w:val="22"/>
          <w:lang w:val="es-ES"/>
        </w:rPr>
        <w:t>al Subgrupo de Finanzas en la reunión SC54</w:t>
      </w:r>
      <w:r w:rsidR="008D5A99" w:rsidRPr="005C40EF">
        <w:rPr>
          <w:rFonts w:asciiTheme="minorHAnsi" w:hAnsiTheme="minorHAnsi" w:cstheme="minorHAnsi"/>
          <w:noProof/>
          <w:sz w:val="22"/>
          <w:szCs w:val="22"/>
          <w:lang w:val="es-ES"/>
        </w:rPr>
        <w:t xml:space="preserve">. </w:t>
      </w:r>
      <w:r w:rsidR="00E13CBD" w:rsidRPr="005C40EF">
        <w:rPr>
          <w:rFonts w:asciiTheme="minorHAnsi" w:hAnsiTheme="minorHAnsi" w:cstheme="minorHAnsi"/>
          <w:noProof/>
          <w:sz w:val="22"/>
          <w:szCs w:val="22"/>
          <w:lang w:val="es-ES"/>
        </w:rPr>
        <w:t xml:space="preserve">El informe final se distribuirá a las Partes Contratantes. </w:t>
      </w:r>
    </w:p>
    <w:p w14:paraId="23F063FB" w14:textId="77777777" w:rsidR="00DD5308" w:rsidRPr="005C40EF" w:rsidRDefault="00DD5308" w:rsidP="009C1179">
      <w:pPr>
        <w:autoSpaceDE w:val="0"/>
        <w:autoSpaceDN w:val="0"/>
        <w:adjustRightInd w:val="0"/>
        <w:ind w:left="425" w:hanging="425"/>
        <w:rPr>
          <w:rFonts w:asciiTheme="minorHAnsi" w:hAnsiTheme="minorHAnsi" w:cstheme="minorHAnsi"/>
          <w:noProof/>
          <w:sz w:val="22"/>
          <w:szCs w:val="22"/>
          <w:lang w:val="es-ES"/>
        </w:rPr>
      </w:pPr>
    </w:p>
    <w:p w14:paraId="1AC469FC" w14:textId="183CA01B" w:rsidR="00170C14" w:rsidRPr="005C40EF" w:rsidRDefault="009C1179" w:rsidP="009C1179">
      <w:pPr>
        <w:autoSpaceDE w:val="0"/>
        <w:autoSpaceDN w:val="0"/>
        <w:adjustRightInd w:val="0"/>
        <w:ind w:left="425" w:hanging="425"/>
        <w:rPr>
          <w:rFonts w:asciiTheme="minorHAnsi" w:hAnsiTheme="minorHAnsi" w:cstheme="minorHAnsi"/>
          <w:noProof/>
          <w:sz w:val="22"/>
          <w:szCs w:val="22"/>
          <w:lang w:val="es-ES"/>
        </w:rPr>
      </w:pPr>
      <w:r>
        <w:rPr>
          <w:rFonts w:asciiTheme="minorHAnsi" w:hAnsiTheme="minorHAnsi" w:cstheme="minorHAnsi"/>
          <w:noProof/>
          <w:sz w:val="22"/>
          <w:szCs w:val="22"/>
          <w:lang w:val="es-ES"/>
        </w:rPr>
        <w:t>41.</w:t>
      </w:r>
      <w:r>
        <w:rPr>
          <w:rFonts w:asciiTheme="minorHAnsi" w:hAnsiTheme="minorHAnsi" w:cstheme="minorHAnsi"/>
          <w:noProof/>
          <w:sz w:val="22"/>
          <w:szCs w:val="22"/>
          <w:lang w:val="es-ES"/>
        </w:rPr>
        <w:tab/>
      </w:r>
      <w:r w:rsidR="00170C14" w:rsidRPr="005C40EF">
        <w:rPr>
          <w:rFonts w:asciiTheme="minorHAnsi" w:hAnsiTheme="minorHAnsi" w:cstheme="minorHAnsi"/>
          <w:noProof/>
          <w:sz w:val="22"/>
          <w:szCs w:val="22"/>
          <w:lang w:val="es-ES"/>
        </w:rPr>
        <w:t xml:space="preserve">El día 2 de noviembre de 2016, el personal participó en un taller en el que se informó de los resultados de las consultas externas e internas realizadas por la Secretaria General. El personal de la Secretaría trabajó para encontrar maneras de abordar las áreas clave que se tendrían que reforzar. </w:t>
      </w:r>
    </w:p>
    <w:p w14:paraId="349031D6" w14:textId="77777777" w:rsidR="009D4535" w:rsidRPr="005C40EF" w:rsidRDefault="009D4535" w:rsidP="009C1179">
      <w:pPr>
        <w:autoSpaceDE w:val="0"/>
        <w:autoSpaceDN w:val="0"/>
        <w:adjustRightInd w:val="0"/>
        <w:ind w:left="425" w:hanging="425"/>
        <w:rPr>
          <w:rFonts w:asciiTheme="minorHAnsi" w:hAnsiTheme="minorHAnsi" w:cstheme="minorHAnsi"/>
          <w:noProof/>
          <w:sz w:val="22"/>
          <w:szCs w:val="22"/>
          <w:lang w:val="es-ES"/>
        </w:rPr>
      </w:pPr>
    </w:p>
    <w:p w14:paraId="2434DDB4" w14:textId="5BC5DE39" w:rsidR="00170C14" w:rsidRPr="005C40EF" w:rsidRDefault="009C1179" w:rsidP="009C1179">
      <w:pPr>
        <w:autoSpaceDE w:val="0"/>
        <w:autoSpaceDN w:val="0"/>
        <w:adjustRightInd w:val="0"/>
        <w:ind w:left="425" w:hanging="425"/>
        <w:rPr>
          <w:rFonts w:asciiTheme="minorHAnsi" w:hAnsiTheme="minorHAnsi" w:cstheme="minorHAnsi"/>
          <w:noProof/>
          <w:sz w:val="22"/>
          <w:szCs w:val="22"/>
          <w:lang w:val="es-ES"/>
        </w:rPr>
      </w:pPr>
      <w:r>
        <w:rPr>
          <w:rFonts w:asciiTheme="minorHAnsi" w:hAnsiTheme="minorHAnsi" w:cstheme="minorHAnsi"/>
          <w:noProof/>
          <w:sz w:val="22"/>
          <w:szCs w:val="22"/>
          <w:lang w:val="es-ES"/>
        </w:rPr>
        <w:t>42.</w:t>
      </w:r>
      <w:r>
        <w:rPr>
          <w:rFonts w:asciiTheme="minorHAnsi" w:hAnsiTheme="minorHAnsi" w:cstheme="minorHAnsi"/>
          <w:noProof/>
          <w:sz w:val="22"/>
          <w:szCs w:val="22"/>
          <w:lang w:val="es-ES"/>
        </w:rPr>
        <w:tab/>
      </w:r>
      <w:r w:rsidR="00170C14" w:rsidRPr="005C40EF">
        <w:rPr>
          <w:rFonts w:asciiTheme="minorHAnsi" w:hAnsiTheme="minorHAnsi" w:cstheme="minorHAnsi"/>
          <w:noProof/>
          <w:sz w:val="22"/>
          <w:szCs w:val="22"/>
          <w:lang w:val="es-ES"/>
        </w:rPr>
        <w:t>Se llevaron a cabo talleres</w:t>
      </w:r>
      <w:r w:rsidR="008B049E" w:rsidRPr="005C40EF">
        <w:rPr>
          <w:rFonts w:asciiTheme="minorHAnsi" w:hAnsiTheme="minorHAnsi" w:cstheme="minorHAnsi"/>
          <w:noProof/>
          <w:sz w:val="22"/>
          <w:szCs w:val="22"/>
          <w:lang w:val="es-ES"/>
        </w:rPr>
        <w:t xml:space="preserve"> </w:t>
      </w:r>
      <w:r w:rsidR="00170C14" w:rsidRPr="005C40EF">
        <w:rPr>
          <w:rFonts w:asciiTheme="minorHAnsi" w:hAnsiTheme="minorHAnsi" w:cstheme="minorHAnsi"/>
          <w:noProof/>
          <w:sz w:val="22"/>
          <w:szCs w:val="22"/>
          <w:lang w:val="es-ES"/>
        </w:rPr>
        <w:t>sobre planificación para la Secretaría</w:t>
      </w:r>
      <w:r w:rsidR="008B049E" w:rsidRPr="005C40EF">
        <w:rPr>
          <w:rFonts w:asciiTheme="minorHAnsi" w:hAnsiTheme="minorHAnsi" w:cstheme="minorHAnsi"/>
          <w:noProof/>
          <w:sz w:val="22"/>
          <w:szCs w:val="22"/>
          <w:lang w:val="es-ES"/>
        </w:rPr>
        <w:t>, facilitados profesionalmente,</w:t>
      </w:r>
      <w:r w:rsidR="00170C14" w:rsidRPr="005C40EF">
        <w:rPr>
          <w:rFonts w:asciiTheme="minorHAnsi" w:hAnsiTheme="minorHAnsi" w:cstheme="minorHAnsi"/>
          <w:noProof/>
          <w:sz w:val="22"/>
          <w:szCs w:val="22"/>
          <w:lang w:val="es-ES"/>
        </w:rPr>
        <w:t xml:space="preserve"> en enero y noviembre de 2017</w:t>
      </w:r>
      <w:r w:rsidR="008B049E" w:rsidRPr="005C40EF">
        <w:rPr>
          <w:rFonts w:asciiTheme="minorHAnsi" w:hAnsiTheme="minorHAnsi" w:cstheme="minorHAnsi"/>
          <w:noProof/>
          <w:sz w:val="22"/>
          <w:szCs w:val="22"/>
          <w:lang w:val="es-ES"/>
        </w:rPr>
        <w:t>.</w:t>
      </w:r>
      <w:r w:rsidR="00170C14" w:rsidRPr="005C40EF">
        <w:rPr>
          <w:rFonts w:asciiTheme="minorHAnsi" w:hAnsiTheme="minorHAnsi" w:cstheme="minorHAnsi"/>
          <w:noProof/>
          <w:sz w:val="22"/>
          <w:szCs w:val="22"/>
          <w:lang w:val="es-ES"/>
        </w:rPr>
        <w:t xml:space="preserve"> El enfoque de los talleres se centró en: el examen y evaluación de los </w:t>
      </w:r>
      <w:r w:rsidR="00866168" w:rsidRPr="005C40EF">
        <w:rPr>
          <w:rFonts w:asciiTheme="minorHAnsi" w:hAnsiTheme="minorHAnsi" w:cstheme="minorHAnsi"/>
          <w:noProof/>
          <w:sz w:val="22"/>
          <w:szCs w:val="22"/>
          <w:lang w:val="es-ES"/>
        </w:rPr>
        <w:t>avances</w:t>
      </w:r>
      <w:r w:rsidR="00170C14" w:rsidRPr="005C40EF">
        <w:rPr>
          <w:rFonts w:asciiTheme="minorHAnsi" w:hAnsiTheme="minorHAnsi" w:cstheme="minorHAnsi"/>
          <w:noProof/>
          <w:sz w:val="22"/>
          <w:szCs w:val="22"/>
          <w:lang w:val="es-ES"/>
        </w:rPr>
        <w:t xml:space="preserve"> de los planes de trabajo para el año y para el trienio</w:t>
      </w:r>
      <w:r w:rsidR="008B049E" w:rsidRPr="005C40EF">
        <w:rPr>
          <w:rFonts w:asciiTheme="minorHAnsi" w:hAnsiTheme="minorHAnsi" w:cstheme="minorHAnsi"/>
          <w:noProof/>
          <w:sz w:val="22"/>
          <w:szCs w:val="22"/>
          <w:lang w:val="es-ES"/>
        </w:rPr>
        <w:t xml:space="preserve">, incluido el desarrollo de un marco </w:t>
      </w:r>
      <w:r w:rsidR="00170C14" w:rsidRPr="005C40EF">
        <w:rPr>
          <w:rFonts w:asciiTheme="minorHAnsi" w:hAnsiTheme="minorHAnsi" w:cstheme="minorHAnsi"/>
          <w:noProof/>
          <w:sz w:val="22"/>
          <w:szCs w:val="22"/>
          <w:lang w:val="es-ES"/>
        </w:rPr>
        <w:t>integrado aprobado</w:t>
      </w:r>
      <w:r w:rsidR="008B049E" w:rsidRPr="005C40EF">
        <w:rPr>
          <w:rFonts w:asciiTheme="minorHAnsi" w:hAnsiTheme="minorHAnsi" w:cstheme="minorHAnsi"/>
          <w:noProof/>
          <w:sz w:val="22"/>
          <w:szCs w:val="22"/>
          <w:lang w:val="es-ES"/>
        </w:rPr>
        <w:t xml:space="preserve"> por la SC53;</w:t>
      </w:r>
      <w:r w:rsidR="00170C14" w:rsidRPr="005C40EF">
        <w:rPr>
          <w:rFonts w:asciiTheme="minorHAnsi" w:hAnsiTheme="minorHAnsi" w:cstheme="minorHAnsi"/>
          <w:noProof/>
          <w:sz w:val="22"/>
          <w:szCs w:val="22"/>
          <w:lang w:val="es-ES"/>
        </w:rPr>
        <w:t xml:space="preserve"> la unión del equipo basada en una definición clara de su función, identidad y responsabilidades; los principios rectores para el funcionamiento de la Secretaría; y los cambios necesarios a fin de prestar un mejor servicio a las Partes Contratantes y cumplir el mandato de la Secretaría. La Secretaría también examinó las lecciones aprendidas en la aplicación del plan de trabajo y desarrolló </w:t>
      </w:r>
      <w:r w:rsidR="008B049E" w:rsidRPr="005C40EF">
        <w:rPr>
          <w:rFonts w:asciiTheme="minorHAnsi" w:hAnsiTheme="minorHAnsi" w:cstheme="minorHAnsi"/>
          <w:noProof/>
          <w:sz w:val="22"/>
          <w:szCs w:val="22"/>
          <w:lang w:val="es-ES"/>
        </w:rPr>
        <w:t xml:space="preserve">una nueva estructura y un formato </w:t>
      </w:r>
      <w:r w:rsidR="00170C14" w:rsidRPr="005C40EF">
        <w:rPr>
          <w:rFonts w:asciiTheme="minorHAnsi" w:hAnsiTheme="minorHAnsi" w:cstheme="minorHAnsi"/>
          <w:noProof/>
          <w:sz w:val="22"/>
          <w:szCs w:val="22"/>
          <w:lang w:val="es-ES"/>
        </w:rPr>
        <w:t>propuesto</w:t>
      </w:r>
      <w:r w:rsidR="008B049E" w:rsidRPr="005C40EF">
        <w:rPr>
          <w:rFonts w:asciiTheme="minorHAnsi" w:hAnsiTheme="minorHAnsi" w:cstheme="minorHAnsi"/>
          <w:noProof/>
          <w:sz w:val="22"/>
          <w:szCs w:val="22"/>
          <w:lang w:val="es-ES"/>
        </w:rPr>
        <w:t>s</w:t>
      </w:r>
      <w:r w:rsidR="00170C14" w:rsidRPr="005C40EF">
        <w:rPr>
          <w:rFonts w:asciiTheme="minorHAnsi" w:hAnsiTheme="minorHAnsi" w:cstheme="minorHAnsi"/>
          <w:noProof/>
          <w:sz w:val="22"/>
          <w:szCs w:val="22"/>
          <w:lang w:val="es-ES"/>
        </w:rPr>
        <w:t xml:space="preserve"> para el próximo trienio </w:t>
      </w:r>
      <w:r w:rsidR="006D6732" w:rsidRPr="005C40EF">
        <w:rPr>
          <w:rFonts w:asciiTheme="minorHAnsi" w:hAnsiTheme="minorHAnsi" w:cstheme="minorHAnsi"/>
          <w:noProof/>
          <w:sz w:val="22"/>
          <w:szCs w:val="22"/>
          <w:lang w:val="es-ES"/>
        </w:rPr>
        <w:t>como un mejor</w:t>
      </w:r>
      <w:r w:rsidR="00170C14" w:rsidRPr="005C40EF">
        <w:rPr>
          <w:rFonts w:asciiTheme="minorHAnsi" w:hAnsiTheme="minorHAnsi" w:cstheme="minorHAnsi"/>
          <w:noProof/>
          <w:sz w:val="22"/>
          <w:szCs w:val="22"/>
          <w:lang w:val="es-ES"/>
        </w:rPr>
        <w:t xml:space="preserve"> instrumento de planificación y supervisión.</w:t>
      </w:r>
      <w:r w:rsidR="008B049E" w:rsidRPr="005C40EF">
        <w:rPr>
          <w:rFonts w:asciiTheme="minorHAnsi" w:hAnsiTheme="minorHAnsi" w:cstheme="minorHAnsi"/>
          <w:noProof/>
          <w:sz w:val="22"/>
          <w:szCs w:val="22"/>
          <w:lang w:val="es-ES"/>
        </w:rPr>
        <w:t xml:space="preserve"> Este marco se aprobó en la reunión SC54.</w:t>
      </w:r>
    </w:p>
    <w:p w14:paraId="6EA5B332" w14:textId="77777777" w:rsidR="009D4535" w:rsidRPr="005C40EF" w:rsidRDefault="009D4535" w:rsidP="009C1179">
      <w:pPr>
        <w:autoSpaceDE w:val="0"/>
        <w:autoSpaceDN w:val="0"/>
        <w:adjustRightInd w:val="0"/>
        <w:ind w:left="425" w:hanging="425"/>
        <w:rPr>
          <w:rFonts w:asciiTheme="minorHAnsi" w:hAnsiTheme="minorHAnsi" w:cstheme="minorHAnsi"/>
          <w:noProof/>
          <w:sz w:val="22"/>
          <w:szCs w:val="22"/>
          <w:lang w:val="es-ES"/>
        </w:rPr>
      </w:pPr>
    </w:p>
    <w:p w14:paraId="5C897AB7" w14:textId="3A18BA9B" w:rsidR="008B049E" w:rsidRPr="005C40EF" w:rsidRDefault="009C1179" w:rsidP="009C1179">
      <w:pPr>
        <w:autoSpaceDE w:val="0"/>
        <w:autoSpaceDN w:val="0"/>
        <w:adjustRightInd w:val="0"/>
        <w:ind w:left="425" w:hanging="425"/>
        <w:rPr>
          <w:rFonts w:asciiTheme="minorHAnsi" w:hAnsiTheme="minorHAnsi" w:cstheme="minorHAnsi"/>
          <w:noProof/>
          <w:sz w:val="22"/>
          <w:szCs w:val="22"/>
          <w:lang w:val="es-ES"/>
        </w:rPr>
      </w:pPr>
      <w:r>
        <w:rPr>
          <w:rFonts w:asciiTheme="minorHAnsi" w:hAnsiTheme="minorHAnsi" w:cstheme="minorHAnsi"/>
          <w:noProof/>
          <w:sz w:val="22"/>
          <w:szCs w:val="22"/>
          <w:lang w:val="es-ES"/>
        </w:rPr>
        <w:t>43.</w:t>
      </w:r>
      <w:r>
        <w:rPr>
          <w:rFonts w:asciiTheme="minorHAnsi" w:hAnsiTheme="minorHAnsi" w:cstheme="minorHAnsi"/>
          <w:noProof/>
          <w:sz w:val="22"/>
          <w:szCs w:val="22"/>
          <w:lang w:val="es-ES"/>
        </w:rPr>
        <w:tab/>
      </w:r>
      <w:r w:rsidR="008B049E" w:rsidRPr="005C40EF">
        <w:rPr>
          <w:rFonts w:asciiTheme="minorHAnsi" w:hAnsiTheme="minorHAnsi" w:cstheme="minorHAnsi"/>
          <w:noProof/>
          <w:sz w:val="22"/>
          <w:szCs w:val="22"/>
          <w:lang w:val="es-ES"/>
        </w:rPr>
        <w:t xml:space="preserve">Las necesidades de desarrollo del personal de la Secretaría se evaluaron mediante una encuesta interna. Se identificaron las prioridades de capacitación y se diseñó un plan de capacitación con actividades organizadas a partir del cuarto trimestre de 2017. Se llevaron a cabo las siguientes </w:t>
      </w:r>
      <w:r w:rsidR="008B049E" w:rsidRPr="005C40EF">
        <w:rPr>
          <w:rFonts w:asciiTheme="minorHAnsi" w:hAnsiTheme="minorHAnsi" w:cstheme="minorHAnsi"/>
          <w:noProof/>
          <w:sz w:val="22"/>
          <w:szCs w:val="22"/>
          <w:lang w:val="es-ES"/>
        </w:rPr>
        <w:lastRenderedPageBreak/>
        <w:t>actividades de capacitación: un día de capacitación sobre habilidades de comunicación ejecutiva para los miembros del personal directivo superior; un día de capacitación sobre habilidades de comunicación abierta para todos los demás miembros del personal (14 participantes); una sesión de capacitación sobre finanzas para todo el personal. Las otras actividades de capacitación que se identificaron se llevarán a cabo antes de que concluya el año 2018.</w:t>
      </w:r>
    </w:p>
    <w:p w14:paraId="1B5EE8F0" w14:textId="77777777" w:rsidR="001A0BC7" w:rsidRPr="005C40EF" w:rsidRDefault="001A0BC7" w:rsidP="009C1179">
      <w:pPr>
        <w:autoSpaceDE w:val="0"/>
        <w:autoSpaceDN w:val="0"/>
        <w:adjustRightInd w:val="0"/>
        <w:ind w:left="425" w:hanging="425"/>
        <w:rPr>
          <w:rFonts w:asciiTheme="minorHAnsi" w:hAnsiTheme="minorHAnsi" w:cstheme="minorHAnsi"/>
          <w:noProof/>
          <w:sz w:val="22"/>
          <w:szCs w:val="22"/>
          <w:lang w:val="es-ES"/>
        </w:rPr>
      </w:pPr>
    </w:p>
    <w:p w14:paraId="7A47875F" w14:textId="309D97CB" w:rsidR="3B9DE253" w:rsidRPr="005C40EF" w:rsidRDefault="009C1179" w:rsidP="009C1179">
      <w:pPr>
        <w:autoSpaceDE w:val="0"/>
        <w:autoSpaceDN w:val="0"/>
        <w:adjustRightInd w:val="0"/>
        <w:ind w:left="425" w:hanging="425"/>
        <w:rPr>
          <w:rFonts w:asciiTheme="minorHAnsi" w:hAnsiTheme="minorHAnsi" w:cstheme="minorHAnsi"/>
          <w:noProof/>
          <w:sz w:val="22"/>
          <w:szCs w:val="22"/>
          <w:lang w:val="es-ES"/>
        </w:rPr>
      </w:pPr>
      <w:r>
        <w:rPr>
          <w:rFonts w:asciiTheme="minorHAnsi" w:hAnsiTheme="minorHAnsi" w:cstheme="minorHAnsi"/>
          <w:noProof/>
          <w:sz w:val="22"/>
          <w:szCs w:val="22"/>
          <w:lang w:val="es-ES"/>
        </w:rPr>
        <w:t>44.</w:t>
      </w:r>
      <w:r>
        <w:rPr>
          <w:rFonts w:asciiTheme="minorHAnsi" w:hAnsiTheme="minorHAnsi" w:cstheme="minorHAnsi"/>
          <w:noProof/>
          <w:sz w:val="22"/>
          <w:szCs w:val="22"/>
          <w:lang w:val="es-ES"/>
        </w:rPr>
        <w:tab/>
      </w:r>
      <w:bookmarkStart w:id="0" w:name="_GoBack"/>
      <w:bookmarkEnd w:id="0"/>
      <w:r w:rsidR="008B049E" w:rsidRPr="005C40EF">
        <w:rPr>
          <w:rFonts w:asciiTheme="minorHAnsi" w:hAnsiTheme="minorHAnsi" w:cstheme="minorHAnsi"/>
          <w:noProof/>
          <w:sz w:val="22"/>
          <w:szCs w:val="22"/>
          <w:lang w:val="es-ES"/>
        </w:rPr>
        <w:t>Se han realizado progresos considerables para reforzar la eficiencia y eficacia de la Secretaría y llenar lagunas de capacidad. El equipo ha trabajado arduamente a este respecto con resultados alentadores en áreas clave de trabajo de la Secretaría, como se describe en este informe. Sin embargo, aún hay trabajo por hacer. El enfoque que engloba a toda la Secretaría ha presentado desafíos ya que requiere de cambios en las formas de trabajar y la cultura institucional de la Secretaría y en su colaboración con las Partes Contratantes. La Secretaría está desarrollando procedimientos operativos estándar que contribuirán al logro de progresos adicionales. Otras áreas de trabajo son las siguientes: racionalizar el proceso de planificación del trabajo y los vínculos con los planes de rendimiento individual; desarrollar enfoques más coherentes y coordinados entre las regiones para aumentar la eficiencia y prestar un mejor servicio a las Partes Contratantes; equilibrar una mayor rendición de cuentas para la aplicación de las decisiones tomadas por la Conferencia de las Partes Contratantes y el Comité Permanente con los servicios prestados a las Partes Contratantes en cada región; lograr un equilibrio entre los enfoques regionales y temáticos; seguir fortaleciendo la rendición de cuentas con respecto a las normas financieras y los procedimientos operativos; y continuar creando capacidad y habilidades en áreas funcionales básicas del trabajo de la Secretaría.</w:t>
      </w:r>
    </w:p>
    <w:sectPr w:rsidR="3B9DE253" w:rsidRPr="005C40EF" w:rsidSect="00570F86">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BA8F4" w14:textId="77777777" w:rsidR="00937825" w:rsidRDefault="00937825" w:rsidP="00FC5A0A">
      <w:r>
        <w:separator/>
      </w:r>
    </w:p>
  </w:endnote>
  <w:endnote w:type="continuationSeparator" w:id="0">
    <w:p w14:paraId="7713CB84" w14:textId="77777777" w:rsidR="00937825" w:rsidRDefault="00937825" w:rsidP="00FC5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E3228" w14:textId="69ABC397" w:rsidR="00146259" w:rsidRPr="007F662A" w:rsidRDefault="00146259" w:rsidP="00B1621D">
    <w:pPr>
      <w:pStyle w:val="Footer"/>
      <w:tabs>
        <w:tab w:val="right" w:pos="9000"/>
      </w:tabs>
      <w:rPr>
        <w:rFonts w:asciiTheme="minorHAnsi" w:hAnsiTheme="minorHAnsi" w:cstheme="minorHAnsi"/>
      </w:rPr>
    </w:pPr>
    <w:r w:rsidRPr="007F662A">
      <w:rPr>
        <w:rFonts w:asciiTheme="minorHAnsi" w:hAnsiTheme="minorHAnsi" w:cstheme="minorHAnsi"/>
        <w:sz w:val="20"/>
      </w:rPr>
      <w:t>COP13 Doc.11.2</w:t>
    </w:r>
    <w:r w:rsidRPr="007F662A">
      <w:rPr>
        <w:rFonts w:asciiTheme="minorHAnsi" w:hAnsiTheme="minorHAnsi" w:cstheme="minorHAnsi"/>
        <w:sz w:val="20"/>
      </w:rPr>
      <w:tab/>
    </w:r>
    <w:r w:rsidRPr="007F662A">
      <w:rPr>
        <w:rFonts w:asciiTheme="minorHAnsi" w:hAnsiTheme="minorHAnsi" w:cstheme="minorHAnsi"/>
        <w:sz w:val="20"/>
      </w:rPr>
      <w:tab/>
    </w:r>
    <w:r w:rsidRPr="007F662A">
      <w:rPr>
        <w:rFonts w:asciiTheme="minorHAnsi" w:hAnsiTheme="minorHAnsi" w:cstheme="minorHAnsi"/>
        <w:sz w:val="20"/>
      </w:rPr>
      <w:fldChar w:fldCharType="begin"/>
    </w:r>
    <w:r w:rsidRPr="007F662A">
      <w:rPr>
        <w:rFonts w:asciiTheme="minorHAnsi" w:hAnsiTheme="minorHAnsi" w:cstheme="minorHAnsi"/>
        <w:sz w:val="20"/>
      </w:rPr>
      <w:instrText xml:space="preserve"> PAGE   \* MERGEFORMAT </w:instrText>
    </w:r>
    <w:r w:rsidRPr="007F662A">
      <w:rPr>
        <w:rFonts w:asciiTheme="minorHAnsi" w:hAnsiTheme="minorHAnsi" w:cstheme="minorHAnsi"/>
        <w:sz w:val="20"/>
      </w:rPr>
      <w:fldChar w:fldCharType="separate"/>
    </w:r>
    <w:r w:rsidR="009C1179">
      <w:rPr>
        <w:rFonts w:asciiTheme="minorHAnsi" w:hAnsiTheme="minorHAnsi" w:cstheme="minorHAnsi"/>
        <w:noProof/>
        <w:sz w:val="20"/>
      </w:rPr>
      <w:t>14</w:t>
    </w:r>
    <w:r w:rsidRPr="007F662A">
      <w:rPr>
        <w:rFonts w:asciiTheme="minorHAnsi" w:hAnsiTheme="minorHAnsi" w:cstheme="minorHAnsi"/>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90A6A" w14:textId="77777777" w:rsidR="00937825" w:rsidRDefault="00937825" w:rsidP="00FC5A0A">
      <w:r>
        <w:separator/>
      </w:r>
    </w:p>
  </w:footnote>
  <w:footnote w:type="continuationSeparator" w:id="0">
    <w:p w14:paraId="22ED62E3" w14:textId="77777777" w:rsidR="00937825" w:rsidRDefault="00937825" w:rsidP="00FC5A0A">
      <w:r>
        <w:continuationSeparator/>
      </w:r>
    </w:p>
  </w:footnote>
  <w:footnote w:id="1">
    <w:p w14:paraId="69F49F20" w14:textId="77777777" w:rsidR="00146259" w:rsidRDefault="00146259" w:rsidP="00433EFF">
      <w:pPr>
        <w:pStyle w:val="FootnoteText"/>
      </w:pPr>
      <w:r>
        <w:rPr>
          <w:rStyle w:val="FootnoteReference"/>
        </w:rPr>
        <w:footnoteRef/>
      </w:r>
      <w:r>
        <w:t xml:space="preserve"> Documentos SC51-06, SC52-04 Rev.2, SC53-02 y SC54-5.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0068D"/>
    <w:multiLevelType w:val="hybridMultilevel"/>
    <w:tmpl w:val="DDC2D7BE"/>
    <w:lvl w:ilvl="0" w:tplc="040A0001">
      <w:start w:val="1"/>
      <w:numFmt w:val="bullet"/>
      <w:lvlText w:val=""/>
      <w:lvlJc w:val="left"/>
      <w:pPr>
        <w:ind w:left="785" w:hanging="360"/>
      </w:pPr>
      <w:rPr>
        <w:rFonts w:ascii="Symbol" w:hAnsi="Symbol" w:hint="default"/>
      </w:rPr>
    </w:lvl>
    <w:lvl w:ilvl="1" w:tplc="040A0003" w:tentative="1">
      <w:start w:val="1"/>
      <w:numFmt w:val="bullet"/>
      <w:lvlText w:val="o"/>
      <w:lvlJc w:val="left"/>
      <w:pPr>
        <w:ind w:left="1505" w:hanging="360"/>
      </w:pPr>
      <w:rPr>
        <w:rFonts w:ascii="Courier New" w:hAnsi="Courier New" w:cs="Courier New" w:hint="default"/>
      </w:rPr>
    </w:lvl>
    <w:lvl w:ilvl="2" w:tplc="040A0005" w:tentative="1">
      <w:start w:val="1"/>
      <w:numFmt w:val="bullet"/>
      <w:lvlText w:val=""/>
      <w:lvlJc w:val="left"/>
      <w:pPr>
        <w:ind w:left="2225" w:hanging="360"/>
      </w:pPr>
      <w:rPr>
        <w:rFonts w:ascii="Wingdings" w:hAnsi="Wingdings" w:hint="default"/>
      </w:rPr>
    </w:lvl>
    <w:lvl w:ilvl="3" w:tplc="040A0001" w:tentative="1">
      <w:start w:val="1"/>
      <w:numFmt w:val="bullet"/>
      <w:lvlText w:val=""/>
      <w:lvlJc w:val="left"/>
      <w:pPr>
        <w:ind w:left="2945" w:hanging="360"/>
      </w:pPr>
      <w:rPr>
        <w:rFonts w:ascii="Symbol" w:hAnsi="Symbol" w:hint="default"/>
      </w:rPr>
    </w:lvl>
    <w:lvl w:ilvl="4" w:tplc="040A0003" w:tentative="1">
      <w:start w:val="1"/>
      <w:numFmt w:val="bullet"/>
      <w:lvlText w:val="o"/>
      <w:lvlJc w:val="left"/>
      <w:pPr>
        <w:ind w:left="3665" w:hanging="360"/>
      </w:pPr>
      <w:rPr>
        <w:rFonts w:ascii="Courier New" w:hAnsi="Courier New" w:cs="Courier New" w:hint="default"/>
      </w:rPr>
    </w:lvl>
    <w:lvl w:ilvl="5" w:tplc="040A0005" w:tentative="1">
      <w:start w:val="1"/>
      <w:numFmt w:val="bullet"/>
      <w:lvlText w:val=""/>
      <w:lvlJc w:val="left"/>
      <w:pPr>
        <w:ind w:left="4385" w:hanging="360"/>
      </w:pPr>
      <w:rPr>
        <w:rFonts w:ascii="Wingdings" w:hAnsi="Wingdings" w:hint="default"/>
      </w:rPr>
    </w:lvl>
    <w:lvl w:ilvl="6" w:tplc="040A0001" w:tentative="1">
      <w:start w:val="1"/>
      <w:numFmt w:val="bullet"/>
      <w:lvlText w:val=""/>
      <w:lvlJc w:val="left"/>
      <w:pPr>
        <w:ind w:left="5105" w:hanging="360"/>
      </w:pPr>
      <w:rPr>
        <w:rFonts w:ascii="Symbol" w:hAnsi="Symbol" w:hint="default"/>
      </w:rPr>
    </w:lvl>
    <w:lvl w:ilvl="7" w:tplc="040A0003" w:tentative="1">
      <w:start w:val="1"/>
      <w:numFmt w:val="bullet"/>
      <w:lvlText w:val="o"/>
      <w:lvlJc w:val="left"/>
      <w:pPr>
        <w:ind w:left="5825" w:hanging="360"/>
      </w:pPr>
      <w:rPr>
        <w:rFonts w:ascii="Courier New" w:hAnsi="Courier New" w:cs="Courier New" w:hint="default"/>
      </w:rPr>
    </w:lvl>
    <w:lvl w:ilvl="8" w:tplc="040A0005" w:tentative="1">
      <w:start w:val="1"/>
      <w:numFmt w:val="bullet"/>
      <w:lvlText w:val=""/>
      <w:lvlJc w:val="left"/>
      <w:pPr>
        <w:ind w:left="6545" w:hanging="360"/>
      </w:pPr>
      <w:rPr>
        <w:rFonts w:ascii="Wingdings" w:hAnsi="Wingdings" w:hint="default"/>
      </w:rPr>
    </w:lvl>
  </w:abstractNum>
  <w:abstractNum w:abstractNumId="1" w15:restartNumberingAfterBreak="0">
    <w:nsid w:val="0DA51EE2"/>
    <w:multiLevelType w:val="hybridMultilevel"/>
    <w:tmpl w:val="F27049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617C1C"/>
    <w:multiLevelType w:val="hybridMultilevel"/>
    <w:tmpl w:val="0786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622B9"/>
    <w:multiLevelType w:val="hybridMultilevel"/>
    <w:tmpl w:val="A8100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F75034"/>
    <w:multiLevelType w:val="hybridMultilevel"/>
    <w:tmpl w:val="F7041104"/>
    <w:lvl w:ilvl="0" w:tplc="32BCAA40">
      <w:start w:val="5"/>
      <w:numFmt w:val="decimal"/>
      <w:lvlText w:val="%1."/>
      <w:lvlJc w:val="left"/>
      <w:pPr>
        <w:ind w:left="360" w:hanging="360"/>
      </w:pPr>
      <w:rPr>
        <w:rFonts w:cstheme="minorHAnsi" w:hint="default"/>
        <w:b w:val="0"/>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0CB4958"/>
    <w:multiLevelType w:val="hybridMultilevel"/>
    <w:tmpl w:val="DA4AC9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1144496"/>
    <w:multiLevelType w:val="hybridMultilevel"/>
    <w:tmpl w:val="4D0E6EA4"/>
    <w:lvl w:ilvl="0" w:tplc="2058500C">
      <w:start w:val="1"/>
      <w:numFmt w:val="decimal"/>
      <w:lvlText w:val="%1."/>
      <w:lvlJc w:val="left"/>
      <w:pPr>
        <w:ind w:left="785" w:hanging="360"/>
      </w:pPr>
      <w:rPr>
        <w:rFonts w:asciiTheme="minorHAnsi" w:hAnsiTheme="minorHAnsi" w:hint="default"/>
        <w:b w:val="0"/>
        <w:sz w:val="22"/>
      </w:rPr>
    </w:lvl>
    <w:lvl w:ilvl="1" w:tplc="08090019">
      <w:start w:val="1"/>
      <w:numFmt w:val="lowerLetter"/>
      <w:lvlText w:val="%2."/>
      <w:lvlJc w:val="left"/>
      <w:pPr>
        <w:ind w:left="1505" w:hanging="360"/>
      </w:pPr>
    </w:lvl>
    <w:lvl w:ilvl="2" w:tplc="0809001B">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7" w15:restartNumberingAfterBreak="0">
    <w:nsid w:val="23C15F13"/>
    <w:multiLevelType w:val="hybridMultilevel"/>
    <w:tmpl w:val="27BE296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BAC720F"/>
    <w:multiLevelType w:val="hybridMultilevel"/>
    <w:tmpl w:val="75D27D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0A1034"/>
    <w:multiLevelType w:val="hybridMultilevel"/>
    <w:tmpl w:val="142C21E4"/>
    <w:lvl w:ilvl="0" w:tplc="C4DCE602">
      <w:start w:val="20"/>
      <w:numFmt w:val="decimal"/>
      <w:lvlText w:val="%1."/>
      <w:lvlJc w:val="left"/>
      <w:pPr>
        <w:ind w:left="36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A663CB"/>
    <w:multiLevelType w:val="hybridMultilevel"/>
    <w:tmpl w:val="702267F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6EA04D04"/>
    <w:multiLevelType w:val="hybridMultilevel"/>
    <w:tmpl w:val="91B0B28A"/>
    <w:lvl w:ilvl="0" w:tplc="540CD8FA">
      <w:start w:val="1"/>
      <w:numFmt w:val="decimal"/>
      <w:lvlText w:val="%1."/>
      <w:lvlJc w:val="left"/>
      <w:pPr>
        <w:ind w:left="420" w:hanging="42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71550FBC"/>
    <w:multiLevelType w:val="hybridMultilevel"/>
    <w:tmpl w:val="B6B26E6A"/>
    <w:lvl w:ilvl="0" w:tplc="6936BDEE">
      <w:start w:val="1"/>
      <w:numFmt w:val="lowerRoman"/>
      <w:lvlText w:val="%1)"/>
      <w:lvlJc w:val="left"/>
      <w:pPr>
        <w:ind w:left="720" w:hanging="360"/>
      </w:pPr>
      <w:rPr>
        <w:rFonts w:asciiTheme="minorHAnsi" w:hAnsiTheme="minorHAnsi"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38160A7"/>
    <w:multiLevelType w:val="hybridMultilevel"/>
    <w:tmpl w:val="D8442D20"/>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B568058A">
      <w:start w:val="7"/>
      <w:numFmt w:val="bullet"/>
      <w:lvlText w:val="-"/>
      <w:lvlJc w:val="left"/>
      <w:pPr>
        <w:ind w:left="1980" w:hanging="360"/>
      </w:pPr>
      <w:rPr>
        <w:rFonts w:ascii="Calibri" w:eastAsiaTheme="minorHAnsi" w:hAnsi="Calibri" w:cs="Aria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65D2E21"/>
    <w:multiLevelType w:val="hybridMultilevel"/>
    <w:tmpl w:val="AB543F90"/>
    <w:lvl w:ilvl="0" w:tplc="08090001">
      <w:start w:val="1"/>
      <w:numFmt w:val="bullet"/>
      <w:lvlText w:val=""/>
      <w:lvlJc w:val="left"/>
      <w:pPr>
        <w:ind w:left="1080" w:hanging="360"/>
      </w:pPr>
      <w:rPr>
        <w:rFonts w:ascii="Symbol" w:hAnsi="Symbol" w:hint="default"/>
      </w:rPr>
    </w:lvl>
    <w:lvl w:ilvl="1" w:tplc="0B74B4EA">
      <w:start w:val="1"/>
      <w:numFmt w:val="bullet"/>
      <w:lvlText w:val="­"/>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14"/>
  </w:num>
  <w:num w:numId="4">
    <w:abstractNumId w:val="1"/>
  </w:num>
  <w:num w:numId="5">
    <w:abstractNumId w:val="3"/>
  </w:num>
  <w:num w:numId="6">
    <w:abstractNumId w:val="11"/>
  </w:num>
  <w:num w:numId="7">
    <w:abstractNumId w:val="6"/>
  </w:num>
  <w:num w:numId="8">
    <w:abstractNumId w:val="4"/>
  </w:num>
  <w:num w:numId="9">
    <w:abstractNumId w:val="0"/>
  </w:num>
  <w:num w:numId="10">
    <w:abstractNumId w:val="13"/>
  </w:num>
  <w:num w:numId="11">
    <w:abstractNumId w:val="10"/>
  </w:num>
  <w:num w:numId="12">
    <w:abstractNumId w:val="5"/>
  </w:num>
  <w:num w:numId="13">
    <w:abstractNumId w:val="12"/>
  </w:num>
  <w:num w:numId="14">
    <w:abstractNumId w:val="2"/>
  </w:num>
  <w:num w:numId="15">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TrackFormatting/>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FB8"/>
    <w:rsid w:val="0000043C"/>
    <w:rsid w:val="00001C7D"/>
    <w:rsid w:val="00002720"/>
    <w:rsid w:val="00002FA3"/>
    <w:rsid w:val="0000494D"/>
    <w:rsid w:val="00010F0F"/>
    <w:rsid w:val="000145B1"/>
    <w:rsid w:val="00027C74"/>
    <w:rsid w:val="00031F37"/>
    <w:rsid w:val="00034027"/>
    <w:rsid w:val="00034429"/>
    <w:rsid w:val="00034996"/>
    <w:rsid w:val="00036B7E"/>
    <w:rsid w:val="00042694"/>
    <w:rsid w:val="00043B3E"/>
    <w:rsid w:val="00047005"/>
    <w:rsid w:val="00055A7F"/>
    <w:rsid w:val="00064A2F"/>
    <w:rsid w:val="00067F7F"/>
    <w:rsid w:val="00073097"/>
    <w:rsid w:val="00074DC9"/>
    <w:rsid w:val="00077D72"/>
    <w:rsid w:val="00081C49"/>
    <w:rsid w:val="00081FC0"/>
    <w:rsid w:val="00083099"/>
    <w:rsid w:val="00086DDE"/>
    <w:rsid w:val="000912DE"/>
    <w:rsid w:val="00091C8F"/>
    <w:rsid w:val="00092293"/>
    <w:rsid w:val="00093104"/>
    <w:rsid w:val="000A16A6"/>
    <w:rsid w:val="000A75C5"/>
    <w:rsid w:val="000B27E1"/>
    <w:rsid w:val="000B4682"/>
    <w:rsid w:val="000B56C5"/>
    <w:rsid w:val="000C0AA1"/>
    <w:rsid w:val="000C3354"/>
    <w:rsid w:val="000C3B92"/>
    <w:rsid w:val="000C6177"/>
    <w:rsid w:val="000C6AC6"/>
    <w:rsid w:val="000D395B"/>
    <w:rsid w:val="000D54A1"/>
    <w:rsid w:val="000D54E1"/>
    <w:rsid w:val="000D5902"/>
    <w:rsid w:val="000D594F"/>
    <w:rsid w:val="000D63DF"/>
    <w:rsid w:val="000D7F50"/>
    <w:rsid w:val="000E00B7"/>
    <w:rsid w:val="000E1304"/>
    <w:rsid w:val="000E158F"/>
    <w:rsid w:val="000E4887"/>
    <w:rsid w:val="001008B4"/>
    <w:rsid w:val="00101D13"/>
    <w:rsid w:val="00104BE2"/>
    <w:rsid w:val="0010547D"/>
    <w:rsid w:val="00107EF9"/>
    <w:rsid w:val="00110E53"/>
    <w:rsid w:val="001137F8"/>
    <w:rsid w:val="00116BF8"/>
    <w:rsid w:val="001250F6"/>
    <w:rsid w:val="00125486"/>
    <w:rsid w:val="001258C5"/>
    <w:rsid w:val="00125EBE"/>
    <w:rsid w:val="00127E63"/>
    <w:rsid w:val="00130225"/>
    <w:rsid w:val="0013447A"/>
    <w:rsid w:val="00134BA0"/>
    <w:rsid w:val="00135192"/>
    <w:rsid w:val="0014100E"/>
    <w:rsid w:val="00141530"/>
    <w:rsid w:val="00141D11"/>
    <w:rsid w:val="00142557"/>
    <w:rsid w:val="00143602"/>
    <w:rsid w:val="00144197"/>
    <w:rsid w:val="00144CE0"/>
    <w:rsid w:val="00146259"/>
    <w:rsid w:val="00150B2A"/>
    <w:rsid w:val="001522DA"/>
    <w:rsid w:val="001525AC"/>
    <w:rsid w:val="00160E25"/>
    <w:rsid w:val="00161960"/>
    <w:rsid w:val="00170C14"/>
    <w:rsid w:val="00173630"/>
    <w:rsid w:val="00173CE7"/>
    <w:rsid w:val="00176BDF"/>
    <w:rsid w:val="001771D7"/>
    <w:rsid w:val="001A0ACF"/>
    <w:rsid w:val="001A0BC7"/>
    <w:rsid w:val="001A663F"/>
    <w:rsid w:val="001B0AE2"/>
    <w:rsid w:val="001B0D72"/>
    <w:rsid w:val="001B29E7"/>
    <w:rsid w:val="001B2ED9"/>
    <w:rsid w:val="001B3FF2"/>
    <w:rsid w:val="001B53BE"/>
    <w:rsid w:val="001B7E1A"/>
    <w:rsid w:val="001C19A1"/>
    <w:rsid w:val="001C4105"/>
    <w:rsid w:val="001C43E8"/>
    <w:rsid w:val="001D0413"/>
    <w:rsid w:val="001D3733"/>
    <w:rsid w:val="001D3E01"/>
    <w:rsid w:val="001F04E0"/>
    <w:rsid w:val="001F33A0"/>
    <w:rsid w:val="001F531E"/>
    <w:rsid w:val="001F6367"/>
    <w:rsid w:val="001F7F26"/>
    <w:rsid w:val="0020311D"/>
    <w:rsid w:val="0020317B"/>
    <w:rsid w:val="00204BCB"/>
    <w:rsid w:val="00204E02"/>
    <w:rsid w:val="00205F78"/>
    <w:rsid w:val="002061F9"/>
    <w:rsid w:val="00206EBE"/>
    <w:rsid w:val="00210935"/>
    <w:rsid w:val="002128FF"/>
    <w:rsid w:val="00212C9A"/>
    <w:rsid w:val="002142D3"/>
    <w:rsid w:val="002213E9"/>
    <w:rsid w:val="00223A43"/>
    <w:rsid w:val="00226070"/>
    <w:rsid w:val="00230C7A"/>
    <w:rsid w:val="00231248"/>
    <w:rsid w:val="00233E58"/>
    <w:rsid w:val="002343FE"/>
    <w:rsid w:val="002362AE"/>
    <w:rsid w:val="00243BD9"/>
    <w:rsid w:val="00250611"/>
    <w:rsid w:val="00250ACC"/>
    <w:rsid w:val="00251660"/>
    <w:rsid w:val="00253288"/>
    <w:rsid w:val="0025450B"/>
    <w:rsid w:val="00256F0E"/>
    <w:rsid w:val="00260669"/>
    <w:rsid w:val="00261BD8"/>
    <w:rsid w:val="002625F5"/>
    <w:rsid w:val="002645C7"/>
    <w:rsid w:val="00264CA1"/>
    <w:rsid w:val="00266AF0"/>
    <w:rsid w:val="00267B3F"/>
    <w:rsid w:val="00270CFF"/>
    <w:rsid w:val="002726CA"/>
    <w:rsid w:val="00276784"/>
    <w:rsid w:val="00277D40"/>
    <w:rsid w:val="00285456"/>
    <w:rsid w:val="0029016B"/>
    <w:rsid w:val="00290840"/>
    <w:rsid w:val="00291269"/>
    <w:rsid w:val="00292879"/>
    <w:rsid w:val="00296B78"/>
    <w:rsid w:val="0029740E"/>
    <w:rsid w:val="002A1915"/>
    <w:rsid w:val="002A4A91"/>
    <w:rsid w:val="002A66F8"/>
    <w:rsid w:val="002B2FDD"/>
    <w:rsid w:val="002B32E9"/>
    <w:rsid w:val="002B5E1C"/>
    <w:rsid w:val="002C029B"/>
    <w:rsid w:val="002C0C40"/>
    <w:rsid w:val="002C2C09"/>
    <w:rsid w:val="002C3699"/>
    <w:rsid w:val="002C5B63"/>
    <w:rsid w:val="002C7598"/>
    <w:rsid w:val="002C7FA2"/>
    <w:rsid w:val="002D2249"/>
    <w:rsid w:val="002D45ED"/>
    <w:rsid w:val="002D4DEF"/>
    <w:rsid w:val="002D5A9B"/>
    <w:rsid w:val="002D5BAB"/>
    <w:rsid w:val="002E006E"/>
    <w:rsid w:val="002E253C"/>
    <w:rsid w:val="002E4839"/>
    <w:rsid w:val="002E5B04"/>
    <w:rsid w:val="002E6747"/>
    <w:rsid w:val="002E78EF"/>
    <w:rsid w:val="002F0AD3"/>
    <w:rsid w:val="002F1527"/>
    <w:rsid w:val="002F22AA"/>
    <w:rsid w:val="002F332A"/>
    <w:rsid w:val="002F58F8"/>
    <w:rsid w:val="002F662B"/>
    <w:rsid w:val="002F73E9"/>
    <w:rsid w:val="00300649"/>
    <w:rsid w:val="00302130"/>
    <w:rsid w:val="00304463"/>
    <w:rsid w:val="00304DD5"/>
    <w:rsid w:val="003072A6"/>
    <w:rsid w:val="003109BF"/>
    <w:rsid w:val="003166D9"/>
    <w:rsid w:val="0031686B"/>
    <w:rsid w:val="00320BF9"/>
    <w:rsid w:val="0032482F"/>
    <w:rsid w:val="00324A30"/>
    <w:rsid w:val="00327A95"/>
    <w:rsid w:val="003304D6"/>
    <w:rsid w:val="003334DB"/>
    <w:rsid w:val="00335B27"/>
    <w:rsid w:val="00336004"/>
    <w:rsid w:val="00340D2B"/>
    <w:rsid w:val="00340DC8"/>
    <w:rsid w:val="003442C6"/>
    <w:rsid w:val="003463C0"/>
    <w:rsid w:val="0035234F"/>
    <w:rsid w:val="003567D9"/>
    <w:rsid w:val="00357A91"/>
    <w:rsid w:val="0036170A"/>
    <w:rsid w:val="00362BBD"/>
    <w:rsid w:val="00365631"/>
    <w:rsid w:val="00366A46"/>
    <w:rsid w:val="00370328"/>
    <w:rsid w:val="003709D4"/>
    <w:rsid w:val="00375869"/>
    <w:rsid w:val="00382343"/>
    <w:rsid w:val="00382C8C"/>
    <w:rsid w:val="00383B6A"/>
    <w:rsid w:val="00384D85"/>
    <w:rsid w:val="003910BE"/>
    <w:rsid w:val="00391A45"/>
    <w:rsid w:val="00394574"/>
    <w:rsid w:val="00394772"/>
    <w:rsid w:val="00395490"/>
    <w:rsid w:val="003A13CF"/>
    <w:rsid w:val="003A2DCD"/>
    <w:rsid w:val="003B18F4"/>
    <w:rsid w:val="003B50AF"/>
    <w:rsid w:val="003B71DC"/>
    <w:rsid w:val="003B77B3"/>
    <w:rsid w:val="003B79F0"/>
    <w:rsid w:val="003C427C"/>
    <w:rsid w:val="003C42A4"/>
    <w:rsid w:val="003C64E9"/>
    <w:rsid w:val="003D13D5"/>
    <w:rsid w:val="003D1AF2"/>
    <w:rsid w:val="003D4C69"/>
    <w:rsid w:val="003D7323"/>
    <w:rsid w:val="003E2322"/>
    <w:rsid w:val="003E6226"/>
    <w:rsid w:val="003E6853"/>
    <w:rsid w:val="003F7C2E"/>
    <w:rsid w:val="00403C46"/>
    <w:rsid w:val="00403F48"/>
    <w:rsid w:val="00405547"/>
    <w:rsid w:val="00405735"/>
    <w:rsid w:val="00405CBD"/>
    <w:rsid w:val="00410C6A"/>
    <w:rsid w:val="004141B3"/>
    <w:rsid w:val="00416927"/>
    <w:rsid w:val="004176FC"/>
    <w:rsid w:val="00423F68"/>
    <w:rsid w:val="00425DBE"/>
    <w:rsid w:val="0042782C"/>
    <w:rsid w:val="00430CC1"/>
    <w:rsid w:val="00433EFF"/>
    <w:rsid w:val="00443191"/>
    <w:rsid w:val="00443B2A"/>
    <w:rsid w:val="0044428D"/>
    <w:rsid w:val="004448EF"/>
    <w:rsid w:val="00444C4A"/>
    <w:rsid w:val="00445093"/>
    <w:rsid w:val="00446D1C"/>
    <w:rsid w:val="00447092"/>
    <w:rsid w:val="00452CB9"/>
    <w:rsid w:val="00453959"/>
    <w:rsid w:val="0045585D"/>
    <w:rsid w:val="00456438"/>
    <w:rsid w:val="00456BCF"/>
    <w:rsid w:val="00462756"/>
    <w:rsid w:val="00470CF5"/>
    <w:rsid w:val="004738DB"/>
    <w:rsid w:val="00475C61"/>
    <w:rsid w:val="0047660F"/>
    <w:rsid w:val="00477FB0"/>
    <w:rsid w:val="004812A3"/>
    <w:rsid w:val="004823C2"/>
    <w:rsid w:val="0048758E"/>
    <w:rsid w:val="00491065"/>
    <w:rsid w:val="00495F2E"/>
    <w:rsid w:val="0049686B"/>
    <w:rsid w:val="004969F3"/>
    <w:rsid w:val="00496CF9"/>
    <w:rsid w:val="004A2378"/>
    <w:rsid w:val="004A37C4"/>
    <w:rsid w:val="004A40BF"/>
    <w:rsid w:val="004A476E"/>
    <w:rsid w:val="004A6874"/>
    <w:rsid w:val="004B3CB6"/>
    <w:rsid w:val="004B4E30"/>
    <w:rsid w:val="004B5A95"/>
    <w:rsid w:val="004B762C"/>
    <w:rsid w:val="004B7647"/>
    <w:rsid w:val="004C1037"/>
    <w:rsid w:val="004C2ED1"/>
    <w:rsid w:val="004C4D83"/>
    <w:rsid w:val="004C6067"/>
    <w:rsid w:val="004C7D32"/>
    <w:rsid w:val="004D2127"/>
    <w:rsid w:val="004D35A3"/>
    <w:rsid w:val="004D3756"/>
    <w:rsid w:val="004D3C32"/>
    <w:rsid w:val="004D6D2D"/>
    <w:rsid w:val="004E14B1"/>
    <w:rsid w:val="004E4283"/>
    <w:rsid w:val="004E737E"/>
    <w:rsid w:val="004E7E51"/>
    <w:rsid w:val="005011F1"/>
    <w:rsid w:val="0050249F"/>
    <w:rsid w:val="00506E65"/>
    <w:rsid w:val="0050764C"/>
    <w:rsid w:val="00513085"/>
    <w:rsid w:val="00515E5B"/>
    <w:rsid w:val="00517125"/>
    <w:rsid w:val="005175BB"/>
    <w:rsid w:val="00520F06"/>
    <w:rsid w:val="0052138D"/>
    <w:rsid w:val="00521589"/>
    <w:rsid w:val="005220F3"/>
    <w:rsid w:val="00524274"/>
    <w:rsid w:val="00525F5F"/>
    <w:rsid w:val="005260D7"/>
    <w:rsid w:val="005263C2"/>
    <w:rsid w:val="00533501"/>
    <w:rsid w:val="005364DA"/>
    <w:rsid w:val="00540CE0"/>
    <w:rsid w:val="00541447"/>
    <w:rsid w:val="005419EA"/>
    <w:rsid w:val="0054298A"/>
    <w:rsid w:val="00547386"/>
    <w:rsid w:val="00560ED9"/>
    <w:rsid w:val="00561D51"/>
    <w:rsid w:val="00565EB7"/>
    <w:rsid w:val="00566EE8"/>
    <w:rsid w:val="00570621"/>
    <w:rsid w:val="00570882"/>
    <w:rsid w:val="00570F86"/>
    <w:rsid w:val="0057402E"/>
    <w:rsid w:val="00574733"/>
    <w:rsid w:val="00577C24"/>
    <w:rsid w:val="00580635"/>
    <w:rsid w:val="00581249"/>
    <w:rsid w:val="0058201C"/>
    <w:rsid w:val="005834EA"/>
    <w:rsid w:val="00585694"/>
    <w:rsid w:val="0058733D"/>
    <w:rsid w:val="005875D1"/>
    <w:rsid w:val="0058770D"/>
    <w:rsid w:val="00590D44"/>
    <w:rsid w:val="005910E4"/>
    <w:rsid w:val="005918F1"/>
    <w:rsid w:val="00591B61"/>
    <w:rsid w:val="005926DF"/>
    <w:rsid w:val="0059345B"/>
    <w:rsid w:val="00595FC4"/>
    <w:rsid w:val="00596B4A"/>
    <w:rsid w:val="00597507"/>
    <w:rsid w:val="005A0FDA"/>
    <w:rsid w:val="005A1AD8"/>
    <w:rsid w:val="005A1FD6"/>
    <w:rsid w:val="005A3333"/>
    <w:rsid w:val="005A37B8"/>
    <w:rsid w:val="005A3BAD"/>
    <w:rsid w:val="005A63B1"/>
    <w:rsid w:val="005B04BF"/>
    <w:rsid w:val="005B0649"/>
    <w:rsid w:val="005B2D10"/>
    <w:rsid w:val="005C1A8F"/>
    <w:rsid w:val="005C28FB"/>
    <w:rsid w:val="005C40EF"/>
    <w:rsid w:val="005C4AE2"/>
    <w:rsid w:val="005C667D"/>
    <w:rsid w:val="005C682A"/>
    <w:rsid w:val="005D049D"/>
    <w:rsid w:val="005D05E1"/>
    <w:rsid w:val="005D7408"/>
    <w:rsid w:val="005E0C03"/>
    <w:rsid w:val="005E5AD4"/>
    <w:rsid w:val="005E73D9"/>
    <w:rsid w:val="005F2999"/>
    <w:rsid w:val="005F4507"/>
    <w:rsid w:val="005F5926"/>
    <w:rsid w:val="005F72B8"/>
    <w:rsid w:val="0060101F"/>
    <w:rsid w:val="00602A6A"/>
    <w:rsid w:val="00604D41"/>
    <w:rsid w:val="00616183"/>
    <w:rsid w:val="00616D76"/>
    <w:rsid w:val="00620259"/>
    <w:rsid w:val="006206F1"/>
    <w:rsid w:val="00626FDB"/>
    <w:rsid w:val="006311D7"/>
    <w:rsid w:val="0063165E"/>
    <w:rsid w:val="00635DC6"/>
    <w:rsid w:val="00635EC0"/>
    <w:rsid w:val="00651B32"/>
    <w:rsid w:val="00652DF0"/>
    <w:rsid w:val="006535A3"/>
    <w:rsid w:val="00656F3D"/>
    <w:rsid w:val="006602B8"/>
    <w:rsid w:val="00662A2C"/>
    <w:rsid w:val="00662E32"/>
    <w:rsid w:val="00663612"/>
    <w:rsid w:val="00666DC5"/>
    <w:rsid w:val="00667680"/>
    <w:rsid w:val="00670185"/>
    <w:rsid w:val="006722D1"/>
    <w:rsid w:val="00675239"/>
    <w:rsid w:val="006757C2"/>
    <w:rsid w:val="00677A29"/>
    <w:rsid w:val="00680202"/>
    <w:rsid w:val="00681058"/>
    <w:rsid w:val="006827DA"/>
    <w:rsid w:val="00685173"/>
    <w:rsid w:val="00686849"/>
    <w:rsid w:val="00687B59"/>
    <w:rsid w:val="006910E3"/>
    <w:rsid w:val="00692275"/>
    <w:rsid w:val="00692366"/>
    <w:rsid w:val="006924FE"/>
    <w:rsid w:val="006926C5"/>
    <w:rsid w:val="006A31A9"/>
    <w:rsid w:val="006A3235"/>
    <w:rsid w:val="006A3761"/>
    <w:rsid w:val="006A5D2E"/>
    <w:rsid w:val="006B13A7"/>
    <w:rsid w:val="006B22F0"/>
    <w:rsid w:val="006B5142"/>
    <w:rsid w:val="006B5596"/>
    <w:rsid w:val="006B70AE"/>
    <w:rsid w:val="006C3BE4"/>
    <w:rsid w:val="006D15C9"/>
    <w:rsid w:val="006D1B9B"/>
    <w:rsid w:val="006D32CD"/>
    <w:rsid w:val="006D3E70"/>
    <w:rsid w:val="006D46B7"/>
    <w:rsid w:val="006D52A5"/>
    <w:rsid w:val="006D6655"/>
    <w:rsid w:val="006D6732"/>
    <w:rsid w:val="006E1A57"/>
    <w:rsid w:val="006E3213"/>
    <w:rsid w:val="006E3318"/>
    <w:rsid w:val="006E4B45"/>
    <w:rsid w:val="006E53B7"/>
    <w:rsid w:val="006E620E"/>
    <w:rsid w:val="006E66CA"/>
    <w:rsid w:val="006F08F5"/>
    <w:rsid w:val="006F1F19"/>
    <w:rsid w:val="0070027E"/>
    <w:rsid w:val="00700762"/>
    <w:rsid w:val="0070133E"/>
    <w:rsid w:val="00701D82"/>
    <w:rsid w:val="00703FA8"/>
    <w:rsid w:val="0070562C"/>
    <w:rsid w:val="00705749"/>
    <w:rsid w:val="00710932"/>
    <w:rsid w:val="0071220F"/>
    <w:rsid w:val="007124C0"/>
    <w:rsid w:val="0071474A"/>
    <w:rsid w:val="00715A00"/>
    <w:rsid w:val="00715D09"/>
    <w:rsid w:val="00720F05"/>
    <w:rsid w:val="00722335"/>
    <w:rsid w:val="00723163"/>
    <w:rsid w:val="00724804"/>
    <w:rsid w:val="00724F0A"/>
    <w:rsid w:val="00725DFF"/>
    <w:rsid w:val="007276F3"/>
    <w:rsid w:val="00727A12"/>
    <w:rsid w:val="00727D84"/>
    <w:rsid w:val="00727EB3"/>
    <w:rsid w:val="007324EE"/>
    <w:rsid w:val="007376F7"/>
    <w:rsid w:val="00740CF1"/>
    <w:rsid w:val="0074193F"/>
    <w:rsid w:val="00744E0B"/>
    <w:rsid w:val="00745AC8"/>
    <w:rsid w:val="007462F5"/>
    <w:rsid w:val="00755739"/>
    <w:rsid w:val="00756ADA"/>
    <w:rsid w:val="00762DD8"/>
    <w:rsid w:val="00763CD6"/>
    <w:rsid w:val="00766FB5"/>
    <w:rsid w:val="0077031F"/>
    <w:rsid w:val="00770EB7"/>
    <w:rsid w:val="007720DA"/>
    <w:rsid w:val="00772F85"/>
    <w:rsid w:val="007734DC"/>
    <w:rsid w:val="00773A5C"/>
    <w:rsid w:val="0078142B"/>
    <w:rsid w:val="007815AF"/>
    <w:rsid w:val="00785F30"/>
    <w:rsid w:val="00786102"/>
    <w:rsid w:val="00791678"/>
    <w:rsid w:val="00796618"/>
    <w:rsid w:val="00796F31"/>
    <w:rsid w:val="0079753C"/>
    <w:rsid w:val="007A1C47"/>
    <w:rsid w:val="007A2652"/>
    <w:rsid w:val="007A3AC3"/>
    <w:rsid w:val="007A4EF3"/>
    <w:rsid w:val="007A727C"/>
    <w:rsid w:val="007B010B"/>
    <w:rsid w:val="007B1343"/>
    <w:rsid w:val="007B4132"/>
    <w:rsid w:val="007C1963"/>
    <w:rsid w:val="007C1AE7"/>
    <w:rsid w:val="007C2446"/>
    <w:rsid w:val="007C3DF0"/>
    <w:rsid w:val="007C79A0"/>
    <w:rsid w:val="007D133B"/>
    <w:rsid w:val="007D2348"/>
    <w:rsid w:val="007D2D84"/>
    <w:rsid w:val="007D664F"/>
    <w:rsid w:val="007D7FB3"/>
    <w:rsid w:val="007E06B3"/>
    <w:rsid w:val="007E265E"/>
    <w:rsid w:val="007E2FA5"/>
    <w:rsid w:val="007E45A9"/>
    <w:rsid w:val="007E74EA"/>
    <w:rsid w:val="007F4920"/>
    <w:rsid w:val="007F52A5"/>
    <w:rsid w:val="007F61F4"/>
    <w:rsid w:val="007F662A"/>
    <w:rsid w:val="008013F2"/>
    <w:rsid w:val="008029A7"/>
    <w:rsid w:val="00807F6A"/>
    <w:rsid w:val="008133BA"/>
    <w:rsid w:val="008134D3"/>
    <w:rsid w:val="00813846"/>
    <w:rsid w:val="00820EA4"/>
    <w:rsid w:val="0082111B"/>
    <w:rsid w:val="0082290E"/>
    <w:rsid w:val="00825C38"/>
    <w:rsid w:val="008325A1"/>
    <w:rsid w:val="00833965"/>
    <w:rsid w:val="008355D8"/>
    <w:rsid w:val="008379D6"/>
    <w:rsid w:val="00843F44"/>
    <w:rsid w:val="00845F04"/>
    <w:rsid w:val="0084760E"/>
    <w:rsid w:val="0085331D"/>
    <w:rsid w:val="00853EF2"/>
    <w:rsid w:val="00854EEC"/>
    <w:rsid w:val="00856F95"/>
    <w:rsid w:val="008610FE"/>
    <w:rsid w:val="00863509"/>
    <w:rsid w:val="00864C78"/>
    <w:rsid w:val="00866168"/>
    <w:rsid w:val="00870DBF"/>
    <w:rsid w:val="008711CC"/>
    <w:rsid w:val="008737ED"/>
    <w:rsid w:val="008748CA"/>
    <w:rsid w:val="00876231"/>
    <w:rsid w:val="00880264"/>
    <w:rsid w:val="00881872"/>
    <w:rsid w:val="00884BDE"/>
    <w:rsid w:val="00884C89"/>
    <w:rsid w:val="00887511"/>
    <w:rsid w:val="00887A02"/>
    <w:rsid w:val="0089488A"/>
    <w:rsid w:val="00894B78"/>
    <w:rsid w:val="00897D8E"/>
    <w:rsid w:val="008A1B52"/>
    <w:rsid w:val="008A35E8"/>
    <w:rsid w:val="008A384C"/>
    <w:rsid w:val="008A4D61"/>
    <w:rsid w:val="008A55CE"/>
    <w:rsid w:val="008B049E"/>
    <w:rsid w:val="008B0A6C"/>
    <w:rsid w:val="008B18E1"/>
    <w:rsid w:val="008B2634"/>
    <w:rsid w:val="008B7430"/>
    <w:rsid w:val="008C0E77"/>
    <w:rsid w:val="008C226A"/>
    <w:rsid w:val="008C2FCA"/>
    <w:rsid w:val="008D32F3"/>
    <w:rsid w:val="008D5A35"/>
    <w:rsid w:val="008D5A99"/>
    <w:rsid w:val="008D684A"/>
    <w:rsid w:val="008E01ED"/>
    <w:rsid w:val="008E1ADA"/>
    <w:rsid w:val="008E231B"/>
    <w:rsid w:val="008E6513"/>
    <w:rsid w:val="008E7CCB"/>
    <w:rsid w:val="008F13EC"/>
    <w:rsid w:val="008F3F88"/>
    <w:rsid w:val="009028AB"/>
    <w:rsid w:val="00904357"/>
    <w:rsid w:val="0090472F"/>
    <w:rsid w:val="00910A91"/>
    <w:rsid w:val="009116C0"/>
    <w:rsid w:val="00911B74"/>
    <w:rsid w:val="009126D1"/>
    <w:rsid w:val="0091414E"/>
    <w:rsid w:val="00914F55"/>
    <w:rsid w:val="00915990"/>
    <w:rsid w:val="00916B18"/>
    <w:rsid w:val="00922332"/>
    <w:rsid w:val="009242D5"/>
    <w:rsid w:val="00924A6C"/>
    <w:rsid w:val="00924FE0"/>
    <w:rsid w:val="0092718C"/>
    <w:rsid w:val="00931ED6"/>
    <w:rsid w:val="00932639"/>
    <w:rsid w:val="00937825"/>
    <w:rsid w:val="00945AD4"/>
    <w:rsid w:val="009461BB"/>
    <w:rsid w:val="009505E9"/>
    <w:rsid w:val="00951676"/>
    <w:rsid w:val="00952D1A"/>
    <w:rsid w:val="00953D54"/>
    <w:rsid w:val="0095458A"/>
    <w:rsid w:val="00954883"/>
    <w:rsid w:val="00955B54"/>
    <w:rsid w:val="00960190"/>
    <w:rsid w:val="00960836"/>
    <w:rsid w:val="009664EE"/>
    <w:rsid w:val="009665A3"/>
    <w:rsid w:val="0096673C"/>
    <w:rsid w:val="00971CF5"/>
    <w:rsid w:val="0097384C"/>
    <w:rsid w:val="0098136A"/>
    <w:rsid w:val="009836CF"/>
    <w:rsid w:val="00987D0D"/>
    <w:rsid w:val="0099290A"/>
    <w:rsid w:val="00997419"/>
    <w:rsid w:val="009A0C5B"/>
    <w:rsid w:val="009A65D5"/>
    <w:rsid w:val="009A66C9"/>
    <w:rsid w:val="009B0849"/>
    <w:rsid w:val="009B1AA7"/>
    <w:rsid w:val="009B6670"/>
    <w:rsid w:val="009B7A0D"/>
    <w:rsid w:val="009B7F61"/>
    <w:rsid w:val="009C1179"/>
    <w:rsid w:val="009C2C83"/>
    <w:rsid w:val="009C3352"/>
    <w:rsid w:val="009D020F"/>
    <w:rsid w:val="009D1E97"/>
    <w:rsid w:val="009D26E5"/>
    <w:rsid w:val="009D32B0"/>
    <w:rsid w:val="009D4535"/>
    <w:rsid w:val="009D5F75"/>
    <w:rsid w:val="009D7184"/>
    <w:rsid w:val="009E0798"/>
    <w:rsid w:val="009E0A81"/>
    <w:rsid w:val="009E3419"/>
    <w:rsid w:val="009E4AA4"/>
    <w:rsid w:val="009E60E2"/>
    <w:rsid w:val="009E6357"/>
    <w:rsid w:val="009E795D"/>
    <w:rsid w:val="009E7D62"/>
    <w:rsid w:val="009F1CF3"/>
    <w:rsid w:val="009F6172"/>
    <w:rsid w:val="00A0167B"/>
    <w:rsid w:val="00A03316"/>
    <w:rsid w:val="00A10071"/>
    <w:rsid w:val="00A13E2D"/>
    <w:rsid w:val="00A1416D"/>
    <w:rsid w:val="00A2116E"/>
    <w:rsid w:val="00A2448D"/>
    <w:rsid w:val="00A27753"/>
    <w:rsid w:val="00A32B48"/>
    <w:rsid w:val="00A334B5"/>
    <w:rsid w:val="00A34358"/>
    <w:rsid w:val="00A36D1F"/>
    <w:rsid w:val="00A37B03"/>
    <w:rsid w:val="00A40586"/>
    <w:rsid w:val="00A4071C"/>
    <w:rsid w:val="00A411CF"/>
    <w:rsid w:val="00A4194C"/>
    <w:rsid w:val="00A419DB"/>
    <w:rsid w:val="00A457C5"/>
    <w:rsid w:val="00A47DFB"/>
    <w:rsid w:val="00A52454"/>
    <w:rsid w:val="00A53B42"/>
    <w:rsid w:val="00A572FA"/>
    <w:rsid w:val="00A57542"/>
    <w:rsid w:val="00A61150"/>
    <w:rsid w:val="00A612B7"/>
    <w:rsid w:val="00A61D41"/>
    <w:rsid w:val="00A62E39"/>
    <w:rsid w:val="00A65799"/>
    <w:rsid w:val="00A73623"/>
    <w:rsid w:val="00A77BB9"/>
    <w:rsid w:val="00A82791"/>
    <w:rsid w:val="00A830C5"/>
    <w:rsid w:val="00A8463A"/>
    <w:rsid w:val="00A86425"/>
    <w:rsid w:val="00A93405"/>
    <w:rsid w:val="00A959C9"/>
    <w:rsid w:val="00A9770C"/>
    <w:rsid w:val="00AA3D2E"/>
    <w:rsid w:val="00AA58E0"/>
    <w:rsid w:val="00AA6F03"/>
    <w:rsid w:val="00AA74EC"/>
    <w:rsid w:val="00AB1869"/>
    <w:rsid w:val="00AB39AC"/>
    <w:rsid w:val="00AC0130"/>
    <w:rsid w:val="00AC0ECC"/>
    <w:rsid w:val="00AC1F50"/>
    <w:rsid w:val="00AC3549"/>
    <w:rsid w:val="00AC365A"/>
    <w:rsid w:val="00AC388E"/>
    <w:rsid w:val="00AC45DA"/>
    <w:rsid w:val="00AC6085"/>
    <w:rsid w:val="00AC7539"/>
    <w:rsid w:val="00AC7A5E"/>
    <w:rsid w:val="00AD294A"/>
    <w:rsid w:val="00AE0EC0"/>
    <w:rsid w:val="00AF1131"/>
    <w:rsid w:val="00AF1376"/>
    <w:rsid w:val="00AF192D"/>
    <w:rsid w:val="00AF5A87"/>
    <w:rsid w:val="00B0055A"/>
    <w:rsid w:val="00B02C5C"/>
    <w:rsid w:val="00B02D0F"/>
    <w:rsid w:val="00B052BF"/>
    <w:rsid w:val="00B06E7B"/>
    <w:rsid w:val="00B1006A"/>
    <w:rsid w:val="00B10AF4"/>
    <w:rsid w:val="00B10E29"/>
    <w:rsid w:val="00B1621D"/>
    <w:rsid w:val="00B176C6"/>
    <w:rsid w:val="00B177E0"/>
    <w:rsid w:val="00B22C05"/>
    <w:rsid w:val="00B24962"/>
    <w:rsid w:val="00B25AA5"/>
    <w:rsid w:val="00B31A2B"/>
    <w:rsid w:val="00B332E9"/>
    <w:rsid w:val="00B34F97"/>
    <w:rsid w:val="00B35207"/>
    <w:rsid w:val="00B352BA"/>
    <w:rsid w:val="00B3576E"/>
    <w:rsid w:val="00B37D16"/>
    <w:rsid w:val="00B430AF"/>
    <w:rsid w:val="00B443F0"/>
    <w:rsid w:val="00B4578B"/>
    <w:rsid w:val="00B51626"/>
    <w:rsid w:val="00B5326D"/>
    <w:rsid w:val="00B55558"/>
    <w:rsid w:val="00B60F74"/>
    <w:rsid w:val="00B6471B"/>
    <w:rsid w:val="00B65BBC"/>
    <w:rsid w:val="00B700A4"/>
    <w:rsid w:val="00B71BEF"/>
    <w:rsid w:val="00B72DF0"/>
    <w:rsid w:val="00B730A3"/>
    <w:rsid w:val="00B75BC6"/>
    <w:rsid w:val="00B76FB8"/>
    <w:rsid w:val="00B82CF1"/>
    <w:rsid w:val="00B830FD"/>
    <w:rsid w:val="00B85491"/>
    <w:rsid w:val="00B8661F"/>
    <w:rsid w:val="00B879AC"/>
    <w:rsid w:val="00BA05BD"/>
    <w:rsid w:val="00BA1A93"/>
    <w:rsid w:val="00BA451F"/>
    <w:rsid w:val="00BA549C"/>
    <w:rsid w:val="00BA61DA"/>
    <w:rsid w:val="00BA6D48"/>
    <w:rsid w:val="00BA74D8"/>
    <w:rsid w:val="00BA7AE5"/>
    <w:rsid w:val="00BB0CEB"/>
    <w:rsid w:val="00BB2402"/>
    <w:rsid w:val="00BB24FB"/>
    <w:rsid w:val="00BB2C15"/>
    <w:rsid w:val="00BB2F77"/>
    <w:rsid w:val="00BB3388"/>
    <w:rsid w:val="00BB3F02"/>
    <w:rsid w:val="00BB5F70"/>
    <w:rsid w:val="00BC03CB"/>
    <w:rsid w:val="00BC467A"/>
    <w:rsid w:val="00BC4873"/>
    <w:rsid w:val="00BC50B6"/>
    <w:rsid w:val="00BC6BD8"/>
    <w:rsid w:val="00BC7EFB"/>
    <w:rsid w:val="00BD01C5"/>
    <w:rsid w:val="00BD1137"/>
    <w:rsid w:val="00BD17DD"/>
    <w:rsid w:val="00BD2553"/>
    <w:rsid w:val="00BD434F"/>
    <w:rsid w:val="00BD7E33"/>
    <w:rsid w:val="00BE086F"/>
    <w:rsid w:val="00BE141E"/>
    <w:rsid w:val="00BE44AE"/>
    <w:rsid w:val="00BE4732"/>
    <w:rsid w:val="00BE6317"/>
    <w:rsid w:val="00BF08EE"/>
    <w:rsid w:val="00BF248E"/>
    <w:rsid w:val="00BF28CE"/>
    <w:rsid w:val="00BF2C16"/>
    <w:rsid w:val="00BF4CE2"/>
    <w:rsid w:val="00BF7CE5"/>
    <w:rsid w:val="00C01089"/>
    <w:rsid w:val="00C0307B"/>
    <w:rsid w:val="00C03AC9"/>
    <w:rsid w:val="00C0559D"/>
    <w:rsid w:val="00C06CD0"/>
    <w:rsid w:val="00C07BE9"/>
    <w:rsid w:val="00C14D58"/>
    <w:rsid w:val="00C15D28"/>
    <w:rsid w:val="00C1601D"/>
    <w:rsid w:val="00C17218"/>
    <w:rsid w:val="00C174EF"/>
    <w:rsid w:val="00C2098B"/>
    <w:rsid w:val="00C20EF5"/>
    <w:rsid w:val="00C224A3"/>
    <w:rsid w:val="00C24D86"/>
    <w:rsid w:val="00C2584E"/>
    <w:rsid w:val="00C25877"/>
    <w:rsid w:val="00C26C4C"/>
    <w:rsid w:val="00C26E4A"/>
    <w:rsid w:val="00C3491A"/>
    <w:rsid w:val="00C36413"/>
    <w:rsid w:val="00C36E28"/>
    <w:rsid w:val="00C3788D"/>
    <w:rsid w:val="00C407A9"/>
    <w:rsid w:val="00C41872"/>
    <w:rsid w:val="00C431B2"/>
    <w:rsid w:val="00C45C1E"/>
    <w:rsid w:val="00C45C51"/>
    <w:rsid w:val="00C46385"/>
    <w:rsid w:val="00C51666"/>
    <w:rsid w:val="00C5511E"/>
    <w:rsid w:val="00C56FB7"/>
    <w:rsid w:val="00C572FD"/>
    <w:rsid w:val="00C60600"/>
    <w:rsid w:val="00C617C5"/>
    <w:rsid w:val="00C63CC9"/>
    <w:rsid w:val="00C644E2"/>
    <w:rsid w:val="00C64C6E"/>
    <w:rsid w:val="00C677D4"/>
    <w:rsid w:val="00C72D5E"/>
    <w:rsid w:val="00C76C6B"/>
    <w:rsid w:val="00C81B75"/>
    <w:rsid w:val="00C820FD"/>
    <w:rsid w:val="00C82D65"/>
    <w:rsid w:val="00C84478"/>
    <w:rsid w:val="00C94032"/>
    <w:rsid w:val="00C958E8"/>
    <w:rsid w:val="00CA1284"/>
    <w:rsid w:val="00CA1C37"/>
    <w:rsid w:val="00CA6453"/>
    <w:rsid w:val="00CA6983"/>
    <w:rsid w:val="00CA76AF"/>
    <w:rsid w:val="00CB2375"/>
    <w:rsid w:val="00CB439D"/>
    <w:rsid w:val="00CB6225"/>
    <w:rsid w:val="00CB7355"/>
    <w:rsid w:val="00CC2E71"/>
    <w:rsid w:val="00CC3412"/>
    <w:rsid w:val="00CC55B3"/>
    <w:rsid w:val="00CC6FDF"/>
    <w:rsid w:val="00CD0CB6"/>
    <w:rsid w:val="00CD349E"/>
    <w:rsid w:val="00CD75C3"/>
    <w:rsid w:val="00CD7EF2"/>
    <w:rsid w:val="00CE0116"/>
    <w:rsid w:val="00CE16A2"/>
    <w:rsid w:val="00CE4D76"/>
    <w:rsid w:val="00CE5866"/>
    <w:rsid w:val="00CF05DE"/>
    <w:rsid w:val="00CF448B"/>
    <w:rsid w:val="00CF7C0A"/>
    <w:rsid w:val="00D013A0"/>
    <w:rsid w:val="00D044C9"/>
    <w:rsid w:val="00D04B97"/>
    <w:rsid w:val="00D05243"/>
    <w:rsid w:val="00D05876"/>
    <w:rsid w:val="00D06BF9"/>
    <w:rsid w:val="00D100BC"/>
    <w:rsid w:val="00D15C10"/>
    <w:rsid w:val="00D165F1"/>
    <w:rsid w:val="00D17AAE"/>
    <w:rsid w:val="00D24849"/>
    <w:rsid w:val="00D2615D"/>
    <w:rsid w:val="00D31E05"/>
    <w:rsid w:val="00D31EAD"/>
    <w:rsid w:val="00D32985"/>
    <w:rsid w:val="00D352B8"/>
    <w:rsid w:val="00D35BDA"/>
    <w:rsid w:val="00D36182"/>
    <w:rsid w:val="00D36B07"/>
    <w:rsid w:val="00D402CF"/>
    <w:rsid w:val="00D41243"/>
    <w:rsid w:val="00D43075"/>
    <w:rsid w:val="00D462A5"/>
    <w:rsid w:val="00D47B65"/>
    <w:rsid w:val="00D538BC"/>
    <w:rsid w:val="00D546F1"/>
    <w:rsid w:val="00D6214F"/>
    <w:rsid w:val="00D63D01"/>
    <w:rsid w:val="00D6685C"/>
    <w:rsid w:val="00D714AC"/>
    <w:rsid w:val="00D73A99"/>
    <w:rsid w:val="00D73FBE"/>
    <w:rsid w:val="00D742E9"/>
    <w:rsid w:val="00D74A26"/>
    <w:rsid w:val="00D74E9D"/>
    <w:rsid w:val="00D772A4"/>
    <w:rsid w:val="00D82321"/>
    <w:rsid w:val="00D825EB"/>
    <w:rsid w:val="00D830BD"/>
    <w:rsid w:val="00D83BDE"/>
    <w:rsid w:val="00D853CB"/>
    <w:rsid w:val="00D85666"/>
    <w:rsid w:val="00D860A8"/>
    <w:rsid w:val="00D90165"/>
    <w:rsid w:val="00D93256"/>
    <w:rsid w:val="00D9536C"/>
    <w:rsid w:val="00DA01B9"/>
    <w:rsid w:val="00DA2FC0"/>
    <w:rsid w:val="00DA3A99"/>
    <w:rsid w:val="00DB1663"/>
    <w:rsid w:val="00DB187E"/>
    <w:rsid w:val="00DB37F3"/>
    <w:rsid w:val="00DB70C2"/>
    <w:rsid w:val="00DC2341"/>
    <w:rsid w:val="00DC4BA3"/>
    <w:rsid w:val="00DC5693"/>
    <w:rsid w:val="00DC6C1D"/>
    <w:rsid w:val="00DD4B87"/>
    <w:rsid w:val="00DD5308"/>
    <w:rsid w:val="00DE0A31"/>
    <w:rsid w:val="00DE1A00"/>
    <w:rsid w:val="00DE1CA1"/>
    <w:rsid w:val="00DE3C7C"/>
    <w:rsid w:val="00DE4886"/>
    <w:rsid w:val="00DE59C0"/>
    <w:rsid w:val="00DE62D5"/>
    <w:rsid w:val="00DF1C8C"/>
    <w:rsid w:val="00DF1D26"/>
    <w:rsid w:val="00DF36DC"/>
    <w:rsid w:val="00E00F03"/>
    <w:rsid w:val="00E036FC"/>
    <w:rsid w:val="00E03A75"/>
    <w:rsid w:val="00E0489A"/>
    <w:rsid w:val="00E05E95"/>
    <w:rsid w:val="00E07BEE"/>
    <w:rsid w:val="00E10017"/>
    <w:rsid w:val="00E110C0"/>
    <w:rsid w:val="00E11B95"/>
    <w:rsid w:val="00E13CBD"/>
    <w:rsid w:val="00E2087D"/>
    <w:rsid w:val="00E21B43"/>
    <w:rsid w:val="00E24324"/>
    <w:rsid w:val="00E25439"/>
    <w:rsid w:val="00E25E60"/>
    <w:rsid w:val="00E3044C"/>
    <w:rsid w:val="00E32679"/>
    <w:rsid w:val="00E32BF3"/>
    <w:rsid w:val="00E35070"/>
    <w:rsid w:val="00E42B04"/>
    <w:rsid w:val="00E4717E"/>
    <w:rsid w:val="00E534BB"/>
    <w:rsid w:val="00E552D0"/>
    <w:rsid w:val="00E574FB"/>
    <w:rsid w:val="00E5761B"/>
    <w:rsid w:val="00E57E81"/>
    <w:rsid w:val="00E57EA8"/>
    <w:rsid w:val="00E6304F"/>
    <w:rsid w:val="00E6324A"/>
    <w:rsid w:val="00E63A8E"/>
    <w:rsid w:val="00E63E0E"/>
    <w:rsid w:val="00E65A27"/>
    <w:rsid w:val="00E65BE2"/>
    <w:rsid w:val="00E66E92"/>
    <w:rsid w:val="00E67C02"/>
    <w:rsid w:val="00E716B5"/>
    <w:rsid w:val="00E71A03"/>
    <w:rsid w:val="00E7254B"/>
    <w:rsid w:val="00E7314F"/>
    <w:rsid w:val="00E7322F"/>
    <w:rsid w:val="00E75F51"/>
    <w:rsid w:val="00E77F8B"/>
    <w:rsid w:val="00E8067E"/>
    <w:rsid w:val="00E82F32"/>
    <w:rsid w:val="00E84D11"/>
    <w:rsid w:val="00E84E79"/>
    <w:rsid w:val="00E84EBD"/>
    <w:rsid w:val="00E873FE"/>
    <w:rsid w:val="00E94C2E"/>
    <w:rsid w:val="00E95D37"/>
    <w:rsid w:val="00EA221D"/>
    <w:rsid w:val="00EA2B27"/>
    <w:rsid w:val="00EA3B95"/>
    <w:rsid w:val="00EA79E2"/>
    <w:rsid w:val="00EB0862"/>
    <w:rsid w:val="00EB7DCF"/>
    <w:rsid w:val="00EC16E3"/>
    <w:rsid w:val="00EC1F95"/>
    <w:rsid w:val="00EC45A4"/>
    <w:rsid w:val="00EC5F93"/>
    <w:rsid w:val="00EC64CE"/>
    <w:rsid w:val="00EC7595"/>
    <w:rsid w:val="00ED0727"/>
    <w:rsid w:val="00ED1D30"/>
    <w:rsid w:val="00ED3A2E"/>
    <w:rsid w:val="00ED43B4"/>
    <w:rsid w:val="00ED5099"/>
    <w:rsid w:val="00ED5980"/>
    <w:rsid w:val="00ED6271"/>
    <w:rsid w:val="00ED6D0A"/>
    <w:rsid w:val="00EE1495"/>
    <w:rsid w:val="00EE1A43"/>
    <w:rsid w:val="00EE489C"/>
    <w:rsid w:val="00EE515A"/>
    <w:rsid w:val="00EE5E99"/>
    <w:rsid w:val="00EF2CF5"/>
    <w:rsid w:val="00F00E3B"/>
    <w:rsid w:val="00F0358D"/>
    <w:rsid w:val="00F04B42"/>
    <w:rsid w:val="00F065F1"/>
    <w:rsid w:val="00F1062F"/>
    <w:rsid w:val="00F10C19"/>
    <w:rsid w:val="00F12B83"/>
    <w:rsid w:val="00F13E7F"/>
    <w:rsid w:val="00F14653"/>
    <w:rsid w:val="00F14F0E"/>
    <w:rsid w:val="00F154D7"/>
    <w:rsid w:val="00F15C23"/>
    <w:rsid w:val="00F15D9C"/>
    <w:rsid w:val="00F1771C"/>
    <w:rsid w:val="00F21300"/>
    <w:rsid w:val="00F21FA5"/>
    <w:rsid w:val="00F2384C"/>
    <w:rsid w:val="00F261F0"/>
    <w:rsid w:val="00F26275"/>
    <w:rsid w:val="00F26A4A"/>
    <w:rsid w:val="00F3047B"/>
    <w:rsid w:val="00F315D9"/>
    <w:rsid w:val="00F3249C"/>
    <w:rsid w:val="00F33D38"/>
    <w:rsid w:val="00F369FF"/>
    <w:rsid w:val="00F36D96"/>
    <w:rsid w:val="00F372A8"/>
    <w:rsid w:val="00F412C0"/>
    <w:rsid w:val="00F4144F"/>
    <w:rsid w:val="00F41ACA"/>
    <w:rsid w:val="00F4464F"/>
    <w:rsid w:val="00F46B68"/>
    <w:rsid w:val="00F548F7"/>
    <w:rsid w:val="00F55DD6"/>
    <w:rsid w:val="00F56172"/>
    <w:rsid w:val="00F57B5B"/>
    <w:rsid w:val="00F6166C"/>
    <w:rsid w:val="00F61C6B"/>
    <w:rsid w:val="00F61ED3"/>
    <w:rsid w:val="00F62B8C"/>
    <w:rsid w:val="00F70D1B"/>
    <w:rsid w:val="00F7140D"/>
    <w:rsid w:val="00F7156A"/>
    <w:rsid w:val="00F72B19"/>
    <w:rsid w:val="00F72E95"/>
    <w:rsid w:val="00F73D74"/>
    <w:rsid w:val="00F751AF"/>
    <w:rsid w:val="00F766B8"/>
    <w:rsid w:val="00F836AB"/>
    <w:rsid w:val="00F848F0"/>
    <w:rsid w:val="00F8728F"/>
    <w:rsid w:val="00F87A7F"/>
    <w:rsid w:val="00F9043A"/>
    <w:rsid w:val="00F95797"/>
    <w:rsid w:val="00F97DDE"/>
    <w:rsid w:val="00FA01DE"/>
    <w:rsid w:val="00FA3EF2"/>
    <w:rsid w:val="00FB07E7"/>
    <w:rsid w:val="00FB65BD"/>
    <w:rsid w:val="00FC5A0A"/>
    <w:rsid w:val="00FC5CA4"/>
    <w:rsid w:val="00FD211E"/>
    <w:rsid w:val="00FE1567"/>
    <w:rsid w:val="00FE44F7"/>
    <w:rsid w:val="00FF0121"/>
    <w:rsid w:val="00FF1AC3"/>
    <w:rsid w:val="00FF20E2"/>
    <w:rsid w:val="00FF5179"/>
    <w:rsid w:val="207F27EF"/>
    <w:rsid w:val="29E6AAA0"/>
    <w:rsid w:val="31B94901"/>
    <w:rsid w:val="3B9DE253"/>
    <w:rsid w:val="637F26AC"/>
    <w:rsid w:val="6A1F65D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4DD38"/>
  <w15:docId w15:val="{04A4423C-0DE9-486B-B8E0-7DC84B0E4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64C"/>
    <w:pPr>
      <w:ind w:left="0" w:firstLine="0"/>
    </w:pPr>
    <w:rPr>
      <w:rFonts w:ascii="Times New Roman" w:eastAsia="Times New Roman" w:hAnsi="Times New Roman" w:cs="Times New Roman"/>
      <w:sz w:val="24"/>
      <w:szCs w:val="24"/>
      <w:lang w:val="es-GT" w:eastAsia="es-ES_tradnl"/>
    </w:rPr>
  </w:style>
  <w:style w:type="paragraph" w:styleId="Heading1">
    <w:name w:val="heading 1"/>
    <w:basedOn w:val="Normal"/>
    <w:next w:val="Normal"/>
    <w:link w:val="Heading1Char"/>
    <w:uiPriority w:val="9"/>
    <w:qFormat/>
    <w:rsid w:val="00E7254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D714AC"/>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7A91"/>
    <w:rPr>
      <w:color w:val="0563C1" w:themeColor="hyperlink"/>
      <w:u w:val="single"/>
    </w:rPr>
  </w:style>
  <w:style w:type="character" w:styleId="CommentReference">
    <w:name w:val="annotation reference"/>
    <w:basedOn w:val="DefaultParagraphFont"/>
    <w:uiPriority w:val="99"/>
    <w:semiHidden/>
    <w:unhideWhenUsed/>
    <w:rsid w:val="006827DA"/>
    <w:rPr>
      <w:sz w:val="16"/>
      <w:szCs w:val="16"/>
    </w:rPr>
  </w:style>
  <w:style w:type="paragraph" w:styleId="CommentText">
    <w:name w:val="annotation text"/>
    <w:basedOn w:val="Normal"/>
    <w:link w:val="CommentTextChar"/>
    <w:uiPriority w:val="99"/>
    <w:unhideWhenUsed/>
    <w:rsid w:val="006827DA"/>
    <w:rPr>
      <w:sz w:val="20"/>
      <w:szCs w:val="20"/>
    </w:rPr>
  </w:style>
  <w:style w:type="character" w:customStyle="1" w:styleId="CommentTextChar">
    <w:name w:val="Comment Text Char"/>
    <w:basedOn w:val="DefaultParagraphFont"/>
    <w:link w:val="CommentText"/>
    <w:uiPriority w:val="99"/>
    <w:rsid w:val="006827DA"/>
    <w:rPr>
      <w:sz w:val="20"/>
      <w:szCs w:val="20"/>
    </w:rPr>
  </w:style>
  <w:style w:type="paragraph" w:styleId="CommentSubject">
    <w:name w:val="annotation subject"/>
    <w:basedOn w:val="CommentText"/>
    <w:next w:val="CommentText"/>
    <w:link w:val="CommentSubjectChar"/>
    <w:uiPriority w:val="99"/>
    <w:semiHidden/>
    <w:unhideWhenUsed/>
    <w:rsid w:val="006827DA"/>
    <w:rPr>
      <w:b/>
      <w:bCs/>
    </w:rPr>
  </w:style>
  <w:style w:type="character" w:customStyle="1" w:styleId="CommentSubjectChar">
    <w:name w:val="Comment Subject Char"/>
    <w:basedOn w:val="CommentTextChar"/>
    <w:link w:val="CommentSubject"/>
    <w:uiPriority w:val="99"/>
    <w:semiHidden/>
    <w:rsid w:val="006827DA"/>
    <w:rPr>
      <w:b/>
      <w:bCs/>
      <w:sz w:val="20"/>
      <w:szCs w:val="20"/>
    </w:rPr>
  </w:style>
  <w:style w:type="paragraph" w:styleId="BalloonText">
    <w:name w:val="Balloon Text"/>
    <w:basedOn w:val="Normal"/>
    <w:link w:val="BalloonTextChar"/>
    <w:uiPriority w:val="99"/>
    <w:semiHidden/>
    <w:unhideWhenUsed/>
    <w:rsid w:val="006827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7DA"/>
    <w:rPr>
      <w:rFonts w:ascii="Segoe UI" w:hAnsi="Segoe UI" w:cs="Segoe UI"/>
      <w:sz w:val="18"/>
      <w:szCs w:val="18"/>
    </w:rPr>
  </w:style>
  <w:style w:type="paragraph" w:styleId="ListParagraph">
    <w:name w:val="List Paragraph"/>
    <w:basedOn w:val="Normal"/>
    <w:uiPriority w:val="34"/>
    <w:qFormat/>
    <w:rsid w:val="00A53B42"/>
    <w:pPr>
      <w:ind w:left="720"/>
      <w:contextualSpacing/>
    </w:pPr>
  </w:style>
  <w:style w:type="paragraph" w:styleId="Revision">
    <w:name w:val="Revision"/>
    <w:hidden/>
    <w:uiPriority w:val="99"/>
    <w:semiHidden/>
    <w:rsid w:val="004141B3"/>
  </w:style>
  <w:style w:type="character" w:customStyle="1" w:styleId="intro-resume2">
    <w:name w:val="intro-resume2"/>
    <w:basedOn w:val="DefaultParagraphFont"/>
    <w:rsid w:val="00BC50B6"/>
    <w:rPr>
      <w:sz w:val="29"/>
      <w:szCs w:val="29"/>
    </w:rPr>
  </w:style>
  <w:style w:type="paragraph" w:customStyle="1" w:styleId="ColorfulList-Accent11">
    <w:name w:val="Colorful List - Accent 11"/>
    <w:basedOn w:val="Normal"/>
    <w:uiPriority w:val="34"/>
    <w:qFormat/>
    <w:rsid w:val="00250611"/>
    <w:pPr>
      <w:ind w:left="720"/>
      <w:contextualSpacing/>
    </w:pPr>
    <w:rPr>
      <w:rFonts w:ascii="Calibri" w:eastAsia="Calibri" w:hAnsi="Calibri"/>
    </w:rPr>
  </w:style>
  <w:style w:type="character" w:customStyle="1" w:styleId="Heading1Char">
    <w:name w:val="Heading 1 Char"/>
    <w:basedOn w:val="DefaultParagraphFont"/>
    <w:link w:val="Heading1"/>
    <w:uiPriority w:val="9"/>
    <w:rsid w:val="00E7254B"/>
    <w:rPr>
      <w:rFonts w:asciiTheme="majorHAnsi" w:eastAsiaTheme="majorEastAsia" w:hAnsiTheme="majorHAnsi" w:cstheme="majorBidi"/>
      <w:color w:val="2E74B5" w:themeColor="accent1" w:themeShade="BF"/>
      <w:sz w:val="32"/>
      <w:szCs w:val="32"/>
    </w:rPr>
  </w:style>
  <w:style w:type="paragraph" w:customStyle="1" w:styleId="NormalNonumber">
    <w:name w:val="Normal_No_number"/>
    <w:basedOn w:val="Normal"/>
    <w:rsid w:val="00CC6FDF"/>
    <w:pPr>
      <w:spacing w:after="120"/>
      <w:ind w:left="1247"/>
    </w:pPr>
    <w:rPr>
      <w:sz w:val="20"/>
      <w:szCs w:val="20"/>
    </w:rPr>
  </w:style>
  <w:style w:type="paragraph" w:customStyle="1" w:styleId="Default">
    <w:name w:val="Default"/>
    <w:basedOn w:val="Normal"/>
    <w:uiPriority w:val="99"/>
    <w:rsid w:val="004969F3"/>
    <w:pPr>
      <w:autoSpaceDE w:val="0"/>
      <w:autoSpaceDN w:val="0"/>
    </w:pPr>
    <w:rPr>
      <w:rFonts w:ascii="Arial" w:hAnsi="Arial" w:cs="Arial"/>
      <w:color w:val="000000"/>
      <w:lang w:eastAsia="en-GB"/>
    </w:rPr>
  </w:style>
  <w:style w:type="paragraph" w:styleId="FootnoteText">
    <w:name w:val="footnote text"/>
    <w:basedOn w:val="Normal"/>
    <w:link w:val="FootnoteTextChar"/>
    <w:uiPriority w:val="99"/>
    <w:semiHidden/>
    <w:unhideWhenUsed/>
    <w:rsid w:val="00FC5A0A"/>
    <w:rPr>
      <w:rFonts w:ascii="Calibri" w:hAnsi="Calibri"/>
      <w:sz w:val="20"/>
      <w:szCs w:val="20"/>
    </w:rPr>
  </w:style>
  <w:style w:type="character" w:customStyle="1" w:styleId="FootnoteTextChar">
    <w:name w:val="Footnote Text Char"/>
    <w:basedOn w:val="DefaultParagraphFont"/>
    <w:link w:val="FootnoteText"/>
    <w:uiPriority w:val="99"/>
    <w:semiHidden/>
    <w:rsid w:val="00FC5A0A"/>
    <w:rPr>
      <w:rFonts w:ascii="Calibri" w:hAnsi="Calibri" w:cs="Times New Roman"/>
      <w:sz w:val="20"/>
      <w:szCs w:val="20"/>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basedOn w:val="DefaultParagraphFont"/>
    <w:unhideWhenUsed/>
    <w:qFormat/>
    <w:rsid w:val="00FC5A0A"/>
    <w:rPr>
      <w:vertAlign w:val="superscript"/>
    </w:rPr>
  </w:style>
  <w:style w:type="paragraph" w:styleId="Header">
    <w:name w:val="header"/>
    <w:basedOn w:val="Normal"/>
    <w:link w:val="HeaderChar"/>
    <w:uiPriority w:val="99"/>
    <w:unhideWhenUsed/>
    <w:rsid w:val="00570F86"/>
    <w:pPr>
      <w:tabs>
        <w:tab w:val="center" w:pos="4513"/>
        <w:tab w:val="right" w:pos="9026"/>
      </w:tabs>
    </w:pPr>
  </w:style>
  <w:style w:type="character" w:customStyle="1" w:styleId="HeaderChar">
    <w:name w:val="Header Char"/>
    <w:basedOn w:val="DefaultParagraphFont"/>
    <w:link w:val="Header"/>
    <w:uiPriority w:val="99"/>
    <w:rsid w:val="00570F86"/>
  </w:style>
  <w:style w:type="paragraph" w:styleId="Footer">
    <w:name w:val="footer"/>
    <w:basedOn w:val="Normal"/>
    <w:link w:val="FooterChar"/>
    <w:uiPriority w:val="99"/>
    <w:unhideWhenUsed/>
    <w:rsid w:val="00570F86"/>
    <w:pPr>
      <w:tabs>
        <w:tab w:val="center" w:pos="4513"/>
        <w:tab w:val="right" w:pos="9026"/>
      </w:tabs>
    </w:pPr>
  </w:style>
  <w:style w:type="character" w:customStyle="1" w:styleId="FooterChar">
    <w:name w:val="Footer Char"/>
    <w:basedOn w:val="DefaultParagraphFont"/>
    <w:link w:val="Footer"/>
    <w:uiPriority w:val="99"/>
    <w:rsid w:val="00570F86"/>
  </w:style>
  <w:style w:type="paragraph" w:styleId="NormalWeb">
    <w:name w:val="Normal (Web)"/>
    <w:basedOn w:val="Normal"/>
    <w:uiPriority w:val="99"/>
    <w:unhideWhenUsed/>
    <w:rsid w:val="00B31A2B"/>
    <w:pPr>
      <w:spacing w:before="100" w:beforeAutospacing="1" w:after="100" w:afterAutospacing="1"/>
    </w:pPr>
    <w:rPr>
      <w:lang w:eastAsia="en-GB"/>
    </w:rPr>
  </w:style>
  <w:style w:type="character" w:styleId="Emphasis">
    <w:name w:val="Emphasis"/>
    <w:basedOn w:val="DefaultParagraphFont"/>
    <w:uiPriority w:val="20"/>
    <w:qFormat/>
    <w:rsid w:val="00C617C5"/>
    <w:rPr>
      <w:i/>
      <w:iCs/>
    </w:rPr>
  </w:style>
  <w:style w:type="character" w:customStyle="1" w:styleId="apple-converted-space">
    <w:name w:val="apple-converted-space"/>
    <w:basedOn w:val="DefaultParagraphFont"/>
    <w:rsid w:val="00E84D11"/>
  </w:style>
  <w:style w:type="character" w:customStyle="1" w:styleId="Heading3Char">
    <w:name w:val="Heading 3 Char"/>
    <w:basedOn w:val="DefaultParagraphFont"/>
    <w:link w:val="Heading3"/>
    <w:uiPriority w:val="9"/>
    <w:semiHidden/>
    <w:rsid w:val="00D714AC"/>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DF36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4371">
      <w:bodyDiv w:val="1"/>
      <w:marLeft w:val="0"/>
      <w:marRight w:val="0"/>
      <w:marTop w:val="0"/>
      <w:marBottom w:val="0"/>
      <w:divBdr>
        <w:top w:val="none" w:sz="0" w:space="0" w:color="auto"/>
        <w:left w:val="none" w:sz="0" w:space="0" w:color="auto"/>
        <w:bottom w:val="none" w:sz="0" w:space="0" w:color="auto"/>
        <w:right w:val="none" w:sz="0" w:space="0" w:color="auto"/>
      </w:divBdr>
    </w:div>
    <w:div w:id="114639190">
      <w:bodyDiv w:val="1"/>
      <w:marLeft w:val="0"/>
      <w:marRight w:val="0"/>
      <w:marTop w:val="0"/>
      <w:marBottom w:val="0"/>
      <w:divBdr>
        <w:top w:val="none" w:sz="0" w:space="0" w:color="auto"/>
        <w:left w:val="none" w:sz="0" w:space="0" w:color="auto"/>
        <w:bottom w:val="none" w:sz="0" w:space="0" w:color="auto"/>
        <w:right w:val="none" w:sz="0" w:space="0" w:color="auto"/>
      </w:divBdr>
    </w:div>
    <w:div w:id="224412979">
      <w:bodyDiv w:val="1"/>
      <w:marLeft w:val="0"/>
      <w:marRight w:val="0"/>
      <w:marTop w:val="0"/>
      <w:marBottom w:val="0"/>
      <w:divBdr>
        <w:top w:val="none" w:sz="0" w:space="0" w:color="auto"/>
        <w:left w:val="none" w:sz="0" w:space="0" w:color="auto"/>
        <w:bottom w:val="none" w:sz="0" w:space="0" w:color="auto"/>
        <w:right w:val="none" w:sz="0" w:space="0" w:color="auto"/>
      </w:divBdr>
    </w:div>
    <w:div w:id="388773355">
      <w:bodyDiv w:val="1"/>
      <w:marLeft w:val="0"/>
      <w:marRight w:val="0"/>
      <w:marTop w:val="0"/>
      <w:marBottom w:val="0"/>
      <w:divBdr>
        <w:top w:val="none" w:sz="0" w:space="0" w:color="auto"/>
        <w:left w:val="none" w:sz="0" w:space="0" w:color="auto"/>
        <w:bottom w:val="none" w:sz="0" w:space="0" w:color="auto"/>
        <w:right w:val="none" w:sz="0" w:space="0" w:color="auto"/>
      </w:divBdr>
    </w:div>
    <w:div w:id="616910825">
      <w:bodyDiv w:val="1"/>
      <w:marLeft w:val="0"/>
      <w:marRight w:val="0"/>
      <w:marTop w:val="0"/>
      <w:marBottom w:val="0"/>
      <w:divBdr>
        <w:top w:val="none" w:sz="0" w:space="0" w:color="auto"/>
        <w:left w:val="none" w:sz="0" w:space="0" w:color="auto"/>
        <w:bottom w:val="none" w:sz="0" w:space="0" w:color="auto"/>
        <w:right w:val="none" w:sz="0" w:space="0" w:color="auto"/>
      </w:divBdr>
    </w:div>
    <w:div w:id="628166958">
      <w:bodyDiv w:val="1"/>
      <w:marLeft w:val="0"/>
      <w:marRight w:val="0"/>
      <w:marTop w:val="0"/>
      <w:marBottom w:val="0"/>
      <w:divBdr>
        <w:top w:val="none" w:sz="0" w:space="0" w:color="auto"/>
        <w:left w:val="none" w:sz="0" w:space="0" w:color="auto"/>
        <w:bottom w:val="none" w:sz="0" w:space="0" w:color="auto"/>
        <w:right w:val="none" w:sz="0" w:space="0" w:color="auto"/>
      </w:divBdr>
    </w:div>
    <w:div w:id="652760944">
      <w:bodyDiv w:val="1"/>
      <w:marLeft w:val="0"/>
      <w:marRight w:val="0"/>
      <w:marTop w:val="0"/>
      <w:marBottom w:val="0"/>
      <w:divBdr>
        <w:top w:val="none" w:sz="0" w:space="0" w:color="auto"/>
        <w:left w:val="none" w:sz="0" w:space="0" w:color="auto"/>
        <w:bottom w:val="none" w:sz="0" w:space="0" w:color="auto"/>
        <w:right w:val="none" w:sz="0" w:space="0" w:color="auto"/>
      </w:divBdr>
    </w:div>
    <w:div w:id="840970131">
      <w:bodyDiv w:val="1"/>
      <w:marLeft w:val="0"/>
      <w:marRight w:val="0"/>
      <w:marTop w:val="0"/>
      <w:marBottom w:val="0"/>
      <w:divBdr>
        <w:top w:val="none" w:sz="0" w:space="0" w:color="auto"/>
        <w:left w:val="none" w:sz="0" w:space="0" w:color="auto"/>
        <w:bottom w:val="none" w:sz="0" w:space="0" w:color="auto"/>
        <w:right w:val="none" w:sz="0" w:space="0" w:color="auto"/>
      </w:divBdr>
    </w:div>
    <w:div w:id="865099451">
      <w:bodyDiv w:val="1"/>
      <w:marLeft w:val="0"/>
      <w:marRight w:val="0"/>
      <w:marTop w:val="0"/>
      <w:marBottom w:val="0"/>
      <w:divBdr>
        <w:top w:val="none" w:sz="0" w:space="0" w:color="auto"/>
        <w:left w:val="none" w:sz="0" w:space="0" w:color="auto"/>
        <w:bottom w:val="none" w:sz="0" w:space="0" w:color="auto"/>
        <w:right w:val="none" w:sz="0" w:space="0" w:color="auto"/>
      </w:divBdr>
    </w:div>
    <w:div w:id="950473389">
      <w:bodyDiv w:val="1"/>
      <w:marLeft w:val="0"/>
      <w:marRight w:val="0"/>
      <w:marTop w:val="0"/>
      <w:marBottom w:val="0"/>
      <w:divBdr>
        <w:top w:val="none" w:sz="0" w:space="0" w:color="auto"/>
        <w:left w:val="none" w:sz="0" w:space="0" w:color="auto"/>
        <w:bottom w:val="none" w:sz="0" w:space="0" w:color="auto"/>
        <w:right w:val="none" w:sz="0" w:space="0" w:color="auto"/>
      </w:divBdr>
    </w:div>
    <w:div w:id="955218619">
      <w:bodyDiv w:val="1"/>
      <w:marLeft w:val="0"/>
      <w:marRight w:val="0"/>
      <w:marTop w:val="0"/>
      <w:marBottom w:val="0"/>
      <w:divBdr>
        <w:top w:val="none" w:sz="0" w:space="0" w:color="auto"/>
        <w:left w:val="none" w:sz="0" w:space="0" w:color="auto"/>
        <w:bottom w:val="none" w:sz="0" w:space="0" w:color="auto"/>
        <w:right w:val="none" w:sz="0" w:space="0" w:color="auto"/>
      </w:divBdr>
    </w:div>
    <w:div w:id="968364028">
      <w:bodyDiv w:val="1"/>
      <w:marLeft w:val="0"/>
      <w:marRight w:val="0"/>
      <w:marTop w:val="0"/>
      <w:marBottom w:val="0"/>
      <w:divBdr>
        <w:top w:val="none" w:sz="0" w:space="0" w:color="auto"/>
        <w:left w:val="none" w:sz="0" w:space="0" w:color="auto"/>
        <w:bottom w:val="none" w:sz="0" w:space="0" w:color="auto"/>
        <w:right w:val="none" w:sz="0" w:space="0" w:color="auto"/>
      </w:divBdr>
    </w:div>
    <w:div w:id="1008484320">
      <w:bodyDiv w:val="1"/>
      <w:marLeft w:val="0"/>
      <w:marRight w:val="0"/>
      <w:marTop w:val="0"/>
      <w:marBottom w:val="0"/>
      <w:divBdr>
        <w:top w:val="none" w:sz="0" w:space="0" w:color="auto"/>
        <w:left w:val="none" w:sz="0" w:space="0" w:color="auto"/>
        <w:bottom w:val="none" w:sz="0" w:space="0" w:color="auto"/>
        <w:right w:val="none" w:sz="0" w:space="0" w:color="auto"/>
      </w:divBdr>
    </w:div>
    <w:div w:id="1055011806">
      <w:bodyDiv w:val="1"/>
      <w:marLeft w:val="0"/>
      <w:marRight w:val="0"/>
      <w:marTop w:val="0"/>
      <w:marBottom w:val="0"/>
      <w:divBdr>
        <w:top w:val="none" w:sz="0" w:space="0" w:color="auto"/>
        <w:left w:val="none" w:sz="0" w:space="0" w:color="auto"/>
        <w:bottom w:val="none" w:sz="0" w:space="0" w:color="auto"/>
        <w:right w:val="none" w:sz="0" w:space="0" w:color="auto"/>
      </w:divBdr>
    </w:div>
    <w:div w:id="1267155315">
      <w:bodyDiv w:val="1"/>
      <w:marLeft w:val="0"/>
      <w:marRight w:val="0"/>
      <w:marTop w:val="0"/>
      <w:marBottom w:val="0"/>
      <w:divBdr>
        <w:top w:val="none" w:sz="0" w:space="0" w:color="auto"/>
        <w:left w:val="none" w:sz="0" w:space="0" w:color="auto"/>
        <w:bottom w:val="none" w:sz="0" w:space="0" w:color="auto"/>
        <w:right w:val="none" w:sz="0" w:space="0" w:color="auto"/>
      </w:divBdr>
    </w:div>
    <w:div w:id="1325428596">
      <w:bodyDiv w:val="1"/>
      <w:marLeft w:val="0"/>
      <w:marRight w:val="0"/>
      <w:marTop w:val="0"/>
      <w:marBottom w:val="0"/>
      <w:divBdr>
        <w:top w:val="none" w:sz="0" w:space="0" w:color="auto"/>
        <w:left w:val="none" w:sz="0" w:space="0" w:color="auto"/>
        <w:bottom w:val="none" w:sz="0" w:space="0" w:color="auto"/>
        <w:right w:val="none" w:sz="0" w:space="0" w:color="auto"/>
      </w:divBdr>
    </w:div>
    <w:div w:id="1436055236">
      <w:bodyDiv w:val="1"/>
      <w:marLeft w:val="0"/>
      <w:marRight w:val="0"/>
      <w:marTop w:val="0"/>
      <w:marBottom w:val="0"/>
      <w:divBdr>
        <w:top w:val="none" w:sz="0" w:space="0" w:color="auto"/>
        <w:left w:val="none" w:sz="0" w:space="0" w:color="auto"/>
        <w:bottom w:val="none" w:sz="0" w:space="0" w:color="auto"/>
        <w:right w:val="none" w:sz="0" w:space="0" w:color="auto"/>
      </w:divBdr>
    </w:div>
    <w:div w:id="1502544292">
      <w:bodyDiv w:val="1"/>
      <w:marLeft w:val="0"/>
      <w:marRight w:val="0"/>
      <w:marTop w:val="0"/>
      <w:marBottom w:val="0"/>
      <w:divBdr>
        <w:top w:val="none" w:sz="0" w:space="0" w:color="auto"/>
        <w:left w:val="none" w:sz="0" w:space="0" w:color="auto"/>
        <w:bottom w:val="none" w:sz="0" w:space="0" w:color="auto"/>
        <w:right w:val="none" w:sz="0" w:space="0" w:color="auto"/>
      </w:divBdr>
    </w:div>
    <w:div w:id="1627390294">
      <w:bodyDiv w:val="1"/>
      <w:marLeft w:val="0"/>
      <w:marRight w:val="0"/>
      <w:marTop w:val="0"/>
      <w:marBottom w:val="0"/>
      <w:divBdr>
        <w:top w:val="none" w:sz="0" w:space="0" w:color="auto"/>
        <w:left w:val="none" w:sz="0" w:space="0" w:color="auto"/>
        <w:bottom w:val="none" w:sz="0" w:space="0" w:color="auto"/>
        <w:right w:val="none" w:sz="0" w:space="0" w:color="auto"/>
      </w:divBdr>
    </w:div>
    <w:div w:id="1701586391">
      <w:bodyDiv w:val="1"/>
      <w:marLeft w:val="0"/>
      <w:marRight w:val="0"/>
      <w:marTop w:val="0"/>
      <w:marBottom w:val="0"/>
      <w:divBdr>
        <w:top w:val="none" w:sz="0" w:space="0" w:color="auto"/>
        <w:left w:val="none" w:sz="0" w:space="0" w:color="auto"/>
        <w:bottom w:val="none" w:sz="0" w:space="0" w:color="auto"/>
        <w:right w:val="none" w:sz="0" w:space="0" w:color="auto"/>
      </w:divBdr>
    </w:div>
    <w:div w:id="1706560343">
      <w:bodyDiv w:val="1"/>
      <w:marLeft w:val="0"/>
      <w:marRight w:val="0"/>
      <w:marTop w:val="0"/>
      <w:marBottom w:val="0"/>
      <w:divBdr>
        <w:top w:val="none" w:sz="0" w:space="0" w:color="auto"/>
        <w:left w:val="none" w:sz="0" w:space="0" w:color="auto"/>
        <w:bottom w:val="none" w:sz="0" w:space="0" w:color="auto"/>
        <w:right w:val="none" w:sz="0" w:space="0" w:color="auto"/>
      </w:divBdr>
    </w:div>
    <w:div w:id="1747679828">
      <w:bodyDiv w:val="1"/>
      <w:marLeft w:val="0"/>
      <w:marRight w:val="0"/>
      <w:marTop w:val="0"/>
      <w:marBottom w:val="0"/>
      <w:divBdr>
        <w:top w:val="none" w:sz="0" w:space="0" w:color="auto"/>
        <w:left w:val="none" w:sz="0" w:space="0" w:color="auto"/>
        <w:bottom w:val="none" w:sz="0" w:space="0" w:color="auto"/>
        <w:right w:val="none" w:sz="0" w:space="0" w:color="auto"/>
      </w:divBdr>
    </w:div>
    <w:div w:id="2015838101">
      <w:bodyDiv w:val="1"/>
      <w:marLeft w:val="0"/>
      <w:marRight w:val="0"/>
      <w:marTop w:val="0"/>
      <w:marBottom w:val="0"/>
      <w:divBdr>
        <w:top w:val="none" w:sz="0" w:space="0" w:color="auto"/>
        <w:left w:val="none" w:sz="0" w:space="0" w:color="auto"/>
        <w:bottom w:val="none" w:sz="0" w:space="0" w:color="auto"/>
        <w:right w:val="none" w:sz="0" w:space="0" w:color="auto"/>
      </w:divBdr>
    </w:div>
    <w:div w:id="211628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8342C-B2EC-451D-BCA5-2BEDEF721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14</Pages>
  <Words>7887</Words>
  <Characters>44960</Characters>
  <Application>Microsoft Office Word</Application>
  <DocSecurity>0</DocSecurity>
  <Lines>374</Lines>
  <Paragraphs>105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IUCN</Company>
  <LinksUpToDate>false</LinksUpToDate>
  <CharactersWithSpaces>52742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Ramsar\GuerquinF</dc:creator>
  <cp:keywords/>
  <dc:description/>
  <cp:lastModifiedBy>JENNINGS Edmund</cp:lastModifiedBy>
  <cp:revision>5</cp:revision>
  <cp:lastPrinted>2018-07-30T07:13:00Z</cp:lastPrinted>
  <dcterms:created xsi:type="dcterms:W3CDTF">2018-09-28T08:16:00Z</dcterms:created>
  <dcterms:modified xsi:type="dcterms:W3CDTF">2018-09-28T10:00:00Z</dcterms:modified>
  <cp:category/>
</cp:coreProperties>
</file>