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B1199" w14:textId="77777777" w:rsidR="002214B8" w:rsidRPr="00C652A2" w:rsidRDefault="002214B8" w:rsidP="002214B8">
      <w:pPr>
        <w:ind w:left="0" w:firstLine="0"/>
        <w:jc w:val="center"/>
        <w:outlineLvl w:val="0"/>
        <w:rPr>
          <w:rFonts w:eastAsia="Times New Roman" w:cstheme="minorHAnsi"/>
          <w:b/>
          <w:bCs/>
          <w:sz w:val="24"/>
          <w:szCs w:val="24"/>
          <w:lang w:val="en-US"/>
        </w:rPr>
      </w:pPr>
      <w:r w:rsidRPr="00C652A2">
        <w:rPr>
          <w:rFonts w:eastAsia="Times New Roman" w:cstheme="minorHAnsi"/>
          <w:b/>
          <w:bCs/>
          <w:sz w:val="24"/>
          <w:szCs w:val="24"/>
          <w:lang w:val="en-US"/>
        </w:rPr>
        <w:t>14th Meeting of the Conference of the Contracting Parties</w:t>
      </w:r>
    </w:p>
    <w:p w14:paraId="30DF038F" w14:textId="77777777" w:rsidR="002214B8" w:rsidRPr="00C652A2" w:rsidRDefault="002214B8" w:rsidP="002214B8">
      <w:pPr>
        <w:ind w:left="0" w:firstLine="0"/>
        <w:jc w:val="center"/>
        <w:outlineLvl w:val="0"/>
        <w:rPr>
          <w:rFonts w:eastAsia="Times New Roman" w:cstheme="minorHAnsi"/>
          <w:b/>
          <w:bCs/>
          <w:sz w:val="24"/>
          <w:szCs w:val="24"/>
          <w:lang w:val="en-US"/>
        </w:rPr>
      </w:pPr>
      <w:r w:rsidRPr="00C652A2">
        <w:rPr>
          <w:rFonts w:eastAsia="Times New Roman" w:cstheme="minorHAnsi"/>
          <w:b/>
          <w:bCs/>
          <w:sz w:val="24"/>
          <w:szCs w:val="24"/>
          <w:lang w:val="en-US"/>
        </w:rPr>
        <w:t>to the Ramsar Convention on Wetlands</w:t>
      </w:r>
    </w:p>
    <w:p w14:paraId="76984ADB" w14:textId="77777777" w:rsidR="002214B8" w:rsidRPr="00C652A2" w:rsidRDefault="002214B8" w:rsidP="002214B8">
      <w:pPr>
        <w:ind w:left="0" w:firstLine="0"/>
        <w:jc w:val="center"/>
        <w:outlineLvl w:val="0"/>
        <w:rPr>
          <w:rFonts w:eastAsia="Times New Roman" w:cstheme="minorHAnsi"/>
          <w:b/>
          <w:bCs/>
          <w:sz w:val="24"/>
          <w:szCs w:val="24"/>
          <w:lang w:val="en-US"/>
        </w:rPr>
      </w:pPr>
    </w:p>
    <w:p w14:paraId="4B7C9F74" w14:textId="77777777" w:rsidR="002214B8" w:rsidRPr="00C652A2" w:rsidRDefault="002214B8" w:rsidP="002214B8">
      <w:pPr>
        <w:ind w:left="0" w:firstLine="0"/>
        <w:jc w:val="center"/>
        <w:outlineLvl w:val="0"/>
        <w:rPr>
          <w:rFonts w:eastAsia="Times New Roman" w:cstheme="minorHAnsi"/>
          <w:b/>
          <w:bCs/>
          <w:sz w:val="24"/>
          <w:szCs w:val="24"/>
          <w:lang w:val="en-US"/>
        </w:rPr>
      </w:pPr>
      <w:r w:rsidRPr="00C652A2">
        <w:rPr>
          <w:rFonts w:eastAsia="Times New Roman" w:cstheme="minorHAnsi"/>
          <w:b/>
          <w:bCs/>
          <w:sz w:val="24"/>
          <w:szCs w:val="24"/>
          <w:lang w:val="en-US"/>
        </w:rPr>
        <w:t xml:space="preserve"> “Wetlands Actions for People and Nature”</w:t>
      </w:r>
    </w:p>
    <w:p w14:paraId="06FE1490" w14:textId="77777777" w:rsidR="002214B8" w:rsidRPr="00C652A2" w:rsidRDefault="002214B8" w:rsidP="002214B8">
      <w:pPr>
        <w:ind w:left="0" w:firstLine="0"/>
        <w:jc w:val="center"/>
        <w:outlineLvl w:val="0"/>
        <w:rPr>
          <w:rFonts w:eastAsia="Times New Roman" w:cstheme="minorHAnsi"/>
          <w:b/>
          <w:bCs/>
          <w:sz w:val="24"/>
          <w:szCs w:val="24"/>
          <w:lang w:val="en-US"/>
        </w:rPr>
      </w:pPr>
      <w:r w:rsidRPr="00C652A2">
        <w:rPr>
          <w:rFonts w:eastAsia="Times New Roman" w:cstheme="minorHAnsi"/>
          <w:b/>
          <w:bCs/>
          <w:sz w:val="24"/>
          <w:szCs w:val="24"/>
          <w:lang w:val="en-US"/>
        </w:rPr>
        <w:t>Wuhan, China and Geneva, Switzerland, 5-13 November 2022</w:t>
      </w:r>
    </w:p>
    <w:p w14:paraId="5C678F9C" w14:textId="77777777" w:rsidR="00E44D71" w:rsidRPr="002214B8" w:rsidRDefault="00E44D71" w:rsidP="007E265E">
      <w:pPr>
        <w:jc w:val="center"/>
        <w:outlineLvl w:val="0"/>
        <w:rPr>
          <w:rFonts w:cstheme="majorHAnsi"/>
          <w:b/>
          <w:bCs/>
          <w:sz w:val="24"/>
          <w:szCs w:val="24"/>
          <w:lang w:val="en-US"/>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7E265E" w:rsidRPr="00A138B1" w14:paraId="611AC0E3" w14:textId="77777777" w:rsidTr="00756ADA">
        <w:tc>
          <w:tcPr>
            <w:tcW w:w="4708" w:type="dxa"/>
          </w:tcPr>
          <w:p w14:paraId="0BFD2F76" w14:textId="77777777" w:rsidR="007E265E" w:rsidRPr="00D06578" w:rsidRDefault="007E265E" w:rsidP="00756ADA">
            <w:pPr>
              <w:jc w:val="center"/>
              <w:outlineLvl w:val="0"/>
              <w:rPr>
                <w:rFonts w:cstheme="majorHAnsi"/>
                <w:b/>
                <w:bCs/>
              </w:rPr>
            </w:pPr>
          </w:p>
        </w:tc>
        <w:tc>
          <w:tcPr>
            <w:tcW w:w="4652" w:type="dxa"/>
          </w:tcPr>
          <w:p w14:paraId="0B1288E7" w14:textId="6EB1B8C6" w:rsidR="007E265E" w:rsidRPr="00B3125E" w:rsidRDefault="007E265E" w:rsidP="00950541">
            <w:pPr>
              <w:jc w:val="right"/>
              <w:outlineLvl w:val="0"/>
              <w:rPr>
                <w:rFonts w:cstheme="majorHAnsi"/>
                <w:b/>
                <w:bCs/>
                <w:sz w:val="24"/>
                <w:szCs w:val="24"/>
                <w:lang w:val="es-ES_tradnl"/>
              </w:rPr>
            </w:pPr>
            <w:r w:rsidRPr="00B3125E">
              <w:rPr>
                <w:rFonts w:cstheme="majorHAnsi"/>
                <w:b/>
                <w:bCs/>
                <w:sz w:val="24"/>
                <w:szCs w:val="24"/>
                <w:lang w:val="es-ES_tradnl"/>
              </w:rPr>
              <w:t>Ramsar COP1</w:t>
            </w:r>
            <w:r w:rsidR="00807A44">
              <w:rPr>
                <w:rFonts w:cstheme="majorHAnsi"/>
                <w:b/>
                <w:bCs/>
                <w:sz w:val="24"/>
                <w:szCs w:val="24"/>
                <w:lang w:val="es-ES_tradnl"/>
              </w:rPr>
              <w:t>4</w:t>
            </w:r>
            <w:r w:rsidRPr="00B3125E">
              <w:rPr>
                <w:rFonts w:cstheme="majorHAnsi"/>
                <w:b/>
                <w:bCs/>
                <w:sz w:val="24"/>
                <w:szCs w:val="24"/>
                <w:lang w:val="es-ES_tradnl"/>
              </w:rPr>
              <w:t xml:space="preserve"> </w:t>
            </w:r>
            <w:r w:rsidRPr="00BC63E9">
              <w:rPr>
                <w:rFonts w:cstheme="majorHAnsi"/>
                <w:b/>
                <w:bCs/>
                <w:sz w:val="24"/>
                <w:szCs w:val="24"/>
                <w:lang w:val="es-ES_tradnl"/>
              </w:rPr>
              <w:t>Doc.</w:t>
            </w:r>
            <w:r w:rsidR="002214B8">
              <w:rPr>
                <w:rFonts w:cstheme="majorHAnsi"/>
                <w:b/>
                <w:bCs/>
                <w:sz w:val="24"/>
                <w:szCs w:val="24"/>
                <w:lang w:val="es-ES_tradnl"/>
              </w:rPr>
              <w:t>9.</w:t>
            </w:r>
            <w:r w:rsidR="00950541">
              <w:rPr>
                <w:rFonts w:cstheme="majorHAnsi"/>
                <w:b/>
                <w:bCs/>
                <w:sz w:val="24"/>
                <w:szCs w:val="24"/>
                <w:lang w:val="es-ES_tradnl"/>
              </w:rPr>
              <w:t>2</w:t>
            </w:r>
          </w:p>
        </w:tc>
      </w:tr>
    </w:tbl>
    <w:p w14:paraId="5A669C6E" w14:textId="77777777" w:rsidR="007E265E" w:rsidRDefault="007E265E" w:rsidP="007E265E">
      <w:pPr>
        <w:jc w:val="both"/>
        <w:rPr>
          <w:rFonts w:eastAsia="Times New Roman" w:cstheme="minorHAnsi"/>
          <w:b/>
          <w:lang w:eastAsia="fr-FR"/>
        </w:rPr>
      </w:pPr>
    </w:p>
    <w:p w14:paraId="2D8C0B3E" w14:textId="77777777" w:rsidR="00535AEB" w:rsidRPr="004D7AB9" w:rsidRDefault="00535AEB" w:rsidP="007E265E">
      <w:pPr>
        <w:jc w:val="both"/>
        <w:rPr>
          <w:rFonts w:eastAsia="Times New Roman" w:cstheme="minorHAnsi"/>
          <w:b/>
          <w:lang w:eastAsia="fr-FR"/>
        </w:rPr>
      </w:pPr>
    </w:p>
    <w:p w14:paraId="709816D9" w14:textId="77777777" w:rsidR="007E265E" w:rsidRPr="006C4C10" w:rsidRDefault="007E265E" w:rsidP="007E265E">
      <w:pPr>
        <w:jc w:val="center"/>
        <w:rPr>
          <w:rFonts w:cstheme="minorHAnsi"/>
          <w:b/>
          <w:sz w:val="28"/>
          <w:szCs w:val="28"/>
        </w:rPr>
      </w:pPr>
      <w:r w:rsidRPr="006C4C10">
        <w:rPr>
          <w:rFonts w:cstheme="minorHAnsi"/>
          <w:b/>
          <w:sz w:val="28"/>
          <w:szCs w:val="28"/>
        </w:rPr>
        <w:t>Report</w:t>
      </w:r>
      <w:r>
        <w:rPr>
          <w:rFonts w:cstheme="minorHAnsi"/>
          <w:b/>
          <w:sz w:val="28"/>
          <w:szCs w:val="28"/>
        </w:rPr>
        <w:t xml:space="preserve"> </w:t>
      </w:r>
      <w:r w:rsidRPr="006C4C10">
        <w:rPr>
          <w:rFonts w:cstheme="minorHAnsi"/>
          <w:b/>
          <w:sz w:val="28"/>
          <w:szCs w:val="28"/>
        </w:rPr>
        <w:t>of</w:t>
      </w:r>
      <w:r>
        <w:rPr>
          <w:rFonts w:cstheme="minorHAnsi"/>
          <w:b/>
          <w:sz w:val="28"/>
          <w:szCs w:val="28"/>
        </w:rPr>
        <w:t xml:space="preserve"> </w:t>
      </w:r>
      <w:r w:rsidRPr="006C4C10">
        <w:rPr>
          <w:rFonts w:cstheme="minorHAnsi"/>
          <w:b/>
          <w:sz w:val="28"/>
          <w:szCs w:val="28"/>
        </w:rPr>
        <w:t>the</w:t>
      </w:r>
      <w:r>
        <w:rPr>
          <w:rFonts w:cstheme="minorHAnsi"/>
          <w:b/>
          <w:sz w:val="28"/>
          <w:szCs w:val="28"/>
        </w:rPr>
        <w:t xml:space="preserve"> </w:t>
      </w:r>
      <w:r w:rsidRPr="006C4C10">
        <w:rPr>
          <w:rFonts w:cstheme="minorHAnsi"/>
          <w:b/>
          <w:sz w:val="28"/>
          <w:szCs w:val="28"/>
        </w:rPr>
        <w:t>Secretary</w:t>
      </w:r>
      <w:r>
        <w:rPr>
          <w:rFonts w:cstheme="minorHAnsi"/>
          <w:b/>
          <w:sz w:val="28"/>
          <w:szCs w:val="28"/>
        </w:rPr>
        <w:t xml:space="preserve"> </w:t>
      </w:r>
      <w:r w:rsidRPr="006C4C10">
        <w:rPr>
          <w:rFonts w:cstheme="minorHAnsi"/>
          <w:b/>
          <w:sz w:val="28"/>
          <w:szCs w:val="28"/>
        </w:rPr>
        <w:t>General</w:t>
      </w:r>
      <w:r>
        <w:rPr>
          <w:rFonts w:cstheme="minorHAnsi"/>
          <w:b/>
          <w:sz w:val="28"/>
          <w:szCs w:val="28"/>
        </w:rPr>
        <w:t xml:space="preserve"> </w:t>
      </w:r>
      <w:r w:rsidRPr="006C4C10">
        <w:rPr>
          <w:rFonts w:cstheme="minorHAnsi"/>
          <w:b/>
          <w:sz w:val="28"/>
          <w:szCs w:val="28"/>
        </w:rPr>
        <w:t>on</w:t>
      </w:r>
      <w:r>
        <w:rPr>
          <w:rFonts w:cstheme="minorHAnsi"/>
          <w:b/>
          <w:sz w:val="28"/>
          <w:szCs w:val="28"/>
        </w:rPr>
        <w:t xml:space="preserve"> </w:t>
      </w:r>
      <w:r w:rsidRPr="006C4C10">
        <w:rPr>
          <w:rFonts w:cstheme="minorHAnsi"/>
          <w:b/>
          <w:sz w:val="28"/>
          <w:szCs w:val="28"/>
        </w:rPr>
        <w:t>the</w:t>
      </w:r>
      <w:r>
        <w:rPr>
          <w:rFonts w:cstheme="minorHAnsi"/>
          <w:b/>
          <w:sz w:val="28"/>
          <w:szCs w:val="28"/>
        </w:rPr>
        <w:t xml:space="preserve"> </w:t>
      </w:r>
      <w:r w:rsidRPr="006C4C10">
        <w:rPr>
          <w:rFonts w:cstheme="minorHAnsi"/>
          <w:b/>
          <w:sz w:val="28"/>
          <w:szCs w:val="28"/>
        </w:rPr>
        <w:t>implementation</w:t>
      </w:r>
      <w:r>
        <w:rPr>
          <w:rFonts w:cstheme="minorHAnsi"/>
          <w:b/>
          <w:sz w:val="28"/>
          <w:szCs w:val="28"/>
        </w:rPr>
        <w:t xml:space="preserve"> </w:t>
      </w:r>
      <w:r w:rsidRPr="006C4C10">
        <w:rPr>
          <w:rFonts w:cstheme="minorHAnsi"/>
          <w:b/>
          <w:sz w:val="28"/>
          <w:szCs w:val="28"/>
        </w:rPr>
        <w:t>of</w:t>
      </w:r>
      <w:r>
        <w:rPr>
          <w:rFonts w:cstheme="minorHAnsi"/>
          <w:b/>
          <w:sz w:val="28"/>
          <w:szCs w:val="28"/>
        </w:rPr>
        <w:t xml:space="preserve"> </w:t>
      </w:r>
      <w:r w:rsidRPr="006C4C10">
        <w:rPr>
          <w:rFonts w:cstheme="minorHAnsi"/>
          <w:b/>
          <w:sz w:val="28"/>
          <w:szCs w:val="28"/>
        </w:rPr>
        <w:t>the</w:t>
      </w:r>
      <w:r>
        <w:rPr>
          <w:rFonts w:cstheme="minorHAnsi"/>
          <w:b/>
          <w:sz w:val="28"/>
          <w:szCs w:val="28"/>
        </w:rPr>
        <w:t xml:space="preserve"> </w:t>
      </w:r>
      <w:r w:rsidRPr="006C4C10">
        <w:rPr>
          <w:rFonts w:cstheme="minorHAnsi"/>
          <w:b/>
          <w:sz w:val="28"/>
          <w:szCs w:val="28"/>
        </w:rPr>
        <w:t>Convention</w:t>
      </w:r>
      <w:r>
        <w:rPr>
          <w:rFonts w:cstheme="minorHAnsi"/>
          <w:b/>
          <w:sz w:val="28"/>
          <w:szCs w:val="28"/>
        </w:rPr>
        <w:t xml:space="preserve">: </w:t>
      </w:r>
      <w:r w:rsidR="004055EA">
        <w:rPr>
          <w:rFonts w:cstheme="minorHAnsi"/>
          <w:b/>
          <w:sz w:val="28"/>
          <w:szCs w:val="28"/>
        </w:rPr>
        <w:t>Work</w:t>
      </w:r>
      <w:r>
        <w:rPr>
          <w:rFonts w:cstheme="minorHAnsi"/>
          <w:b/>
          <w:sz w:val="28"/>
          <w:szCs w:val="28"/>
        </w:rPr>
        <w:t xml:space="preserve"> of the Secretariat</w:t>
      </w:r>
    </w:p>
    <w:p w14:paraId="15B16E0F" w14:textId="77777777" w:rsidR="00250611" w:rsidRPr="008A384C" w:rsidRDefault="00250611" w:rsidP="00B1006A">
      <w:pPr>
        <w:rPr>
          <w:rFonts w:cstheme="minorHAnsi"/>
        </w:rPr>
      </w:pPr>
    </w:p>
    <w:p w14:paraId="52D7E63A" w14:textId="77777777" w:rsidR="00C81B75" w:rsidRPr="008A384C" w:rsidRDefault="00C81B75" w:rsidP="00B1006A">
      <w:pPr>
        <w:ind w:left="0" w:firstLine="0"/>
        <w:rPr>
          <w:rFonts w:cstheme="minorHAnsi"/>
          <w:b/>
        </w:rPr>
      </w:pPr>
    </w:p>
    <w:p w14:paraId="3FA8226D" w14:textId="77777777" w:rsidR="00DC5693" w:rsidRPr="00C0477E" w:rsidRDefault="002F0AD3" w:rsidP="00FA12DB">
      <w:pPr>
        <w:ind w:left="426"/>
        <w:rPr>
          <w:rFonts w:cstheme="minorHAnsi"/>
        </w:rPr>
      </w:pPr>
      <w:r w:rsidRPr="00C0477E">
        <w:rPr>
          <w:rFonts w:cstheme="minorHAnsi"/>
        </w:rPr>
        <w:t>1.</w:t>
      </w:r>
      <w:r w:rsidRPr="00C0477E">
        <w:rPr>
          <w:rFonts w:cstheme="minorHAnsi"/>
        </w:rPr>
        <w:tab/>
      </w:r>
      <w:r w:rsidR="0031686B" w:rsidRPr="00C0477E">
        <w:rPr>
          <w:rFonts w:cstheme="minorHAnsi"/>
        </w:rPr>
        <w:t>T</w:t>
      </w:r>
      <w:r w:rsidR="00250611" w:rsidRPr="00C0477E">
        <w:rPr>
          <w:rFonts w:cstheme="minorHAnsi"/>
        </w:rPr>
        <w:t>his report covers t</w:t>
      </w:r>
      <w:r w:rsidR="00DC5693" w:rsidRPr="00C0477E">
        <w:rPr>
          <w:rFonts w:cstheme="minorHAnsi"/>
        </w:rPr>
        <w:t>he work of the Secretariat from the clos</w:t>
      </w:r>
      <w:r w:rsidR="00E05719" w:rsidRPr="00C0477E">
        <w:rPr>
          <w:rFonts w:cstheme="minorHAnsi"/>
        </w:rPr>
        <w:t xml:space="preserve">e </w:t>
      </w:r>
      <w:r w:rsidR="00DC5693" w:rsidRPr="00C0477E">
        <w:rPr>
          <w:rFonts w:cstheme="minorHAnsi"/>
        </w:rPr>
        <w:t>of the 1</w:t>
      </w:r>
      <w:r w:rsidR="00807A44" w:rsidRPr="00C0477E">
        <w:rPr>
          <w:rFonts w:cstheme="minorHAnsi"/>
        </w:rPr>
        <w:t>3</w:t>
      </w:r>
      <w:r w:rsidR="00DC5693" w:rsidRPr="00C0477E">
        <w:rPr>
          <w:rFonts w:cstheme="minorHAnsi"/>
        </w:rPr>
        <w:t xml:space="preserve">th </w:t>
      </w:r>
      <w:r w:rsidR="00391A45" w:rsidRPr="00C0477E">
        <w:rPr>
          <w:rFonts w:cstheme="minorHAnsi"/>
        </w:rPr>
        <w:t>m</w:t>
      </w:r>
      <w:r w:rsidR="00DC5693" w:rsidRPr="00C0477E">
        <w:rPr>
          <w:rFonts w:cstheme="minorHAnsi"/>
        </w:rPr>
        <w:t>eeting of the Conference of the Cont</w:t>
      </w:r>
      <w:r w:rsidR="00042694" w:rsidRPr="00C0477E">
        <w:rPr>
          <w:rFonts w:cstheme="minorHAnsi"/>
        </w:rPr>
        <w:t>racting Parties</w:t>
      </w:r>
      <w:r w:rsidR="00BB5F70" w:rsidRPr="00C0477E">
        <w:rPr>
          <w:rFonts w:cstheme="minorHAnsi"/>
        </w:rPr>
        <w:t xml:space="preserve"> (COP1</w:t>
      </w:r>
      <w:r w:rsidR="00630957" w:rsidRPr="00C0477E">
        <w:rPr>
          <w:rFonts w:cstheme="minorHAnsi"/>
        </w:rPr>
        <w:t>3</w:t>
      </w:r>
      <w:r w:rsidR="00BB5F70" w:rsidRPr="00C0477E">
        <w:rPr>
          <w:rFonts w:cstheme="minorHAnsi"/>
        </w:rPr>
        <w:t>)</w:t>
      </w:r>
      <w:r w:rsidR="00366992" w:rsidRPr="00C0477E">
        <w:rPr>
          <w:rFonts w:cstheme="minorHAnsi"/>
        </w:rPr>
        <w:t>,</w:t>
      </w:r>
      <w:r w:rsidR="00042694" w:rsidRPr="00C0477E">
        <w:rPr>
          <w:rFonts w:cstheme="minorHAnsi"/>
        </w:rPr>
        <w:t xml:space="preserve"> on </w:t>
      </w:r>
      <w:r w:rsidR="00630957" w:rsidRPr="00C0477E">
        <w:rPr>
          <w:rFonts w:cstheme="minorHAnsi"/>
        </w:rPr>
        <w:t>29</w:t>
      </w:r>
      <w:r w:rsidR="00042694" w:rsidRPr="00C0477E">
        <w:rPr>
          <w:rFonts w:cstheme="minorHAnsi"/>
        </w:rPr>
        <w:t xml:space="preserve"> </w:t>
      </w:r>
      <w:r w:rsidR="00630957" w:rsidRPr="00C0477E">
        <w:rPr>
          <w:rFonts w:cstheme="minorHAnsi"/>
        </w:rPr>
        <w:t>October</w:t>
      </w:r>
      <w:r w:rsidR="00042694" w:rsidRPr="00C0477E">
        <w:rPr>
          <w:rFonts w:cstheme="minorHAnsi"/>
        </w:rPr>
        <w:t xml:space="preserve"> 201</w:t>
      </w:r>
      <w:r w:rsidR="00630957" w:rsidRPr="00C0477E">
        <w:rPr>
          <w:rFonts w:cstheme="minorHAnsi"/>
        </w:rPr>
        <w:t>8</w:t>
      </w:r>
      <w:r w:rsidR="00366992" w:rsidRPr="00C0477E">
        <w:rPr>
          <w:rFonts w:cstheme="minorHAnsi"/>
        </w:rPr>
        <w:t>,</w:t>
      </w:r>
      <w:r w:rsidR="00E11A34" w:rsidRPr="00C0477E">
        <w:rPr>
          <w:rFonts w:cstheme="minorHAnsi"/>
        </w:rPr>
        <w:t xml:space="preserve"> u</w:t>
      </w:r>
      <w:r w:rsidR="00DC5693" w:rsidRPr="00C0477E">
        <w:rPr>
          <w:rFonts w:cstheme="minorHAnsi"/>
        </w:rPr>
        <w:t xml:space="preserve">ntil </w:t>
      </w:r>
      <w:r w:rsidR="00543BCB" w:rsidRPr="00C0477E">
        <w:rPr>
          <w:rFonts w:cstheme="minorHAnsi"/>
        </w:rPr>
        <w:t>5 August</w:t>
      </w:r>
      <w:r w:rsidR="00DC5693" w:rsidRPr="00C0477E">
        <w:rPr>
          <w:rFonts w:cstheme="minorHAnsi"/>
        </w:rPr>
        <w:t xml:space="preserve"> 20</w:t>
      </w:r>
      <w:r w:rsidR="00543BCB" w:rsidRPr="00C0477E">
        <w:rPr>
          <w:rFonts w:cstheme="minorHAnsi"/>
        </w:rPr>
        <w:t>22</w:t>
      </w:r>
      <w:r w:rsidR="00DC5693" w:rsidRPr="00C0477E">
        <w:rPr>
          <w:rFonts w:cstheme="minorHAnsi"/>
        </w:rPr>
        <w:t xml:space="preserve">. </w:t>
      </w:r>
    </w:p>
    <w:p w14:paraId="303D83E5" w14:textId="77777777" w:rsidR="00DC2341" w:rsidRPr="00C0477E" w:rsidRDefault="00DC2341" w:rsidP="00FA12DB">
      <w:pPr>
        <w:ind w:left="426"/>
        <w:rPr>
          <w:rFonts w:cstheme="minorHAnsi"/>
        </w:rPr>
      </w:pPr>
    </w:p>
    <w:p w14:paraId="42F9A8EE" w14:textId="77777777" w:rsidR="00724804" w:rsidRPr="00C0477E" w:rsidRDefault="002F0AD3" w:rsidP="00FA12DB">
      <w:pPr>
        <w:ind w:left="426"/>
        <w:rPr>
          <w:rFonts w:cstheme="minorHAnsi"/>
        </w:rPr>
      </w:pPr>
      <w:r w:rsidRPr="00C0477E">
        <w:rPr>
          <w:rFonts w:cstheme="minorHAnsi"/>
        </w:rPr>
        <w:t>2.</w:t>
      </w:r>
      <w:r w:rsidRPr="00C0477E">
        <w:rPr>
          <w:rFonts w:cstheme="minorHAnsi"/>
        </w:rPr>
        <w:tab/>
      </w:r>
      <w:r w:rsidR="00E13EC4" w:rsidRPr="00C0477E">
        <w:rPr>
          <w:rFonts w:cstheme="minorHAnsi"/>
        </w:rPr>
        <w:t>Th</w:t>
      </w:r>
      <w:r w:rsidR="00AE0381" w:rsidRPr="00C0477E">
        <w:rPr>
          <w:rFonts w:cstheme="minorHAnsi"/>
        </w:rPr>
        <w:t>e</w:t>
      </w:r>
      <w:r w:rsidR="00E13EC4" w:rsidRPr="00C0477E">
        <w:rPr>
          <w:rFonts w:cstheme="minorHAnsi"/>
        </w:rPr>
        <w:t xml:space="preserve"> </w:t>
      </w:r>
      <w:r w:rsidR="00724804" w:rsidRPr="00C0477E">
        <w:rPr>
          <w:rFonts w:cstheme="minorHAnsi"/>
        </w:rPr>
        <w:t>report provides both an overview and selected highlights of the wo</w:t>
      </w:r>
      <w:r w:rsidR="00042694" w:rsidRPr="00C0477E">
        <w:rPr>
          <w:rFonts w:cstheme="minorHAnsi"/>
        </w:rPr>
        <w:t xml:space="preserve">rk completed </w:t>
      </w:r>
      <w:r w:rsidR="00A52454" w:rsidRPr="00C0477E">
        <w:rPr>
          <w:rFonts w:cstheme="minorHAnsi"/>
        </w:rPr>
        <w:t xml:space="preserve">by the Secretariat </w:t>
      </w:r>
      <w:r w:rsidR="00042694" w:rsidRPr="00C0477E">
        <w:rPr>
          <w:rFonts w:cstheme="minorHAnsi"/>
        </w:rPr>
        <w:t>during the</w:t>
      </w:r>
      <w:r w:rsidR="00724804" w:rsidRPr="00C0477E">
        <w:rPr>
          <w:rFonts w:cstheme="minorHAnsi"/>
        </w:rPr>
        <w:t xml:space="preserve"> triennium</w:t>
      </w:r>
      <w:r w:rsidR="000B1F99" w:rsidRPr="00C0477E">
        <w:rPr>
          <w:rFonts w:cstheme="minorHAnsi"/>
        </w:rPr>
        <w:t xml:space="preserve"> and </w:t>
      </w:r>
      <w:r w:rsidR="00567737" w:rsidRPr="00C0477E">
        <w:rPr>
          <w:rFonts w:cstheme="minorHAnsi"/>
        </w:rPr>
        <w:t xml:space="preserve">an </w:t>
      </w:r>
      <w:r w:rsidR="000B1F99" w:rsidRPr="00C0477E">
        <w:rPr>
          <w:rFonts w:cstheme="minorHAnsi"/>
        </w:rPr>
        <w:t xml:space="preserve">additional </w:t>
      </w:r>
      <w:r w:rsidR="00965A27" w:rsidRPr="00C0477E">
        <w:rPr>
          <w:rFonts w:cstheme="minorHAnsi"/>
        </w:rPr>
        <w:t>eight months</w:t>
      </w:r>
      <w:r w:rsidR="00462756" w:rsidRPr="00C0477E">
        <w:rPr>
          <w:rFonts w:cstheme="minorHAnsi"/>
        </w:rPr>
        <w:t xml:space="preserve">, drawing from the reports presented </w:t>
      </w:r>
      <w:r w:rsidR="00567737" w:rsidRPr="00C0477E">
        <w:rPr>
          <w:rFonts w:cstheme="minorHAnsi"/>
        </w:rPr>
        <w:t>at</w:t>
      </w:r>
      <w:r w:rsidR="00462756" w:rsidRPr="00C0477E">
        <w:rPr>
          <w:rFonts w:cstheme="minorHAnsi"/>
        </w:rPr>
        <w:t xml:space="preserve"> the 5</w:t>
      </w:r>
      <w:r w:rsidR="004D4C77" w:rsidRPr="00C0477E">
        <w:rPr>
          <w:rFonts w:cstheme="minorHAnsi"/>
        </w:rPr>
        <w:t>7th</w:t>
      </w:r>
      <w:r w:rsidR="00462756" w:rsidRPr="00C0477E">
        <w:rPr>
          <w:rFonts w:cstheme="minorHAnsi"/>
        </w:rPr>
        <w:t>, 5</w:t>
      </w:r>
      <w:r w:rsidR="00E22989" w:rsidRPr="00C0477E">
        <w:rPr>
          <w:rFonts w:cstheme="minorHAnsi"/>
        </w:rPr>
        <w:t>8th</w:t>
      </w:r>
      <w:r w:rsidR="00462756" w:rsidRPr="00C0477E">
        <w:rPr>
          <w:rFonts w:cstheme="minorHAnsi"/>
        </w:rPr>
        <w:t xml:space="preserve"> and 5</w:t>
      </w:r>
      <w:r w:rsidR="00E22989" w:rsidRPr="00C0477E">
        <w:rPr>
          <w:rFonts w:cstheme="minorHAnsi"/>
        </w:rPr>
        <w:t>9th</w:t>
      </w:r>
      <w:r w:rsidR="00462756" w:rsidRPr="00C0477E">
        <w:rPr>
          <w:rFonts w:cstheme="minorHAnsi"/>
        </w:rPr>
        <w:t xml:space="preserve"> meetings of the Standing Committee</w:t>
      </w:r>
      <w:r w:rsidR="00074DC9" w:rsidRPr="00C0477E">
        <w:rPr>
          <w:rFonts w:cstheme="minorHAnsi"/>
        </w:rPr>
        <w:t xml:space="preserve"> (SC5</w:t>
      </w:r>
      <w:r w:rsidR="00652E6C" w:rsidRPr="00C0477E">
        <w:rPr>
          <w:rFonts w:cstheme="minorHAnsi"/>
        </w:rPr>
        <w:t>7</w:t>
      </w:r>
      <w:r w:rsidR="00074DC9" w:rsidRPr="00C0477E">
        <w:rPr>
          <w:rFonts w:cstheme="minorHAnsi"/>
        </w:rPr>
        <w:t>, SC5</w:t>
      </w:r>
      <w:r w:rsidR="00652E6C" w:rsidRPr="00C0477E">
        <w:rPr>
          <w:rFonts w:cstheme="minorHAnsi"/>
        </w:rPr>
        <w:t>8</w:t>
      </w:r>
      <w:r w:rsidR="00074DC9" w:rsidRPr="00C0477E">
        <w:rPr>
          <w:rFonts w:cstheme="minorHAnsi"/>
        </w:rPr>
        <w:t xml:space="preserve"> and SC5</w:t>
      </w:r>
      <w:r w:rsidR="00652E6C" w:rsidRPr="00C0477E">
        <w:rPr>
          <w:rFonts w:cstheme="minorHAnsi"/>
        </w:rPr>
        <w:t>9</w:t>
      </w:r>
      <w:r w:rsidR="00074DC9" w:rsidRPr="00C0477E">
        <w:rPr>
          <w:rFonts w:cstheme="minorHAnsi"/>
        </w:rPr>
        <w:t>)</w:t>
      </w:r>
      <w:r w:rsidR="00786102" w:rsidRPr="00C0477E">
        <w:rPr>
          <w:rFonts w:cstheme="minorHAnsi"/>
          <w:vertAlign w:val="superscript"/>
        </w:rPr>
        <w:footnoteReference w:id="2"/>
      </w:r>
      <w:r w:rsidR="00724804" w:rsidRPr="00C0477E">
        <w:rPr>
          <w:rFonts w:cstheme="minorHAnsi"/>
        </w:rPr>
        <w:t>.</w:t>
      </w:r>
      <w:r w:rsidR="00B443F0" w:rsidRPr="00C0477E">
        <w:rPr>
          <w:rFonts w:cstheme="minorHAnsi"/>
        </w:rPr>
        <w:t xml:space="preserve"> The </w:t>
      </w:r>
      <w:r w:rsidR="00302130" w:rsidRPr="00C0477E">
        <w:rPr>
          <w:rFonts w:cstheme="minorHAnsi"/>
        </w:rPr>
        <w:t>documents</w:t>
      </w:r>
      <w:r w:rsidR="00B443F0" w:rsidRPr="00C0477E">
        <w:rPr>
          <w:rFonts w:cstheme="minorHAnsi"/>
        </w:rPr>
        <w:t xml:space="preserve"> prepared for COP1</w:t>
      </w:r>
      <w:r w:rsidR="00E72BF8" w:rsidRPr="00C0477E">
        <w:rPr>
          <w:rFonts w:cstheme="minorHAnsi"/>
        </w:rPr>
        <w:t>4</w:t>
      </w:r>
      <w:r w:rsidR="00B443F0" w:rsidRPr="00C0477E">
        <w:rPr>
          <w:rFonts w:cstheme="minorHAnsi"/>
        </w:rPr>
        <w:t xml:space="preserve"> provide further detail on various areas of the Secretariat’s work.</w:t>
      </w:r>
    </w:p>
    <w:p w14:paraId="7ED289E6" w14:textId="77777777" w:rsidR="000572DF" w:rsidRPr="00C0477E" w:rsidRDefault="000572DF" w:rsidP="00FA12DB">
      <w:pPr>
        <w:ind w:left="426"/>
        <w:rPr>
          <w:rFonts w:cstheme="minorHAnsi"/>
        </w:rPr>
      </w:pPr>
    </w:p>
    <w:p w14:paraId="6E013BC8" w14:textId="77777777" w:rsidR="00BA52DB" w:rsidRPr="00C0477E" w:rsidRDefault="000572DF" w:rsidP="00FA12DB">
      <w:pPr>
        <w:ind w:left="426"/>
        <w:rPr>
          <w:rFonts w:cstheme="minorHAnsi"/>
        </w:rPr>
      </w:pPr>
      <w:r w:rsidRPr="00C0477E">
        <w:rPr>
          <w:rFonts w:cstheme="minorHAnsi"/>
        </w:rPr>
        <w:t>3.</w:t>
      </w:r>
      <w:r w:rsidR="00E4253B">
        <w:rPr>
          <w:rFonts w:cstheme="minorHAnsi"/>
        </w:rPr>
        <w:t xml:space="preserve"> </w:t>
      </w:r>
      <w:r w:rsidR="00836030" w:rsidRPr="00C0477E">
        <w:rPr>
          <w:rFonts w:cstheme="minorHAnsi"/>
        </w:rPr>
        <w:tab/>
      </w:r>
      <w:r w:rsidRPr="00C0477E">
        <w:rPr>
          <w:rFonts w:cstheme="minorHAnsi"/>
        </w:rPr>
        <w:t>The past two years have been</w:t>
      </w:r>
      <w:r w:rsidR="003F7361" w:rsidRPr="00C0477E">
        <w:rPr>
          <w:rFonts w:cstheme="minorHAnsi"/>
        </w:rPr>
        <w:t xml:space="preserve"> marked</w:t>
      </w:r>
      <w:r w:rsidRPr="00C0477E">
        <w:rPr>
          <w:rFonts w:cstheme="minorHAnsi"/>
        </w:rPr>
        <w:t xml:space="preserve"> by the COVID-19 pandemic</w:t>
      </w:r>
      <w:r w:rsidR="00567737" w:rsidRPr="00C0477E">
        <w:rPr>
          <w:rFonts w:cstheme="minorHAnsi"/>
        </w:rPr>
        <w:t>,</w:t>
      </w:r>
      <w:r w:rsidRPr="00C0477E">
        <w:rPr>
          <w:rFonts w:cstheme="minorHAnsi"/>
        </w:rPr>
        <w:t xml:space="preserve"> </w:t>
      </w:r>
      <w:r w:rsidR="00836030" w:rsidRPr="00C0477E">
        <w:rPr>
          <w:rFonts w:cstheme="minorHAnsi"/>
        </w:rPr>
        <w:t xml:space="preserve">with </w:t>
      </w:r>
      <w:r w:rsidR="00B35F7E" w:rsidRPr="00C0477E">
        <w:rPr>
          <w:rFonts w:cstheme="minorHAnsi"/>
        </w:rPr>
        <w:t xml:space="preserve">significant impacts </w:t>
      </w:r>
      <w:r w:rsidRPr="00C0477E">
        <w:rPr>
          <w:rFonts w:cstheme="minorHAnsi"/>
        </w:rPr>
        <w:t>on the operations of the Convention</w:t>
      </w:r>
      <w:r w:rsidR="00FA74A9" w:rsidRPr="00C0477E">
        <w:rPr>
          <w:rFonts w:cstheme="minorHAnsi"/>
        </w:rPr>
        <w:t>. These have i</w:t>
      </w:r>
      <w:r w:rsidRPr="00C0477E">
        <w:rPr>
          <w:rFonts w:cstheme="minorHAnsi"/>
        </w:rPr>
        <w:t>nclud</w:t>
      </w:r>
      <w:r w:rsidR="00FA74A9" w:rsidRPr="00C0477E">
        <w:rPr>
          <w:rFonts w:cstheme="minorHAnsi"/>
        </w:rPr>
        <w:t>ed</w:t>
      </w:r>
      <w:r w:rsidRPr="00C0477E">
        <w:rPr>
          <w:rFonts w:cstheme="minorHAnsi"/>
        </w:rPr>
        <w:t xml:space="preserve"> </w:t>
      </w:r>
      <w:r w:rsidR="009D650F" w:rsidRPr="00C0477E">
        <w:rPr>
          <w:rFonts w:cstheme="minorHAnsi"/>
        </w:rPr>
        <w:t xml:space="preserve">the need to hold the third Extraordinary </w:t>
      </w:r>
      <w:r w:rsidR="00567737" w:rsidRPr="00C0477E">
        <w:rPr>
          <w:rFonts w:cstheme="minorHAnsi"/>
        </w:rPr>
        <w:t>m</w:t>
      </w:r>
      <w:r w:rsidR="009D650F" w:rsidRPr="00C0477E">
        <w:rPr>
          <w:rFonts w:cstheme="minorHAnsi"/>
        </w:rPr>
        <w:t>eeting of the Conference of the Parties (ExCOP3) in 2021</w:t>
      </w:r>
      <w:r w:rsidR="00567737" w:rsidRPr="00C0477E">
        <w:rPr>
          <w:rFonts w:cstheme="minorHAnsi"/>
        </w:rPr>
        <w:t>, in order</w:t>
      </w:r>
      <w:r w:rsidR="009D650F" w:rsidRPr="00C0477E">
        <w:rPr>
          <w:rFonts w:cstheme="minorHAnsi"/>
        </w:rPr>
        <w:t xml:space="preserve"> to postpone COP14 </w:t>
      </w:r>
      <w:r w:rsidR="00894C58" w:rsidRPr="00C0477E">
        <w:rPr>
          <w:rFonts w:cstheme="minorHAnsi"/>
        </w:rPr>
        <w:t xml:space="preserve">to 2022 </w:t>
      </w:r>
      <w:r w:rsidR="009D650F" w:rsidRPr="00C0477E">
        <w:rPr>
          <w:rFonts w:cstheme="minorHAnsi"/>
        </w:rPr>
        <w:t xml:space="preserve">and </w:t>
      </w:r>
      <w:r w:rsidR="00567737" w:rsidRPr="00C0477E">
        <w:rPr>
          <w:rFonts w:cstheme="minorHAnsi"/>
        </w:rPr>
        <w:t xml:space="preserve">to </w:t>
      </w:r>
      <w:r w:rsidR="009D650F" w:rsidRPr="00C0477E">
        <w:rPr>
          <w:rFonts w:cstheme="minorHAnsi"/>
        </w:rPr>
        <w:t>adopt the budget for the continued operation of the Convention in 2022</w:t>
      </w:r>
      <w:r w:rsidRPr="00C0477E">
        <w:rPr>
          <w:rFonts w:cstheme="minorHAnsi"/>
        </w:rPr>
        <w:t xml:space="preserve">. </w:t>
      </w:r>
      <w:r w:rsidR="00D70585" w:rsidRPr="00C0477E">
        <w:rPr>
          <w:rFonts w:cstheme="minorHAnsi"/>
        </w:rPr>
        <w:t>P</w:t>
      </w:r>
      <w:r w:rsidR="00BA52DB" w:rsidRPr="00C0477E">
        <w:rPr>
          <w:rFonts w:cstheme="minorHAnsi"/>
        </w:rPr>
        <w:t xml:space="preserve">andemic-related travel restrictions led to a change </w:t>
      </w:r>
      <w:r w:rsidR="00567737" w:rsidRPr="00C0477E">
        <w:rPr>
          <w:rFonts w:cstheme="minorHAnsi"/>
        </w:rPr>
        <w:t xml:space="preserve">in the original plans </w:t>
      </w:r>
      <w:r w:rsidR="00BA52DB" w:rsidRPr="00C0477E">
        <w:rPr>
          <w:rFonts w:cstheme="minorHAnsi"/>
        </w:rPr>
        <w:t xml:space="preserve">for COP14, </w:t>
      </w:r>
      <w:r w:rsidR="00567737" w:rsidRPr="00C0477E">
        <w:rPr>
          <w:rFonts w:cstheme="minorHAnsi"/>
        </w:rPr>
        <w:t xml:space="preserve">so that it now </w:t>
      </w:r>
      <w:r w:rsidR="00BA52DB" w:rsidRPr="00C0477E">
        <w:rPr>
          <w:rFonts w:cstheme="minorHAnsi"/>
        </w:rPr>
        <w:t>take</w:t>
      </w:r>
      <w:r w:rsidR="00567737" w:rsidRPr="00C0477E">
        <w:rPr>
          <w:rFonts w:cstheme="minorHAnsi"/>
        </w:rPr>
        <w:t>s</w:t>
      </w:r>
      <w:r w:rsidR="00BA52DB" w:rsidRPr="00C0477E">
        <w:rPr>
          <w:rFonts w:cstheme="minorHAnsi"/>
        </w:rPr>
        <w:t xml:space="preserve"> place in</w:t>
      </w:r>
      <w:r w:rsidR="00894C58" w:rsidRPr="00C0477E">
        <w:rPr>
          <w:rFonts w:cstheme="minorHAnsi"/>
        </w:rPr>
        <w:t xml:space="preserve"> a hybrid modality in</w:t>
      </w:r>
      <w:r w:rsidR="00BA52DB" w:rsidRPr="00C0477E">
        <w:rPr>
          <w:rFonts w:cstheme="minorHAnsi"/>
        </w:rPr>
        <w:t xml:space="preserve"> Geneva, Switzerland</w:t>
      </w:r>
      <w:r w:rsidR="00567737" w:rsidRPr="00C0477E">
        <w:rPr>
          <w:rFonts w:cstheme="minorHAnsi"/>
        </w:rPr>
        <w:t>,</w:t>
      </w:r>
      <w:r w:rsidR="00894C58" w:rsidRPr="00C0477E">
        <w:rPr>
          <w:rFonts w:cstheme="minorHAnsi"/>
        </w:rPr>
        <w:t xml:space="preserve"> and Wuhan</w:t>
      </w:r>
      <w:r w:rsidR="00567737" w:rsidRPr="00C0477E">
        <w:rPr>
          <w:rFonts w:cstheme="minorHAnsi"/>
        </w:rPr>
        <w:t>,</w:t>
      </w:r>
      <w:r w:rsidR="00894C58" w:rsidRPr="00C0477E">
        <w:rPr>
          <w:rFonts w:cstheme="minorHAnsi"/>
        </w:rPr>
        <w:t xml:space="preserve"> China</w:t>
      </w:r>
      <w:r w:rsidR="00BA52DB" w:rsidRPr="00C0477E">
        <w:rPr>
          <w:rFonts w:cstheme="minorHAnsi"/>
        </w:rPr>
        <w:t>.</w:t>
      </w:r>
    </w:p>
    <w:p w14:paraId="405F51FB" w14:textId="77777777" w:rsidR="00BA52DB" w:rsidRPr="00C0477E" w:rsidRDefault="00BA52DB" w:rsidP="00FA12DB">
      <w:pPr>
        <w:ind w:left="426"/>
        <w:rPr>
          <w:rFonts w:cstheme="minorHAnsi"/>
        </w:rPr>
      </w:pPr>
    </w:p>
    <w:p w14:paraId="23D8DA6F" w14:textId="5309B944" w:rsidR="000572DF" w:rsidRPr="00C0477E" w:rsidRDefault="00F01675" w:rsidP="00FA12DB">
      <w:pPr>
        <w:ind w:left="426"/>
        <w:rPr>
          <w:rFonts w:cstheme="minorHAnsi"/>
        </w:rPr>
      </w:pPr>
      <w:r w:rsidRPr="00C0477E">
        <w:rPr>
          <w:rFonts w:cstheme="minorHAnsi"/>
        </w:rPr>
        <w:t>4.</w:t>
      </w:r>
      <w:r w:rsidRPr="00C0477E">
        <w:rPr>
          <w:rFonts w:cstheme="minorHAnsi"/>
        </w:rPr>
        <w:tab/>
      </w:r>
      <w:r w:rsidR="000572DF" w:rsidRPr="00C0477E">
        <w:rPr>
          <w:rFonts w:cstheme="minorHAnsi"/>
        </w:rPr>
        <w:t xml:space="preserve">Additionally, travel restrictions </w:t>
      </w:r>
      <w:r w:rsidR="005A13BA" w:rsidRPr="00C0477E">
        <w:rPr>
          <w:rFonts w:cstheme="minorHAnsi"/>
        </w:rPr>
        <w:t xml:space="preserve">during this period </w:t>
      </w:r>
      <w:r w:rsidR="000572DF" w:rsidRPr="00C0477E">
        <w:rPr>
          <w:rFonts w:cstheme="minorHAnsi"/>
        </w:rPr>
        <w:t>resulted in the cancellation of face-to-face meetings of</w:t>
      </w:r>
      <w:r w:rsidR="00BC44B5" w:rsidRPr="00C0477E">
        <w:rPr>
          <w:rFonts w:cstheme="minorHAnsi"/>
        </w:rPr>
        <w:t xml:space="preserve"> the </w:t>
      </w:r>
      <w:r w:rsidR="0070463B" w:rsidRPr="00C0477E">
        <w:rPr>
          <w:rFonts w:cstheme="minorHAnsi"/>
        </w:rPr>
        <w:t xml:space="preserve">Standing Committees </w:t>
      </w:r>
      <w:r w:rsidR="00BC44B5" w:rsidRPr="00C0477E">
        <w:rPr>
          <w:rFonts w:cstheme="minorHAnsi"/>
        </w:rPr>
        <w:t>and</w:t>
      </w:r>
      <w:r w:rsidR="0070463B" w:rsidRPr="00C0477E">
        <w:rPr>
          <w:rFonts w:cstheme="minorHAnsi"/>
        </w:rPr>
        <w:t xml:space="preserve"> the Scientific and Technical Review Panel</w:t>
      </w:r>
      <w:r w:rsidR="00C0477E" w:rsidRPr="00C0477E">
        <w:rPr>
          <w:rFonts w:cstheme="minorHAnsi"/>
        </w:rPr>
        <w:t xml:space="preserve"> (STRP)</w:t>
      </w:r>
      <w:r w:rsidR="00540519" w:rsidRPr="00C0477E">
        <w:rPr>
          <w:rFonts w:cstheme="minorHAnsi"/>
        </w:rPr>
        <w:t xml:space="preserve">. </w:t>
      </w:r>
      <w:r w:rsidR="00BC44B5" w:rsidRPr="00C0477E">
        <w:rPr>
          <w:rFonts w:cstheme="minorHAnsi"/>
        </w:rPr>
        <w:t>E</w:t>
      </w:r>
      <w:r w:rsidR="00540519" w:rsidRPr="00C0477E">
        <w:rPr>
          <w:rFonts w:cstheme="minorHAnsi"/>
        </w:rPr>
        <w:t xml:space="preserve">fforts </w:t>
      </w:r>
      <w:r w:rsidR="00C0477E" w:rsidRPr="00C0477E">
        <w:rPr>
          <w:rFonts w:cstheme="minorHAnsi"/>
        </w:rPr>
        <w:t xml:space="preserve">were </w:t>
      </w:r>
      <w:r w:rsidR="00BC44B5" w:rsidRPr="00C0477E">
        <w:rPr>
          <w:rFonts w:cstheme="minorHAnsi"/>
        </w:rPr>
        <w:t xml:space="preserve">therefore </w:t>
      </w:r>
      <w:r w:rsidR="00540519" w:rsidRPr="00C0477E">
        <w:rPr>
          <w:rFonts w:cstheme="minorHAnsi"/>
        </w:rPr>
        <w:t>focused on online meeting of the governing bodies to address priority matters</w:t>
      </w:r>
      <w:r w:rsidR="000572DF" w:rsidRPr="00C0477E">
        <w:rPr>
          <w:rFonts w:cstheme="minorHAnsi"/>
        </w:rPr>
        <w:t xml:space="preserve">. </w:t>
      </w:r>
      <w:r w:rsidR="00C0477E" w:rsidRPr="00C0477E">
        <w:rPr>
          <w:rFonts w:cstheme="minorHAnsi"/>
        </w:rPr>
        <w:t>Nonetheless</w:t>
      </w:r>
      <w:r w:rsidR="000572DF" w:rsidRPr="00C0477E">
        <w:rPr>
          <w:rFonts w:cstheme="minorHAnsi"/>
        </w:rPr>
        <w:t xml:space="preserve">, considerable action continued to be taken by both Contracting Parties and the Secretariat to implement the decisions taken at COP13 and at SC57, SC58 and SC59/2021, adapting to the context of the new working environment resulting from the pandemic. </w:t>
      </w:r>
      <w:r w:rsidR="009C1FBB" w:rsidRPr="00C0477E">
        <w:rPr>
          <w:rFonts w:cstheme="minorHAnsi"/>
        </w:rPr>
        <w:t>At the Secretariat,</w:t>
      </w:r>
      <w:r w:rsidR="000572DF" w:rsidRPr="00C0477E">
        <w:rPr>
          <w:rFonts w:cstheme="minorHAnsi"/>
        </w:rPr>
        <w:t xml:space="preserve"> actions were taken to enable staff to </w:t>
      </w:r>
      <w:r w:rsidR="00874BCF" w:rsidRPr="00C0477E">
        <w:rPr>
          <w:rFonts w:cstheme="minorHAnsi"/>
        </w:rPr>
        <w:t xml:space="preserve">work </w:t>
      </w:r>
      <w:r w:rsidR="000572DF" w:rsidRPr="00C0477E">
        <w:rPr>
          <w:rFonts w:cstheme="minorHAnsi"/>
        </w:rPr>
        <w:t xml:space="preserve">effectively from home when advised by the relevant national authorities, with a </w:t>
      </w:r>
      <w:r w:rsidR="00B06CCA" w:rsidRPr="00C0477E">
        <w:rPr>
          <w:rFonts w:cstheme="minorHAnsi"/>
        </w:rPr>
        <w:t xml:space="preserve">full </w:t>
      </w:r>
      <w:r w:rsidR="000572DF" w:rsidRPr="00C0477E">
        <w:rPr>
          <w:rFonts w:cstheme="minorHAnsi"/>
        </w:rPr>
        <w:t>return to the office on 14 February</w:t>
      </w:r>
      <w:r w:rsidR="00B16A4A" w:rsidRPr="00C0477E">
        <w:rPr>
          <w:rFonts w:cstheme="minorHAnsi"/>
        </w:rPr>
        <w:t xml:space="preserve"> 2022</w:t>
      </w:r>
      <w:r w:rsidR="000572DF" w:rsidRPr="00C0477E">
        <w:rPr>
          <w:rFonts w:cstheme="minorHAnsi"/>
        </w:rPr>
        <w:t xml:space="preserve">. </w:t>
      </w:r>
      <w:r w:rsidR="00550B71" w:rsidRPr="00C0477E">
        <w:rPr>
          <w:rFonts w:cstheme="minorHAnsi"/>
        </w:rPr>
        <w:t>The Secretariat made e</w:t>
      </w:r>
      <w:r w:rsidR="000572DF" w:rsidRPr="00C0477E">
        <w:rPr>
          <w:rFonts w:cstheme="minorHAnsi"/>
        </w:rPr>
        <w:t xml:space="preserve">fforts </w:t>
      </w:r>
      <w:r w:rsidR="00AE05A1" w:rsidRPr="00C0477E">
        <w:rPr>
          <w:rFonts w:cstheme="minorHAnsi"/>
        </w:rPr>
        <w:t>throughout</w:t>
      </w:r>
      <w:r w:rsidR="005F155D" w:rsidRPr="00C0477E">
        <w:rPr>
          <w:rFonts w:cstheme="minorHAnsi"/>
        </w:rPr>
        <w:t xml:space="preserve"> the</w:t>
      </w:r>
      <w:r w:rsidR="001B5D21" w:rsidRPr="00C0477E">
        <w:rPr>
          <w:rFonts w:cstheme="minorHAnsi"/>
        </w:rPr>
        <w:t xml:space="preserve"> triennium to </w:t>
      </w:r>
      <w:r w:rsidR="000572DF" w:rsidRPr="00C0477E">
        <w:rPr>
          <w:rFonts w:cstheme="minorHAnsi"/>
        </w:rPr>
        <w:t xml:space="preserve">embrace new technologies </w:t>
      </w:r>
      <w:r w:rsidR="00B06CCA" w:rsidRPr="00C0477E">
        <w:rPr>
          <w:rFonts w:cstheme="minorHAnsi"/>
        </w:rPr>
        <w:t xml:space="preserve">to support the work of Contracting Parties as well as to </w:t>
      </w:r>
      <w:r w:rsidR="000572DF" w:rsidRPr="00C0477E">
        <w:rPr>
          <w:rFonts w:cstheme="minorHAnsi"/>
        </w:rPr>
        <w:t>strengthen staff capacities</w:t>
      </w:r>
      <w:r w:rsidR="00874BCF" w:rsidRPr="00C0477E">
        <w:rPr>
          <w:rFonts w:cstheme="minorHAnsi"/>
        </w:rPr>
        <w:t>.</w:t>
      </w:r>
      <w:r w:rsidR="000572DF" w:rsidRPr="00C0477E">
        <w:rPr>
          <w:rFonts w:cstheme="minorHAnsi"/>
        </w:rPr>
        <w:t xml:space="preserve"> </w:t>
      </w:r>
    </w:p>
    <w:p w14:paraId="51409C68" w14:textId="77777777" w:rsidR="001543EA" w:rsidRPr="00C0477E" w:rsidRDefault="001543EA" w:rsidP="00FA12DB">
      <w:pPr>
        <w:ind w:left="426"/>
        <w:rPr>
          <w:rFonts w:cstheme="minorHAnsi"/>
        </w:rPr>
      </w:pPr>
    </w:p>
    <w:p w14:paraId="36BD1195" w14:textId="7DF12B8C" w:rsidR="001543EA" w:rsidRPr="00C0477E" w:rsidRDefault="00C0477E" w:rsidP="00FA12DB">
      <w:pPr>
        <w:ind w:left="426"/>
        <w:rPr>
          <w:rFonts w:cstheme="minorHAnsi"/>
        </w:rPr>
      </w:pPr>
      <w:r w:rsidRPr="00C0477E">
        <w:rPr>
          <w:rFonts w:cstheme="minorHAnsi"/>
        </w:rPr>
        <w:t>5.</w:t>
      </w:r>
      <w:r w:rsidRPr="00C0477E">
        <w:rPr>
          <w:rFonts w:cstheme="minorHAnsi"/>
        </w:rPr>
        <w:tab/>
      </w:r>
      <w:r w:rsidR="001543EA" w:rsidRPr="00C0477E">
        <w:rPr>
          <w:rFonts w:cstheme="minorHAnsi"/>
        </w:rPr>
        <w:t xml:space="preserve">In January 2022, the Secretariat reviewed progress made in 2021 regarding the actions and indicators identified in the 2019-2021 triennial workplan approved by Decision SC57-21 and the annual workplan for 2021 approved by Decision SC59-12, and to identify specific activities for 2022. This review, which took place during five virtual sessions in January 2022, confirmed successful implementation of planned activities despite the challenges of the pandemic, while </w:t>
      </w:r>
      <w:r w:rsidR="001543EA" w:rsidRPr="00C0477E">
        <w:rPr>
          <w:rFonts w:cstheme="minorHAnsi"/>
        </w:rPr>
        <w:lastRenderedPageBreak/>
        <w:t>activities that required travel had to be postponed. It also showed considerable progress in the triennium in completing the desired results identified across the functional areas included in the workplan approved by the Standing Committee. The 2022 workplan presented to SC59/2022 in Document SC59/2022 Doc.18 extends work in core areas of the Secretariat identified in the 2019-2021 workplan and includes those that could not be completed due to the pandemic, such as work related to COP14 and its preparatory process. As in previous years, the Secretariat’s workplan continues to serve as the basis for the work of the Secretariat and for the development of individual workplans for all staff and evaluation of staff performance.</w:t>
      </w:r>
      <w:r w:rsidR="001543EA" w:rsidRPr="00C0477E" w:rsidDel="00416877">
        <w:rPr>
          <w:rFonts w:cstheme="minorHAnsi"/>
        </w:rPr>
        <w:t xml:space="preserve"> </w:t>
      </w:r>
    </w:p>
    <w:p w14:paraId="0E5845C4" w14:textId="77777777" w:rsidR="001543EA" w:rsidRPr="00C0477E" w:rsidRDefault="001543EA" w:rsidP="00FA12DB">
      <w:pPr>
        <w:ind w:left="426"/>
        <w:rPr>
          <w:rFonts w:cstheme="minorHAnsi"/>
        </w:rPr>
      </w:pPr>
    </w:p>
    <w:p w14:paraId="6B79325D" w14:textId="77777777" w:rsidR="001D3E01" w:rsidRPr="00C0477E" w:rsidRDefault="31B94901" w:rsidP="005948F3">
      <w:pPr>
        <w:keepNext/>
        <w:ind w:left="0" w:firstLine="0"/>
        <w:rPr>
          <w:rFonts w:cstheme="minorHAnsi"/>
          <w:b/>
          <w:bCs/>
          <w:u w:val="single"/>
        </w:rPr>
      </w:pPr>
      <w:r w:rsidRPr="00C0477E">
        <w:rPr>
          <w:rFonts w:cstheme="minorHAnsi"/>
          <w:b/>
          <w:bCs/>
          <w:u w:val="single"/>
        </w:rPr>
        <w:t>Strengthening service to Contracting Parties</w:t>
      </w:r>
      <w:r w:rsidR="00F04B42" w:rsidRPr="00C0477E">
        <w:rPr>
          <w:rFonts w:cstheme="minorHAnsi"/>
          <w:b/>
          <w:bCs/>
          <w:u w:val="single"/>
        </w:rPr>
        <w:t>’</w:t>
      </w:r>
      <w:r w:rsidRPr="00C0477E">
        <w:rPr>
          <w:rFonts w:cstheme="minorHAnsi"/>
          <w:b/>
          <w:bCs/>
          <w:u w:val="single"/>
        </w:rPr>
        <w:t xml:space="preserve"> decision-making and accountability</w:t>
      </w:r>
    </w:p>
    <w:p w14:paraId="238E0289" w14:textId="77777777" w:rsidR="009D5F75" w:rsidRPr="00C0477E" w:rsidRDefault="009D5F75" w:rsidP="00FA12DB">
      <w:pPr>
        <w:keepNext/>
        <w:ind w:left="426" w:firstLine="0"/>
        <w:rPr>
          <w:rFonts w:cstheme="minorHAnsi"/>
          <w:b/>
        </w:rPr>
      </w:pPr>
    </w:p>
    <w:p w14:paraId="1A041937" w14:textId="45ADDF40" w:rsidR="0053235A" w:rsidRPr="00C0477E" w:rsidRDefault="00C0477E" w:rsidP="00FA12DB">
      <w:pPr>
        <w:ind w:left="426"/>
        <w:rPr>
          <w:rFonts w:cstheme="minorHAnsi"/>
        </w:rPr>
      </w:pPr>
      <w:r>
        <w:rPr>
          <w:rFonts w:cstheme="minorHAnsi"/>
        </w:rPr>
        <w:t>6</w:t>
      </w:r>
      <w:r w:rsidR="002F0AD3" w:rsidRPr="00C0477E">
        <w:rPr>
          <w:rFonts w:cstheme="minorHAnsi"/>
        </w:rPr>
        <w:t>.</w:t>
      </w:r>
      <w:r w:rsidR="002F0AD3" w:rsidRPr="00C0477E">
        <w:rPr>
          <w:rFonts w:cstheme="minorHAnsi"/>
        </w:rPr>
        <w:tab/>
      </w:r>
      <w:r w:rsidR="00E84D11" w:rsidRPr="00C0477E">
        <w:rPr>
          <w:rFonts w:cstheme="minorHAnsi"/>
        </w:rPr>
        <w:t xml:space="preserve">A major area for improvement </w:t>
      </w:r>
      <w:r w:rsidR="005E2F3C" w:rsidRPr="00C0477E">
        <w:rPr>
          <w:rFonts w:cstheme="minorHAnsi"/>
        </w:rPr>
        <w:t xml:space="preserve">during the triennium </w:t>
      </w:r>
      <w:r w:rsidR="00E84D11" w:rsidRPr="00C0477E">
        <w:rPr>
          <w:rFonts w:cstheme="minorHAnsi"/>
        </w:rPr>
        <w:t>was the delivery of the Secretariat’s core role of servicing Contracting Parties, and accountability in all the work of the Secretariat to implement decisions and requests from the Contracting Parties</w:t>
      </w:r>
      <w:r w:rsidR="0053235A" w:rsidRPr="00C0477E">
        <w:rPr>
          <w:rFonts w:cstheme="minorHAnsi"/>
        </w:rPr>
        <w:t xml:space="preserve">. This area of work </w:t>
      </w:r>
      <w:r w:rsidR="0045725C">
        <w:rPr>
          <w:rFonts w:cstheme="minorHAnsi"/>
        </w:rPr>
        <w:t>was</w:t>
      </w:r>
      <w:r w:rsidR="0053235A" w:rsidRPr="00C0477E">
        <w:rPr>
          <w:rFonts w:cstheme="minorHAnsi"/>
        </w:rPr>
        <w:t xml:space="preserve"> prioritized in the triennial work plan</w:t>
      </w:r>
      <w:r w:rsidR="00B90A51" w:rsidRPr="00C0477E">
        <w:rPr>
          <w:rFonts w:cstheme="minorHAnsi"/>
        </w:rPr>
        <w:t xml:space="preserve"> for this perio</w:t>
      </w:r>
      <w:r w:rsidR="006760B6" w:rsidRPr="00C0477E">
        <w:rPr>
          <w:rFonts w:cstheme="minorHAnsi"/>
        </w:rPr>
        <w:t>d</w:t>
      </w:r>
      <w:r w:rsidR="0028031F" w:rsidRPr="00C0477E">
        <w:rPr>
          <w:rFonts w:cstheme="minorHAnsi"/>
        </w:rPr>
        <w:t>.</w:t>
      </w:r>
    </w:p>
    <w:p w14:paraId="2A48057C" w14:textId="77777777" w:rsidR="00ED35C9" w:rsidRPr="00C0477E" w:rsidRDefault="00ED35C9" w:rsidP="00FA12DB">
      <w:pPr>
        <w:ind w:left="426"/>
        <w:rPr>
          <w:rFonts w:cstheme="minorHAnsi"/>
        </w:rPr>
      </w:pPr>
    </w:p>
    <w:p w14:paraId="280729DC" w14:textId="6E1AE86A" w:rsidR="0031686B" w:rsidRPr="00C0477E" w:rsidRDefault="00C0477E" w:rsidP="00FA12DB">
      <w:pPr>
        <w:ind w:left="426"/>
        <w:rPr>
          <w:rFonts w:cstheme="minorHAnsi"/>
        </w:rPr>
      </w:pPr>
      <w:r>
        <w:rPr>
          <w:rFonts w:cstheme="minorHAnsi"/>
        </w:rPr>
        <w:t>7</w:t>
      </w:r>
      <w:r w:rsidR="01146BA0" w:rsidRPr="00C0477E">
        <w:rPr>
          <w:rFonts w:cstheme="minorHAnsi"/>
        </w:rPr>
        <w:t>.</w:t>
      </w:r>
      <w:r w:rsidR="00BC7B06" w:rsidRPr="00C0477E">
        <w:rPr>
          <w:rFonts w:cstheme="minorHAnsi"/>
        </w:rPr>
        <w:tab/>
      </w:r>
      <w:r w:rsidR="01146BA0" w:rsidRPr="00C0477E">
        <w:rPr>
          <w:rFonts w:cstheme="minorHAnsi"/>
        </w:rPr>
        <w:t xml:space="preserve">A critical function of the Secretariat is the organization of meetings of governing and subsidiary bodies of the Convention, including the Standing Committee and the </w:t>
      </w:r>
      <w:r w:rsidR="0045725C">
        <w:rPr>
          <w:rFonts w:cstheme="minorHAnsi"/>
        </w:rPr>
        <w:t>STRP</w:t>
      </w:r>
      <w:r w:rsidR="01146BA0" w:rsidRPr="00C0477E">
        <w:rPr>
          <w:rFonts w:cstheme="minorHAnsi"/>
        </w:rPr>
        <w:t xml:space="preserve">. During the reporting period, the Secretariat made logistical arrangements </w:t>
      </w:r>
      <w:r w:rsidR="00FD7DE3">
        <w:rPr>
          <w:rFonts w:cstheme="minorHAnsi"/>
        </w:rPr>
        <w:t xml:space="preserve">and </w:t>
      </w:r>
      <w:r w:rsidR="01146BA0" w:rsidRPr="00C0477E">
        <w:rPr>
          <w:rFonts w:cstheme="minorHAnsi"/>
        </w:rPr>
        <w:t>prepared meeting documents and daily reports and a final report for SC57, SC58 and SC59</w:t>
      </w:r>
      <w:r w:rsidR="0045725C">
        <w:rPr>
          <w:rFonts w:cstheme="minorHAnsi"/>
        </w:rPr>
        <w:t>,</w:t>
      </w:r>
      <w:r w:rsidR="004E5EF4" w:rsidRPr="00C0477E">
        <w:rPr>
          <w:rFonts w:cstheme="minorHAnsi"/>
        </w:rPr>
        <w:t xml:space="preserve"> </w:t>
      </w:r>
      <w:r w:rsidR="00601A03" w:rsidRPr="00C0477E">
        <w:rPr>
          <w:rFonts w:cstheme="minorHAnsi"/>
        </w:rPr>
        <w:t xml:space="preserve">both the session </w:t>
      </w:r>
      <w:r w:rsidR="004E5EF4" w:rsidRPr="00C0477E">
        <w:rPr>
          <w:rFonts w:cstheme="minorHAnsi"/>
        </w:rPr>
        <w:t xml:space="preserve">in 2021 and </w:t>
      </w:r>
      <w:r w:rsidR="00601A03" w:rsidRPr="00C0477E">
        <w:rPr>
          <w:rFonts w:cstheme="minorHAnsi"/>
        </w:rPr>
        <w:t>the</w:t>
      </w:r>
      <w:r w:rsidR="004E5EF4" w:rsidRPr="00C0477E">
        <w:rPr>
          <w:rFonts w:cstheme="minorHAnsi"/>
        </w:rPr>
        <w:t xml:space="preserve"> resumed face</w:t>
      </w:r>
      <w:r w:rsidR="0045725C">
        <w:rPr>
          <w:rFonts w:cstheme="minorHAnsi"/>
        </w:rPr>
        <w:t>-</w:t>
      </w:r>
      <w:r w:rsidR="004E5EF4" w:rsidRPr="00C0477E">
        <w:rPr>
          <w:rFonts w:cstheme="minorHAnsi"/>
        </w:rPr>
        <w:t>to</w:t>
      </w:r>
      <w:r w:rsidR="0045725C">
        <w:rPr>
          <w:rFonts w:cstheme="minorHAnsi"/>
        </w:rPr>
        <w:t>-</w:t>
      </w:r>
      <w:r w:rsidR="004E5EF4" w:rsidRPr="00C0477E">
        <w:rPr>
          <w:rFonts w:cstheme="minorHAnsi"/>
        </w:rPr>
        <w:t xml:space="preserve">face </w:t>
      </w:r>
      <w:r w:rsidR="00601A03" w:rsidRPr="00C0477E">
        <w:rPr>
          <w:rFonts w:cstheme="minorHAnsi"/>
        </w:rPr>
        <w:t>session</w:t>
      </w:r>
      <w:r w:rsidR="004E5EF4" w:rsidRPr="00C0477E">
        <w:rPr>
          <w:rFonts w:cstheme="minorHAnsi"/>
        </w:rPr>
        <w:t xml:space="preserve"> in May 2022</w:t>
      </w:r>
      <w:r w:rsidR="00601A03" w:rsidRPr="00C0477E">
        <w:rPr>
          <w:rFonts w:cstheme="minorHAnsi"/>
        </w:rPr>
        <w:t>, as well as</w:t>
      </w:r>
      <w:r w:rsidR="004E5EF4" w:rsidRPr="00C0477E">
        <w:rPr>
          <w:rFonts w:cstheme="minorHAnsi"/>
        </w:rPr>
        <w:t xml:space="preserve"> </w:t>
      </w:r>
      <w:r w:rsidR="00601A03" w:rsidRPr="00C0477E">
        <w:rPr>
          <w:rFonts w:cstheme="minorHAnsi"/>
        </w:rPr>
        <w:t xml:space="preserve">an </w:t>
      </w:r>
      <w:r w:rsidR="004E5EF4" w:rsidRPr="00C0477E">
        <w:rPr>
          <w:rFonts w:cstheme="minorHAnsi"/>
        </w:rPr>
        <w:t>online session</w:t>
      </w:r>
      <w:r w:rsidR="00601A03" w:rsidRPr="00C0477E">
        <w:rPr>
          <w:rFonts w:cstheme="minorHAnsi"/>
        </w:rPr>
        <w:t xml:space="preserve"> in June 2022</w:t>
      </w:r>
      <w:r w:rsidR="01146BA0" w:rsidRPr="00C0477E">
        <w:rPr>
          <w:rFonts w:cstheme="minorHAnsi"/>
        </w:rPr>
        <w:t xml:space="preserve">. </w:t>
      </w:r>
      <w:r w:rsidR="00FD7DE3">
        <w:rPr>
          <w:rFonts w:cstheme="minorHAnsi"/>
        </w:rPr>
        <w:t>It</w:t>
      </w:r>
      <w:r w:rsidR="00FD7DE3" w:rsidRPr="00C0477E">
        <w:rPr>
          <w:rFonts w:cstheme="minorHAnsi"/>
        </w:rPr>
        <w:t xml:space="preserve"> </w:t>
      </w:r>
      <w:r w:rsidR="00FD7DE3">
        <w:rPr>
          <w:rFonts w:cstheme="minorHAnsi"/>
        </w:rPr>
        <w:t>also supported</w:t>
      </w:r>
      <w:r w:rsidR="00FD7DE3" w:rsidRPr="00C0477E">
        <w:rPr>
          <w:rFonts w:cstheme="minorHAnsi"/>
        </w:rPr>
        <w:t xml:space="preserve"> processes for Contracting Parties’ consideration of draft resolutions at SC59 and COP14. </w:t>
      </w:r>
      <w:r w:rsidR="00601A03" w:rsidRPr="00C0477E">
        <w:rPr>
          <w:rFonts w:cstheme="minorHAnsi"/>
        </w:rPr>
        <w:t xml:space="preserve">The Secretariat </w:t>
      </w:r>
      <w:r w:rsidR="01146BA0" w:rsidRPr="00C0477E">
        <w:rPr>
          <w:rFonts w:cstheme="minorHAnsi"/>
        </w:rPr>
        <w:t xml:space="preserve">also prepared </w:t>
      </w:r>
      <w:r w:rsidR="004E5EF4" w:rsidRPr="00C0477E">
        <w:rPr>
          <w:rFonts w:cstheme="minorHAnsi"/>
        </w:rPr>
        <w:t>the third extraordinary COP (E</w:t>
      </w:r>
      <w:r w:rsidR="00601A03" w:rsidRPr="00C0477E">
        <w:rPr>
          <w:rFonts w:cstheme="minorHAnsi"/>
        </w:rPr>
        <w:t>x</w:t>
      </w:r>
      <w:r w:rsidR="004E5EF4" w:rsidRPr="00C0477E">
        <w:rPr>
          <w:rFonts w:cstheme="minorHAnsi"/>
        </w:rPr>
        <w:t>COP</w:t>
      </w:r>
      <w:r w:rsidR="00601A03" w:rsidRPr="00C0477E">
        <w:rPr>
          <w:rFonts w:cstheme="minorHAnsi"/>
        </w:rPr>
        <w:t>3</w:t>
      </w:r>
      <w:r w:rsidR="004E5EF4" w:rsidRPr="00C0477E">
        <w:rPr>
          <w:rFonts w:cstheme="minorHAnsi"/>
        </w:rPr>
        <w:t>)</w:t>
      </w:r>
      <w:r w:rsidR="00E4253B">
        <w:rPr>
          <w:rFonts w:cstheme="minorHAnsi"/>
        </w:rPr>
        <w:t xml:space="preserve"> </w:t>
      </w:r>
      <w:r w:rsidR="002A3B50" w:rsidRPr="00C0477E">
        <w:rPr>
          <w:rFonts w:cstheme="minorHAnsi"/>
        </w:rPr>
        <w:t xml:space="preserve">and </w:t>
      </w:r>
      <w:r w:rsidR="01146BA0" w:rsidRPr="00C0477E">
        <w:rPr>
          <w:rFonts w:cstheme="minorHAnsi"/>
        </w:rPr>
        <w:t xml:space="preserve">COP14, </w:t>
      </w:r>
      <w:r w:rsidR="009C689E">
        <w:rPr>
          <w:rFonts w:cstheme="minorHAnsi"/>
        </w:rPr>
        <w:t>as well as</w:t>
      </w:r>
      <w:r w:rsidR="0045725C">
        <w:rPr>
          <w:rFonts w:cstheme="minorHAnsi"/>
        </w:rPr>
        <w:t xml:space="preserve"> </w:t>
      </w:r>
      <w:r w:rsidR="01146BA0" w:rsidRPr="00C0477E">
        <w:rPr>
          <w:rFonts w:cstheme="minorHAnsi"/>
        </w:rPr>
        <w:t>five regional preparatory meetings</w:t>
      </w:r>
      <w:r w:rsidR="002A3B50" w:rsidRPr="00C0477E">
        <w:rPr>
          <w:rFonts w:cstheme="minorHAnsi"/>
        </w:rPr>
        <w:t>,</w:t>
      </w:r>
      <w:r w:rsidR="01146BA0" w:rsidRPr="00C0477E">
        <w:rPr>
          <w:rFonts w:cstheme="minorHAnsi"/>
        </w:rPr>
        <w:t xml:space="preserve"> and contributed to </w:t>
      </w:r>
      <w:r w:rsidR="002A3B50" w:rsidRPr="00C0477E">
        <w:rPr>
          <w:rFonts w:cstheme="minorHAnsi"/>
        </w:rPr>
        <w:t>various</w:t>
      </w:r>
      <w:r w:rsidR="01146BA0" w:rsidRPr="00C0477E">
        <w:rPr>
          <w:rFonts w:cstheme="minorHAnsi"/>
        </w:rPr>
        <w:t xml:space="preserve"> groups established by the Standing Committee and the </w:t>
      </w:r>
      <w:r w:rsidR="002A3B50" w:rsidRPr="00C0477E">
        <w:rPr>
          <w:rFonts w:cstheme="minorHAnsi"/>
        </w:rPr>
        <w:t>Conference of the Parties</w:t>
      </w:r>
      <w:r w:rsidR="01146BA0" w:rsidRPr="00C0477E">
        <w:rPr>
          <w:rFonts w:cstheme="minorHAnsi"/>
        </w:rPr>
        <w:t xml:space="preserve">. </w:t>
      </w:r>
    </w:p>
    <w:p w14:paraId="35DD9F29" w14:textId="77777777" w:rsidR="01146BA0" w:rsidRPr="00C0477E" w:rsidRDefault="01146BA0" w:rsidP="00FA12DB">
      <w:pPr>
        <w:ind w:left="426"/>
        <w:rPr>
          <w:rFonts w:cstheme="minorHAnsi"/>
        </w:rPr>
      </w:pPr>
    </w:p>
    <w:p w14:paraId="122FB141" w14:textId="594E2575" w:rsidR="01146BA0" w:rsidRPr="00C0477E" w:rsidRDefault="00C0477E" w:rsidP="00FA12DB">
      <w:pPr>
        <w:ind w:left="426"/>
        <w:rPr>
          <w:rFonts w:cstheme="minorHAnsi"/>
        </w:rPr>
      </w:pPr>
      <w:r>
        <w:rPr>
          <w:rFonts w:cstheme="minorHAnsi"/>
        </w:rPr>
        <w:t>8</w:t>
      </w:r>
      <w:r w:rsidR="01146BA0" w:rsidRPr="00C0477E">
        <w:rPr>
          <w:rFonts w:cstheme="minorHAnsi"/>
        </w:rPr>
        <w:t>.</w:t>
      </w:r>
      <w:r w:rsidR="01146BA0" w:rsidRPr="00C0477E">
        <w:rPr>
          <w:rFonts w:cstheme="minorHAnsi"/>
        </w:rPr>
        <w:tab/>
        <w:t xml:space="preserve">The Secretariat supported the STRP in the delivery of </w:t>
      </w:r>
      <w:r w:rsidR="0045725C">
        <w:rPr>
          <w:rFonts w:cstheme="minorHAnsi"/>
        </w:rPr>
        <w:t>its</w:t>
      </w:r>
      <w:r w:rsidR="01146BA0" w:rsidRPr="00C0477E">
        <w:rPr>
          <w:rFonts w:cstheme="minorHAnsi"/>
        </w:rPr>
        <w:t xml:space="preserve"> 2019-2021 work plan, working closely with the Chair. During the reporting period, the Secretariat made logistical arrangements and prepared meeting documents for STRP22, STRP23 and STRP24</w:t>
      </w:r>
      <w:r w:rsidR="00F1533D" w:rsidRPr="00C0477E">
        <w:rPr>
          <w:rFonts w:cstheme="minorHAnsi"/>
        </w:rPr>
        <w:t>.</w:t>
      </w:r>
      <w:r w:rsidR="00062F3B" w:rsidRPr="00C0477E">
        <w:rPr>
          <w:rFonts w:cstheme="minorHAnsi"/>
        </w:rPr>
        <w:t xml:space="preserve"> The Secretariat also supported task leads, facilitated drafting and oversaw the production, editing, translation and dissemination of STRP products. Notable outcomes include:</w:t>
      </w:r>
    </w:p>
    <w:p w14:paraId="4AAFB76C" w14:textId="77777777" w:rsidR="01146BA0" w:rsidRPr="00C0477E" w:rsidRDefault="01146BA0" w:rsidP="00C0477E">
      <w:pPr>
        <w:ind w:left="0" w:firstLine="0"/>
        <w:rPr>
          <w:rFonts w:cstheme="minorHAnsi"/>
        </w:rPr>
      </w:pPr>
    </w:p>
    <w:p w14:paraId="28D5F7AA" w14:textId="55AF7C59" w:rsidR="009F5565" w:rsidRPr="00C0477E" w:rsidRDefault="01146BA0" w:rsidP="00FA12DB">
      <w:pPr>
        <w:pStyle w:val="ListParagraph"/>
        <w:numPr>
          <w:ilvl w:val="0"/>
          <w:numId w:val="31"/>
        </w:numPr>
        <w:ind w:left="851" w:hanging="426"/>
        <w:rPr>
          <w:rFonts w:cstheme="minorHAnsi"/>
        </w:rPr>
      </w:pPr>
      <w:r w:rsidRPr="00C0477E">
        <w:rPr>
          <w:rFonts w:cstheme="minorHAnsi"/>
          <w:i/>
          <w:iCs/>
        </w:rPr>
        <w:t>Global Wetland Outlook: Special Edition 2021</w:t>
      </w:r>
      <w:r w:rsidRPr="00C0477E">
        <w:rPr>
          <w:rFonts w:cstheme="minorHAnsi"/>
        </w:rPr>
        <w:t>: This flagship report was published on 15</w:t>
      </w:r>
      <w:r w:rsidR="002D0A62" w:rsidRPr="00C0477E">
        <w:rPr>
          <w:rFonts w:cstheme="minorHAnsi"/>
        </w:rPr>
        <w:t> </w:t>
      </w:r>
      <w:r w:rsidRPr="00C0477E">
        <w:rPr>
          <w:rFonts w:cstheme="minorHAnsi"/>
        </w:rPr>
        <w:t xml:space="preserve">December 2021 as part of the Convention’s 50th Anniversary. A suite of communications materials related to the launch were </w:t>
      </w:r>
      <w:r w:rsidR="003D1BD5" w:rsidRPr="00C0477E">
        <w:rPr>
          <w:rFonts w:cstheme="minorHAnsi"/>
        </w:rPr>
        <w:t xml:space="preserve">also </w:t>
      </w:r>
      <w:r w:rsidR="00342850" w:rsidRPr="00C0477E">
        <w:rPr>
          <w:rFonts w:cstheme="minorHAnsi"/>
        </w:rPr>
        <w:t xml:space="preserve">released </w:t>
      </w:r>
      <w:r w:rsidRPr="00C0477E">
        <w:rPr>
          <w:rFonts w:cstheme="minorHAnsi"/>
        </w:rPr>
        <w:t xml:space="preserve">(see </w:t>
      </w:r>
      <w:r w:rsidR="00CA5A61">
        <w:rPr>
          <w:rFonts w:cstheme="minorHAnsi"/>
        </w:rPr>
        <w:t xml:space="preserve">paragraphs 57 and 58 </w:t>
      </w:r>
      <w:r w:rsidR="008D7814" w:rsidRPr="00CA5A61">
        <w:rPr>
          <w:rFonts w:cstheme="minorHAnsi"/>
        </w:rPr>
        <w:t>below</w:t>
      </w:r>
      <w:r w:rsidRPr="00C0477E">
        <w:rPr>
          <w:rFonts w:cstheme="minorHAnsi"/>
        </w:rPr>
        <w:t xml:space="preserve"> for details)</w:t>
      </w:r>
      <w:r w:rsidR="009F5565" w:rsidRPr="00C0477E">
        <w:rPr>
          <w:rFonts w:cstheme="minorHAnsi"/>
        </w:rPr>
        <w:t>;</w:t>
      </w:r>
      <w:r w:rsidRPr="00C0477E">
        <w:rPr>
          <w:rFonts w:cstheme="minorHAnsi"/>
        </w:rPr>
        <w:t xml:space="preserve"> </w:t>
      </w:r>
    </w:p>
    <w:p w14:paraId="338B0801" w14:textId="77777777" w:rsidR="008D7814" w:rsidRPr="00C0477E" w:rsidRDefault="01146BA0" w:rsidP="00FA12DB">
      <w:pPr>
        <w:pStyle w:val="ListParagraph"/>
        <w:numPr>
          <w:ilvl w:val="0"/>
          <w:numId w:val="31"/>
        </w:numPr>
        <w:ind w:left="851" w:hanging="426"/>
        <w:rPr>
          <w:rFonts w:cstheme="minorHAnsi"/>
        </w:rPr>
      </w:pPr>
      <w:r w:rsidRPr="00C0477E">
        <w:rPr>
          <w:rFonts w:cstheme="minorHAnsi"/>
        </w:rPr>
        <w:t xml:space="preserve">Policy Brief 5: </w:t>
      </w:r>
      <w:r w:rsidRPr="0045725C">
        <w:rPr>
          <w:rFonts w:cstheme="minorHAnsi"/>
          <w:i/>
        </w:rPr>
        <w:t>Restoring drained peatlands: A necessary step to achieve global climate goals</w:t>
      </w:r>
      <w:r w:rsidR="009F5565" w:rsidRPr="00C0477E">
        <w:rPr>
          <w:rFonts w:cstheme="minorHAnsi"/>
        </w:rPr>
        <w:t>;</w:t>
      </w:r>
    </w:p>
    <w:p w14:paraId="77BEE0A2" w14:textId="77777777" w:rsidR="01146BA0" w:rsidRPr="00C0477E" w:rsidRDefault="01146BA0" w:rsidP="00FA12DB">
      <w:pPr>
        <w:pStyle w:val="ListParagraph"/>
        <w:numPr>
          <w:ilvl w:val="0"/>
          <w:numId w:val="31"/>
        </w:numPr>
        <w:ind w:left="851" w:hanging="426"/>
        <w:rPr>
          <w:rFonts w:cstheme="minorHAnsi"/>
        </w:rPr>
      </w:pPr>
      <w:r w:rsidRPr="00C0477E">
        <w:rPr>
          <w:rFonts w:cstheme="minorHAnsi"/>
        </w:rPr>
        <w:t xml:space="preserve">Policy Brief 6: </w:t>
      </w:r>
      <w:r w:rsidRPr="0045725C">
        <w:rPr>
          <w:rFonts w:cstheme="minorHAnsi"/>
          <w:i/>
        </w:rPr>
        <w:t>Transforming agriculture to sustain people and wetlands</w:t>
      </w:r>
      <w:r w:rsidR="009F5565" w:rsidRPr="00C0477E">
        <w:rPr>
          <w:rFonts w:cstheme="minorHAnsi"/>
        </w:rPr>
        <w:t>;</w:t>
      </w:r>
    </w:p>
    <w:p w14:paraId="70BC919F" w14:textId="77777777" w:rsidR="01146BA0" w:rsidRPr="00C0477E" w:rsidRDefault="01146BA0" w:rsidP="00FA12DB">
      <w:pPr>
        <w:pStyle w:val="ListParagraph"/>
        <w:numPr>
          <w:ilvl w:val="0"/>
          <w:numId w:val="31"/>
        </w:numPr>
        <w:ind w:left="851" w:hanging="426"/>
        <w:rPr>
          <w:rFonts w:cstheme="minorHAnsi"/>
        </w:rPr>
      </w:pPr>
      <w:r w:rsidRPr="00C0477E">
        <w:rPr>
          <w:rFonts w:cstheme="minorHAnsi"/>
        </w:rPr>
        <w:t xml:space="preserve">Briefing Note 9: </w:t>
      </w:r>
      <w:r w:rsidRPr="00C0477E">
        <w:rPr>
          <w:rFonts w:cstheme="minorHAnsi"/>
          <w:i/>
          <w:iCs/>
        </w:rPr>
        <w:t>Guidelines for inventories of tropical peatlands to facilitate their designation as Ramsar Sites</w:t>
      </w:r>
      <w:r w:rsidRPr="003E325C">
        <w:rPr>
          <w:rFonts w:cstheme="minorHAnsi"/>
          <w:iCs/>
        </w:rPr>
        <w:t>;</w:t>
      </w:r>
    </w:p>
    <w:p w14:paraId="0D2B7AD3" w14:textId="77777777" w:rsidR="01146BA0" w:rsidRPr="00C0477E" w:rsidRDefault="01146BA0" w:rsidP="00FA12DB">
      <w:pPr>
        <w:pStyle w:val="ListParagraph"/>
        <w:numPr>
          <w:ilvl w:val="0"/>
          <w:numId w:val="31"/>
        </w:numPr>
        <w:ind w:left="851" w:hanging="426"/>
        <w:rPr>
          <w:rFonts w:cstheme="minorHAnsi"/>
        </w:rPr>
      </w:pPr>
      <w:r w:rsidRPr="00C0477E">
        <w:rPr>
          <w:rFonts w:cstheme="minorHAnsi"/>
        </w:rPr>
        <w:t xml:space="preserve">Briefing Note 10: </w:t>
      </w:r>
      <w:r w:rsidRPr="00C0477E">
        <w:rPr>
          <w:rFonts w:cstheme="minorHAnsi"/>
          <w:i/>
          <w:iCs/>
        </w:rPr>
        <w:t>Wetland restoration for climate change resilience</w:t>
      </w:r>
      <w:r w:rsidR="009F5565" w:rsidRPr="00C0477E">
        <w:rPr>
          <w:rFonts w:cstheme="minorHAnsi"/>
          <w:iCs/>
        </w:rPr>
        <w:t>;</w:t>
      </w:r>
    </w:p>
    <w:p w14:paraId="03F11EA6" w14:textId="77777777" w:rsidR="01146BA0" w:rsidRPr="00C0477E" w:rsidRDefault="01146BA0" w:rsidP="00FA12DB">
      <w:pPr>
        <w:pStyle w:val="ListParagraph"/>
        <w:numPr>
          <w:ilvl w:val="0"/>
          <w:numId w:val="31"/>
        </w:numPr>
        <w:ind w:left="851" w:hanging="426"/>
        <w:rPr>
          <w:rFonts w:cstheme="minorHAnsi"/>
        </w:rPr>
      </w:pPr>
      <w:r w:rsidRPr="00C0477E">
        <w:rPr>
          <w:rFonts w:cstheme="minorHAnsi"/>
        </w:rPr>
        <w:t xml:space="preserve">Briefing Note 11: </w:t>
      </w:r>
      <w:r w:rsidRPr="00C0477E">
        <w:rPr>
          <w:rFonts w:cstheme="minorHAnsi"/>
          <w:i/>
          <w:iCs/>
        </w:rPr>
        <w:t>Practical peatland restoration</w:t>
      </w:r>
      <w:r w:rsidR="009F5565" w:rsidRPr="00C0477E">
        <w:rPr>
          <w:rFonts w:cstheme="minorHAnsi"/>
          <w:iCs/>
        </w:rPr>
        <w:t>;</w:t>
      </w:r>
    </w:p>
    <w:p w14:paraId="543171B0" w14:textId="77777777" w:rsidR="01146BA0" w:rsidRPr="00C0477E" w:rsidRDefault="01146BA0" w:rsidP="00FA12DB">
      <w:pPr>
        <w:pStyle w:val="ListParagraph"/>
        <w:numPr>
          <w:ilvl w:val="0"/>
          <w:numId w:val="31"/>
        </w:numPr>
        <w:ind w:left="851" w:hanging="426"/>
        <w:rPr>
          <w:rFonts w:cstheme="minorHAnsi"/>
          <w:i/>
          <w:iCs/>
        </w:rPr>
      </w:pPr>
      <w:r w:rsidRPr="00C0477E">
        <w:rPr>
          <w:rFonts w:cstheme="minorHAnsi"/>
        </w:rPr>
        <w:t xml:space="preserve">Briefing Note 12: </w:t>
      </w:r>
      <w:r w:rsidRPr="00C0477E">
        <w:rPr>
          <w:rFonts w:cstheme="minorHAnsi"/>
          <w:i/>
          <w:iCs/>
        </w:rPr>
        <w:t>The contribution of blue carbon ecosystems to climate change mitigation</w:t>
      </w:r>
      <w:r w:rsidR="009F5565" w:rsidRPr="00C0477E">
        <w:rPr>
          <w:rFonts w:cstheme="minorHAnsi"/>
          <w:iCs/>
        </w:rPr>
        <w:t>;</w:t>
      </w:r>
    </w:p>
    <w:p w14:paraId="07E34D4D" w14:textId="77777777" w:rsidR="01146BA0" w:rsidRPr="00C0477E" w:rsidRDefault="01146BA0" w:rsidP="00FA12DB">
      <w:pPr>
        <w:pStyle w:val="ListParagraph"/>
        <w:numPr>
          <w:ilvl w:val="0"/>
          <w:numId w:val="31"/>
        </w:numPr>
        <w:ind w:left="851" w:hanging="426"/>
        <w:rPr>
          <w:rFonts w:cstheme="minorHAnsi"/>
        </w:rPr>
      </w:pPr>
      <w:r w:rsidRPr="00C0477E">
        <w:rPr>
          <w:rFonts w:cstheme="minorHAnsi"/>
        </w:rPr>
        <w:t xml:space="preserve">Briefing Note 13: </w:t>
      </w:r>
      <w:r w:rsidRPr="00C0477E">
        <w:rPr>
          <w:rFonts w:cstheme="minorHAnsi"/>
          <w:i/>
          <w:iCs/>
        </w:rPr>
        <w:t>Wetlands and agriculture: impacts of farming practices and pathways to sustainability</w:t>
      </w:r>
      <w:r w:rsidR="009F5565" w:rsidRPr="00C0477E">
        <w:rPr>
          <w:rFonts w:cstheme="minorHAnsi"/>
          <w:iCs/>
        </w:rPr>
        <w:t>; and</w:t>
      </w:r>
    </w:p>
    <w:p w14:paraId="361926B7" w14:textId="77777777" w:rsidR="01146BA0" w:rsidRPr="00C0477E" w:rsidRDefault="01146BA0" w:rsidP="00FA12DB">
      <w:pPr>
        <w:pStyle w:val="ListParagraph"/>
        <w:numPr>
          <w:ilvl w:val="0"/>
          <w:numId w:val="31"/>
        </w:numPr>
        <w:ind w:left="851" w:hanging="426"/>
        <w:rPr>
          <w:rFonts w:cstheme="minorHAnsi"/>
        </w:rPr>
      </w:pPr>
      <w:r w:rsidRPr="00C0477E">
        <w:rPr>
          <w:rFonts w:cstheme="minorHAnsi"/>
        </w:rPr>
        <w:t xml:space="preserve">Ramsar Technical Report 11: </w:t>
      </w:r>
      <w:r w:rsidRPr="00C0477E">
        <w:rPr>
          <w:rFonts w:cstheme="minorHAnsi"/>
          <w:i/>
          <w:iCs/>
        </w:rPr>
        <w:t>Global guidelines for peatland rewetting and restoration</w:t>
      </w:r>
      <w:r w:rsidR="009F5565" w:rsidRPr="00C0477E">
        <w:rPr>
          <w:rFonts w:cstheme="minorHAnsi"/>
          <w:i/>
          <w:iCs/>
        </w:rPr>
        <w:t>.</w:t>
      </w:r>
    </w:p>
    <w:p w14:paraId="7DEF069B" w14:textId="77777777" w:rsidR="00E84D11" w:rsidRPr="00C0477E" w:rsidRDefault="00E84D11" w:rsidP="00C0477E">
      <w:pPr>
        <w:ind w:left="0" w:firstLine="0"/>
        <w:rPr>
          <w:rFonts w:cstheme="minorHAnsi"/>
        </w:rPr>
      </w:pPr>
    </w:p>
    <w:p w14:paraId="55DD5720" w14:textId="38456B44" w:rsidR="006F283E" w:rsidRPr="00C0477E" w:rsidRDefault="00C0477E" w:rsidP="00B150BD">
      <w:pPr>
        <w:ind w:left="426"/>
        <w:rPr>
          <w:rFonts w:cstheme="minorHAnsi"/>
        </w:rPr>
      </w:pPr>
      <w:r>
        <w:rPr>
          <w:rFonts w:cstheme="minorHAnsi"/>
        </w:rPr>
        <w:t>9</w:t>
      </w:r>
      <w:r w:rsidR="00A34358" w:rsidRPr="00C0477E">
        <w:rPr>
          <w:rFonts w:cstheme="minorHAnsi"/>
        </w:rPr>
        <w:t>.</w:t>
      </w:r>
      <w:r w:rsidR="00A34358" w:rsidRPr="00C0477E">
        <w:rPr>
          <w:rFonts w:cstheme="minorHAnsi"/>
        </w:rPr>
        <w:tab/>
      </w:r>
      <w:r w:rsidR="006F283E" w:rsidRPr="00C0477E">
        <w:rPr>
          <w:rFonts w:cstheme="minorHAnsi"/>
        </w:rPr>
        <w:t>The Secretariat team worked in a coordinated manner with clear roles and responsibilities to support these meetings. Participants expressed satisfaction with the organization and running of the meetings.</w:t>
      </w:r>
    </w:p>
    <w:p w14:paraId="27645958" w14:textId="77777777" w:rsidR="006F283E" w:rsidRPr="00C0477E" w:rsidRDefault="006F283E" w:rsidP="00B150BD">
      <w:pPr>
        <w:ind w:left="426"/>
        <w:rPr>
          <w:rFonts w:cstheme="minorHAnsi"/>
        </w:rPr>
      </w:pPr>
    </w:p>
    <w:p w14:paraId="4FC43BF7" w14:textId="5860E68F" w:rsidR="005051ED" w:rsidRPr="00C0477E" w:rsidRDefault="00C0477E" w:rsidP="00B150BD">
      <w:pPr>
        <w:ind w:left="426"/>
        <w:rPr>
          <w:rFonts w:cstheme="minorHAnsi"/>
        </w:rPr>
      </w:pPr>
      <w:r>
        <w:rPr>
          <w:rFonts w:cstheme="minorHAnsi"/>
        </w:rPr>
        <w:t>10</w:t>
      </w:r>
      <w:r w:rsidR="00EF7857" w:rsidRPr="00C0477E">
        <w:rPr>
          <w:rFonts w:cstheme="minorHAnsi"/>
        </w:rPr>
        <w:t>.</w:t>
      </w:r>
      <w:r w:rsidR="00EF7857" w:rsidRPr="00C0477E">
        <w:rPr>
          <w:rFonts w:cstheme="minorHAnsi"/>
        </w:rPr>
        <w:tab/>
      </w:r>
      <w:r w:rsidR="00510A44" w:rsidRPr="00C0477E" w:rsidDel="001F7875">
        <w:rPr>
          <w:rFonts w:cstheme="minorHAnsi"/>
        </w:rPr>
        <w:t>The Secretariat has been actively liaising with China as the host country for COP14</w:t>
      </w:r>
      <w:r w:rsidR="00510A44" w:rsidRPr="00C0477E">
        <w:rPr>
          <w:rFonts w:cstheme="minorHAnsi"/>
        </w:rPr>
        <w:t>.</w:t>
      </w:r>
      <w:r w:rsidR="00510A44" w:rsidRPr="00C0477E" w:rsidDel="001F7875">
        <w:rPr>
          <w:rFonts w:cstheme="minorHAnsi"/>
        </w:rPr>
        <w:t xml:space="preserve"> </w:t>
      </w:r>
      <w:r w:rsidR="00EF7857" w:rsidRPr="00C0477E">
        <w:rPr>
          <w:rFonts w:cstheme="minorHAnsi"/>
        </w:rPr>
        <w:t xml:space="preserve">The organization of COP14 has been a particular challenge because </w:t>
      </w:r>
      <w:r w:rsidR="00FD7DE3">
        <w:rPr>
          <w:rFonts w:cstheme="minorHAnsi"/>
        </w:rPr>
        <w:t>for</w:t>
      </w:r>
      <w:r w:rsidR="00EF7857" w:rsidRPr="00C0477E">
        <w:rPr>
          <w:rFonts w:cstheme="minorHAnsi"/>
        </w:rPr>
        <w:t xml:space="preserve"> the first time a meeting of the Conference of the Parties is being held at two venues, in Switzerland and China, with virtual connections for parts of the meeting and internet streaming from the venue in Switzerland. Arrangements are also </w:t>
      </w:r>
      <w:r w:rsidR="003E325C">
        <w:rPr>
          <w:rFonts w:cstheme="minorHAnsi"/>
        </w:rPr>
        <w:t xml:space="preserve">being </w:t>
      </w:r>
      <w:r w:rsidR="00EF7857" w:rsidRPr="00C0477E">
        <w:rPr>
          <w:rFonts w:cstheme="minorHAnsi"/>
        </w:rPr>
        <w:t xml:space="preserve">made of course for </w:t>
      </w:r>
      <w:r w:rsidR="00FD7DE3">
        <w:rPr>
          <w:rFonts w:cstheme="minorHAnsi"/>
        </w:rPr>
        <w:t>SC60 and SC61</w:t>
      </w:r>
      <w:r w:rsidR="00EF7857" w:rsidRPr="00C0477E">
        <w:rPr>
          <w:rFonts w:cstheme="minorHAnsi"/>
        </w:rPr>
        <w:t>,</w:t>
      </w:r>
      <w:r w:rsidR="00D868DB" w:rsidRPr="00C0477E">
        <w:rPr>
          <w:rFonts w:cstheme="minorHAnsi"/>
        </w:rPr>
        <w:t xml:space="preserve"> </w:t>
      </w:r>
      <w:r w:rsidR="00FD7DE3">
        <w:rPr>
          <w:rFonts w:cstheme="minorHAnsi"/>
        </w:rPr>
        <w:t xml:space="preserve">to be </w:t>
      </w:r>
      <w:r w:rsidR="00D868DB" w:rsidRPr="00C0477E">
        <w:rPr>
          <w:rFonts w:cstheme="minorHAnsi"/>
        </w:rPr>
        <w:t>held immediately before and after COP1</w:t>
      </w:r>
      <w:r w:rsidR="006F283E" w:rsidRPr="00C0477E">
        <w:rPr>
          <w:rFonts w:cstheme="minorHAnsi"/>
        </w:rPr>
        <w:t>4.</w:t>
      </w:r>
      <w:r w:rsidR="005051ED" w:rsidRPr="00C0477E">
        <w:rPr>
          <w:rFonts w:cstheme="minorHAnsi"/>
        </w:rPr>
        <w:t xml:space="preserve"> China</w:t>
      </w:r>
      <w:r w:rsidR="009C689E">
        <w:rPr>
          <w:rFonts w:cstheme="minorHAnsi"/>
        </w:rPr>
        <w:t>,</w:t>
      </w:r>
      <w:r w:rsidR="005051ED" w:rsidRPr="00C0477E">
        <w:rPr>
          <w:rFonts w:cstheme="minorHAnsi"/>
        </w:rPr>
        <w:t xml:space="preserve"> as the Host Country, is generously funding all aspects of the arrangements. The Government of Switzerland however has generously provided the venue for the meeting in Geneva. The Secretariat’s role includes the preparation, translation and posting of documents, registration, fundraising and arrangements for sponsored delegates, coordination of side events, all of the logistics and the other activities that go towards ensuring the success of a meeting of the Conference of the Parties</w:t>
      </w:r>
      <w:r w:rsidR="00E4253B">
        <w:rPr>
          <w:rFonts w:cstheme="minorHAnsi"/>
        </w:rPr>
        <w:t xml:space="preserve"> </w:t>
      </w:r>
    </w:p>
    <w:p w14:paraId="363D5902" w14:textId="265D22BE" w:rsidR="001F7875" w:rsidRPr="00C0477E" w:rsidRDefault="001F7875" w:rsidP="00B150BD">
      <w:pPr>
        <w:ind w:left="426"/>
        <w:rPr>
          <w:rFonts w:cstheme="minorHAnsi"/>
        </w:rPr>
      </w:pPr>
    </w:p>
    <w:p w14:paraId="6A8C793E" w14:textId="1E73BB1F" w:rsidR="00AF47E2" w:rsidRPr="00C0477E" w:rsidRDefault="00C0477E" w:rsidP="00B150BD">
      <w:pPr>
        <w:ind w:left="426"/>
        <w:rPr>
          <w:rFonts w:cstheme="minorHAnsi"/>
        </w:rPr>
      </w:pPr>
      <w:r>
        <w:rPr>
          <w:rFonts w:cstheme="minorHAnsi"/>
        </w:rPr>
        <w:t>11</w:t>
      </w:r>
      <w:r w:rsidR="00E63F2B" w:rsidRPr="00C0477E">
        <w:rPr>
          <w:rFonts w:cstheme="minorHAnsi"/>
        </w:rPr>
        <w:t>.</w:t>
      </w:r>
      <w:r w:rsidR="00E63F2B" w:rsidRPr="00C0477E">
        <w:rPr>
          <w:rFonts w:cstheme="minorHAnsi"/>
        </w:rPr>
        <w:tab/>
      </w:r>
      <w:r w:rsidR="00000A4A" w:rsidRPr="00C0477E">
        <w:rPr>
          <w:rFonts w:cstheme="minorHAnsi"/>
        </w:rPr>
        <w:t xml:space="preserve">In light of the pandemic, the Secretariat organized ExCOP3, the first such meeting held virtually, from 25 October to 4 November 2021, for the purpose of considering and approving the postponement of COP14 and the budget for the operation of the Convention in 2022. </w:t>
      </w:r>
      <w:r w:rsidR="00AF47E2" w:rsidRPr="00C0477E">
        <w:rPr>
          <w:rFonts w:cstheme="minorHAnsi"/>
        </w:rPr>
        <w:t xml:space="preserve">In preparation for </w:t>
      </w:r>
      <w:r w:rsidR="00BF1E67" w:rsidRPr="00C0477E">
        <w:rPr>
          <w:rFonts w:cstheme="minorHAnsi"/>
        </w:rPr>
        <w:t>this meeting</w:t>
      </w:r>
      <w:r w:rsidR="00AF47E2" w:rsidRPr="00C0477E">
        <w:rPr>
          <w:rFonts w:cstheme="minorHAnsi"/>
        </w:rPr>
        <w:t xml:space="preserve">, the Secretariat organized five regional pre-COP meetings held online in September 2021: </w:t>
      </w:r>
    </w:p>
    <w:p w14:paraId="2A141F5C" w14:textId="77777777" w:rsidR="00AF47E2" w:rsidRPr="00C0477E" w:rsidRDefault="00AF47E2" w:rsidP="00FA12DB">
      <w:pPr>
        <w:pStyle w:val="ListParagraph"/>
        <w:numPr>
          <w:ilvl w:val="0"/>
          <w:numId w:val="32"/>
        </w:numPr>
        <w:ind w:left="851" w:hanging="426"/>
        <w:rPr>
          <w:rFonts w:cstheme="minorHAnsi"/>
        </w:rPr>
      </w:pPr>
      <w:r w:rsidRPr="00C0477E">
        <w:rPr>
          <w:rFonts w:cstheme="minorHAnsi"/>
        </w:rPr>
        <w:t>Africa Region (22 September)</w:t>
      </w:r>
    </w:p>
    <w:p w14:paraId="6103CC1C" w14:textId="77777777" w:rsidR="00AF47E2" w:rsidRPr="00C0477E" w:rsidRDefault="00AF47E2" w:rsidP="00FA12DB">
      <w:pPr>
        <w:pStyle w:val="ListParagraph"/>
        <w:numPr>
          <w:ilvl w:val="0"/>
          <w:numId w:val="32"/>
        </w:numPr>
        <w:ind w:left="851" w:hanging="426"/>
        <w:rPr>
          <w:rFonts w:cstheme="minorHAnsi"/>
        </w:rPr>
      </w:pPr>
      <w:r w:rsidRPr="00C0477E">
        <w:rPr>
          <w:rFonts w:cstheme="minorHAnsi"/>
        </w:rPr>
        <w:t>Asia Region (27 September)</w:t>
      </w:r>
    </w:p>
    <w:p w14:paraId="69BA3725" w14:textId="77777777" w:rsidR="00AF47E2" w:rsidRPr="00C0477E" w:rsidRDefault="00AF47E2" w:rsidP="00FA12DB">
      <w:pPr>
        <w:pStyle w:val="ListParagraph"/>
        <w:numPr>
          <w:ilvl w:val="0"/>
          <w:numId w:val="32"/>
        </w:numPr>
        <w:ind w:left="851" w:hanging="426"/>
        <w:rPr>
          <w:rFonts w:cstheme="minorHAnsi"/>
        </w:rPr>
      </w:pPr>
      <w:r w:rsidRPr="00C0477E">
        <w:rPr>
          <w:rFonts w:cstheme="minorHAnsi"/>
        </w:rPr>
        <w:t>Americas Region (17 September)</w:t>
      </w:r>
    </w:p>
    <w:p w14:paraId="27E272A4" w14:textId="77777777" w:rsidR="00AF47E2" w:rsidRPr="00C0477E" w:rsidRDefault="00AF47E2" w:rsidP="00FA12DB">
      <w:pPr>
        <w:pStyle w:val="ListParagraph"/>
        <w:numPr>
          <w:ilvl w:val="0"/>
          <w:numId w:val="32"/>
        </w:numPr>
        <w:ind w:left="851" w:hanging="426"/>
        <w:rPr>
          <w:rFonts w:cstheme="minorHAnsi"/>
        </w:rPr>
      </w:pPr>
      <w:r w:rsidRPr="00C0477E">
        <w:rPr>
          <w:rFonts w:cstheme="minorHAnsi"/>
        </w:rPr>
        <w:t>Oceania Region (22 September)</w:t>
      </w:r>
    </w:p>
    <w:p w14:paraId="3554BC25" w14:textId="77777777" w:rsidR="00AF47E2" w:rsidRPr="00C0477E" w:rsidRDefault="00AF47E2" w:rsidP="00FA12DB">
      <w:pPr>
        <w:pStyle w:val="ListParagraph"/>
        <w:numPr>
          <w:ilvl w:val="0"/>
          <w:numId w:val="32"/>
        </w:numPr>
        <w:ind w:left="851" w:hanging="426"/>
        <w:rPr>
          <w:rFonts w:cstheme="minorHAnsi"/>
        </w:rPr>
      </w:pPr>
      <w:r w:rsidRPr="00C0477E">
        <w:rPr>
          <w:rFonts w:cstheme="minorHAnsi"/>
        </w:rPr>
        <w:t>Europe Region (23 September)</w:t>
      </w:r>
    </w:p>
    <w:p w14:paraId="0EC2A49F" w14:textId="77777777" w:rsidR="00AF47E2" w:rsidRPr="00C0477E" w:rsidRDefault="00AF47E2" w:rsidP="005948F3">
      <w:pPr>
        <w:ind w:left="0" w:firstLine="0"/>
        <w:rPr>
          <w:rFonts w:cstheme="minorHAnsi"/>
        </w:rPr>
      </w:pPr>
    </w:p>
    <w:p w14:paraId="5C321EAF" w14:textId="7D6441CD" w:rsidR="00000A4A" w:rsidRPr="00C0477E" w:rsidRDefault="00C0477E" w:rsidP="00FA12DB">
      <w:pPr>
        <w:ind w:left="426"/>
        <w:rPr>
          <w:rFonts w:cstheme="minorHAnsi"/>
        </w:rPr>
      </w:pPr>
      <w:r>
        <w:rPr>
          <w:rFonts w:cstheme="minorHAnsi"/>
        </w:rPr>
        <w:t>12</w:t>
      </w:r>
      <w:r w:rsidR="00BF1E67" w:rsidRPr="00C0477E">
        <w:rPr>
          <w:rFonts w:cstheme="minorHAnsi"/>
        </w:rPr>
        <w:t>.</w:t>
      </w:r>
      <w:r w:rsidR="00AF47E2" w:rsidRPr="00C0477E">
        <w:rPr>
          <w:rFonts w:cstheme="minorHAnsi"/>
        </w:rPr>
        <w:t xml:space="preserve"> </w:t>
      </w:r>
      <w:r w:rsidR="00BF1E67" w:rsidRPr="00C0477E">
        <w:rPr>
          <w:rFonts w:cstheme="minorHAnsi"/>
        </w:rPr>
        <w:tab/>
      </w:r>
      <w:r w:rsidR="001F7875" w:rsidRPr="00C0477E">
        <w:rPr>
          <w:rFonts w:cstheme="minorHAnsi"/>
        </w:rPr>
        <w:t>E</w:t>
      </w:r>
      <w:r w:rsidR="00BF1E67" w:rsidRPr="00C0477E">
        <w:rPr>
          <w:rFonts w:cstheme="minorHAnsi"/>
        </w:rPr>
        <w:t>x</w:t>
      </w:r>
      <w:r w:rsidR="001F7875" w:rsidRPr="00C0477E">
        <w:rPr>
          <w:rFonts w:cstheme="minorHAnsi"/>
        </w:rPr>
        <w:t xml:space="preserve">COP3 </w:t>
      </w:r>
      <w:r w:rsidR="00000A4A" w:rsidRPr="00C0477E">
        <w:rPr>
          <w:rFonts w:cstheme="minorHAnsi"/>
        </w:rPr>
        <w:t xml:space="preserve">was attended by 303 participants from 126 Contracting Parties, with 48% female and 52% male participation. </w:t>
      </w:r>
      <w:r w:rsidR="00BF1E67" w:rsidRPr="00C0477E">
        <w:rPr>
          <w:rFonts w:cstheme="minorHAnsi"/>
        </w:rPr>
        <w:t>T</w:t>
      </w:r>
      <w:r w:rsidR="00000A4A" w:rsidRPr="00C0477E">
        <w:rPr>
          <w:rFonts w:cstheme="minorHAnsi"/>
        </w:rPr>
        <w:t>he meeting adopted two Resolutions</w:t>
      </w:r>
      <w:r w:rsidR="00BF1E67" w:rsidRPr="00C0477E">
        <w:rPr>
          <w:rFonts w:cstheme="minorHAnsi"/>
        </w:rPr>
        <w:t>:</w:t>
      </w:r>
      <w:r w:rsidR="00000A4A" w:rsidRPr="00C0477E">
        <w:rPr>
          <w:rFonts w:cstheme="minorHAnsi"/>
        </w:rPr>
        <w:t xml:space="preserve"> </w:t>
      </w:r>
      <w:r w:rsidR="00BF1E67" w:rsidRPr="00C0477E">
        <w:rPr>
          <w:rFonts w:cstheme="minorHAnsi"/>
        </w:rPr>
        <w:t xml:space="preserve">one </w:t>
      </w:r>
      <w:r w:rsidR="00000A4A" w:rsidRPr="00C0477E">
        <w:rPr>
          <w:rFonts w:cstheme="minorHAnsi"/>
        </w:rPr>
        <w:t>on the 2022 budget</w:t>
      </w:r>
      <w:r w:rsidR="00BF1E67" w:rsidRPr="00C0477E">
        <w:rPr>
          <w:rFonts w:cstheme="minorHAnsi"/>
        </w:rPr>
        <w:t>;</w:t>
      </w:r>
      <w:r w:rsidR="00000A4A" w:rsidRPr="00C0477E">
        <w:rPr>
          <w:rFonts w:cstheme="minorHAnsi"/>
        </w:rPr>
        <w:t xml:space="preserve"> and</w:t>
      </w:r>
      <w:r w:rsidR="00BF1E67" w:rsidRPr="00C0477E">
        <w:rPr>
          <w:rFonts w:cstheme="minorHAnsi"/>
        </w:rPr>
        <w:t xml:space="preserve"> one</w:t>
      </w:r>
      <w:r w:rsidR="00000A4A" w:rsidRPr="00C0477E">
        <w:rPr>
          <w:rFonts w:cstheme="minorHAnsi"/>
        </w:rPr>
        <w:t xml:space="preserve"> the postponement </w:t>
      </w:r>
      <w:r w:rsidR="00BF1E67" w:rsidRPr="00C0477E">
        <w:rPr>
          <w:rFonts w:cstheme="minorHAnsi"/>
        </w:rPr>
        <w:t xml:space="preserve">of COP14 </w:t>
      </w:r>
      <w:r w:rsidR="00000A4A" w:rsidRPr="00C0477E">
        <w:rPr>
          <w:rFonts w:cstheme="minorHAnsi"/>
        </w:rPr>
        <w:t>to 2022.</w:t>
      </w:r>
    </w:p>
    <w:p w14:paraId="09CFFEE3" w14:textId="77777777" w:rsidR="00000A4A" w:rsidRPr="00C0477E" w:rsidRDefault="00000A4A" w:rsidP="00FA12DB">
      <w:pPr>
        <w:ind w:left="426"/>
        <w:rPr>
          <w:rFonts w:cstheme="minorHAnsi"/>
        </w:rPr>
      </w:pPr>
    </w:p>
    <w:p w14:paraId="0B71FFBE" w14:textId="42A3AEB3" w:rsidR="00277D40" w:rsidRPr="00C0477E" w:rsidRDefault="00C0477E" w:rsidP="00FA12DB">
      <w:pPr>
        <w:ind w:left="426"/>
        <w:rPr>
          <w:rFonts w:cstheme="minorHAnsi"/>
        </w:rPr>
      </w:pPr>
      <w:r>
        <w:rPr>
          <w:rFonts w:cstheme="minorHAnsi"/>
        </w:rPr>
        <w:t>13</w:t>
      </w:r>
      <w:r w:rsidR="00A34358" w:rsidRPr="00C0477E">
        <w:rPr>
          <w:rFonts w:cstheme="minorHAnsi"/>
        </w:rPr>
        <w:t>.</w:t>
      </w:r>
      <w:r w:rsidR="00A34358" w:rsidRPr="00C0477E">
        <w:rPr>
          <w:rFonts w:cstheme="minorHAnsi"/>
        </w:rPr>
        <w:tab/>
      </w:r>
      <w:r w:rsidR="00BF1E67" w:rsidRPr="00C0477E">
        <w:rPr>
          <w:rFonts w:cstheme="minorHAnsi"/>
        </w:rPr>
        <w:t>After COP13, t</w:t>
      </w:r>
      <w:r w:rsidR="00B9780B" w:rsidRPr="00C0477E">
        <w:rPr>
          <w:rFonts w:cstheme="minorHAnsi"/>
        </w:rPr>
        <w:t xml:space="preserve">he Secretariat carried out an internal assessment of the organization of </w:t>
      </w:r>
      <w:r w:rsidR="00BF1E67" w:rsidRPr="00C0477E">
        <w:rPr>
          <w:rFonts w:cstheme="minorHAnsi"/>
        </w:rPr>
        <w:t>the meeting</w:t>
      </w:r>
      <w:r w:rsidR="00B9780B" w:rsidRPr="00C0477E">
        <w:rPr>
          <w:rFonts w:cstheme="minorHAnsi"/>
        </w:rPr>
        <w:t xml:space="preserve"> and identified key lessons. These </w:t>
      </w:r>
      <w:r w:rsidR="00BF1E67" w:rsidRPr="00C0477E">
        <w:rPr>
          <w:rFonts w:cstheme="minorHAnsi"/>
        </w:rPr>
        <w:t>were taken into account in developing</w:t>
      </w:r>
      <w:r w:rsidR="00B9780B" w:rsidRPr="00C0477E">
        <w:rPr>
          <w:rFonts w:cstheme="minorHAnsi"/>
        </w:rPr>
        <w:t xml:space="preserve"> best practices</w:t>
      </w:r>
      <w:r w:rsidR="00B029D9" w:rsidRPr="00C0477E">
        <w:rPr>
          <w:rFonts w:cstheme="minorHAnsi"/>
        </w:rPr>
        <w:t>, which</w:t>
      </w:r>
      <w:r w:rsidR="00B9780B" w:rsidRPr="00C0477E">
        <w:rPr>
          <w:rFonts w:cstheme="minorHAnsi"/>
        </w:rPr>
        <w:t xml:space="preserve"> </w:t>
      </w:r>
      <w:r w:rsidR="00E749E5" w:rsidRPr="00C0477E">
        <w:rPr>
          <w:rFonts w:cstheme="minorHAnsi"/>
        </w:rPr>
        <w:t>were</w:t>
      </w:r>
      <w:r w:rsidR="00B9780B" w:rsidRPr="00C0477E">
        <w:rPr>
          <w:rFonts w:cstheme="minorHAnsi"/>
        </w:rPr>
        <w:t xml:space="preserve"> incorporated into a new manual that provides guidance on planning and preparing for future meetings of the COP. </w:t>
      </w:r>
    </w:p>
    <w:p w14:paraId="7D38C978" w14:textId="77777777" w:rsidR="00B02D0F" w:rsidRPr="00C0477E" w:rsidRDefault="00B02D0F" w:rsidP="00FA12DB">
      <w:pPr>
        <w:ind w:left="426"/>
        <w:rPr>
          <w:rFonts w:cstheme="minorHAnsi"/>
        </w:rPr>
      </w:pPr>
    </w:p>
    <w:p w14:paraId="0695FE2D" w14:textId="2AE28856" w:rsidR="00591C25" w:rsidRPr="00C0477E" w:rsidRDefault="00C0477E" w:rsidP="00FA12DB">
      <w:pPr>
        <w:ind w:left="426"/>
        <w:rPr>
          <w:rFonts w:cstheme="minorHAnsi"/>
        </w:rPr>
      </w:pPr>
      <w:r>
        <w:rPr>
          <w:rFonts w:cstheme="minorHAnsi"/>
        </w:rPr>
        <w:t>14</w:t>
      </w:r>
      <w:r w:rsidR="00A34358" w:rsidRPr="00C0477E">
        <w:rPr>
          <w:rFonts w:cstheme="minorHAnsi"/>
        </w:rPr>
        <w:t>.</w:t>
      </w:r>
      <w:r w:rsidR="00A34358" w:rsidRPr="00C0477E">
        <w:rPr>
          <w:rFonts w:cstheme="minorHAnsi"/>
        </w:rPr>
        <w:tab/>
      </w:r>
      <w:r w:rsidR="00F1771C" w:rsidRPr="00C0477E">
        <w:rPr>
          <w:rFonts w:cstheme="minorHAnsi"/>
        </w:rPr>
        <w:t>T</w:t>
      </w:r>
      <w:r w:rsidR="00135192" w:rsidRPr="00C0477E">
        <w:rPr>
          <w:rFonts w:cstheme="minorHAnsi"/>
        </w:rPr>
        <w:t>he Secretariat ha</w:t>
      </w:r>
      <w:r w:rsidR="00597507" w:rsidRPr="00C0477E">
        <w:rPr>
          <w:rFonts w:cstheme="minorHAnsi"/>
        </w:rPr>
        <w:t>s</w:t>
      </w:r>
      <w:r w:rsidR="00F1771C" w:rsidRPr="00C0477E">
        <w:rPr>
          <w:rFonts w:cstheme="minorHAnsi"/>
        </w:rPr>
        <w:t xml:space="preserve"> </w:t>
      </w:r>
      <w:r w:rsidR="00B02D0F" w:rsidRPr="00C0477E">
        <w:rPr>
          <w:rFonts w:cstheme="minorHAnsi"/>
        </w:rPr>
        <w:t xml:space="preserve">also </w:t>
      </w:r>
      <w:r w:rsidR="00F1771C" w:rsidRPr="00C0477E">
        <w:rPr>
          <w:rFonts w:cstheme="minorHAnsi"/>
        </w:rPr>
        <w:t>been active in</w:t>
      </w:r>
      <w:r w:rsidR="00AE0EC0" w:rsidRPr="00C0477E">
        <w:rPr>
          <w:rFonts w:cstheme="minorHAnsi"/>
        </w:rPr>
        <w:t xml:space="preserve"> support</w:t>
      </w:r>
      <w:r w:rsidR="00F1771C" w:rsidRPr="00C0477E">
        <w:rPr>
          <w:rFonts w:cstheme="minorHAnsi"/>
        </w:rPr>
        <w:t>ing</w:t>
      </w:r>
      <w:r w:rsidR="00A52454" w:rsidRPr="00C0477E">
        <w:rPr>
          <w:rFonts w:cstheme="minorHAnsi"/>
        </w:rPr>
        <w:t xml:space="preserve"> implementation of </w:t>
      </w:r>
      <w:r w:rsidR="006E620E" w:rsidRPr="00C0477E">
        <w:rPr>
          <w:rFonts w:cstheme="minorHAnsi"/>
        </w:rPr>
        <w:t>dec</w:t>
      </w:r>
      <w:r w:rsidR="00AE0EC0" w:rsidRPr="00C0477E">
        <w:rPr>
          <w:rFonts w:cstheme="minorHAnsi"/>
        </w:rPr>
        <w:t>isions</w:t>
      </w:r>
      <w:r w:rsidR="00F1771C" w:rsidRPr="00C0477E">
        <w:rPr>
          <w:rFonts w:cstheme="minorHAnsi"/>
        </w:rPr>
        <w:t xml:space="preserve"> made </w:t>
      </w:r>
      <w:r w:rsidR="00141530" w:rsidRPr="00C0477E">
        <w:rPr>
          <w:rFonts w:cstheme="minorHAnsi"/>
        </w:rPr>
        <w:t xml:space="preserve">at </w:t>
      </w:r>
      <w:r w:rsidR="00B02D0F" w:rsidRPr="00C0477E">
        <w:rPr>
          <w:rFonts w:cstheme="minorHAnsi"/>
        </w:rPr>
        <w:t>COP1</w:t>
      </w:r>
      <w:r w:rsidR="00D97E58" w:rsidRPr="00C0477E">
        <w:rPr>
          <w:rFonts w:cstheme="minorHAnsi"/>
        </w:rPr>
        <w:t>3</w:t>
      </w:r>
      <w:r w:rsidR="00B02D0F" w:rsidRPr="00C0477E">
        <w:rPr>
          <w:rFonts w:cstheme="minorHAnsi"/>
        </w:rPr>
        <w:t xml:space="preserve"> and </w:t>
      </w:r>
      <w:r w:rsidR="00141530" w:rsidRPr="00C0477E">
        <w:rPr>
          <w:rFonts w:cstheme="minorHAnsi"/>
        </w:rPr>
        <w:t xml:space="preserve">by </w:t>
      </w:r>
      <w:r w:rsidR="00B02D0F" w:rsidRPr="00C0477E">
        <w:rPr>
          <w:rFonts w:cstheme="minorHAnsi"/>
        </w:rPr>
        <w:t xml:space="preserve">the </w:t>
      </w:r>
      <w:r w:rsidR="00F1771C" w:rsidRPr="00C0477E">
        <w:rPr>
          <w:rFonts w:cstheme="minorHAnsi"/>
        </w:rPr>
        <w:t xml:space="preserve">Standing Committee. </w:t>
      </w:r>
      <w:r w:rsidR="0057283A" w:rsidRPr="00C0477E">
        <w:rPr>
          <w:rFonts w:cstheme="minorHAnsi"/>
        </w:rPr>
        <w:t>An</w:t>
      </w:r>
      <w:r w:rsidR="00591C25" w:rsidRPr="00C0477E">
        <w:rPr>
          <w:rFonts w:cstheme="minorHAnsi"/>
        </w:rPr>
        <w:t xml:space="preserve"> important activity has been to support working groups established by COP13 and SC57, including</w:t>
      </w:r>
      <w:r w:rsidR="003E325C">
        <w:rPr>
          <w:rFonts w:cstheme="minorHAnsi"/>
        </w:rPr>
        <w:t xml:space="preserve"> through</w:t>
      </w:r>
      <w:r w:rsidR="00591C25" w:rsidRPr="00C0477E">
        <w:rPr>
          <w:rFonts w:cstheme="minorHAnsi"/>
        </w:rPr>
        <w:t xml:space="preserve"> specific tasks given by SC57. The Secretariat organized teleconferences, prepared meeting agendas and minutes, secured and managed consultancies that support the working groups</w:t>
      </w:r>
      <w:r w:rsidR="003E325C">
        <w:rPr>
          <w:rFonts w:cstheme="minorHAnsi"/>
        </w:rPr>
        <w:t>,</w:t>
      </w:r>
      <w:r w:rsidR="00591C25" w:rsidRPr="00C0477E">
        <w:rPr>
          <w:rFonts w:cstheme="minorHAnsi"/>
        </w:rPr>
        <w:t xml:space="preserve"> and assisted in the preparation of reports and documents presented to SC58</w:t>
      </w:r>
      <w:r w:rsidR="00FA0CD9" w:rsidRPr="00C0477E">
        <w:rPr>
          <w:rFonts w:cstheme="minorHAnsi"/>
        </w:rPr>
        <w:t xml:space="preserve"> and SC59</w:t>
      </w:r>
      <w:r w:rsidR="009C3D62" w:rsidRPr="00C0477E">
        <w:rPr>
          <w:rFonts w:cstheme="minorHAnsi"/>
        </w:rPr>
        <w:t xml:space="preserve"> and its resumed session</w:t>
      </w:r>
      <w:r w:rsidR="00591C25" w:rsidRPr="00C0477E">
        <w:rPr>
          <w:rFonts w:cstheme="minorHAnsi"/>
        </w:rPr>
        <w:t>. Support has been provided to the following groups:</w:t>
      </w:r>
    </w:p>
    <w:p w14:paraId="4344C84F" w14:textId="77777777" w:rsidR="00591C25" w:rsidRPr="00C0477E" w:rsidRDefault="00591C25" w:rsidP="00C0477E">
      <w:pPr>
        <w:ind w:left="0" w:firstLine="0"/>
        <w:rPr>
          <w:rFonts w:cstheme="minorHAnsi"/>
        </w:rPr>
      </w:pPr>
    </w:p>
    <w:p w14:paraId="40C54EDF" w14:textId="499D2220" w:rsidR="00591C25" w:rsidRPr="00C0477E" w:rsidRDefault="00591C25" w:rsidP="00FA12DB">
      <w:pPr>
        <w:ind w:left="851"/>
        <w:rPr>
          <w:rFonts w:cstheme="minorHAnsi"/>
        </w:rPr>
      </w:pPr>
      <w:r w:rsidRPr="00C0477E">
        <w:rPr>
          <w:rFonts w:cstheme="minorHAnsi"/>
        </w:rPr>
        <w:t>i.</w:t>
      </w:r>
      <w:r w:rsidRPr="00C0477E">
        <w:rPr>
          <w:rFonts w:cstheme="minorHAnsi"/>
        </w:rPr>
        <w:tab/>
        <w:t xml:space="preserve">Effectiveness Working Group – The Secretariat managed the tender and contracting for the consultant, administered a survey to all Contracting Parties on behalf of the Working Group and provided administrative support to the consultant as requested by the Working Group. </w:t>
      </w:r>
    </w:p>
    <w:p w14:paraId="6C6FA87C" w14:textId="77777777" w:rsidR="00D04177" w:rsidRPr="00C0477E" w:rsidRDefault="00D04177" w:rsidP="005948F3">
      <w:pPr>
        <w:ind w:left="0" w:firstLine="0"/>
        <w:rPr>
          <w:rFonts w:cstheme="minorHAnsi"/>
        </w:rPr>
      </w:pPr>
    </w:p>
    <w:p w14:paraId="129F9755" w14:textId="5CD1D6F0" w:rsidR="00D04177" w:rsidRPr="00C0477E" w:rsidRDefault="00D04177" w:rsidP="00FA12DB">
      <w:pPr>
        <w:ind w:left="851"/>
        <w:rPr>
          <w:rFonts w:cstheme="minorHAnsi"/>
        </w:rPr>
      </w:pPr>
      <w:r w:rsidRPr="00C0477E">
        <w:rPr>
          <w:rFonts w:cstheme="minorHAnsi"/>
        </w:rPr>
        <w:t>ii.</w:t>
      </w:r>
      <w:r w:rsidRPr="00C0477E">
        <w:rPr>
          <w:rFonts w:cstheme="minorHAnsi"/>
        </w:rPr>
        <w:tab/>
        <w:t>Working Group on the review of the Strategic Plan – The Secretariat supported the Working Group in fulfilling the requests listed in Annex 1 of Resolution XIII.5</w:t>
      </w:r>
      <w:r w:rsidR="007306A5">
        <w:rPr>
          <w:rFonts w:cstheme="minorHAnsi"/>
        </w:rPr>
        <w:t xml:space="preserve"> on </w:t>
      </w:r>
      <w:r w:rsidR="007306A5" w:rsidRPr="007306A5">
        <w:rPr>
          <w:i/>
        </w:rPr>
        <w:t>Review of the fourth Strategic Plan of the Ramsar Convention</w:t>
      </w:r>
      <w:r w:rsidRPr="00C0477E">
        <w:rPr>
          <w:rFonts w:cstheme="minorHAnsi"/>
        </w:rPr>
        <w:t xml:space="preserve">, including through a consultancy, notably to review the fourth Strategic Plan (SP4), identify potential refinements to SP4 and any elements that can contribute to the preparation of a new Strategic Plan after 2024. </w:t>
      </w:r>
      <w:r w:rsidRPr="00C0477E">
        <w:rPr>
          <w:rFonts w:cstheme="minorHAnsi"/>
        </w:rPr>
        <w:lastRenderedPageBreak/>
        <w:t xml:space="preserve">The Working Group prepared a draft resolution for consideration at the resumed session of SC59/2022. </w:t>
      </w:r>
    </w:p>
    <w:p w14:paraId="0F7D5C24" w14:textId="77777777" w:rsidR="00591C25" w:rsidRPr="00C0477E" w:rsidRDefault="00591C25" w:rsidP="005948F3">
      <w:pPr>
        <w:ind w:left="0" w:firstLine="0"/>
        <w:rPr>
          <w:rFonts w:cstheme="minorHAnsi"/>
        </w:rPr>
      </w:pPr>
    </w:p>
    <w:p w14:paraId="574496C3" w14:textId="37E6D9D4" w:rsidR="00591C25" w:rsidRPr="00C0477E" w:rsidRDefault="00591C25" w:rsidP="00FA12DB">
      <w:pPr>
        <w:ind w:left="851"/>
        <w:rPr>
          <w:rFonts w:cstheme="minorHAnsi"/>
        </w:rPr>
      </w:pPr>
      <w:r w:rsidRPr="00C0477E">
        <w:rPr>
          <w:rFonts w:cstheme="minorHAnsi"/>
        </w:rPr>
        <w:t>iii.</w:t>
      </w:r>
      <w:r w:rsidRPr="00C0477E">
        <w:rPr>
          <w:rFonts w:cstheme="minorHAnsi"/>
        </w:rPr>
        <w:tab/>
      </w:r>
      <w:r w:rsidR="00944F55" w:rsidRPr="00C0477E">
        <w:rPr>
          <w:rFonts w:cstheme="minorHAnsi"/>
        </w:rPr>
        <w:t xml:space="preserve">Observer Status Working Group – The Secretariat has facilitated several calls of the Working Group and provided summary reports. Additionally, the Secretariat supported the Working Group on the follow-up to the independent legal analysis consultancy requested in Decision SC57-14 and in developing the terms of reference (TORs) for the </w:t>
      </w:r>
      <w:r w:rsidR="00C66BD7" w:rsidRPr="00C0477E">
        <w:rPr>
          <w:rFonts w:cstheme="minorHAnsi"/>
        </w:rPr>
        <w:t xml:space="preserve">consultancy </w:t>
      </w:r>
      <w:r w:rsidR="00C66BD7">
        <w:rPr>
          <w:rFonts w:cstheme="minorHAnsi"/>
        </w:rPr>
        <w:t xml:space="preserve">on </w:t>
      </w:r>
      <w:r w:rsidR="00944F55" w:rsidRPr="00C0477E">
        <w:rPr>
          <w:rFonts w:cstheme="minorHAnsi"/>
        </w:rPr>
        <w:t xml:space="preserve">financial analysis of the legal status of the Secretariat requested in Post-SC58 Intersessional Decision 09 </w:t>
      </w:r>
      <w:r w:rsidR="00CB441C">
        <w:rPr>
          <w:rFonts w:cstheme="minorHAnsi"/>
        </w:rPr>
        <w:t>of</w:t>
      </w:r>
      <w:r w:rsidR="00944F55" w:rsidRPr="00C0477E">
        <w:rPr>
          <w:rFonts w:cstheme="minorHAnsi"/>
        </w:rPr>
        <w:t xml:space="preserve"> 16 March 2021.</w:t>
      </w:r>
    </w:p>
    <w:p w14:paraId="7D588DD4" w14:textId="77777777" w:rsidR="00591C25" w:rsidRPr="00C0477E" w:rsidRDefault="00591C25" w:rsidP="005948F3">
      <w:pPr>
        <w:rPr>
          <w:rFonts w:cstheme="minorHAnsi"/>
        </w:rPr>
      </w:pPr>
    </w:p>
    <w:p w14:paraId="4945F9CC" w14:textId="75521BAD" w:rsidR="00591C25" w:rsidRPr="00C0477E" w:rsidRDefault="00591C25" w:rsidP="00FA12DB">
      <w:pPr>
        <w:ind w:left="851"/>
        <w:rPr>
          <w:rFonts w:cstheme="minorHAnsi"/>
          <w:lang w:val="en-AU"/>
        </w:rPr>
      </w:pPr>
      <w:r w:rsidRPr="00C0477E">
        <w:rPr>
          <w:rFonts w:cstheme="minorHAnsi"/>
        </w:rPr>
        <w:t>iv.</w:t>
      </w:r>
      <w:r w:rsidRPr="00C0477E">
        <w:rPr>
          <w:rFonts w:cstheme="minorHAnsi"/>
        </w:rPr>
        <w:tab/>
        <w:t>Working Group on the Ramsar Regional Initiatives (RRIs) – With guidance from Contracting Parties the Secretariat prepared an updated draft RRI report template and supported its review by the Working Group</w:t>
      </w:r>
      <w:r w:rsidR="00A66EE4" w:rsidRPr="00C0477E">
        <w:rPr>
          <w:rFonts w:cstheme="minorHAnsi"/>
        </w:rPr>
        <w:t xml:space="preserve"> and for consideration at the resumed session of SC59</w:t>
      </w:r>
      <w:r w:rsidR="00313EE7" w:rsidRPr="00C0477E">
        <w:rPr>
          <w:rFonts w:cstheme="minorHAnsi"/>
        </w:rPr>
        <w:t>/2022</w:t>
      </w:r>
      <w:r w:rsidRPr="00C0477E">
        <w:rPr>
          <w:rFonts w:cstheme="minorHAnsi"/>
        </w:rPr>
        <w:t xml:space="preserve">. The Legal Advisor prepared an analysis </w:t>
      </w:r>
      <w:r w:rsidR="00963220">
        <w:rPr>
          <w:rFonts w:cstheme="minorHAnsi"/>
        </w:rPr>
        <w:t>of</w:t>
      </w:r>
      <w:r w:rsidR="00963220" w:rsidRPr="00C0477E">
        <w:rPr>
          <w:rFonts w:cstheme="minorHAnsi"/>
        </w:rPr>
        <w:t xml:space="preserve"> </w:t>
      </w:r>
      <w:r w:rsidRPr="00C0477E">
        <w:rPr>
          <w:rFonts w:cstheme="minorHAnsi"/>
        </w:rPr>
        <w:t xml:space="preserve">the legal status of RRIs as requested in Decision </w:t>
      </w:r>
      <w:r w:rsidRPr="00C0477E">
        <w:rPr>
          <w:rFonts w:cstheme="minorHAnsi"/>
          <w:lang w:val="en-AU"/>
        </w:rPr>
        <w:t>SC57-29.</w:t>
      </w:r>
      <w:r w:rsidR="00944F55" w:rsidRPr="00C0477E">
        <w:rPr>
          <w:rFonts w:cstheme="minorHAnsi"/>
          <w:lang w:val="en-AU"/>
        </w:rPr>
        <w:t xml:space="preserve"> With guidance from Contracting Parties, the Secretariat supported the Group’s work to prepare a draft resolution for consideration at the resumed session of SC59/2022.</w:t>
      </w:r>
    </w:p>
    <w:p w14:paraId="1C8CE3A6" w14:textId="77777777" w:rsidR="00C9561C" w:rsidRPr="00C0477E" w:rsidRDefault="00C9561C" w:rsidP="005948F3">
      <w:pPr>
        <w:rPr>
          <w:rFonts w:cstheme="minorHAnsi"/>
          <w:lang w:val="en-AU"/>
        </w:rPr>
      </w:pPr>
    </w:p>
    <w:p w14:paraId="6406174B" w14:textId="36056808" w:rsidR="00C81B75" w:rsidRPr="00C0477E" w:rsidRDefault="01146BA0" w:rsidP="00FA12DB">
      <w:pPr>
        <w:ind w:left="851"/>
        <w:rPr>
          <w:rFonts w:cstheme="minorHAnsi"/>
        </w:rPr>
      </w:pPr>
      <w:r w:rsidRPr="00C0477E">
        <w:rPr>
          <w:rFonts w:cstheme="minorHAnsi"/>
        </w:rPr>
        <w:t>v.</w:t>
      </w:r>
      <w:r w:rsidR="00C9561C" w:rsidRPr="00C0477E">
        <w:rPr>
          <w:rFonts w:cstheme="minorHAnsi"/>
        </w:rPr>
        <w:tab/>
      </w:r>
      <w:r w:rsidRPr="00C0477E">
        <w:rPr>
          <w:rFonts w:cstheme="minorHAnsi"/>
        </w:rPr>
        <w:t xml:space="preserve">Management Working Group </w:t>
      </w:r>
      <w:r w:rsidR="00963220" w:rsidRPr="00C0477E">
        <w:rPr>
          <w:rFonts w:cstheme="minorHAnsi"/>
        </w:rPr>
        <w:t>–</w:t>
      </w:r>
      <w:r w:rsidRPr="00C0477E">
        <w:rPr>
          <w:rFonts w:cstheme="minorHAnsi"/>
        </w:rPr>
        <w:t xml:space="preserve"> The Secretariat supported the work of the Management Working Group, including</w:t>
      </w:r>
      <w:r w:rsidR="00963220">
        <w:rPr>
          <w:rFonts w:cstheme="minorHAnsi"/>
        </w:rPr>
        <w:t xml:space="preserve"> by</w:t>
      </w:r>
      <w:r w:rsidRPr="00C0477E">
        <w:rPr>
          <w:rFonts w:cstheme="minorHAnsi"/>
        </w:rPr>
        <w:t xml:space="preserve"> </w:t>
      </w:r>
      <w:r w:rsidR="00963220">
        <w:rPr>
          <w:rFonts w:cstheme="minorHAnsi"/>
        </w:rPr>
        <w:t>organizing</w:t>
      </w:r>
      <w:r w:rsidRPr="00C0477E">
        <w:rPr>
          <w:rFonts w:cstheme="minorHAnsi"/>
        </w:rPr>
        <w:t xml:space="preserve"> meetings </w:t>
      </w:r>
      <w:r w:rsidR="00963220">
        <w:rPr>
          <w:rFonts w:cstheme="minorHAnsi"/>
        </w:rPr>
        <w:t>in</w:t>
      </w:r>
      <w:r w:rsidRPr="00C0477E">
        <w:rPr>
          <w:rFonts w:eastAsia="Calibri" w:cstheme="minorHAnsi"/>
        </w:rPr>
        <w:t xml:space="preserve"> November 2019, June </w:t>
      </w:r>
      <w:r w:rsidR="00963220">
        <w:rPr>
          <w:rFonts w:eastAsia="Calibri" w:cstheme="minorHAnsi"/>
        </w:rPr>
        <w:t xml:space="preserve">and </w:t>
      </w:r>
      <w:r w:rsidRPr="00C0477E">
        <w:rPr>
          <w:rFonts w:eastAsia="Calibri" w:cstheme="minorHAnsi"/>
        </w:rPr>
        <w:t xml:space="preserve">November 2020, June 2021 </w:t>
      </w:r>
      <w:r w:rsidR="00963220">
        <w:rPr>
          <w:rFonts w:eastAsia="Calibri" w:cstheme="minorHAnsi"/>
        </w:rPr>
        <w:t xml:space="preserve">and </w:t>
      </w:r>
      <w:r w:rsidRPr="00C0477E">
        <w:rPr>
          <w:rFonts w:eastAsia="Calibri" w:cstheme="minorHAnsi"/>
        </w:rPr>
        <w:t xml:space="preserve">January and May 2022. The Management Working Group provided guidance on </w:t>
      </w:r>
      <w:r w:rsidR="00963220">
        <w:rPr>
          <w:rFonts w:eastAsia="Calibri" w:cstheme="minorHAnsi"/>
        </w:rPr>
        <w:t xml:space="preserve">the </w:t>
      </w:r>
      <w:r w:rsidRPr="00C0477E">
        <w:rPr>
          <w:rFonts w:eastAsia="Calibri" w:cstheme="minorHAnsi"/>
        </w:rPr>
        <w:t xml:space="preserve">work of the </w:t>
      </w:r>
      <w:r w:rsidRPr="00C0477E">
        <w:rPr>
          <w:rFonts w:cstheme="minorHAnsi"/>
        </w:rPr>
        <w:t xml:space="preserve">STRP, including the implementation of the STRP work plan, the appointment of the new STRP Chair, the cancellation of STRP23 due to the COVID-19 pandemic and the decision to advance the highest priority STRP tasks virtually thereafter. </w:t>
      </w:r>
    </w:p>
    <w:p w14:paraId="58B876BB" w14:textId="77777777" w:rsidR="00C81B75" w:rsidRPr="00C0477E" w:rsidRDefault="00C81B75" w:rsidP="005948F3">
      <w:pPr>
        <w:ind w:left="0" w:firstLine="0"/>
        <w:rPr>
          <w:rFonts w:cstheme="minorHAnsi"/>
        </w:rPr>
      </w:pPr>
    </w:p>
    <w:p w14:paraId="37AFBFA6" w14:textId="6EDF03E3" w:rsidR="00C81B75" w:rsidRPr="00C0477E" w:rsidRDefault="00FA12DB" w:rsidP="00C0477E">
      <w:pPr>
        <w:ind w:left="426" w:hanging="426"/>
        <w:rPr>
          <w:rFonts w:cstheme="minorHAnsi"/>
        </w:rPr>
      </w:pPr>
      <w:r>
        <w:rPr>
          <w:rFonts w:cstheme="minorHAnsi"/>
        </w:rPr>
        <w:t>15.</w:t>
      </w:r>
      <w:r>
        <w:rPr>
          <w:rFonts w:cstheme="minorHAnsi"/>
        </w:rPr>
        <w:tab/>
      </w:r>
      <w:r w:rsidR="01146BA0" w:rsidRPr="00C0477E">
        <w:rPr>
          <w:rFonts w:cstheme="minorHAnsi"/>
        </w:rPr>
        <w:t xml:space="preserve">The Secretariat has sought guidance from the Executive Team on the preparation of meetings of the governing and subsidiary bodies of the Convention and on various administrative matters. The </w:t>
      </w:r>
      <w:r w:rsidR="002D2F12">
        <w:rPr>
          <w:rFonts w:cstheme="minorHAnsi"/>
        </w:rPr>
        <w:t>r</w:t>
      </w:r>
      <w:r w:rsidR="01146BA0" w:rsidRPr="00C0477E">
        <w:rPr>
          <w:rFonts w:cstheme="minorHAnsi"/>
        </w:rPr>
        <w:t>eport</w:t>
      </w:r>
      <w:r w:rsidR="002D2F12">
        <w:rPr>
          <w:rFonts w:cstheme="minorHAnsi"/>
        </w:rPr>
        <w:t>s</w:t>
      </w:r>
      <w:r w:rsidR="01146BA0" w:rsidRPr="00C0477E">
        <w:rPr>
          <w:rFonts w:cstheme="minorHAnsi"/>
        </w:rPr>
        <w:t xml:space="preserve"> of the Executive Team and Chair of the Standing Committee to SC58</w:t>
      </w:r>
      <w:r w:rsidR="002D2F12">
        <w:rPr>
          <w:rFonts w:cstheme="minorHAnsi"/>
        </w:rPr>
        <w:t>, SC</w:t>
      </w:r>
      <w:r w:rsidR="00D27E87" w:rsidRPr="00C0477E">
        <w:rPr>
          <w:rFonts w:cstheme="minorHAnsi"/>
        </w:rPr>
        <w:t xml:space="preserve">59 </w:t>
      </w:r>
      <w:r w:rsidR="00DF6015" w:rsidRPr="00C0477E">
        <w:rPr>
          <w:rFonts w:cstheme="minorHAnsi"/>
        </w:rPr>
        <w:t xml:space="preserve">and </w:t>
      </w:r>
      <w:r w:rsidR="002D2F12">
        <w:rPr>
          <w:rFonts w:cstheme="minorHAnsi"/>
        </w:rPr>
        <w:t>SC59</w:t>
      </w:r>
      <w:r w:rsidR="00580079">
        <w:rPr>
          <w:rFonts w:cstheme="minorHAnsi"/>
        </w:rPr>
        <w:t>/</w:t>
      </w:r>
      <w:r w:rsidR="00D27E87" w:rsidRPr="00C0477E">
        <w:rPr>
          <w:rFonts w:cstheme="minorHAnsi"/>
        </w:rPr>
        <w:t>2022</w:t>
      </w:r>
      <w:r w:rsidR="001D2365">
        <w:rPr>
          <w:rFonts w:cstheme="minorHAnsi"/>
        </w:rPr>
        <w:t xml:space="preserve"> were published as documents SC58 Doc.5, SC59 Doc.5 and SC59/2022 Doc.5</w:t>
      </w:r>
      <w:r w:rsidR="001D2365">
        <w:rPr>
          <w:rStyle w:val="FootnoteReference"/>
          <w:rFonts w:cstheme="minorHAnsi"/>
        </w:rPr>
        <w:footnoteReference w:id="3"/>
      </w:r>
      <w:r w:rsidR="001D2365">
        <w:rPr>
          <w:rFonts w:cstheme="minorHAnsi"/>
        </w:rPr>
        <w:t xml:space="preserve"> </w:t>
      </w:r>
    </w:p>
    <w:p w14:paraId="6C58035E" w14:textId="77777777" w:rsidR="00A23AE0" w:rsidRPr="00C0477E" w:rsidRDefault="00A23AE0" w:rsidP="00C0477E">
      <w:pPr>
        <w:ind w:left="0" w:firstLine="0"/>
        <w:rPr>
          <w:rFonts w:cstheme="minorHAnsi"/>
        </w:rPr>
      </w:pPr>
    </w:p>
    <w:p w14:paraId="0786129B" w14:textId="402F6E6F" w:rsidR="00A23AE0" w:rsidRPr="00C0477E" w:rsidRDefault="00536B32" w:rsidP="00FA12DB">
      <w:pPr>
        <w:ind w:left="426"/>
        <w:rPr>
          <w:rFonts w:cstheme="minorHAnsi"/>
        </w:rPr>
      </w:pPr>
      <w:r>
        <w:rPr>
          <w:rFonts w:cstheme="minorHAnsi"/>
        </w:rPr>
        <w:t>16</w:t>
      </w:r>
      <w:r w:rsidR="00A23AE0" w:rsidRPr="00C0477E">
        <w:rPr>
          <w:rFonts w:cstheme="minorHAnsi"/>
        </w:rPr>
        <w:t>.</w:t>
      </w:r>
      <w:r w:rsidR="00E32FAA" w:rsidRPr="00C0477E">
        <w:rPr>
          <w:rFonts w:cstheme="minorHAnsi"/>
        </w:rPr>
        <w:tab/>
      </w:r>
      <w:r w:rsidR="00A23AE0" w:rsidRPr="00C0477E">
        <w:rPr>
          <w:rFonts w:cstheme="minorHAnsi"/>
        </w:rPr>
        <w:t xml:space="preserve">A major highlight was the work carried out to implement Resolution XIII.1 on </w:t>
      </w:r>
      <w:r w:rsidR="00A23AE0" w:rsidRPr="00C0477E">
        <w:rPr>
          <w:rFonts w:cstheme="minorHAnsi"/>
          <w:i/>
        </w:rPr>
        <w:t xml:space="preserve">World Wetlands Day. </w:t>
      </w:r>
      <w:r w:rsidR="00A23AE0" w:rsidRPr="00C0477E">
        <w:rPr>
          <w:rFonts w:cstheme="minorHAnsi"/>
        </w:rPr>
        <w:t>The Secretariat assist</w:t>
      </w:r>
      <w:r w:rsidR="00D27E87" w:rsidRPr="00C0477E">
        <w:rPr>
          <w:rFonts w:cstheme="minorHAnsi"/>
        </w:rPr>
        <w:t>ed</w:t>
      </w:r>
      <w:r w:rsidR="00A23AE0" w:rsidRPr="00C0477E">
        <w:rPr>
          <w:rFonts w:cstheme="minorHAnsi"/>
        </w:rPr>
        <w:t xml:space="preserve"> a group of interested Contracting Parties under the leadership of Costa Rica in the process of preparing a draft resolution for submission to the United Nations General Assembly (UNGA). The process was delayed in 2021 due to the COVID-19 pandemic. Once UNGA resumed its work, the Secretariat supported the group, including through the preparation of the draft resolution, a concept note shared with all Contracting Parties and importantly an online high-level event held on 7 July 2021, hosted by Costa Rica, Mexico</w:t>
      </w:r>
      <w:r w:rsidR="00CB441C">
        <w:rPr>
          <w:rFonts w:cstheme="minorHAnsi"/>
        </w:rPr>
        <w:t>,</w:t>
      </w:r>
      <w:r w:rsidR="00A23AE0" w:rsidRPr="00C0477E">
        <w:rPr>
          <w:rFonts w:cstheme="minorHAnsi"/>
        </w:rPr>
        <w:t xml:space="preserve"> </w:t>
      </w:r>
      <w:r w:rsidR="00CB441C" w:rsidRPr="00C0477E">
        <w:rPr>
          <w:rFonts w:cstheme="minorHAnsi"/>
        </w:rPr>
        <w:t xml:space="preserve">Slovenia </w:t>
      </w:r>
      <w:r w:rsidR="00A23AE0" w:rsidRPr="00C0477E">
        <w:rPr>
          <w:rFonts w:cstheme="minorHAnsi"/>
        </w:rPr>
        <w:t xml:space="preserve">and the United Kingdom of Great Britain and Northern Ireland in partnership with the Secretariat. The Secretariat also engaged in the consultations held by Permanent Missions in New York and communicated to all Contracting Parties once the draft resolution was scheduled to be presented, to ensure support through the Permanent Missions. On 30 August 2021, the UNGA, in Resolution 75/317, proclaimed 2 February as World Wetlands Day. The Resolution, co-sponsored by 75 Member States, acknowledges the essential role of wetlands in achieving the Sustainable Development Goals but also that they are among the ecosystems with the highest rates of decline, loss and degradation. Importantly, the Resolution calls on Member States, </w:t>
      </w:r>
      <w:r w:rsidR="00882735">
        <w:rPr>
          <w:rFonts w:cstheme="minorHAnsi"/>
        </w:rPr>
        <w:t xml:space="preserve">UN </w:t>
      </w:r>
      <w:r w:rsidR="00A23AE0" w:rsidRPr="00C0477E">
        <w:rPr>
          <w:rFonts w:cstheme="minorHAnsi"/>
        </w:rPr>
        <w:t xml:space="preserve">agencies and other actors to observe the day, and the UNGA invites the Secretariat to provide a report at </w:t>
      </w:r>
      <w:r w:rsidR="00A0365B">
        <w:rPr>
          <w:rFonts w:cstheme="minorHAnsi"/>
        </w:rPr>
        <w:t>its</w:t>
      </w:r>
      <w:r w:rsidR="00A0365B" w:rsidRPr="00C0477E">
        <w:rPr>
          <w:rFonts w:cstheme="minorHAnsi"/>
        </w:rPr>
        <w:t xml:space="preserve"> </w:t>
      </w:r>
      <w:r w:rsidR="00A23AE0" w:rsidRPr="00C0477E">
        <w:rPr>
          <w:rFonts w:cstheme="minorHAnsi"/>
        </w:rPr>
        <w:t xml:space="preserve">next session in 2022, providing an opportunity for a submission of a substantive draft resolution on wetlands. World Wetlands Day 2022 was the first time the occasion was </w:t>
      </w:r>
      <w:r w:rsidR="00A23AE0" w:rsidRPr="00C0477E">
        <w:rPr>
          <w:rFonts w:cstheme="minorHAnsi"/>
        </w:rPr>
        <w:lastRenderedPageBreak/>
        <w:t xml:space="preserve">observed as a </w:t>
      </w:r>
      <w:r w:rsidR="00A0365B">
        <w:rPr>
          <w:rFonts w:cstheme="minorHAnsi"/>
        </w:rPr>
        <w:t>UN</w:t>
      </w:r>
      <w:r w:rsidR="00A23AE0" w:rsidRPr="00C0477E">
        <w:rPr>
          <w:rFonts w:cstheme="minorHAnsi"/>
        </w:rPr>
        <w:t xml:space="preserve"> international day, providing a unique opportunity to raise commitments and actions for wetlands’ conservation and wise </w:t>
      </w:r>
      <w:r w:rsidR="007E4B35" w:rsidRPr="00C0477E">
        <w:rPr>
          <w:rFonts w:cstheme="minorHAnsi"/>
        </w:rPr>
        <w:t>use</w:t>
      </w:r>
      <w:r w:rsidR="00A23AE0" w:rsidRPr="00C0477E">
        <w:rPr>
          <w:rFonts w:cstheme="minorHAnsi"/>
        </w:rPr>
        <w:t>.</w:t>
      </w:r>
    </w:p>
    <w:p w14:paraId="3D8475B0" w14:textId="77777777" w:rsidR="00806D2B" w:rsidRPr="00C0477E" w:rsidRDefault="00806D2B" w:rsidP="00FA12DB">
      <w:pPr>
        <w:ind w:left="426"/>
        <w:rPr>
          <w:rFonts w:cstheme="minorHAnsi"/>
        </w:rPr>
      </w:pPr>
    </w:p>
    <w:p w14:paraId="1DA3AF51" w14:textId="2417BB1C" w:rsidR="00806D2B" w:rsidRPr="00C0477E" w:rsidRDefault="00536B32" w:rsidP="00FA12DB">
      <w:pPr>
        <w:ind w:left="426"/>
        <w:rPr>
          <w:rFonts w:cstheme="minorHAnsi"/>
        </w:rPr>
      </w:pPr>
      <w:r>
        <w:rPr>
          <w:rFonts w:cstheme="minorHAnsi"/>
        </w:rPr>
        <w:t>17</w:t>
      </w:r>
      <w:r w:rsidR="00806D2B" w:rsidRPr="00C0477E">
        <w:rPr>
          <w:rFonts w:cstheme="minorHAnsi"/>
        </w:rPr>
        <w:t>.</w:t>
      </w:r>
      <w:r w:rsidR="006A6FDB" w:rsidRPr="00C0477E">
        <w:rPr>
          <w:rFonts w:cstheme="minorHAnsi"/>
        </w:rPr>
        <w:tab/>
      </w:r>
      <w:r w:rsidR="00806D2B" w:rsidRPr="00C0477E">
        <w:rPr>
          <w:rFonts w:cstheme="minorHAnsi"/>
        </w:rPr>
        <w:t>The Secretariat continues to standardize practices and systems in its support to the meetings and processes of the governing and subsidiary bodies of the Convention. All related data and information are managed through a constituent relationship management (CRM) system that continues to be enhanced to efficiently manage mailings, correspondence, registration</w:t>
      </w:r>
      <w:r w:rsidR="00A0365B">
        <w:rPr>
          <w:rFonts w:cstheme="minorHAnsi"/>
        </w:rPr>
        <w:t xml:space="preserve"> for meetings </w:t>
      </w:r>
      <w:r w:rsidR="00806D2B" w:rsidRPr="00C0477E">
        <w:rPr>
          <w:rFonts w:cstheme="minorHAnsi"/>
        </w:rPr>
        <w:t>including the SC59 virtual meetings</w:t>
      </w:r>
      <w:r w:rsidR="00A0365B">
        <w:rPr>
          <w:rFonts w:cstheme="minorHAnsi"/>
        </w:rPr>
        <w:t>, ExCOP3</w:t>
      </w:r>
      <w:r w:rsidR="00806D2B" w:rsidRPr="00C0477E">
        <w:rPr>
          <w:rFonts w:cstheme="minorHAnsi"/>
        </w:rPr>
        <w:t>, meetings of the Subgroups and Working Groups</w:t>
      </w:r>
      <w:r w:rsidR="00A0365B">
        <w:rPr>
          <w:rFonts w:cstheme="minorHAnsi"/>
        </w:rPr>
        <w:t>,</w:t>
      </w:r>
      <w:r w:rsidR="00806D2B" w:rsidRPr="00C0477E">
        <w:rPr>
          <w:rFonts w:cstheme="minorHAnsi"/>
        </w:rPr>
        <w:t xml:space="preserve"> and capacity-building webinars. This provides the Secretariat with better </w:t>
      </w:r>
      <w:r w:rsidR="00A0365B">
        <w:rPr>
          <w:rFonts w:cstheme="minorHAnsi"/>
        </w:rPr>
        <w:t xml:space="preserve">information </w:t>
      </w:r>
      <w:r w:rsidR="00806D2B" w:rsidRPr="00C0477E">
        <w:rPr>
          <w:rFonts w:cstheme="minorHAnsi"/>
        </w:rPr>
        <w:t xml:space="preserve">on participation for all meetings, including </w:t>
      </w:r>
      <w:r w:rsidR="006C12CF">
        <w:rPr>
          <w:rFonts w:cstheme="minorHAnsi"/>
        </w:rPr>
        <w:t xml:space="preserve">participation by </w:t>
      </w:r>
      <w:r w:rsidR="00806D2B" w:rsidRPr="007F04DC">
        <w:rPr>
          <w:rFonts w:cstheme="minorHAnsi"/>
        </w:rPr>
        <w:t>gender</w:t>
      </w:r>
      <w:r w:rsidR="00806D2B" w:rsidRPr="00C0477E">
        <w:rPr>
          <w:rFonts w:cstheme="minorHAnsi"/>
        </w:rPr>
        <w:t>, and enables meetings and communications to be organized more efficiently. The Secretariat has also deployed Microsoft Teams for strengthened, more efficient communication and collaboration across the Secretariat, and enhanced engagement with partners and other organization</w:t>
      </w:r>
      <w:r w:rsidR="00F437C8">
        <w:rPr>
          <w:rFonts w:cstheme="minorHAnsi"/>
        </w:rPr>
        <w:t>s</w:t>
      </w:r>
      <w:r w:rsidR="00806D2B" w:rsidRPr="00C0477E">
        <w:rPr>
          <w:rFonts w:cstheme="minorHAnsi"/>
        </w:rPr>
        <w:t>, including UN agencies and other multilateral environmental agreements</w:t>
      </w:r>
      <w:r w:rsidR="00F437C8">
        <w:rPr>
          <w:rFonts w:cstheme="minorHAnsi"/>
        </w:rPr>
        <w:t xml:space="preserve"> (MEAs)</w:t>
      </w:r>
      <w:r w:rsidR="00806D2B" w:rsidRPr="00C0477E">
        <w:rPr>
          <w:rFonts w:cstheme="minorHAnsi"/>
        </w:rPr>
        <w:t>.</w:t>
      </w:r>
    </w:p>
    <w:p w14:paraId="2B8969C1" w14:textId="77777777" w:rsidR="00A23AE0" w:rsidRPr="00C0477E" w:rsidRDefault="00A23AE0" w:rsidP="00FA12DB">
      <w:pPr>
        <w:ind w:left="426"/>
        <w:rPr>
          <w:rFonts w:cstheme="minorHAnsi"/>
        </w:rPr>
      </w:pPr>
    </w:p>
    <w:p w14:paraId="51AAD4D9" w14:textId="6926AE93" w:rsidR="00A23AE0" w:rsidRPr="00C0477E" w:rsidRDefault="00536B32" w:rsidP="00FA12DB">
      <w:pPr>
        <w:ind w:left="426"/>
        <w:rPr>
          <w:rFonts w:cstheme="minorHAnsi"/>
        </w:rPr>
      </w:pPr>
      <w:r>
        <w:rPr>
          <w:rFonts w:cstheme="minorHAnsi"/>
        </w:rPr>
        <w:t>18</w:t>
      </w:r>
      <w:r w:rsidR="00A23AE0" w:rsidRPr="00C0477E">
        <w:rPr>
          <w:rFonts w:cstheme="minorHAnsi"/>
        </w:rPr>
        <w:t>.</w:t>
      </w:r>
      <w:r w:rsidR="00A23AE0" w:rsidRPr="00C0477E">
        <w:rPr>
          <w:rFonts w:cstheme="minorHAnsi"/>
        </w:rPr>
        <w:tab/>
        <w:t xml:space="preserve">The Secretariat continues to support Resolution XIII.6 on </w:t>
      </w:r>
      <w:r w:rsidR="00A23AE0" w:rsidRPr="00C0477E">
        <w:rPr>
          <w:rFonts w:cstheme="minorHAnsi"/>
          <w:i/>
        </w:rPr>
        <w:t>Language strategy for the Convention</w:t>
      </w:r>
      <w:r w:rsidR="00A23AE0" w:rsidRPr="00C0477E">
        <w:rPr>
          <w:rFonts w:cstheme="minorHAnsi"/>
        </w:rPr>
        <w:t xml:space="preserve"> and invites Parties to provide translated Convention on Wetlands documents of wider relevance for publication on the Convention’s website.</w:t>
      </w:r>
    </w:p>
    <w:p w14:paraId="21B46A77" w14:textId="77777777" w:rsidR="00F72E95" w:rsidRPr="00C0477E" w:rsidRDefault="00F72E95" w:rsidP="00C0477E">
      <w:pPr>
        <w:ind w:left="0" w:firstLine="0"/>
        <w:rPr>
          <w:rFonts w:cstheme="minorHAnsi"/>
          <w:b/>
          <w:bCs/>
        </w:rPr>
      </w:pPr>
    </w:p>
    <w:p w14:paraId="216524B5" w14:textId="77777777" w:rsidR="001D3E01" w:rsidRPr="00C0477E" w:rsidRDefault="31B94901" w:rsidP="00C0477E">
      <w:pPr>
        <w:ind w:left="0" w:firstLine="0"/>
        <w:rPr>
          <w:rFonts w:cstheme="minorHAnsi"/>
          <w:b/>
          <w:bCs/>
          <w:u w:val="single"/>
        </w:rPr>
      </w:pPr>
      <w:r w:rsidRPr="00C0477E">
        <w:rPr>
          <w:rFonts w:cstheme="minorHAnsi"/>
          <w:b/>
          <w:bCs/>
          <w:u w:val="single"/>
        </w:rPr>
        <w:t>Increasing relevance of wetlands and the Convention to global sustainable development policy objectives</w:t>
      </w:r>
    </w:p>
    <w:p w14:paraId="403E068D" w14:textId="77777777" w:rsidR="001D3E01" w:rsidRPr="00C0477E" w:rsidRDefault="001D3E01" w:rsidP="005948F3">
      <w:pPr>
        <w:ind w:left="0" w:firstLine="0"/>
        <w:rPr>
          <w:rFonts w:cstheme="minorHAnsi"/>
        </w:rPr>
      </w:pPr>
    </w:p>
    <w:p w14:paraId="268E1E0D" w14:textId="1E9FC22D" w:rsidR="00293B5C" w:rsidRPr="00C0477E" w:rsidRDefault="00536B32" w:rsidP="00FA12DB">
      <w:pPr>
        <w:ind w:left="426"/>
        <w:rPr>
          <w:rFonts w:cstheme="minorHAnsi"/>
        </w:rPr>
      </w:pPr>
      <w:r>
        <w:rPr>
          <w:rFonts w:cstheme="minorHAnsi"/>
        </w:rPr>
        <w:t>19</w:t>
      </w:r>
      <w:r w:rsidR="00DE0A31" w:rsidRPr="00C0477E">
        <w:rPr>
          <w:rFonts w:cstheme="minorHAnsi"/>
        </w:rPr>
        <w:t>.</w:t>
      </w:r>
      <w:r w:rsidR="00DE0A31" w:rsidRPr="00C0477E">
        <w:rPr>
          <w:rFonts w:cstheme="minorHAnsi"/>
        </w:rPr>
        <w:tab/>
      </w:r>
      <w:r w:rsidR="00AF1376" w:rsidRPr="00C0477E">
        <w:rPr>
          <w:rFonts w:cstheme="minorHAnsi"/>
        </w:rPr>
        <w:t>The Secretariat</w:t>
      </w:r>
      <w:r w:rsidR="00F72E95" w:rsidRPr="00C0477E">
        <w:rPr>
          <w:rFonts w:cstheme="minorHAnsi"/>
        </w:rPr>
        <w:t xml:space="preserve"> </w:t>
      </w:r>
      <w:r w:rsidR="00D165F1" w:rsidRPr="00C0477E">
        <w:rPr>
          <w:rFonts w:cstheme="minorHAnsi"/>
        </w:rPr>
        <w:t xml:space="preserve">has </w:t>
      </w:r>
      <w:r w:rsidR="00A2116E" w:rsidRPr="00C0477E">
        <w:rPr>
          <w:rFonts w:cstheme="minorHAnsi"/>
        </w:rPr>
        <w:t>strengthen</w:t>
      </w:r>
      <w:r w:rsidR="00F72E95" w:rsidRPr="00C0477E">
        <w:rPr>
          <w:rFonts w:cstheme="minorHAnsi"/>
        </w:rPr>
        <w:t>ed</w:t>
      </w:r>
      <w:r w:rsidR="00A2116E" w:rsidRPr="00C0477E">
        <w:rPr>
          <w:rFonts w:cstheme="minorHAnsi"/>
        </w:rPr>
        <w:t xml:space="preserve"> i</w:t>
      </w:r>
      <w:r w:rsidR="005011F1" w:rsidRPr="00C0477E">
        <w:rPr>
          <w:rFonts w:cstheme="minorHAnsi"/>
        </w:rPr>
        <w:t xml:space="preserve">ts work in supporting international cooperation and </w:t>
      </w:r>
      <w:r w:rsidR="00AF1376" w:rsidRPr="00C0477E">
        <w:rPr>
          <w:rFonts w:cstheme="minorHAnsi"/>
        </w:rPr>
        <w:t>enhanc</w:t>
      </w:r>
      <w:r w:rsidR="005011F1" w:rsidRPr="00C0477E">
        <w:rPr>
          <w:rFonts w:cstheme="minorHAnsi"/>
        </w:rPr>
        <w:t xml:space="preserve">ing </w:t>
      </w:r>
      <w:r w:rsidR="00AF1376" w:rsidRPr="00C0477E">
        <w:rPr>
          <w:rFonts w:cstheme="minorHAnsi"/>
        </w:rPr>
        <w:t>the relevance of wetlands and the Convent</w:t>
      </w:r>
      <w:r w:rsidR="004C1037" w:rsidRPr="00C0477E">
        <w:rPr>
          <w:rFonts w:cstheme="minorHAnsi"/>
        </w:rPr>
        <w:t>ion in the global policy agenda</w:t>
      </w:r>
      <w:r w:rsidR="005011F1" w:rsidRPr="00C0477E">
        <w:rPr>
          <w:rFonts w:cstheme="minorHAnsi"/>
        </w:rPr>
        <w:t xml:space="preserve">. </w:t>
      </w:r>
      <w:r w:rsidR="0082111B" w:rsidRPr="00C0477E">
        <w:rPr>
          <w:rFonts w:cstheme="minorHAnsi"/>
        </w:rPr>
        <w:t xml:space="preserve">Capacities for this </w:t>
      </w:r>
      <w:r w:rsidR="0075099D" w:rsidRPr="00C0477E">
        <w:rPr>
          <w:rFonts w:cstheme="minorHAnsi"/>
        </w:rPr>
        <w:t>have been</w:t>
      </w:r>
      <w:r w:rsidR="0082111B" w:rsidRPr="00C0477E">
        <w:rPr>
          <w:rFonts w:cstheme="minorHAnsi"/>
        </w:rPr>
        <w:t xml:space="preserve"> reinforced with the recruitment of a Director of Science and Policy</w:t>
      </w:r>
      <w:r w:rsidR="009B6670" w:rsidRPr="00C0477E">
        <w:rPr>
          <w:rFonts w:cstheme="minorHAnsi"/>
        </w:rPr>
        <w:t xml:space="preserve"> and with the engagement of the</w:t>
      </w:r>
      <w:r w:rsidR="0078142B" w:rsidRPr="00C0477E">
        <w:rPr>
          <w:rFonts w:cstheme="minorHAnsi"/>
        </w:rPr>
        <w:t xml:space="preserve"> </w:t>
      </w:r>
      <w:r w:rsidR="005F4507" w:rsidRPr="00C0477E">
        <w:rPr>
          <w:rFonts w:cstheme="minorHAnsi"/>
        </w:rPr>
        <w:t>Secretariat’s professional</w:t>
      </w:r>
      <w:r w:rsidR="009B6670" w:rsidRPr="00C0477E">
        <w:rPr>
          <w:rFonts w:cstheme="minorHAnsi"/>
        </w:rPr>
        <w:t xml:space="preserve"> team in relevant policy processes.</w:t>
      </w:r>
      <w:r w:rsidR="0082111B" w:rsidRPr="00C0477E">
        <w:rPr>
          <w:rFonts w:cstheme="minorHAnsi"/>
        </w:rPr>
        <w:t xml:space="preserve"> </w:t>
      </w:r>
      <w:r w:rsidR="005011F1" w:rsidRPr="00C0477E">
        <w:rPr>
          <w:rFonts w:cstheme="minorHAnsi"/>
        </w:rPr>
        <w:t xml:space="preserve">Given that </w:t>
      </w:r>
      <w:r w:rsidR="004C1037" w:rsidRPr="00C0477E">
        <w:rPr>
          <w:rFonts w:cstheme="minorHAnsi"/>
        </w:rPr>
        <w:t>the 2030 Sustainable Development Agenda and the Paris Agreement on Climate Change</w:t>
      </w:r>
      <w:r w:rsidR="00086DDE" w:rsidRPr="00C0477E">
        <w:rPr>
          <w:rFonts w:cstheme="minorHAnsi"/>
        </w:rPr>
        <w:t xml:space="preserve"> are</w:t>
      </w:r>
      <w:r w:rsidR="004C1037" w:rsidRPr="00C0477E">
        <w:rPr>
          <w:rFonts w:cstheme="minorHAnsi"/>
        </w:rPr>
        <w:t xml:space="preserve"> driving national and international planning and funding efforts</w:t>
      </w:r>
      <w:r w:rsidR="005011F1" w:rsidRPr="00C0477E">
        <w:rPr>
          <w:rFonts w:cstheme="minorHAnsi"/>
        </w:rPr>
        <w:t xml:space="preserve">, </w:t>
      </w:r>
      <w:r w:rsidR="00D31EAD" w:rsidRPr="00C0477E">
        <w:rPr>
          <w:rFonts w:cstheme="minorHAnsi"/>
        </w:rPr>
        <w:t xml:space="preserve">increased </w:t>
      </w:r>
      <w:r w:rsidR="005011F1" w:rsidRPr="00C0477E">
        <w:rPr>
          <w:rFonts w:cstheme="minorHAnsi"/>
        </w:rPr>
        <w:t>a</w:t>
      </w:r>
      <w:r w:rsidR="003B18F4" w:rsidRPr="00C0477E">
        <w:rPr>
          <w:rFonts w:cstheme="minorHAnsi"/>
        </w:rPr>
        <w:t xml:space="preserve">ttention </w:t>
      </w:r>
      <w:r w:rsidR="00D31EAD" w:rsidRPr="00C0477E">
        <w:rPr>
          <w:rFonts w:cstheme="minorHAnsi"/>
        </w:rPr>
        <w:t xml:space="preserve">has been </w:t>
      </w:r>
      <w:r w:rsidR="00F4446F">
        <w:rPr>
          <w:rFonts w:cstheme="minorHAnsi"/>
        </w:rPr>
        <w:t>paid</w:t>
      </w:r>
      <w:r w:rsidR="00F4446F" w:rsidRPr="00C0477E">
        <w:rPr>
          <w:rFonts w:cstheme="minorHAnsi"/>
        </w:rPr>
        <w:t xml:space="preserve"> </w:t>
      </w:r>
      <w:r w:rsidR="005011F1" w:rsidRPr="00C0477E">
        <w:rPr>
          <w:rFonts w:cstheme="minorHAnsi"/>
        </w:rPr>
        <w:t xml:space="preserve">to ensure that wetlands and the work of Contracting Parties under the </w:t>
      </w:r>
      <w:r w:rsidR="003B18F4" w:rsidRPr="00C0477E">
        <w:rPr>
          <w:rFonts w:cstheme="minorHAnsi"/>
        </w:rPr>
        <w:t>C</w:t>
      </w:r>
      <w:r w:rsidR="005011F1" w:rsidRPr="00C0477E">
        <w:rPr>
          <w:rFonts w:cstheme="minorHAnsi"/>
        </w:rPr>
        <w:t>onvention contribute to these policy frameworks</w:t>
      </w:r>
      <w:r w:rsidR="004C1037" w:rsidRPr="00C0477E">
        <w:rPr>
          <w:rFonts w:cstheme="minorHAnsi"/>
        </w:rPr>
        <w:t>.</w:t>
      </w:r>
      <w:r w:rsidR="005C682A" w:rsidRPr="00C0477E">
        <w:rPr>
          <w:rFonts w:cstheme="minorHAnsi"/>
        </w:rPr>
        <w:t xml:space="preserve"> </w:t>
      </w:r>
    </w:p>
    <w:p w14:paraId="35238F7F" w14:textId="77777777" w:rsidR="00293B5C" w:rsidRPr="00C0477E" w:rsidRDefault="00293B5C" w:rsidP="00FA12DB">
      <w:pPr>
        <w:ind w:left="426"/>
        <w:rPr>
          <w:rFonts w:cstheme="minorHAnsi"/>
        </w:rPr>
      </w:pPr>
    </w:p>
    <w:p w14:paraId="3044CC83" w14:textId="5B4181DE" w:rsidR="00626FDB" w:rsidRPr="00C0477E" w:rsidRDefault="00536B32" w:rsidP="00FA12DB">
      <w:pPr>
        <w:ind w:left="426"/>
        <w:rPr>
          <w:rFonts w:cstheme="minorHAnsi"/>
        </w:rPr>
      </w:pPr>
      <w:r>
        <w:rPr>
          <w:rFonts w:cstheme="minorHAnsi"/>
        </w:rPr>
        <w:t>20</w:t>
      </w:r>
      <w:r w:rsidR="00244096" w:rsidRPr="00C0477E">
        <w:rPr>
          <w:rFonts w:cstheme="minorHAnsi"/>
        </w:rPr>
        <w:t>.</w:t>
      </w:r>
      <w:r w:rsidR="00244096" w:rsidRPr="00C0477E">
        <w:rPr>
          <w:rFonts w:cstheme="minorHAnsi"/>
        </w:rPr>
        <w:tab/>
      </w:r>
      <w:r w:rsidR="005C682A" w:rsidRPr="00C0477E">
        <w:rPr>
          <w:rFonts w:cstheme="minorHAnsi"/>
        </w:rPr>
        <w:t xml:space="preserve">The Secretariat </w:t>
      </w:r>
      <w:r w:rsidR="00293B5C" w:rsidRPr="00C0477E">
        <w:rPr>
          <w:rFonts w:cstheme="minorHAnsi"/>
        </w:rPr>
        <w:t>has actively</w:t>
      </w:r>
      <w:r w:rsidR="009B6670" w:rsidRPr="00C0477E">
        <w:rPr>
          <w:rFonts w:cstheme="minorHAnsi"/>
        </w:rPr>
        <w:t xml:space="preserve"> engaged </w:t>
      </w:r>
      <w:r w:rsidR="00626FDB" w:rsidRPr="00C0477E">
        <w:rPr>
          <w:rFonts w:cstheme="minorHAnsi"/>
        </w:rPr>
        <w:t xml:space="preserve">in </w:t>
      </w:r>
      <w:r w:rsidR="00E00F03" w:rsidRPr="00C0477E">
        <w:rPr>
          <w:rFonts w:cstheme="minorHAnsi"/>
        </w:rPr>
        <w:t xml:space="preserve">discussions regarding achievement of </w:t>
      </w:r>
      <w:r w:rsidR="005C682A" w:rsidRPr="00C0477E">
        <w:rPr>
          <w:rFonts w:cstheme="minorHAnsi"/>
        </w:rPr>
        <w:t>the Sustainable Development Goals (S</w:t>
      </w:r>
      <w:r w:rsidR="00A2116E" w:rsidRPr="00C0477E">
        <w:rPr>
          <w:rFonts w:cstheme="minorHAnsi"/>
        </w:rPr>
        <w:t xml:space="preserve">DGs), including with regard to </w:t>
      </w:r>
      <w:r w:rsidR="00F36D96" w:rsidRPr="00C0477E">
        <w:rPr>
          <w:rFonts w:cstheme="minorHAnsi"/>
        </w:rPr>
        <w:t>SDG</w:t>
      </w:r>
      <w:r w:rsidR="00127E63" w:rsidRPr="00C0477E">
        <w:rPr>
          <w:rFonts w:cstheme="minorHAnsi"/>
        </w:rPr>
        <w:t xml:space="preserve"> </w:t>
      </w:r>
      <w:r w:rsidR="00142557" w:rsidRPr="00C0477E">
        <w:rPr>
          <w:rFonts w:cstheme="minorHAnsi"/>
        </w:rPr>
        <w:t>I</w:t>
      </w:r>
      <w:r w:rsidR="00A2116E" w:rsidRPr="00C0477E">
        <w:rPr>
          <w:rFonts w:cstheme="minorHAnsi"/>
        </w:rPr>
        <w:t>ndicator 6.6.1</w:t>
      </w:r>
      <w:r w:rsidR="00681058" w:rsidRPr="00C0477E">
        <w:rPr>
          <w:rFonts w:cstheme="minorHAnsi"/>
        </w:rPr>
        <w:t xml:space="preserve"> (on </w:t>
      </w:r>
      <w:r w:rsidR="001137FD" w:rsidRPr="00C0477E">
        <w:rPr>
          <w:rFonts w:cstheme="minorHAnsi"/>
          <w:lang w:val="en-US"/>
        </w:rPr>
        <w:t>“Change in the extent of water-related ecosystems over time”</w:t>
      </w:r>
      <w:r w:rsidR="00681058" w:rsidRPr="00C0477E">
        <w:rPr>
          <w:rFonts w:cstheme="minorHAnsi"/>
        </w:rPr>
        <w:t>)</w:t>
      </w:r>
      <w:r w:rsidR="00E21B43" w:rsidRPr="00C0477E">
        <w:rPr>
          <w:rFonts w:cstheme="minorHAnsi"/>
        </w:rPr>
        <w:t>. It participated</w:t>
      </w:r>
      <w:r w:rsidR="005C682A" w:rsidRPr="00C0477E">
        <w:rPr>
          <w:rFonts w:cstheme="minorHAnsi"/>
        </w:rPr>
        <w:t xml:space="preserve"> in </w:t>
      </w:r>
      <w:r w:rsidR="00626FDB" w:rsidRPr="00C0477E">
        <w:rPr>
          <w:rFonts w:cstheme="minorHAnsi"/>
        </w:rPr>
        <w:t xml:space="preserve">the </w:t>
      </w:r>
      <w:r w:rsidR="005E692C" w:rsidRPr="007306A5">
        <w:rPr>
          <w:rFonts w:cstheme="minorHAnsi"/>
        </w:rPr>
        <w:t>8th</w:t>
      </w:r>
      <w:r w:rsidR="005E692C" w:rsidRPr="00C0477E">
        <w:rPr>
          <w:rFonts w:cstheme="minorHAnsi"/>
        </w:rPr>
        <w:t xml:space="preserve">, </w:t>
      </w:r>
      <w:r w:rsidR="00120FFC" w:rsidRPr="00C0477E">
        <w:rPr>
          <w:rFonts w:cstheme="minorHAnsi"/>
        </w:rPr>
        <w:t>10th</w:t>
      </w:r>
      <w:r w:rsidR="005E692C" w:rsidRPr="00C0477E">
        <w:rPr>
          <w:rFonts w:cstheme="minorHAnsi"/>
        </w:rPr>
        <w:t xml:space="preserve"> and 1</w:t>
      </w:r>
      <w:r w:rsidR="00120FFC" w:rsidRPr="00C0477E">
        <w:rPr>
          <w:rFonts w:cstheme="minorHAnsi"/>
        </w:rPr>
        <w:t>2</w:t>
      </w:r>
      <w:r w:rsidR="005E692C" w:rsidRPr="00C0477E">
        <w:rPr>
          <w:rFonts w:cstheme="minorHAnsi"/>
        </w:rPr>
        <w:t>th</w:t>
      </w:r>
      <w:r w:rsidR="007A4EF3" w:rsidRPr="00C0477E">
        <w:rPr>
          <w:rFonts w:cstheme="minorHAnsi"/>
        </w:rPr>
        <w:t xml:space="preserve"> </w:t>
      </w:r>
      <w:r w:rsidR="00626FDB" w:rsidRPr="00C0477E">
        <w:rPr>
          <w:rFonts w:cstheme="minorHAnsi"/>
        </w:rPr>
        <w:t>meeting</w:t>
      </w:r>
      <w:r w:rsidR="007A4EF3" w:rsidRPr="00C0477E">
        <w:rPr>
          <w:rFonts w:cstheme="minorHAnsi"/>
        </w:rPr>
        <w:t>s</w:t>
      </w:r>
      <w:r w:rsidR="00626FDB" w:rsidRPr="00C0477E">
        <w:rPr>
          <w:rFonts w:cstheme="minorHAnsi"/>
        </w:rPr>
        <w:t xml:space="preserve"> of the Inter-Agency and Expert Group on Sustainable Development Goal Indicators </w:t>
      </w:r>
      <w:r w:rsidR="00A2116E" w:rsidRPr="00C0477E">
        <w:rPr>
          <w:rFonts w:cstheme="minorHAnsi"/>
        </w:rPr>
        <w:t xml:space="preserve">and continued its engagement in </w:t>
      </w:r>
      <w:r w:rsidR="00142557" w:rsidRPr="00C0477E">
        <w:rPr>
          <w:rFonts w:cstheme="minorHAnsi"/>
        </w:rPr>
        <w:t>the work of the target team on I</w:t>
      </w:r>
      <w:r w:rsidR="00A2116E" w:rsidRPr="00C0477E">
        <w:rPr>
          <w:rFonts w:cstheme="minorHAnsi"/>
        </w:rPr>
        <w:t>ndicator</w:t>
      </w:r>
      <w:r w:rsidR="00A82791" w:rsidRPr="00C0477E">
        <w:rPr>
          <w:rFonts w:cstheme="minorHAnsi"/>
        </w:rPr>
        <w:t> </w:t>
      </w:r>
      <w:r w:rsidR="00A2116E" w:rsidRPr="00C0477E">
        <w:rPr>
          <w:rFonts w:cstheme="minorHAnsi"/>
        </w:rPr>
        <w:t xml:space="preserve">6.6.1 led by </w:t>
      </w:r>
      <w:r w:rsidR="00D31EAD" w:rsidRPr="00C0477E">
        <w:rPr>
          <w:rFonts w:cstheme="minorHAnsi"/>
        </w:rPr>
        <w:t xml:space="preserve">the </w:t>
      </w:r>
      <w:r w:rsidR="00882735">
        <w:rPr>
          <w:rFonts w:cstheme="minorHAnsi"/>
        </w:rPr>
        <w:t>UN</w:t>
      </w:r>
      <w:r w:rsidR="00681058" w:rsidRPr="00C0477E">
        <w:rPr>
          <w:rFonts w:cstheme="minorHAnsi"/>
        </w:rPr>
        <w:t xml:space="preserve"> </w:t>
      </w:r>
      <w:r w:rsidR="00A2116E" w:rsidRPr="00C0477E">
        <w:rPr>
          <w:rFonts w:cstheme="minorHAnsi"/>
        </w:rPr>
        <w:t>Environment</w:t>
      </w:r>
      <w:r w:rsidR="00D31EAD" w:rsidRPr="00C0477E">
        <w:rPr>
          <w:rFonts w:cstheme="minorHAnsi"/>
        </w:rPr>
        <w:t xml:space="preserve"> Programme (UNEP</w:t>
      </w:r>
      <w:r w:rsidR="005C312F" w:rsidRPr="00C0477E">
        <w:rPr>
          <w:rFonts w:cstheme="minorHAnsi"/>
        </w:rPr>
        <w:t>).</w:t>
      </w:r>
      <w:r w:rsidR="000A5C4C" w:rsidRPr="00C0477E">
        <w:rPr>
          <w:rFonts w:cstheme="minorHAnsi"/>
        </w:rPr>
        <w:t xml:space="preserve"> </w:t>
      </w:r>
      <w:r w:rsidR="00A002CB">
        <w:rPr>
          <w:rFonts w:eastAsia="Times New Roman" w:cstheme="minorHAnsi"/>
          <w:color w:val="000000"/>
          <w:lang w:eastAsia="en-GB"/>
        </w:rPr>
        <w:t xml:space="preserve">The Convention, </w:t>
      </w:r>
      <w:r w:rsidR="00EA3C55" w:rsidRPr="00C0477E">
        <w:rPr>
          <w:rFonts w:eastAsia="Times New Roman" w:cstheme="minorHAnsi"/>
          <w:color w:val="000000"/>
          <w:lang w:eastAsia="en-GB"/>
        </w:rPr>
        <w:t>as co-custodian with UNEP of SDG Indicator 6.6.1</w:t>
      </w:r>
      <w:r w:rsidR="00A002CB">
        <w:rPr>
          <w:rFonts w:eastAsia="Times New Roman" w:cstheme="minorHAnsi"/>
          <w:color w:val="000000"/>
          <w:lang w:eastAsia="en-GB"/>
        </w:rPr>
        <w:t>,</w:t>
      </w:r>
      <w:r w:rsidR="00EA3C55" w:rsidRPr="00C0477E">
        <w:rPr>
          <w:rFonts w:cstheme="minorHAnsi"/>
        </w:rPr>
        <w:t xml:space="preserve"> prepared a joint storyline with UNEP for the UN Secretary General’s Report to the High-Level Political Forum in July 2022. The Secretariat also continues to engage with UN Water on the work programme for SDG 6</w:t>
      </w:r>
      <w:r w:rsidR="0059239E">
        <w:rPr>
          <w:rFonts w:cstheme="minorHAnsi"/>
        </w:rPr>
        <w:t xml:space="preserve"> (“</w:t>
      </w:r>
      <w:r w:rsidR="0059239E" w:rsidRPr="0059239E">
        <w:rPr>
          <w:rFonts w:cstheme="minorHAnsi"/>
        </w:rPr>
        <w:t>Ensure access to water and sanitation for all</w:t>
      </w:r>
      <w:r w:rsidR="0059239E">
        <w:rPr>
          <w:rFonts w:cstheme="minorHAnsi"/>
        </w:rPr>
        <w:t>”)</w:t>
      </w:r>
      <w:r w:rsidR="00EA3C55" w:rsidRPr="00C0477E">
        <w:rPr>
          <w:rFonts w:cstheme="minorHAnsi"/>
        </w:rPr>
        <w:t>.</w:t>
      </w:r>
    </w:p>
    <w:p w14:paraId="5A667B1B" w14:textId="77777777" w:rsidR="00516CE6" w:rsidRPr="00C0477E" w:rsidRDefault="00516CE6" w:rsidP="005948F3">
      <w:pPr>
        <w:rPr>
          <w:rFonts w:cstheme="minorHAnsi"/>
        </w:rPr>
      </w:pPr>
    </w:p>
    <w:p w14:paraId="288D9985" w14:textId="65591DB3" w:rsidR="00516CE6" w:rsidRPr="00C0477E" w:rsidRDefault="00536B32" w:rsidP="00FA12DB">
      <w:pPr>
        <w:ind w:left="426"/>
        <w:rPr>
          <w:rFonts w:cstheme="minorHAnsi"/>
        </w:rPr>
      </w:pPr>
      <w:r>
        <w:rPr>
          <w:rFonts w:cstheme="minorHAnsi"/>
        </w:rPr>
        <w:t>21</w:t>
      </w:r>
      <w:r w:rsidR="00D168B2" w:rsidRPr="00C0477E">
        <w:rPr>
          <w:rFonts w:cstheme="minorHAnsi"/>
        </w:rPr>
        <w:t>.</w:t>
      </w:r>
      <w:r w:rsidR="00D168B2" w:rsidRPr="00C0477E">
        <w:rPr>
          <w:rFonts w:cstheme="minorHAnsi"/>
        </w:rPr>
        <w:tab/>
      </w:r>
      <w:r w:rsidR="00516CE6" w:rsidRPr="00C0477E">
        <w:rPr>
          <w:rFonts w:cstheme="minorHAnsi"/>
        </w:rPr>
        <w:t xml:space="preserve">In line with Resolution XIII.7 </w:t>
      </w:r>
      <w:r w:rsidR="007306A5">
        <w:rPr>
          <w:rFonts w:cstheme="minorHAnsi"/>
        </w:rPr>
        <w:t xml:space="preserve">on </w:t>
      </w:r>
      <w:r w:rsidR="007306A5" w:rsidRPr="007306A5">
        <w:rPr>
          <w:i/>
        </w:rPr>
        <w:t>Enhancing the Convention’s visibility and synergies with other multilateral environmental agreements and other international institutions</w:t>
      </w:r>
      <w:r w:rsidR="007306A5">
        <w:t xml:space="preserve"> </w:t>
      </w:r>
      <w:r w:rsidR="00516CE6" w:rsidRPr="00C0477E">
        <w:rPr>
          <w:rFonts w:cstheme="minorHAnsi"/>
        </w:rPr>
        <w:t xml:space="preserve">and Decision </w:t>
      </w:r>
      <w:r w:rsidR="00A002CB">
        <w:rPr>
          <w:rFonts w:cstheme="minorHAnsi"/>
        </w:rPr>
        <w:br/>
      </w:r>
      <w:r w:rsidR="00516CE6" w:rsidRPr="00C0477E">
        <w:rPr>
          <w:rFonts w:cstheme="minorHAnsi"/>
        </w:rPr>
        <w:t>SC57-47 on wetland inventories, the Secretariat</w:t>
      </w:r>
      <w:r w:rsidR="00F4446F">
        <w:rPr>
          <w:rFonts w:cstheme="minorHAnsi"/>
        </w:rPr>
        <w:t xml:space="preserve"> has</w:t>
      </w:r>
      <w:r w:rsidR="00516CE6" w:rsidRPr="00C0477E">
        <w:rPr>
          <w:rFonts w:cstheme="minorHAnsi"/>
        </w:rPr>
        <w:t xml:space="preserve"> continue</w:t>
      </w:r>
      <w:r w:rsidR="00F4446F">
        <w:rPr>
          <w:rFonts w:cstheme="minorHAnsi"/>
        </w:rPr>
        <w:t>d</w:t>
      </w:r>
      <w:r w:rsidR="00516CE6" w:rsidRPr="00C0477E">
        <w:rPr>
          <w:rFonts w:cstheme="minorHAnsi"/>
        </w:rPr>
        <w:t xml:space="preserve"> to support Contracting Parties </w:t>
      </w:r>
      <w:r w:rsidR="00F4446F">
        <w:rPr>
          <w:rFonts w:cstheme="minorHAnsi"/>
        </w:rPr>
        <w:t>in</w:t>
      </w:r>
      <w:r w:rsidR="00F4446F" w:rsidRPr="00C0477E">
        <w:rPr>
          <w:rFonts w:cstheme="minorHAnsi"/>
        </w:rPr>
        <w:t xml:space="preserve"> </w:t>
      </w:r>
      <w:r w:rsidR="00F4446F">
        <w:rPr>
          <w:rFonts w:cstheme="minorHAnsi"/>
        </w:rPr>
        <w:t>developing</w:t>
      </w:r>
      <w:r w:rsidR="00516CE6" w:rsidRPr="00C0477E">
        <w:rPr>
          <w:rFonts w:cstheme="minorHAnsi"/>
        </w:rPr>
        <w:t xml:space="preserve"> wetlands inventories and completing and refining information on wetland extent for reporting on SDG Indicator 6.6.1 through National Reports. An update of the activities undertaken is provided in document SC59/2022 Doc.9.</w:t>
      </w:r>
    </w:p>
    <w:p w14:paraId="5B474D92" w14:textId="5EBEE54E" w:rsidR="00EA3C55" w:rsidRPr="00C0477E" w:rsidRDefault="00EA3C55" w:rsidP="00FA12DB">
      <w:pPr>
        <w:tabs>
          <w:tab w:val="left" w:pos="3270"/>
        </w:tabs>
        <w:ind w:left="426"/>
        <w:rPr>
          <w:rFonts w:cstheme="minorHAnsi"/>
        </w:rPr>
      </w:pPr>
    </w:p>
    <w:p w14:paraId="5977B41A" w14:textId="05CA874D" w:rsidR="00AB25BC" w:rsidRPr="00C0477E" w:rsidRDefault="00536B32" w:rsidP="00536B32">
      <w:pPr>
        <w:ind w:left="426" w:hanging="426"/>
        <w:rPr>
          <w:rFonts w:cstheme="minorHAnsi"/>
        </w:rPr>
      </w:pPr>
      <w:r>
        <w:rPr>
          <w:rFonts w:cstheme="minorHAnsi"/>
        </w:rPr>
        <w:t>22.</w:t>
      </w:r>
      <w:r>
        <w:rPr>
          <w:rFonts w:cstheme="minorHAnsi"/>
        </w:rPr>
        <w:tab/>
      </w:r>
      <w:r w:rsidR="00AB25BC" w:rsidRPr="00C0477E">
        <w:rPr>
          <w:rFonts w:cstheme="minorHAnsi"/>
        </w:rPr>
        <w:t>At the invitation of Austria as President of the European Union, the Secretary General contributed to the deliberations of the EU’s Water Directors’ meeting in 2019, stressing the links between wetlands and water management.</w:t>
      </w:r>
    </w:p>
    <w:p w14:paraId="60453005" w14:textId="77777777" w:rsidR="00AB25BC" w:rsidRPr="00C0477E" w:rsidRDefault="00AB25BC" w:rsidP="0050301F">
      <w:pPr>
        <w:rPr>
          <w:rFonts w:cstheme="minorHAnsi"/>
        </w:rPr>
      </w:pPr>
    </w:p>
    <w:p w14:paraId="59502334" w14:textId="64556DE4" w:rsidR="00AB25BC" w:rsidRPr="00F4446F" w:rsidRDefault="00536B32" w:rsidP="00F4446F">
      <w:pPr>
        <w:rPr>
          <w:rFonts w:cstheme="minorHAnsi"/>
        </w:rPr>
      </w:pPr>
      <w:r>
        <w:rPr>
          <w:rFonts w:cstheme="minorHAnsi"/>
        </w:rPr>
        <w:t>23.</w:t>
      </w:r>
      <w:r>
        <w:rPr>
          <w:rFonts w:cstheme="minorHAnsi"/>
        </w:rPr>
        <w:tab/>
      </w:r>
      <w:r w:rsidR="00AB25BC" w:rsidRPr="00C0477E">
        <w:rPr>
          <w:rFonts w:cstheme="minorHAnsi"/>
        </w:rPr>
        <w:t xml:space="preserve">At World Water Week 2019, the Secretary General participated as a panellist in the high-level panel hosted by the Swedish Agency for Marine and Water Management / UNDP-SIWI Water Governance Facility, and the Convention’s delegation participated in events on “Freshwater Biodiversity: Linking Biodiversity with Inclusive Development to Achieve the 2030 Agenda” and “Locking Carbon in a Water Vault: Wetlands as Ecosystem-based Mitigation”. </w:t>
      </w:r>
      <w:r w:rsidR="00AB25BC" w:rsidRPr="00C0477E">
        <w:rPr>
          <w:rFonts w:cstheme="minorHAnsi"/>
          <w:lang w:val="en-US"/>
        </w:rPr>
        <w:t xml:space="preserve">The Secretariat also contributed to World Water Week </w:t>
      </w:r>
      <w:r w:rsidR="003500B6">
        <w:rPr>
          <w:rFonts w:cstheme="minorHAnsi"/>
          <w:lang w:val="en-US"/>
        </w:rPr>
        <w:t>in</w:t>
      </w:r>
      <w:r w:rsidR="00AB25BC" w:rsidRPr="00C0477E">
        <w:rPr>
          <w:rFonts w:cstheme="minorHAnsi"/>
          <w:lang w:val="en-US"/>
        </w:rPr>
        <w:t xml:space="preserve"> August 2021, through the session </w:t>
      </w:r>
      <w:r w:rsidR="00F4446F">
        <w:rPr>
          <w:rFonts w:cstheme="minorHAnsi"/>
          <w:lang w:val="en-US"/>
        </w:rPr>
        <w:t xml:space="preserve">on </w:t>
      </w:r>
      <w:r w:rsidR="00AB25BC" w:rsidRPr="00C0477E">
        <w:rPr>
          <w:rFonts w:cstheme="minorHAnsi"/>
          <w:lang w:val="en-US"/>
        </w:rPr>
        <w:t>“Pathways for protection: Blended solutions to protect and manage rivers</w:t>
      </w:r>
      <w:r w:rsidR="00F4446F">
        <w:rPr>
          <w:rFonts w:cstheme="minorHAnsi"/>
          <w:lang w:val="en-US"/>
        </w:rPr>
        <w:t>”</w:t>
      </w:r>
      <w:r w:rsidR="00AB25BC" w:rsidRPr="00C0477E">
        <w:rPr>
          <w:rFonts w:cstheme="minorHAnsi"/>
          <w:lang w:val="en-US"/>
        </w:rPr>
        <w:t>.</w:t>
      </w:r>
      <w:r w:rsidR="003500B6">
        <w:rPr>
          <w:rFonts w:cstheme="minorHAnsi"/>
          <w:lang w:val="en-US"/>
        </w:rPr>
        <w:t xml:space="preserve"> </w:t>
      </w:r>
      <w:r w:rsidR="00AB25BC" w:rsidRPr="00C0477E">
        <w:rPr>
          <w:rFonts w:cstheme="minorHAnsi"/>
        </w:rPr>
        <w:t xml:space="preserve">The Secretariat is a co-organizer of an event focusing on </w:t>
      </w:r>
      <w:r w:rsidR="00F4446F">
        <w:rPr>
          <w:rFonts w:cstheme="minorHAnsi"/>
        </w:rPr>
        <w:t>“</w:t>
      </w:r>
      <w:r w:rsidR="00AB25BC" w:rsidRPr="00C0477E">
        <w:rPr>
          <w:rFonts w:cstheme="minorHAnsi"/>
        </w:rPr>
        <w:t>Source to Sea management</w:t>
      </w:r>
      <w:r w:rsidR="00F4446F">
        <w:rPr>
          <w:rFonts w:cstheme="minorHAnsi"/>
        </w:rPr>
        <w:t>”</w:t>
      </w:r>
      <w:r w:rsidR="00AB25BC" w:rsidRPr="00C0477E">
        <w:rPr>
          <w:rFonts w:cstheme="minorHAnsi"/>
        </w:rPr>
        <w:t xml:space="preserve"> to be held during World Water Week 2022. </w:t>
      </w:r>
    </w:p>
    <w:p w14:paraId="7263779A" w14:textId="77777777" w:rsidR="00AB25BC" w:rsidRPr="00C0477E" w:rsidRDefault="00AB25BC" w:rsidP="0050301F">
      <w:pPr>
        <w:tabs>
          <w:tab w:val="left" w:pos="3270"/>
        </w:tabs>
        <w:rPr>
          <w:rFonts w:cstheme="minorHAnsi"/>
          <w:lang w:val="en-US"/>
        </w:rPr>
      </w:pPr>
    </w:p>
    <w:p w14:paraId="6CF0367E" w14:textId="3A3708D5" w:rsidR="00AB25BC" w:rsidRPr="00C0477E" w:rsidRDefault="00536B32" w:rsidP="0050301F">
      <w:pPr>
        <w:tabs>
          <w:tab w:val="left" w:pos="3270"/>
        </w:tabs>
        <w:rPr>
          <w:rFonts w:cstheme="minorHAnsi"/>
          <w:lang w:val="en-US"/>
        </w:rPr>
      </w:pPr>
      <w:r>
        <w:rPr>
          <w:rFonts w:cstheme="minorHAnsi"/>
          <w:lang w:val="en-US"/>
        </w:rPr>
        <w:t>24.</w:t>
      </w:r>
      <w:r>
        <w:rPr>
          <w:rFonts w:cstheme="minorHAnsi"/>
          <w:lang w:val="en-US"/>
        </w:rPr>
        <w:tab/>
      </w:r>
      <w:r w:rsidR="00AB25BC" w:rsidRPr="00C0477E">
        <w:rPr>
          <w:rFonts w:cstheme="minorHAnsi"/>
          <w:lang w:val="en-US"/>
        </w:rPr>
        <w:t xml:space="preserve">The Secretariat also participated in MOP9 of the UN Water Convention in Geneva </w:t>
      </w:r>
      <w:r w:rsidR="0059239E">
        <w:rPr>
          <w:rFonts w:cstheme="minorHAnsi"/>
          <w:lang w:val="en-US"/>
        </w:rPr>
        <w:t>in</w:t>
      </w:r>
      <w:r w:rsidR="00AB25BC" w:rsidRPr="00C0477E">
        <w:rPr>
          <w:rFonts w:cstheme="minorHAnsi"/>
          <w:lang w:val="en-US"/>
        </w:rPr>
        <w:t xml:space="preserve"> September </w:t>
      </w:r>
      <w:r w:rsidR="0059239E">
        <w:rPr>
          <w:rFonts w:cstheme="minorHAnsi"/>
          <w:lang w:val="en-US"/>
        </w:rPr>
        <w:t xml:space="preserve">and </w:t>
      </w:r>
      <w:r w:rsidR="00AB25BC" w:rsidRPr="00C0477E">
        <w:rPr>
          <w:rFonts w:cstheme="minorHAnsi"/>
          <w:lang w:val="en-US"/>
        </w:rPr>
        <w:t xml:space="preserve">October 2021, to explore possible synergies and future cooperation, notably in transboundary river basins that are also covered by </w:t>
      </w:r>
      <w:r w:rsidR="003C1D3E">
        <w:rPr>
          <w:rFonts w:cstheme="minorHAnsi"/>
          <w:lang w:val="en-US"/>
        </w:rPr>
        <w:t>RRIs</w:t>
      </w:r>
      <w:r w:rsidR="00AB25BC" w:rsidRPr="00C0477E">
        <w:rPr>
          <w:rFonts w:cstheme="minorHAnsi"/>
          <w:lang w:val="en-US"/>
        </w:rPr>
        <w:t xml:space="preserve"> (covering the Amazon, Senegal and Niger river basins, Central and Eastern Africa, and Central and West Asia</w:t>
      </w:r>
      <w:r w:rsidR="00F4446F">
        <w:rPr>
          <w:rFonts w:cstheme="minorHAnsi"/>
          <w:lang w:val="en-US"/>
        </w:rPr>
        <w:t>)</w:t>
      </w:r>
      <w:r w:rsidR="00AB25BC" w:rsidRPr="00C0477E">
        <w:rPr>
          <w:rFonts w:cstheme="minorHAnsi"/>
          <w:lang w:val="en-US"/>
        </w:rPr>
        <w:t>.</w:t>
      </w:r>
    </w:p>
    <w:p w14:paraId="5667812C" w14:textId="77777777" w:rsidR="00AB25BC" w:rsidRPr="00C0477E" w:rsidRDefault="00AB25BC" w:rsidP="0050301F">
      <w:pPr>
        <w:tabs>
          <w:tab w:val="left" w:pos="3270"/>
        </w:tabs>
        <w:rPr>
          <w:rFonts w:cstheme="minorHAnsi"/>
        </w:rPr>
      </w:pPr>
    </w:p>
    <w:p w14:paraId="5BD3697F" w14:textId="496FAB39" w:rsidR="00EA3C55" w:rsidRPr="00C0477E" w:rsidRDefault="00536B32" w:rsidP="0050301F">
      <w:pPr>
        <w:rPr>
          <w:rFonts w:cstheme="minorHAnsi"/>
          <w:lang w:val="en-US"/>
        </w:rPr>
      </w:pPr>
      <w:r>
        <w:rPr>
          <w:rFonts w:cstheme="minorHAnsi"/>
          <w:lang w:val="en-US"/>
        </w:rPr>
        <w:t>25.</w:t>
      </w:r>
      <w:r>
        <w:rPr>
          <w:rFonts w:cstheme="minorHAnsi"/>
          <w:lang w:val="en-US"/>
        </w:rPr>
        <w:tab/>
      </w:r>
      <w:r w:rsidR="00EA3C55" w:rsidRPr="00C0477E">
        <w:rPr>
          <w:rFonts w:cstheme="minorHAnsi"/>
          <w:lang w:val="en-US"/>
        </w:rPr>
        <w:t>The Secretariat contribut</w:t>
      </w:r>
      <w:r w:rsidR="00AB25BC" w:rsidRPr="00C0477E">
        <w:rPr>
          <w:rFonts w:cstheme="minorHAnsi"/>
          <w:lang w:val="en-US"/>
        </w:rPr>
        <w:t xml:space="preserve">ed </w:t>
      </w:r>
      <w:r w:rsidR="00EA3C55" w:rsidRPr="00C0477E">
        <w:rPr>
          <w:rFonts w:cstheme="minorHAnsi"/>
          <w:lang w:val="en-US"/>
        </w:rPr>
        <w:t xml:space="preserve">to the </w:t>
      </w:r>
      <w:r w:rsidR="00CB216E">
        <w:rPr>
          <w:rFonts w:cstheme="minorHAnsi"/>
          <w:lang w:val="en-US"/>
        </w:rPr>
        <w:t>UN</w:t>
      </w:r>
      <w:r w:rsidR="00EA3C55" w:rsidRPr="00C0477E">
        <w:rPr>
          <w:rFonts w:cstheme="minorHAnsi"/>
          <w:lang w:val="en-US"/>
        </w:rPr>
        <w:t xml:space="preserve"> World Water Development Report (WWDR) 2022</w:t>
      </w:r>
      <w:r w:rsidR="00CB216E">
        <w:rPr>
          <w:rFonts w:cstheme="minorHAnsi"/>
          <w:lang w:val="en-US"/>
        </w:rPr>
        <w:t xml:space="preserve"> on</w:t>
      </w:r>
      <w:r w:rsidR="00CB216E" w:rsidRPr="00C0477E">
        <w:rPr>
          <w:rFonts w:cstheme="minorHAnsi"/>
          <w:lang w:val="en-US"/>
        </w:rPr>
        <w:t xml:space="preserve"> </w:t>
      </w:r>
      <w:r w:rsidR="00EA3C55" w:rsidRPr="00C0477E">
        <w:rPr>
          <w:rFonts w:cstheme="minorHAnsi"/>
          <w:i/>
          <w:lang w:val="en-US"/>
        </w:rPr>
        <w:t>Groundwater: Making the invisible visible</w:t>
      </w:r>
      <w:r w:rsidR="00EA3C55" w:rsidRPr="00C0477E">
        <w:rPr>
          <w:rFonts w:cstheme="minorHAnsi"/>
          <w:lang w:val="en-US"/>
        </w:rPr>
        <w:t>,</w:t>
      </w:r>
      <w:r w:rsidR="00E4253B">
        <w:rPr>
          <w:rFonts w:cstheme="minorHAnsi"/>
          <w:lang w:val="en-US"/>
        </w:rPr>
        <w:t xml:space="preserve"> </w:t>
      </w:r>
      <w:r w:rsidR="00EA3C55" w:rsidRPr="00C0477E">
        <w:rPr>
          <w:rFonts w:cstheme="minorHAnsi"/>
          <w:lang w:val="en-US"/>
        </w:rPr>
        <w:t>launched on World Water Day, 22 March 2022. The Secretariat also participated remotely in the 9th World Water Forum in Dakar, Senegal</w:t>
      </w:r>
      <w:r w:rsidR="003C1D3E">
        <w:rPr>
          <w:rFonts w:cstheme="minorHAnsi"/>
          <w:lang w:val="en-US"/>
        </w:rPr>
        <w:t>,</w:t>
      </w:r>
      <w:r w:rsidR="00CB216E">
        <w:rPr>
          <w:rFonts w:cstheme="minorHAnsi"/>
          <w:lang w:val="en-US"/>
        </w:rPr>
        <w:t xml:space="preserve"> </w:t>
      </w:r>
      <w:r w:rsidR="0059239E">
        <w:rPr>
          <w:rFonts w:cstheme="minorHAnsi"/>
          <w:lang w:val="en-US"/>
        </w:rPr>
        <w:t>in</w:t>
      </w:r>
      <w:r w:rsidR="00EA3C55" w:rsidRPr="00C0477E">
        <w:rPr>
          <w:rFonts w:cstheme="minorHAnsi"/>
          <w:lang w:val="en-US"/>
        </w:rPr>
        <w:t xml:space="preserve"> March 2022, with the Secretary General joining a dialogue hosted by France on </w:t>
      </w:r>
      <w:r w:rsidR="0059239E">
        <w:rPr>
          <w:rFonts w:cstheme="minorHAnsi"/>
          <w:lang w:val="en-US"/>
        </w:rPr>
        <w:t>w</w:t>
      </w:r>
      <w:r w:rsidR="0059239E" w:rsidRPr="00C0477E">
        <w:rPr>
          <w:rFonts w:cstheme="minorHAnsi"/>
          <w:lang w:val="en-US"/>
        </w:rPr>
        <w:t xml:space="preserve">etlands </w:t>
      </w:r>
      <w:r w:rsidR="00EA3C55" w:rsidRPr="00C0477E">
        <w:rPr>
          <w:rFonts w:cstheme="minorHAnsi"/>
          <w:lang w:val="en-US"/>
        </w:rPr>
        <w:t>and the Convention.</w:t>
      </w:r>
    </w:p>
    <w:p w14:paraId="58831848" w14:textId="77777777" w:rsidR="00AB25BC" w:rsidRPr="00C0477E" w:rsidRDefault="00AB25BC" w:rsidP="0050301F">
      <w:pPr>
        <w:rPr>
          <w:rFonts w:cstheme="minorHAnsi"/>
        </w:rPr>
      </w:pPr>
    </w:p>
    <w:p w14:paraId="3847789E" w14:textId="427638DE" w:rsidR="00AB25BC" w:rsidRPr="00C0477E" w:rsidRDefault="00536B32" w:rsidP="0050301F">
      <w:pPr>
        <w:rPr>
          <w:rFonts w:cstheme="minorHAnsi"/>
        </w:rPr>
      </w:pPr>
      <w:r>
        <w:rPr>
          <w:rFonts w:cstheme="minorHAnsi"/>
        </w:rPr>
        <w:t>26.</w:t>
      </w:r>
      <w:r>
        <w:rPr>
          <w:rFonts w:cstheme="minorHAnsi"/>
        </w:rPr>
        <w:tab/>
      </w:r>
      <w:r w:rsidR="00AB25BC" w:rsidRPr="00C0477E">
        <w:rPr>
          <w:rFonts w:cstheme="minorHAnsi"/>
        </w:rPr>
        <w:t>The Secretariat also provided input to other meetings and events focusing on water, including a special session on “Mainstreaming Lakes and Wetlands in the Global Water Agenda and SDGs” organ</w:t>
      </w:r>
      <w:r w:rsidR="003C1D3E">
        <w:rPr>
          <w:rFonts w:cstheme="minorHAnsi"/>
        </w:rPr>
        <w:t>i</w:t>
      </w:r>
      <w:r w:rsidR="00AB25BC" w:rsidRPr="00C0477E">
        <w:rPr>
          <w:rFonts w:cstheme="minorHAnsi"/>
        </w:rPr>
        <w:t xml:space="preserve">zed in the context of the </w:t>
      </w:r>
      <w:r w:rsidR="00AB25BC" w:rsidRPr="0059239E">
        <w:rPr>
          <w:rFonts w:cstheme="minorHAnsi"/>
        </w:rPr>
        <w:t>18th</w:t>
      </w:r>
      <w:r w:rsidR="00AB25BC" w:rsidRPr="00C0477E">
        <w:rPr>
          <w:rFonts w:cstheme="minorHAnsi"/>
        </w:rPr>
        <w:t xml:space="preserve"> World Lake Conference held in Guanajuato, Mexico, </w:t>
      </w:r>
      <w:r w:rsidR="0059239E">
        <w:rPr>
          <w:rFonts w:cstheme="minorHAnsi"/>
        </w:rPr>
        <w:t xml:space="preserve">in </w:t>
      </w:r>
      <w:r w:rsidR="00AB25BC" w:rsidRPr="00C0477E">
        <w:rPr>
          <w:rFonts w:cstheme="minorHAnsi"/>
        </w:rPr>
        <w:t>November 2021, and a</w:t>
      </w:r>
      <w:r w:rsidR="00AB25BC" w:rsidRPr="00C0477E">
        <w:rPr>
          <w:rFonts w:cstheme="minorHAnsi"/>
          <w:lang w:val="en-US"/>
        </w:rPr>
        <w:t xml:space="preserve"> dialogue on nature-based solutions and water organized by IUCN and the Geneva Environment Network </w:t>
      </w:r>
      <w:r w:rsidR="0059239E">
        <w:rPr>
          <w:rFonts w:cstheme="minorHAnsi"/>
          <w:lang w:val="en-US"/>
        </w:rPr>
        <w:t>in</w:t>
      </w:r>
      <w:r w:rsidR="00AB25BC" w:rsidRPr="00C0477E">
        <w:rPr>
          <w:rFonts w:cstheme="minorHAnsi"/>
          <w:lang w:val="en-US"/>
        </w:rPr>
        <w:t xml:space="preserve"> November 202</w:t>
      </w:r>
      <w:r w:rsidR="0059239E">
        <w:rPr>
          <w:rFonts w:cstheme="minorHAnsi"/>
          <w:lang w:val="en-US"/>
        </w:rPr>
        <w:t>1.</w:t>
      </w:r>
    </w:p>
    <w:p w14:paraId="28EB25E8" w14:textId="77777777" w:rsidR="008A384C" w:rsidRPr="00C0477E" w:rsidRDefault="008A384C" w:rsidP="00FA12DB">
      <w:pPr>
        <w:ind w:left="426"/>
        <w:rPr>
          <w:rFonts w:cstheme="minorHAnsi"/>
        </w:rPr>
      </w:pPr>
    </w:p>
    <w:p w14:paraId="601A0D52" w14:textId="703BF54A" w:rsidR="004B09E6" w:rsidRPr="00C0477E" w:rsidRDefault="00536B32" w:rsidP="00FA12DB">
      <w:pPr>
        <w:ind w:left="426"/>
        <w:rPr>
          <w:rFonts w:cstheme="minorHAnsi"/>
          <w:lang w:val="en-US"/>
        </w:rPr>
      </w:pPr>
      <w:r>
        <w:rPr>
          <w:rFonts w:cstheme="minorHAnsi"/>
        </w:rPr>
        <w:t>27</w:t>
      </w:r>
      <w:r w:rsidR="00DE0A31" w:rsidRPr="00C0477E">
        <w:rPr>
          <w:rFonts w:cstheme="minorHAnsi"/>
        </w:rPr>
        <w:t>.</w:t>
      </w:r>
      <w:r w:rsidR="00DE0A31" w:rsidRPr="00C0477E">
        <w:rPr>
          <w:rFonts w:cstheme="minorHAnsi"/>
        </w:rPr>
        <w:tab/>
      </w:r>
      <w:r w:rsidR="207F27EF" w:rsidRPr="00C0477E">
        <w:rPr>
          <w:rFonts w:cstheme="minorHAnsi"/>
        </w:rPr>
        <w:t xml:space="preserve">The Secretariat </w:t>
      </w:r>
      <w:r w:rsidR="00403F48" w:rsidRPr="00C0477E">
        <w:rPr>
          <w:rFonts w:cstheme="minorHAnsi"/>
        </w:rPr>
        <w:t xml:space="preserve">has been </w:t>
      </w:r>
      <w:r w:rsidR="207F27EF" w:rsidRPr="00C0477E">
        <w:rPr>
          <w:rFonts w:cstheme="minorHAnsi"/>
        </w:rPr>
        <w:t xml:space="preserve">active in supporting </w:t>
      </w:r>
      <w:r w:rsidR="00394574" w:rsidRPr="00C0477E">
        <w:rPr>
          <w:rFonts w:cstheme="minorHAnsi"/>
        </w:rPr>
        <w:t xml:space="preserve">the </w:t>
      </w:r>
      <w:r w:rsidR="00403F48" w:rsidRPr="00C0477E">
        <w:rPr>
          <w:rFonts w:cstheme="minorHAnsi"/>
        </w:rPr>
        <w:t xml:space="preserve">achievement of </w:t>
      </w:r>
      <w:r w:rsidR="207F27EF" w:rsidRPr="00C0477E">
        <w:rPr>
          <w:rFonts w:cstheme="minorHAnsi"/>
        </w:rPr>
        <w:t>SDG</w:t>
      </w:r>
      <w:r w:rsidR="00E25439" w:rsidRPr="00C0477E">
        <w:rPr>
          <w:rFonts w:cstheme="minorHAnsi"/>
        </w:rPr>
        <w:t xml:space="preserve"> </w:t>
      </w:r>
      <w:r w:rsidR="207F27EF" w:rsidRPr="00C0477E">
        <w:rPr>
          <w:rFonts w:cstheme="minorHAnsi"/>
        </w:rPr>
        <w:t>14 (</w:t>
      </w:r>
      <w:r w:rsidR="00DE0A31" w:rsidRPr="00C0477E">
        <w:rPr>
          <w:rFonts w:cstheme="minorHAnsi"/>
        </w:rPr>
        <w:t>“</w:t>
      </w:r>
      <w:r w:rsidR="207F27EF" w:rsidRPr="00C0477E">
        <w:rPr>
          <w:rFonts w:cstheme="minorHAnsi"/>
        </w:rPr>
        <w:t>Conserve and sustainably use the oceans, seas and marine resources for sustainable development</w:t>
      </w:r>
      <w:r w:rsidR="00DE0A31" w:rsidRPr="00C0477E">
        <w:rPr>
          <w:rFonts w:cstheme="minorHAnsi"/>
        </w:rPr>
        <w:t>”</w:t>
      </w:r>
      <w:r w:rsidR="207F27EF" w:rsidRPr="00C0477E">
        <w:rPr>
          <w:rFonts w:cstheme="minorHAnsi"/>
        </w:rPr>
        <w:t xml:space="preserve">). </w:t>
      </w:r>
      <w:r w:rsidR="00E4015D" w:rsidRPr="00C0477E">
        <w:rPr>
          <w:rFonts w:cstheme="minorHAnsi"/>
          <w:lang w:val="en-US"/>
        </w:rPr>
        <w:t>The Secretary General is one of the two focal points for the Community of Ocean Action on Mangroves, and the Secretariat thus participated in the preparatory meeting of the Communities of Ocean Action for the second UN Ocean Conference and in the meeting of the SDG 14 Communities of Ocean Action on marine and coastal ecosystems, coral reefs and mangroves</w:t>
      </w:r>
      <w:r w:rsidR="007F120A" w:rsidRPr="00C0477E">
        <w:rPr>
          <w:rFonts w:cstheme="minorHAnsi"/>
          <w:lang w:val="en-US"/>
        </w:rPr>
        <w:t xml:space="preserve"> </w:t>
      </w:r>
      <w:r w:rsidR="00E4015D" w:rsidRPr="00C0477E">
        <w:rPr>
          <w:rFonts w:cstheme="minorHAnsi"/>
          <w:lang w:val="en-US"/>
        </w:rPr>
        <w:t xml:space="preserve">in </w:t>
      </w:r>
      <w:r w:rsidR="0059239E" w:rsidRPr="00C0477E">
        <w:rPr>
          <w:rFonts w:cstheme="minorHAnsi"/>
          <w:lang w:val="en-US"/>
        </w:rPr>
        <w:t>2019</w:t>
      </w:r>
      <w:r w:rsidR="0059239E">
        <w:rPr>
          <w:rFonts w:cstheme="minorHAnsi"/>
          <w:lang w:val="en-US"/>
        </w:rPr>
        <w:t xml:space="preserve">, in </w:t>
      </w:r>
      <w:r w:rsidR="00E4015D" w:rsidRPr="00C0477E">
        <w:rPr>
          <w:rFonts w:cstheme="minorHAnsi"/>
          <w:lang w:val="en-US"/>
        </w:rPr>
        <w:t>Incheon, Republic of Korea, in May and</w:t>
      </w:r>
      <w:r w:rsidR="0099388C" w:rsidRPr="00C0477E">
        <w:rPr>
          <w:rFonts w:cstheme="minorHAnsi"/>
          <w:lang w:val="en-US"/>
        </w:rPr>
        <w:t xml:space="preserve"> in Montreal</w:t>
      </w:r>
      <w:r w:rsidR="001E691D">
        <w:rPr>
          <w:rFonts w:cstheme="minorHAnsi"/>
          <w:lang w:val="en-US"/>
        </w:rPr>
        <w:t>, Canada,</w:t>
      </w:r>
      <w:r w:rsidR="0099388C" w:rsidRPr="00C0477E">
        <w:rPr>
          <w:rFonts w:cstheme="minorHAnsi"/>
          <w:lang w:val="en-US"/>
        </w:rPr>
        <w:t xml:space="preserve"> in</w:t>
      </w:r>
      <w:r w:rsidR="00E4015D" w:rsidRPr="00C0477E">
        <w:rPr>
          <w:rFonts w:cstheme="minorHAnsi"/>
          <w:lang w:val="en-US"/>
        </w:rPr>
        <w:t xml:space="preserve"> November.</w:t>
      </w:r>
      <w:r w:rsidR="005476BF" w:rsidRPr="00C0477E">
        <w:rPr>
          <w:rFonts w:cstheme="minorHAnsi"/>
          <w:lang w:val="en-US"/>
        </w:rPr>
        <w:t xml:space="preserve"> </w:t>
      </w:r>
      <w:r w:rsidR="0059239E">
        <w:rPr>
          <w:rFonts w:cstheme="minorHAnsi"/>
          <w:lang w:val="en-US"/>
        </w:rPr>
        <w:t>At</w:t>
      </w:r>
      <w:r w:rsidR="005476BF" w:rsidRPr="00C0477E">
        <w:rPr>
          <w:rFonts w:cstheme="minorHAnsi"/>
          <w:lang w:val="en-US"/>
        </w:rPr>
        <w:t xml:space="preserve"> the second UN Ocean Conference</w:t>
      </w:r>
      <w:r w:rsidR="005911A2" w:rsidRPr="00C0477E">
        <w:rPr>
          <w:rFonts w:cstheme="minorHAnsi"/>
          <w:lang w:val="en-US"/>
        </w:rPr>
        <w:t xml:space="preserve"> to support the implementation of </w:t>
      </w:r>
      <w:r w:rsidR="0059239E">
        <w:rPr>
          <w:rFonts w:cstheme="minorHAnsi"/>
          <w:lang w:val="en-US"/>
        </w:rPr>
        <w:t>SDG</w:t>
      </w:r>
      <w:r w:rsidR="005911A2" w:rsidRPr="00C0477E">
        <w:rPr>
          <w:rFonts w:cstheme="minorHAnsi"/>
          <w:lang w:val="en-US"/>
        </w:rPr>
        <w:t xml:space="preserve"> 14 </w:t>
      </w:r>
      <w:r w:rsidR="0059239E">
        <w:rPr>
          <w:rFonts w:cstheme="minorHAnsi"/>
          <w:lang w:val="en-US"/>
        </w:rPr>
        <w:t>in</w:t>
      </w:r>
      <w:r w:rsidR="007F120A" w:rsidRPr="00C0477E">
        <w:rPr>
          <w:rFonts w:cstheme="minorHAnsi"/>
          <w:lang w:val="en-US"/>
        </w:rPr>
        <w:t xml:space="preserve"> June 2022 in Lisbon, Portugal</w:t>
      </w:r>
      <w:r w:rsidR="0059239E">
        <w:rPr>
          <w:rFonts w:cstheme="minorHAnsi"/>
          <w:lang w:val="en-US"/>
        </w:rPr>
        <w:t>,</w:t>
      </w:r>
      <w:r w:rsidR="008D7E7D" w:rsidRPr="00C0477E">
        <w:rPr>
          <w:rFonts w:cstheme="minorHAnsi"/>
          <w:lang w:val="en-US"/>
        </w:rPr>
        <w:t xml:space="preserve"> </w:t>
      </w:r>
      <w:r w:rsidR="0099388C" w:rsidRPr="00C0477E">
        <w:rPr>
          <w:rFonts w:cstheme="minorHAnsi"/>
          <w:lang w:val="en-US"/>
        </w:rPr>
        <w:t xml:space="preserve">the Secretary General </w:t>
      </w:r>
      <w:r w:rsidR="008D7E7D" w:rsidRPr="00C0477E">
        <w:rPr>
          <w:rFonts w:cstheme="minorHAnsi"/>
          <w:lang w:val="en-US"/>
        </w:rPr>
        <w:t xml:space="preserve">participated in </w:t>
      </w:r>
      <w:r w:rsidR="005911A2" w:rsidRPr="00C0477E">
        <w:rPr>
          <w:rFonts w:cstheme="minorHAnsi"/>
          <w:lang w:val="en-US"/>
        </w:rPr>
        <w:t xml:space="preserve">the </w:t>
      </w:r>
      <w:r w:rsidR="008D7E7D" w:rsidRPr="00C0477E">
        <w:rPr>
          <w:rFonts w:cstheme="minorHAnsi"/>
          <w:lang w:val="en-US"/>
        </w:rPr>
        <w:t>interactive dialogue on managing, protecting and restoring coastal and marine ecosystems</w:t>
      </w:r>
      <w:r w:rsidR="005911A2" w:rsidRPr="00C0477E">
        <w:rPr>
          <w:rFonts w:cstheme="minorHAnsi"/>
          <w:lang w:val="en-US"/>
        </w:rPr>
        <w:t xml:space="preserve"> and in </w:t>
      </w:r>
      <w:r w:rsidR="004B09E6" w:rsidRPr="00C0477E">
        <w:rPr>
          <w:rFonts w:cstheme="minorHAnsi"/>
          <w:lang w:val="en-US"/>
        </w:rPr>
        <w:t>the Ministerial Roundtable</w:t>
      </w:r>
      <w:r w:rsidR="00E4253B">
        <w:rPr>
          <w:rFonts w:cstheme="minorHAnsi"/>
          <w:lang w:val="en-US"/>
        </w:rPr>
        <w:t xml:space="preserve"> </w:t>
      </w:r>
      <w:r w:rsidR="001E691D" w:rsidRPr="00C0477E">
        <w:rPr>
          <w:rFonts w:cstheme="minorHAnsi"/>
          <w:lang w:val="en-US"/>
        </w:rPr>
        <w:t>of the High Level Symposium on Water</w:t>
      </w:r>
      <w:r w:rsidR="001E691D">
        <w:rPr>
          <w:rFonts w:cstheme="minorHAnsi"/>
          <w:lang w:val="en-US"/>
        </w:rPr>
        <w:t xml:space="preserve"> on </w:t>
      </w:r>
      <w:r w:rsidR="004B09E6" w:rsidRPr="00C0477E">
        <w:rPr>
          <w:rFonts w:cstheme="minorHAnsi"/>
          <w:lang w:val="en-US"/>
        </w:rPr>
        <w:t>synergies between SDG 6 and SDG 14.</w:t>
      </w:r>
      <w:r w:rsidR="00E4253B">
        <w:rPr>
          <w:rFonts w:cstheme="minorHAnsi"/>
          <w:lang w:val="en-US"/>
        </w:rPr>
        <w:t xml:space="preserve"> </w:t>
      </w:r>
    </w:p>
    <w:p w14:paraId="0B25AA2B" w14:textId="77777777" w:rsidR="00A4766F" w:rsidRDefault="00A4766F" w:rsidP="00A4766F">
      <w:pPr>
        <w:autoSpaceDE w:val="0"/>
        <w:autoSpaceDN w:val="0"/>
        <w:adjustRightInd w:val="0"/>
        <w:rPr>
          <w:rFonts w:cstheme="minorHAnsi"/>
          <w:lang w:val="en-US"/>
        </w:rPr>
      </w:pPr>
    </w:p>
    <w:p w14:paraId="2DE53A57" w14:textId="6692FAFF" w:rsidR="00873506" w:rsidRPr="00C0477E" w:rsidRDefault="00536B32" w:rsidP="00A4766F">
      <w:pPr>
        <w:autoSpaceDE w:val="0"/>
        <w:autoSpaceDN w:val="0"/>
        <w:adjustRightInd w:val="0"/>
        <w:rPr>
          <w:rFonts w:cstheme="minorHAnsi"/>
          <w:lang w:val="en-US"/>
        </w:rPr>
      </w:pPr>
      <w:r w:rsidRPr="001E691D">
        <w:rPr>
          <w:rFonts w:cstheme="minorHAnsi"/>
          <w:lang w:val="en-US"/>
        </w:rPr>
        <w:t>28</w:t>
      </w:r>
      <w:r w:rsidR="01146BA0" w:rsidRPr="00C0477E">
        <w:rPr>
          <w:rFonts w:cstheme="minorHAnsi"/>
          <w:lang w:val="en-US"/>
        </w:rPr>
        <w:t xml:space="preserve">. </w:t>
      </w:r>
      <w:r w:rsidR="001D7C77" w:rsidRPr="00C0477E">
        <w:rPr>
          <w:rFonts w:cstheme="minorHAnsi"/>
        </w:rPr>
        <w:tab/>
      </w:r>
      <w:r w:rsidR="00B05AA9">
        <w:rPr>
          <w:rFonts w:cstheme="minorHAnsi"/>
          <w:lang w:val="en-US"/>
        </w:rPr>
        <w:t>In</w:t>
      </w:r>
      <w:r w:rsidR="01146BA0" w:rsidRPr="00C0477E">
        <w:rPr>
          <w:rFonts w:cstheme="minorHAnsi"/>
          <w:lang w:val="en-US"/>
        </w:rPr>
        <w:t xml:space="preserve"> November 2021 the Secretariat and other partners of the Action Platform for Source</w:t>
      </w:r>
      <w:r w:rsidR="00B05AA9">
        <w:rPr>
          <w:rFonts w:cstheme="minorHAnsi"/>
          <w:lang w:val="en-US"/>
        </w:rPr>
        <w:t>-</w:t>
      </w:r>
      <w:r w:rsidR="01146BA0" w:rsidRPr="00C0477E">
        <w:rPr>
          <w:rFonts w:cstheme="minorHAnsi"/>
          <w:lang w:val="en-US"/>
        </w:rPr>
        <w:t>to</w:t>
      </w:r>
      <w:r w:rsidR="00B05AA9">
        <w:rPr>
          <w:rFonts w:cstheme="minorHAnsi"/>
          <w:lang w:val="en-US"/>
        </w:rPr>
        <w:t>-Sea Management (S2S P</w:t>
      </w:r>
      <w:r w:rsidR="01146BA0" w:rsidRPr="00C0477E">
        <w:rPr>
          <w:rFonts w:cstheme="minorHAnsi"/>
          <w:lang w:val="en-US"/>
        </w:rPr>
        <w:t xml:space="preserve">latform), including the Global Water Partnership, UNESCO Intergovernmental Hydrological Programme (IHP), Stockholm International Water Institute and UNDP co-organized an event in the framework of the UN Decade of Ocean Science for Sustainable Development. Titled “Starting at the Source to Save the Ocean”, the event explored ways to enhance collaboration </w:t>
      </w:r>
      <w:r w:rsidR="001E691D">
        <w:rPr>
          <w:rFonts w:cstheme="minorHAnsi"/>
          <w:lang w:val="en-US"/>
        </w:rPr>
        <w:t>between</w:t>
      </w:r>
      <w:r w:rsidR="001E691D" w:rsidRPr="00C0477E">
        <w:rPr>
          <w:rFonts w:cstheme="minorHAnsi"/>
          <w:lang w:val="en-US"/>
        </w:rPr>
        <w:t xml:space="preserve"> </w:t>
      </w:r>
      <w:r w:rsidR="01146BA0" w:rsidRPr="00C0477E">
        <w:rPr>
          <w:rFonts w:cstheme="minorHAnsi"/>
          <w:lang w:val="en-US"/>
        </w:rPr>
        <w:t xml:space="preserve">freshwater and marine communities in monitoring and reducing pollution across inland, coastal and marine ecosystems. The Secretary General also provided a video speech with other heads of organizations, including UN agency leaders, to raise awareness of </w:t>
      </w:r>
      <w:r w:rsidR="001E691D" w:rsidRPr="00C0477E">
        <w:rPr>
          <w:rFonts w:cstheme="minorHAnsi"/>
          <w:lang w:val="en-US"/>
        </w:rPr>
        <w:t>source</w:t>
      </w:r>
      <w:r w:rsidR="001E691D">
        <w:rPr>
          <w:rFonts w:cstheme="minorHAnsi"/>
          <w:lang w:val="en-US"/>
        </w:rPr>
        <w:t>-</w:t>
      </w:r>
      <w:r w:rsidR="001E691D" w:rsidRPr="00C0477E">
        <w:rPr>
          <w:rFonts w:cstheme="minorHAnsi"/>
          <w:lang w:val="en-US"/>
        </w:rPr>
        <w:t>to</w:t>
      </w:r>
      <w:r w:rsidR="001E691D">
        <w:rPr>
          <w:rFonts w:cstheme="minorHAnsi"/>
          <w:lang w:val="en-US"/>
        </w:rPr>
        <w:t>-</w:t>
      </w:r>
      <w:r w:rsidR="001E691D" w:rsidRPr="00C0477E">
        <w:rPr>
          <w:rFonts w:cstheme="minorHAnsi"/>
          <w:lang w:val="en-US"/>
        </w:rPr>
        <w:t xml:space="preserve">sea management </w:t>
      </w:r>
      <w:r w:rsidR="01146BA0" w:rsidRPr="00C0477E">
        <w:rPr>
          <w:rFonts w:cstheme="minorHAnsi"/>
          <w:lang w:val="en-US"/>
        </w:rPr>
        <w:t>approaches through social media.</w:t>
      </w:r>
    </w:p>
    <w:p w14:paraId="4DFBEF26" w14:textId="77777777" w:rsidR="001D3733" w:rsidRPr="00C0477E" w:rsidRDefault="001D3733" w:rsidP="005948F3">
      <w:pPr>
        <w:rPr>
          <w:rFonts w:cstheme="minorHAnsi"/>
        </w:rPr>
      </w:pPr>
    </w:p>
    <w:p w14:paraId="551272F3" w14:textId="1E5BE9CD" w:rsidR="00563B03" w:rsidRPr="00C0477E" w:rsidRDefault="003D35F2" w:rsidP="00FA12DB">
      <w:pPr>
        <w:ind w:left="426"/>
        <w:rPr>
          <w:rFonts w:cstheme="minorHAnsi"/>
        </w:rPr>
      </w:pPr>
      <w:r>
        <w:rPr>
          <w:rFonts w:cstheme="minorHAnsi"/>
        </w:rPr>
        <w:t>29</w:t>
      </w:r>
      <w:r w:rsidR="00E25439" w:rsidRPr="00C0477E">
        <w:rPr>
          <w:rFonts w:cstheme="minorHAnsi"/>
        </w:rPr>
        <w:t>.</w:t>
      </w:r>
      <w:r w:rsidR="00E25439" w:rsidRPr="00C0477E">
        <w:rPr>
          <w:rFonts w:cstheme="minorHAnsi"/>
        </w:rPr>
        <w:tab/>
      </w:r>
      <w:r w:rsidR="207F27EF" w:rsidRPr="00C0477E">
        <w:rPr>
          <w:rFonts w:cstheme="minorHAnsi"/>
        </w:rPr>
        <w:t xml:space="preserve">The Secretariat </w:t>
      </w:r>
      <w:r w:rsidR="001E691D">
        <w:rPr>
          <w:rFonts w:cstheme="minorHAnsi"/>
        </w:rPr>
        <w:t>was</w:t>
      </w:r>
      <w:r w:rsidR="001E691D" w:rsidRPr="00C0477E">
        <w:rPr>
          <w:rFonts w:cstheme="minorHAnsi"/>
        </w:rPr>
        <w:t xml:space="preserve"> </w:t>
      </w:r>
      <w:r w:rsidR="207F27EF" w:rsidRPr="00C0477E">
        <w:rPr>
          <w:rFonts w:cstheme="minorHAnsi"/>
        </w:rPr>
        <w:t>also active in supporting SDG 15 (</w:t>
      </w:r>
      <w:r w:rsidR="007F61F4" w:rsidRPr="00C0477E">
        <w:rPr>
          <w:rFonts w:cstheme="minorHAnsi"/>
        </w:rPr>
        <w:t>“</w:t>
      </w:r>
      <w:r w:rsidR="207F27EF" w:rsidRPr="00C0477E">
        <w:rPr>
          <w:rFonts w:cstheme="minorHAnsi"/>
        </w:rPr>
        <w:t>Sustainably manage forests, combat desertification, halt and reverse land degradation, halt biodiversity loss</w:t>
      </w:r>
      <w:r w:rsidR="007F61F4" w:rsidRPr="00C0477E">
        <w:rPr>
          <w:rFonts w:cstheme="minorHAnsi"/>
        </w:rPr>
        <w:t>”</w:t>
      </w:r>
      <w:r w:rsidR="207F27EF" w:rsidRPr="00C0477E">
        <w:rPr>
          <w:rFonts w:cstheme="minorHAnsi"/>
        </w:rPr>
        <w:t>)</w:t>
      </w:r>
      <w:r w:rsidR="009B0849" w:rsidRPr="00C0477E">
        <w:rPr>
          <w:rFonts w:cstheme="minorHAnsi"/>
        </w:rPr>
        <w:t xml:space="preserve"> and the biodiversity </w:t>
      </w:r>
      <w:r w:rsidR="009B0849" w:rsidRPr="00C0477E">
        <w:rPr>
          <w:rFonts w:cstheme="minorHAnsi"/>
        </w:rPr>
        <w:lastRenderedPageBreak/>
        <w:t>agenda</w:t>
      </w:r>
      <w:r w:rsidR="207F27EF" w:rsidRPr="00C0477E">
        <w:rPr>
          <w:rFonts w:cstheme="minorHAnsi"/>
        </w:rPr>
        <w:t xml:space="preserve">. </w:t>
      </w:r>
      <w:r w:rsidR="001E691D">
        <w:rPr>
          <w:rFonts w:cstheme="minorHAnsi"/>
        </w:rPr>
        <w:t>It</w:t>
      </w:r>
      <w:r w:rsidR="207F27EF" w:rsidRPr="00C0477E">
        <w:rPr>
          <w:rFonts w:cstheme="minorHAnsi"/>
        </w:rPr>
        <w:t xml:space="preserve"> </w:t>
      </w:r>
      <w:r w:rsidR="008A384C" w:rsidRPr="00C0477E">
        <w:rPr>
          <w:rFonts w:cstheme="minorHAnsi"/>
        </w:rPr>
        <w:t xml:space="preserve">has significantly </w:t>
      </w:r>
      <w:r w:rsidR="207F27EF" w:rsidRPr="00C0477E">
        <w:rPr>
          <w:rFonts w:cstheme="minorHAnsi"/>
        </w:rPr>
        <w:t>strengthen</w:t>
      </w:r>
      <w:r w:rsidR="00D31EAD" w:rsidRPr="00C0477E">
        <w:rPr>
          <w:rFonts w:cstheme="minorHAnsi"/>
        </w:rPr>
        <w:t>ed</w:t>
      </w:r>
      <w:r w:rsidR="207F27EF" w:rsidRPr="00C0477E">
        <w:rPr>
          <w:rFonts w:cstheme="minorHAnsi"/>
        </w:rPr>
        <w:t xml:space="preserve"> </w:t>
      </w:r>
      <w:r w:rsidR="00884C89" w:rsidRPr="00C0477E">
        <w:rPr>
          <w:rFonts w:cstheme="minorHAnsi"/>
        </w:rPr>
        <w:t>its engagement</w:t>
      </w:r>
      <w:r w:rsidR="0078142B" w:rsidRPr="00C0477E">
        <w:rPr>
          <w:rFonts w:cstheme="minorHAnsi"/>
        </w:rPr>
        <w:t xml:space="preserve"> </w:t>
      </w:r>
      <w:r w:rsidR="001E691D">
        <w:rPr>
          <w:rFonts w:cstheme="minorHAnsi"/>
        </w:rPr>
        <w:t>with</w:t>
      </w:r>
      <w:r w:rsidR="001E691D" w:rsidRPr="00C0477E">
        <w:rPr>
          <w:rFonts w:cstheme="minorHAnsi"/>
        </w:rPr>
        <w:t xml:space="preserve"> </w:t>
      </w:r>
      <w:r w:rsidR="207F27EF" w:rsidRPr="00C0477E">
        <w:rPr>
          <w:rFonts w:cstheme="minorHAnsi"/>
        </w:rPr>
        <w:t>the</w:t>
      </w:r>
      <w:r w:rsidR="0078142B" w:rsidRPr="00C0477E">
        <w:rPr>
          <w:rFonts w:cstheme="minorHAnsi"/>
        </w:rPr>
        <w:t xml:space="preserve"> </w:t>
      </w:r>
      <w:r w:rsidR="001E691D">
        <w:rPr>
          <w:rFonts w:cstheme="minorHAnsi"/>
        </w:rPr>
        <w:t>Convention on Biological Diversity (</w:t>
      </w:r>
      <w:r w:rsidR="207F27EF" w:rsidRPr="00C0477E">
        <w:rPr>
          <w:rFonts w:cstheme="minorHAnsi"/>
        </w:rPr>
        <w:t>CBD</w:t>
      </w:r>
      <w:r w:rsidR="001E691D">
        <w:rPr>
          <w:rFonts w:cstheme="minorHAnsi"/>
        </w:rPr>
        <w:t>)</w:t>
      </w:r>
      <w:r w:rsidR="005C1906" w:rsidRPr="00C0477E">
        <w:rPr>
          <w:rFonts w:cstheme="minorHAnsi"/>
        </w:rPr>
        <w:t>.</w:t>
      </w:r>
      <w:r w:rsidR="00A47DFB" w:rsidRPr="00C0477E">
        <w:rPr>
          <w:rFonts w:cstheme="minorHAnsi"/>
        </w:rPr>
        <w:t xml:space="preserve"> </w:t>
      </w:r>
      <w:r w:rsidR="00186C88" w:rsidRPr="00C0477E">
        <w:rPr>
          <w:rFonts w:cstheme="minorHAnsi"/>
        </w:rPr>
        <w:t xml:space="preserve">In </w:t>
      </w:r>
      <w:r w:rsidR="001E691D" w:rsidRPr="00C0477E">
        <w:rPr>
          <w:rFonts w:cstheme="minorHAnsi"/>
        </w:rPr>
        <w:t xml:space="preserve">November </w:t>
      </w:r>
      <w:r w:rsidR="00186C88" w:rsidRPr="00C0477E">
        <w:rPr>
          <w:rFonts w:cstheme="minorHAnsi"/>
        </w:rPr>
        <w:t>2018, the Secretariat participated actively in CBD COP14, in Sharm El Sheikh, Egypt, raising the visibility of the Convention</w:t>
      </w:r>
      <w:r w:rsidR="00B05AA9">
        <w:rPr>
          <w:rFonts w:cstheme="minorHAnsi"/>
        </w:rPr>
        <w:t xml:space="preserve"> on Wetlands </w:t>
      </w:r>
      <w:r w:rsidR="00186C88" w:rsidRPr="00C0477E">
        <w:rPr>
          <w:rFonts w:cstheme="minorHAnsi"/>
        </w:rPr>
        <w:t xml:space="preserve">in the High-Level Segment of the African Ministerial Summit on Biodiversity and in roundtables on </w:t>
      </w:r>
      <w:r w:rsidR="001E691D" w:rsidRPr="00C0477E">
        <w:rPr>
          <w:rFonts w:cstheme="minorHAnsi"/>
        </w:rPr>
        <w:t>infrastructure and on energy and mining</w:t>
      </w:r>
      <w:r w:rsidR="00186C88" w:rsidRPr="00C0477E">
        <w:rPr>
          <w:rFonts w:cstheme="minorHAnsi"/>
        </w:rPr>
        <w:t>. The Secretary General participated as a panellist in the session of the Post-2020 Global Biodiversity Framework and Vision to 2050, and delivered a statement on behalf of the eight biodiversity-related Conventions.</w:t>
      </w:r>
    </w:p>
    <w:p w14:paraId="3FD0AE91" w14:textId="77777777" w:rsidR="00563B03" w:rsidRPr="00C0477E" w:rsidRDefault="00563B03" w:rsidP="00FA12DB">
      <w:pPr>
        <w:ind w:left="426"/>
        <w:rPr>
          <w:rFonts w:cstheme="minorHAnsi"/>
        </w:rPr>
      </w:pPr>
    </w:p>
    <w:p w14:paraId="43C5C5CB" w14:textId="7EF634A8" w:rsidR="00563B03" w:rsidRPr="00C0477E" w:rsidRDefault="003D35F2" w:rsidP="00FA12DB">
      <w:pPr>
        <w:ind w:left="426" w:hanging="360"/>
        <w:rPr>
          <w:rFonts w:cstheme="minorHAnsi"/>
        </w:rPr>
      </w:pPr>
      <w:r>
        <w:rPr>
          <w:rFonts w:cstheme="minorHAnsi"/>
        </w:rPr>
        <w:t>30</w:t>
      </w:r>
      <w:r w:rsidR="003F1A30" w:rsidRPr="00C0477E">
        <w:rPr>
          <w:rFonts w:cstheme="minorHAnsi"/>
        </w:rPr>
        <w:t>.</w:t>
      </w:r>
      <w:r w:rsidR="003F1A30" w:rsidRPr="00C0477E">
        <w:rPr>
          <w:rFonts w:cstheme="minorHAnsi"/>
        </w:rPr>
        <w:tab/>
      </w:r>
      <w:r w:rsidR="00563B03" w:rsidRPr="00C0477E">
        <w:rPr>
          <w:rFonts w:cstheme="minorHAnsi"/>
        </w:rPr>
        <w:t xml:space="preserve">The Secretariat has consistently participated in the thematic consultations for the </w:t>
      </w:r>
      <w:r w:rsidR="001E691D" w:rsidRPr="00C0477E">
        <w:rPr>
          <w:rFonts w:cstheme="minorHAnsi"/>
        </w:rPr>
        <w:t>Post-2020 Global Biodiversity Framework</w:t>
      </w:r>
      <w:r w:rsidR="00563B03" w:rsidRPr="00C0477E">
        <w:rPr>
          <w:rFonts w:cstheme="minorHAnsi"/>
        </w:rPr>
        <w:t>. Main highlights include:</w:t>
      </w:r>
    </w:p>
    <w:p w14:paraId="1541E3C7" w14:textId="77777777" w:rsidR="00AC7401" w:rsidRPr="00C0477E" w:rsidRDefault="00AC7401" w:rsidP="005948F3">
      <w:pPr>
        <w:ind w:left="0" w:firstLine="0"/>
        <w:rPr>
          <w:rFonts w:cstheme="minorHAnsi"/>
        </w:rPr>
      </w:pPr>
    </w:p>
    <w:p w14:paraId="1BCBF368" w14:textId="76A959EE" w:rsidR="00665B64" w:rsidRPr="00A4766F" w:rsidRDefault="00A4766F" w:rsidP="00A4766F">
      <w:pPr>
        <w:ind w:left="851"/>
        <w:rPr>
          <w:rFonts w:cstheme="minorHAnsi"/>
        </w:rPr>
      </w:pPr>
      <w:r>
        <w:rPr>
          <w:rFonts w:cstheme="minorHAnsi"/>
        </w:rPr>
        <w:t>i.</w:t>
      </w:r>
      <w:r>
        <w:rPr>
          <w:rFonts w:cstheme="minorHAnsi"/>
        </w:rPr>
        <w:tab/>
      </w:r>
      <w:r w:rsidR="00AC7401" w:rsidRPr="00A4766F">
        <w:rPr>
          <w:rFonts w:cstheme="minorHAnsi"/>
        </w:rPr>
        <w:t xml:space="preserve">The Secretariat and six Standing Committee representatives participated in the consultation workshop of biodiversity-related Conventions in Bern, Switzerland, </w:t>
      </w:r>
      <w:r w:rsidR="005C57C8" w:rsidRPr="00A4766F">
        <w:rPr>
          <w:rFonts w:cstheme="minorHAnsi"/>
        </w:rPr>
        <w:t>in</w:t>
      </w:r>
      <w:r w:rsidR="00AC7401" w:rsidRPr="00A4766F">
        <w:rPr>
          <w:rFonts w:cstheme="minorHAnsi"/>
        </w:rPr>
        <w:t xml:space="preserve"> June 2019</w:t>
      </w:r>
      <w:r w:rsidR="00665B64" w:rsidRPr="00A4766F">
        <w:rPr>
          <w:rFonts w:cstheme="minorHAnsi"/>
        </w:rPr>
        <w:t xml:space="preserve"> and in the second MEAs consultation workshop in 2020 and 2021</w:t>
      </w:r>
      <w:r w:rsidR="00510A44" w:rsidRPr="00A4766F">
        <w:rPr>
          <w:rFonts w:cstheme="minorHAnsi"/>
        </w:rPr>
        <w:t>.</w:t>
      </w:r>
      <w:r w:rsidR="00AC7401" w:rsidRPr="00A4766F">
        <w:rPr>
          <w:rFonts w:cstheme="minorHAnsi"/>
        </w:rPr>
        <w:t xml:space="preserve"> At th</w:t>
      </w:r>
      <w:r w:rsidR="009C27DB" w:rsidRPr="00A4766F">
        <w:rPr>
          <w:rFonts w:cstheme="minorHAnsi"/>
        </w:rPr>
        <w:t>e first</w:t>
      </w:r>
      <w:r w:rsidR="00E4253B" w:rsidRPr="00A4766F">
        <w:rPr>
          <w:rFonts w:cstheme="minorHAnsi"/>
        </w:rPr>
        <w:t xml:space="preserve"> </w:t>
      </w:r>
      <w:r w:rsidR="00AC7401" w:rsidRPr="00A4766F">
        <w:rPr>
          <w:rFonts w:cstheme="minorHAnsi"/>
        </w:rPr>
        <w:t>meeting, the Secretary General delivered a statement on behalf of the eight biodiversity-related Conventions. The Secretariat also participated in the thematic consultations for the post-2020 framework on marine and coastal biodiversity, capacity building and unlocking financial resources for nature-based solutions</w:t>
      </w:r>
      <w:r w:rsidR="00580079">
        <w:rPr>
          <w:rFonts w:cstheme="minorHAnsi"/>
        </w:rPr>
        <w:t>.</w:t>
      </w:r>
    </w:p>
    <w:p w14:paraId="7A459367" w14:textId="77777777" w:rsidR="005948F3" w:rsidRPr="005948F3" w:rsidRDefault="005948F3" w:rsidP="005948F3">
      <w:pPr>
        <w:rPr>
          <w:rFonts w:cstheme="minorHAnsi"/>
        </w:rPr>
      </w:pPr>
    </w:p>
    <w:p w14:paraId="5A34C037" w14:textId="1D244901" w:rsidR="00AC7401" w:rsidRPr="00C0477E" w:rsidRDefault="00AC7401" w:rsidP="00FA12DB">
      <w:pPr>
        <w:ind w:left="851"/>
        <w:rPr>
          <w:rFonts w:cstheme="minorHAnsi"/>
        </w:rPr>
      </w:pPr>
      <w:r w:rsidRPr="00C0477E">
        <w:rPr>
          <w:rFonts w:cstheme="minorHAnsi"/>
        </w:rPr>
        <w:t>ii.</w:t>
      </w:r>
      <w:r w:rsidRPr="00C0477E">
        <w:rPr>
          <w:rFonts w:cstheme="minorHAnsi"/>
        </w:rPr>
        <w:tab/>
        <w:t xml:space="preserve">The Secretariat participated in a post-2020 expert group on communications </w:t>
      </w:r>
      <w:r w:rsidR="005C57C8">
        <w:rPr>
          <w:rFonts w:cstheme="minorHAnsi"/>
        </w:rPr>
        <w:t>in</w:t>
      </w:r>
      <w:r w:rsidRPr="00C0477E">
        <w:rPr>
          <w:rFonts w:cstheme="minorHAnsi"/>
        </w:rPr>
        <w:t xml:space="preserve"> November </w:t>
      </w:r>
      <w:r w:rsidR="006C6DC5" w:rsidRPr="00C0477E">
        <w:rPr>
          <w:rFonts w:cstheme="minorHAnsi"/>
        </w:rPr>
        <w:t xml:space="preserve">2019 </w:t>
      </w:r>
      <w:r w:rsidRPr="00C0477E">
        <w:rPr>
          <w:rFonts w:cstheme="minorHAnsi"/>
        </w:rPr>
        <w:t xml:space="preserve">to develop a communications strategy for the lead-up to CBD COP15 and in support of the implementation of the </w:t>
      </w:r>
      <w:r w:rsidR="005C57C8" w:rsidRPr="00C0477E">
        <w:rPr>
          <w:rFonts w:cstheme="minorHAnsi"/>
        </w:rPr>
        <w:t>Post-2020 Framework</w:t>
      </w:r>
      <w:r w:rsidRPr="00C0477E">
        <w:rPr>
          <w:rFonts w:cstheme="minorHAnsi"/>
        </w:rPr>
        <w:t xml:space="preserve">. </w:t>
      </w:r>
    </w:p>
    <w:p w14:paraId="34BEEA1A" w14:textId="77777777" w:rsidR="00AC7401" w:rsidRPr="00C0477E" w:rsidRDefault="00AC7401" w:rsidP="005948F3">
      <w:pPr>
        <w:rPr>
          <w:rFonts w:cstheme="minorHAnsi"/>
        </w:rPr>
      </w:pPr>
    </w:p>
    <w:p w14:paraId="1B27C568" w14:textId="4D4AB7AB" w:rsidR="00AC7401" w:rsidRDefault="00AC7401" w:rsidP="00FA12DB">
      <w:pPr>
        <w:ind w:left="851"/>
        <w:rPr>
          <w:rFonts w:cstheme="minorHAnsi"/>
        </w:rPr>
      </w:pPr>
      <w:r w:rsidRPr="00C0477E">
        <w:rPr>
          <w:rFonts w:cstheme="minorHAnsi"/>
        </w:rPr>
        <w:t>iii.</w:t>
      </w:r>
      <w:r w:rsidRPr="00C0477E">
        <w:rPr>
          <w:rFonts w:cstheme="minorHAnsi"/>
        </w:rPr>
        <w:tab/>
      </w:r>
      <w:r w:rsidR="005C57C8">
        <w:rPr>
          <w:rFonts w:cstheme="minorHAnsi"/>
        </w:rPr>
        <w:t>T</w:t>
      </w:r>
      <w:r w:rsidRPr="00C0477E">
        <w:rPr>
          <w:rFonts w:cstheme="minorHAnsi"/>
        </w:rPr>
        <w:t xml:space="preserve">he Secretary General participated in the 25th Senior Officials Meeting of the </w:t>
      </w:r>
      <w:r w:rsidR="005C57C8">
        <w:rPr>
          <w:rFonts w:cstheme="minorHAnsi"/>
        </w:rPr>
        <w:t>UN</w:t>
      </w:r>
      <w:r w:rsidRPr="00C0477E">
        <w:rPr>
          <w:rFonts w:cstheme="minorHAnsi"/>
        </w:rPr>
        <w:t xml:space="preserve"> Environment Management Group (EMG) </w:t>
      </w:r>
      <w:r w:rsidR="005C57C8">
        <w:rPr>
          <w:rFonts w:cstheme="minorHAnsi"/>
        </w:rPr>
        <w:t>a</w:t>
      </w:r>
      <w:r w:rsidR="005C57C8" w:rsidRPr="00C0477E">
        <w:rPr>
          <w:rFonts w:cstheme="minorHAnsi"/>
        </w:rPr>
        <w:t xml:space="preserve">t the margins of the SDG Summit in September 2019 in New York, </w:t>
      </w:r>
      <w:r w:rsidR="009C27DB" w:rsidRPr="00C0477E">
        <w:rPr>
          <w:rFonts w:cstheme="minorHAnsi"/>
        </w:rPr>
        <w:t>and in the 27th Senior Officials Meeting in</w:t>
      </w:r>
      <w:r w:rsidR="00E4253B">
        <w:rPr>
          <w:rFonts w:cstheme="minorHAnsi"/>
        </w:rPr>
        <w:t xml:space="preserve"> </w:t>
      </w:r>
      <w:r w:rsidR="009C27DB" w:rsidRPr="00C0477E">
        <w:rPr>
          <w:rFonts w:cstheme="minorHAnsi"/>
        </w:rPr>
        <w:t xml:space="preserve">October 2021 </w:t>
      </w:r>
      <w:r w:rsidRPr="00C0477E">
        <w:rPr>
          <w:rFonts w:cstheme="minorHAnsi"/>
        </w:rPr>
        <w:t xml:space="preserve">which focused on the </w:t>
      </w:r>
      <w:r w:rsidR="005C57C8" w:rsidRPr="00C0477E">
        <w:rPr>
          <w:rFonts w:cstheme="minorHAnsi"/>
        </w:rPr>
        <w:t>Post-2020 Global Biodiversity Framework</w:t>
      </w:r>
      <w:r w:rsidR="009C27DB" w:rsidRPr="00C0477E">
        <w:rPr>
          <w:rFonts w:cstheme="minorHAnsi"/>
        </w:rPr>
        <w:t xml:space="preserve">, the UN Common Approach to Biodiversity and the UN Decade on Ecosystem Restoration. </w:t>
      </w:r>
      <w:r w:rsidRPr="00C0477E">
        <w:rPr>
          <w:rFonts w:cstheme="minorHAnsi"/>
        </w:rPr>
        <w:t>The Secretary General highlighted the importance of wetlands and the critical contributions of the Convention to the framework.</w:t>
      </w:r>
    </w:p>
    <w:p w14:paraId="5FCCF814" w14:textId="77777777" w:rsidR="005948F3" w:rsidRPr="00C0477E" w:rsidRDefault="005948F3" w:rsidP="005948F3">
      <w:pPr>
        <w:rPr>
          <w:rFonts w:cstheme="minorHAnsi"/>
        </w:rPr>
      </w:pPr>
    </w:p>
    <w:p w14:paraId="5D85452D" w14:textId="1AF78841" w:rsidR="00316581" w:rsidRPr="00C0477E" w:rsidRDefault="003C390B" w:rsidP="00FA12DB">
      <w:pPr>
        <w:ind w:left="851"/>
        <w:rPr>
          <w:rFonts w:cstheme="minorHAnsi"/>
        </w:rPr>
      </w:pPr>
      <w:r w:rsidRPr="00C0477E">
        <w:rPr>
          <w:rFonts w:cstheme="minorHAnsi"/>
        </w:rPr>
        <w:t xml:space="preserve">iv. </w:t>
      </w:r>
      <w:r w:rsidR="00316581" w:rsidRPr="00C0477E">
        <w:rPr>
          <w:rFonts w:cstheme="minorHAnsi"/>
        </w:rPr>
        <w:tab/>
        <w:t>The Secretary General delivered a video statement at th</w:t>
      </w:r>
      <w:r w:rsidR="00047DA8">
        <w:rPr>
          <w:rFonts w:cstheme="minorHAnsi"/>
        </w:rPr>
        <w:t>e High-Level Segment of CBD COP</w:t>
      </w:r>
      <w:r w:rsidR="00316581" w:rsidRPr="00C0477E">
        <w:rPr>
          <w:rFonts w:cstheme="minorHAnsi"/>
        </w:rPr>
        <w:t xml:space="preserve">15 (Part 1) </w:t>
      </w:r>
      <w:r w:rsidR="005C57C8">
        <w:rPr>
          <w:rFonts w:cstheme="minorHAnsi"/>
        </w:rPr>
        <w:t>in</w:t>
      </w:r>
      <w:r w:rsidR="00316581" w:rsidRPr="00C0477E">
        <w:rPr>
          <w:rFonts w:cstheme="minorHAnsi"/>
        </w:rPr>
        <w:t xml:space="preserve"> October 2021</w:t>
      </w:r>
      <w:r w:rsidR="005C57C8">
        <w:rPr>
          <w:rFonts w:cstheme="minorHAnsi"/>
        </w:rPr>
        <w:t>, and a</w:t>
      </w:r>
      <w:r w:rsidR="00316581" w:rsidRPr="00C0477E">
        <w:rPr>
          <w:rFonts w:cstheme="minorHAnsi"/>
        </w:rPr>
        <w:t xml:space="preserve"> joint statement of the Biodiversity Liaison Group (BLG) at the Panel “Promoting synergistic action for biodiver</w:t>
      </w:r>
      <w:r w:rsidR="00047DA8">
        <w:rPr>
          <w:rFonts w:cstheme="minorHAnsi"/>
        </w:rPr>
        <w:t>sity, climate, land and oceans”</w:t>
      </w:r>
      <w:r w:rsidR="00316581" w:rsidRPr="00C0477E">
        <w:rPr>
          <w:rFonts w:cstheme="minorHAnsi"/>
        </w:rPr>
        <w:t>.</w:t>
      </w:r>
    </w:p>
    <w:p w14:paraId="5CBBBF97" w14:textId="77777777" w:rsidR="00A27A04" w:rsidRPr="00C0477E" w:rsidRDefault="00A27A04" w:rsidP="005948F3">
      <w:pPr>
        <w:rPr>
          <w:rFonts w:cstheme="minorHAnsi"/>
        </w:rPr>
      </w:pPr>
    </w:p>
    <w:p w14:paraId="29B1E171" w14:textId="6350C9B3" w:rsidR="00C23989" w:rsidRPr="00C0477E" w:rsidRDefault="00347050" w:rsidP="00FA12DB">
      <w:pPr>
        <w:ind w:left="851"/>
        <w:rPr>
          <w:rFonts w:cstheme="minorHAnsi"/>
        </w:rPr>
      </w:pPr>
      <w:r w:rsidRPr="00C0477E">
        <w:rPr>
          <w:rFonts w:cstheme="minorHAnsi"/>
        </w:rPr>
        <w:t>v</w:t>
      </w:r>
      <w:r w:rsidR="00A27A04" w:rsidRPr="00C0477E">
        <w:rPr>
          <w:rFonts w:cstheme="minorHAnsi"/>
        </w:rPr>
        <w:t>.</w:t>
      </w:r>
      <w:r w:rsidR="00C23989" w:rsidRPr="00C0477E">
        <w:rPr>
          <w:rFonts w:cstheme="minorHAnsi"/>
        </w:rPr>
        <w:tab/>
        <w:t xml:space="preserve">The Secretary General participated in the Executive Briefing on </w:t>
      </w:r>
      <w:r w:rsidR="00FC5353" w:rsidRPr="00C0477E">
        <w:rPr>
          <w:rFonts w:cstheme="minorHAnsi"/>
        </w:rPr>
        <w:t xml:space="preserve">CBD COP15 organized by the Geneva Environment Network </w:t>
      </w:r>
      <w:r w:rsidR="00FC5353">
        <w:rPr>
          <w:rFonts w:cstheme="minorHAnsi"/>
        </w:rPr>
        <w:t>in</w:t>
      </w:r>
      <w:r w:rsidR="00C23989" w:rsidRPr="00C0477E">
        <w:rPr>
          <w:rFonts w:cstheme="minorHAnsi"/>
        </w:rPr>
        <w:t xml:space="preserve"> November 2021 to highlight the outcomes of Part 1 and the next steps for Part 2.</w:t>
      </w:r>
    </w:p>
    <w:p w14:paraId="282280DF" w14:textId="77777777" w:rsidR="00023D93" w:rsidRPr="00C0477E" w:rsidRDefault="00023D93" w:rsidP="005948F3">
      <w:pPr>
        <w:rPr>
          <w:rFonts w:cstheme="minorHAnsi"/>
        </w:rPr>
      </w:pPr>
    </w:p>
    <w:p w14:paraId="4EB6B62A" w14:textId="3E52F8BE" w:rsidR="007B0092" w:rsidRPr="00C0477E" w:rsidRDefault="00023D93" w:rsidP="00FA12DB">
      <w:pPr>
        <w:ind w:left="851"/>
        <w:rPr>
          <w:rFonts w:cstheme="minorHAnsi"/>
        </w:rPr>
      </w:pPr>
      <w:r w:rsidRPr="00C0477E">
        <w:rPr>
          <w:rFonts w:cstheme="minorHAnsi"/>
        </w:rPr>
        <w:t xml:space="preserve">vi. </w:t>
      </w:r>
      <w:r w:rsidRPr="00C0477E">
        <w:rPr>
          <w:rFonts w:cstheme="minorHAnsi"/>
        </w:rPr>
        <w:tab/>
      </w:r>
      <w:r w:rsidR="00167F5F" w:rsidRPr="00C0477E">
        <w:rPr>
          <w:rFonts w:cstheme="minorHAnsi"/>
        </w:rPr>
        <w:t xml:space="preserve">The Secretariat </w:t>
      </w:r>
      <w:r w:rsidR="00853CF2" w:rsidRPr="00C0477E">
        <w:rPr>
          <w:rFonts w:cstheme="minorHAnsi"/>
        </w:rPr>
        <w:t>provided inputs</w:t>
      </w:r>
      <w:r w:rsidR="00FC5353">
        <w:rPr>
          <w:rFonts w:cstheme="minorHAnsi"/>
        </w:rPr>
        <w:t xml:space="preserve"> to</w:t>
      </w:r>
      <w:r w:rsidR="00853CF2" w:rsidRPr="00C0477E">
        <w:rPr>
          <w:rFonts w:cstheme="minorHAnsi"/>
        </w:rPr>
        <w:t xml:space="preserve"> and participate</w:t>
      </w:r>
      <w:r w:rsidR="00FC5353">
        <w:rPr>
          <w:rFonts w:cstheme="minorHAnsi"/>
        </w:rPr>
        <w:t>d</w:t>
      </w:r>
      <w:r w:rsidR="00853CF2" w:rsidRPr="00C0477E">
        <w:rPr>
          <w:rFonts w:cstheme="minorHAnsi"/>
        </w:rPr>
        <w:t xml:space="preserve"> in the four meetings of the </w:t>
      </w:r>
      <w:r w:rsidR="00FC5353" w:rsidRPr="00C0477E">
        <w:rPr>
          <w:rFonts w:cstheme="minorHAnsi"/>
        </w:rPr>
        <w:t>Open</w:t>
      </w:r>
      <w:r w:rsidR="00FC5353">
        <w:rPr>
          <w:rFonts w:cstheme="minorHAnsi"/>
        </w:rPr>
        <w:t>-</w:t>
      </w:r>
      <w:r w:rsidR="00853CF2" w:rsidRPr="00C0477E">
        <w:rPr>
          <w:rFonts w:cstheme="minorHAnsi"/>
        </w:rPr>
        <w:t>ended Working Group</w:t>
      </w:r>
      <w:r w:rsidR="00E4253B">
        <w:rPr>
          <w:rFonts w:cstheme="minorHAnsi"/>
        </w:rPr>
        <w:t xml:space="preserve"> </w:t>
      </w:r>
      <w:r w:rsidR="00167F5F" w:rsidRPr="00C0477E">
        <w:rPr>
          <w:rFonts w:cstheme="minorHAnsi"/>
        </w:rPr>
        <w:t>on the Post-2020 Global Biodiversity Framework</w:t>
      </w:r>
      <w:r w:rsidR="00893582" w:rsidRPr="00C0477E">
        <w:rPr>
          <w:rFonts w:cstheme="minorHAnsi"/>
        </w:rPr>
        <w:t xml:space="preserve"> and the Third meeting of the Subsidiary Body on Implementation</w:t>
      </w:r>
      <w:r w:rsidR="00971B72" w:rsidRPr="00C0477E">
        <w:rPr>
          <w:rFonts w:cstheme="minorHAnsi"/>
        </w:rPr>
        <w:t xml:space="preserve"> </w:t>
      </w:r>
      <w:r w:rsidR="00FC5353">
        <w:rPr>
          <w:rFonts w:cstheme="minorHAnsi"/>
        </w:rPr>
        <w:t xml:space="preserve">(SBI) </w:t>
      </w:r>
      <w:r w:rsidR="00971B72" w:rsidRPr="00C0477E">
        <w:rPr>
          <w:rFonts w:cstheme="minorHAnsi"/>
        </w:rPr>
        <w:t>in March 2022.</w:t>
      </w:r>
      <w:r w:rsidR="00FE4133" w:rsidRPr="00C0477E">
        <w:rPr>
          <w:rFonts w:cstheme="minorHAnsi"/>
        </w:rPr>
        <w:t xml:space="preserve"> </w:t>
      </w:r>
    </w:p>
    <w:p w14:paraId="52774A37" w14:textId="77777777" w:rsidR="007B0092" w:rsidRPr="00C0477E" w:rsidRDefault="007B0092" w:rsidP="005948F3">
      <w:pPr>
        <w:ind w:left="0" w:firstLine="0"/>
        <w:rPr>
          <w:rFonts w:cstheme="minorHAnsi"/>
        </w:rPr>
      </w:pPr>
    </w:p>
    <w:p w14:paraId="4566FB78" w14:textId="3C03AC88" w:rsidR="009B0849" w:rsidRPr="00C0477E" w:rsidRDefault="003D35F2" w:rsidP="00FA12DB">
      <w:pPr>
        <w:ind w:left="426"/>
        <w:rPr>
          <w:rFonts w:cstheme="minorHAnsi"/>
          <w:bCs/>
          <w:lang w:val="en-US"/>
        </w:rPr>
      </w:pPr>
      <w:r>
        <w:rPr>
          <w:rFonts w:cstheme="minorHAnsi"/>
        </w:rPr>
        <w:t>31</w:t>
      </w:r>
      <w:r w:rsidR="007F61F4" w:rsidRPr="00C0477E">
        <w:rPr>
          <w:rFonts w:cstheme="minorHAnsi"/>
        </w:rPr>
        <w:t>.</w:t>
      </w:r>
      <w:r w:rsidR="007F61F4" w:rsidRPr="00C0477E">
        <w:rPr>
          <w:rFonts w:cstheme="minorHAnsi"/>
        </w:rPr>
        <w:tab/>
      </w:r>
      <w:r w:rsidR="6A1F65DE" w:rsidRPr="00C0477E">
        <w:rPr>
          <w:rFonts w:cstheme="minorHAnsi"/>
        </w:rPr>
        <w:t xml:space="preserve">The Secretariat </w:t>
      </w:r>
      <w:r w:rsidR="00960836" w:rsidRPr="00C0477E">
        <w:rPr>
          <w:rFonts w:cstheme="minorHAnsi"/>
        </w:rPr>
        <w:t>has continued</w:t>
      </w:r>
      <w:r w:rsidR="6A1F65DE" w:rsidRPr="00C0477E">
        <w:rPr>
          <w:rFonts w:cstheme="minorHAnsi"/>
        </w:rPr>
        <w:t xml:space="preserve"> to participate actively in the BLG, in particu</w:t>
      </w:r>
      <w:r w:rsidR="00077D72" w:rsidRPr="00C0477E">
        <w:rPr>
          <w:rFonts w:cstheme="minorHAnsi"/>
        </w:rPr>
        <w:t>lar through the S</w:t>
      </w:r>
      <w:r w:rsidR="009D32B0" w:rsidRPr="00C0477E">
        <w:rPr>
          <w:rFonts w:cstheme="minorHAnsi"/>
        </w:rPr>
        <w:t xml:space="preserve">ecretary </w:t>
      </w:r>
      <w:r w:rsidR="00077D72" w:rsidRPr="00C0477E">
        <w:rPr>
          <w:rFonts w:cstheme="minorHAnsi"/>
        </w:rPr>
        <w:t>G</w:t>
      </w:r>
      <w:r w:rsidR="009D32B0" w:rsidRPr="00C0477E">
        <w:rPr>
          <w:rFonts w:cstheme="minorHAnsi"/>
        </w:rPr>
        <w:t>eneral</w:t>
      </w:r>
      <w:r w:rsidR="00F04B42" w:rsidRPr="00C0477E">
        <w:rPr>
          <w:rFonts w:cstheme="minorHAnsi"/>
        </w:rPr>
        <w:t>’</w:t>
      </w:r>
      <w:r w:rsidR="6A1F65DE" w:rsidRPr="00C0477E">
        <w:rPr>
          <w:rFonts w:cstheme="minorHAnsi"/>
        </w:rPr>
        <w:t xml:space="preserve">s attendance </w:t>
      </w:r>
      <w:r w:rsidR="00880264" w:rsidRPr="00C0477E">
        <w:rPr>
          <w:rFonts w:cstheme="minorHAnsi"/>
        </w:rPr>
        <w:t>at</w:t>
      </w:r>
      <w:r w:rsidR="6A1F65DE" w:rsidRPr="00C0477E">
        <w:rPr>
          <w:rFonts w:cstheme="minorHAnsi"/>
        </w:rPr>
        <w:t xml:space="preserve"> </w:t>
      </w:r>
      <w:r w:rsidR="00047DA8">
        <w:rPr>
          <w:rFonts w:cstheme="minorHAnsi"/>
        </w:rPr>
        <w:t>its</w:t>
      </w:r>
      <w:r w:rsidR="6A1F65DE" w:rsidRPr="00C0477E">
        <w:rPr>
          <w:rFonts w:cstheme="minorHAnsi"/>
        </w:rPr>
        <w:t xml:space="preserve"> </w:t>
      </w:r>
      <w:r w:rsidR="6A1F65DE" w:rsidRPr="0087248A">
        <w:rPr>
          <w:rFonts w:cstheme="minorHAnsi"/>
        </w:rPr>
        <w:t>1</w:t>
      </w:r>
      <w:r w:rsidR="00760D25" w:rsidRPr="0087248A">
        <w:rPr>
          <w:rFonts w:cstheme="minorHAnsi"/>
        </w:rPr>
        <w:t>3</w:t>
      </w:r>
      <w:r w:rsidR="6A1F65DE" w:rsidRPr="0087248A">
        <w:rPr>
          <w:rFonts w:cstheme="minorHAnsi"/>
        </w:rPr>
        <w:t>th</w:t>
      </w:r>
      <w:r w:rsidR="001237B9" w:rsidRPr="00C0477E">
        <w:rPr>
          <w:rFonts w:cstheme="minorHAnsi"/>
        </w:rPr>
        <w:t xml:space="preserve"> and 14th</w:t>
      </w:r>
      <w:r w:rsidR="6A1F65DE" w:rsidRPr="00C0477E">
        <w:rPr>
          <w:rFonts w:cstheme="minorHAnsi"/>
        </w:rPr>
        <w:t xml:space="preserve"> Ordinary Meeting</w:t>
      </w:r>
      <w:r w:rsidR="001237B9" w:rsidRPr="00C0477E">
        <w:rPr>
          <w:rFonts w:cstheme="minorHAnsi"/>
        </w:rPr>
        <w:t>s</w:t>
      </w:r>
      <w:r w:rsidR="6A1F65DE" w:rsidRPr="00C0477E">
        <w:rPr>
          <w:rFonts w:cstheme="minorHAnsi"/>
        </w:rPr>
        <w:t xml:space="preserve"> (</w:t>
      </w:r>
      <w:r w:rsidR="0087248A">
        <w:rPr>
          <w:rFonts w:cstheme="minorHAnsi"/>
        </w:rPr>
        <w:t xml:space="preserve">in </w:t>
      </w:r>
      <w:r w:rsidR="6A1F65DE" w:rsidRPr="00C0477E">
        <w:rPr>
          <w:rFonts w:cstheme="minorHAnsi"/>
        </w:rPr>
        <w:t>September 201</w:t>
      </w:r>
      <w:r w:rsidR="00760D25" w:rsidRPr="00C0477E">
        <w:rPr>
          <w:rFonts w:cstheme="minorHAnsi"/>
        </w:rPr>
        <w:t>8</w:t>
      </w:r>
      <w:r w:rsidR="001237B9" w:rsidRPr="00C0477E">
        <w:rPr>
          <w:rFonts w:cstheme="minorHAnsi"/>
        </w:rPr>
        <w:t xml:space="preserve"> and September 2019 respectively</w:t>
      </w:r>
      <w:r w:rsidR="6A1F65DE" w:rsidRPr="00C0477E">
        <w:rPr>
          <w:rFonts w:cstheme="minorHAnsi"/>
        </w:rPr>
        <w:t>), in which a major focus was how to increase the visibilit</w:t>
      </w:r>
      <w:r w:rsidR="009D32B0" w:rsidRPr="00C0477E">
        <w:rPr>
          <w:rFonts w:cstheme="minorHAnsi"/>
        </w:rPr>
        <w:t>y and relevance of biodiversity</w:t>
      </w:r>
      <w:r w:rsidR="00960836" w:rsidRPr="00C0477E">
        <w:rPr>
          <w:rFonts w:cstheme="minorHAnsi"/>
        </w:rPr>
        <w:t xml:space="preserve">. </w:t>
      </w:r>
      <w:r w:rsidR="00BB48D1" w:rsidRPr="00C0477E">
        <w:rPr>
          <w:rFonts w:cstheme="minorHAnsi"/>
          <w:lang w:val="en-US"/>
        </w:rPr>
        <w:t xml:space="preserve">The Secretary General </w:t>
      </w:r>
      <w:r w:rsidR="00114773" w:rsidRPr="00C0477E">
        <w:rPr>
          <w:rFonts w:cstheme="minorHAnsi"/>
          <w:lang w:val="en-US"/>
        </w:rPr>
        <w:t xml:space="preserve">also </w:t>
      </w:r>
      <w:r w:rsidR="00BB48D1" w:rsidRPr="00C0477E">
        <w:rPr>
          <w:rFonts w:cstheme="minorHAnsi"/>
          <w:lang w:val="en-US"/>
        </w:rPr>
        <w:t xml:space="preserve">participated in the virtual meeting of the BLG </w:t>
      </w:r>
      <w:r w:rsidR="0087248A">
        <w:rPr>
          <w:rFonts w:cstheme="minorHAnsi"/>
          <w:lang w:val="en-US"/>
        </w:rPr>
        <w:t>in</w:t>
      </w:r>
      <w:r w:rsidR="00BB48D1" w:rsidRPr="00C0477E">
        <w:rPr>
          <w:rFonts w:cstheme="minorHAnsi"/>
          <w:lang w:val="en-US"/>
        </w:rPr>
        <w:t xml:space="preserve"> October 2021 with a major focus on engagement in the process for the development of the Post-2020 Global Biodiversity Framework, CBD COP15 and the Glasgow Climate Change Conference (UNFCCC COP26)</w:t>
      </w:r>
      <w:r w:rsidR="00BB48D1" w:rsidRPr="00C0477E">
        <w:rPr>
          <w:rFonts w:cstheme="minorHAnsi"/>
          <w:bCs/>
          <w:lang w:val="en-US"/>
        </w:rPr>
        <w:t>.</w:t>
      </w:r>
    </w:p>
    <w:p w14:paraId="1AC9FC1E" w14:textId="77777777" w:rsidR="00E94627" w:rsidRPr="00C0477E" w:rsidRDefault="00E94627" w:rsidP="00FA12DB">
      <w:pPr>
        <w:ind w:left="426"/>
        <w:rPr>
          <w:rFonts w:cstheme="minorHAnsi"/>
        </w:rPr>
      </w:pPr>
    </w:p>
    <w:p w14:paraId="51D9D65A" w14:textId="5FA72EEF" w:rsidR="00E94627" w:rsidRPr="00C0477E" w:rsidRDefault="003D35F2" w:rsidP="00FA12DB">
      <w:pPr>
        <w:ind w:left="426"/>
        <w:rPr>
          <w:rFonts w:cstheme="minorHAnsi"/>
        </w:rPr>
      </w:pPr>
      <w:r>
        <w:rPr>
          <w:rFonts w:cstheme="minorHAnsi"/>
          <w:lang w:val="en-US"/>
        </w:rPr>
        <w:lastRenderedPageBreak/>
        <w:t>32</w:t>
      </w:r>
      <w:r w:rsidR="00E94627" w:rsidRPr="00C0477E">
        <w:rPr>
          <w:rFonts w:cstheme="minorHAnsi"/>
          <w:lang w:val="en-US"/>
        </w:rPr>
        <w:t xml:space="preserve">. </w:t>
      </w:r>
      <w:r w:rsidR="00E94627" w:rsidRPr="00C0477E">
        <w:rPr>
          <w:rFonts w:cstheme="minorHAnsi"/>
          <w:lang w:val="en-US"/>
        </w:rPr>
        <w:tab/>
        <w:t xml:space="preserve">Also related to biodiversity, the Secretariat participated in the 13th meeting of the Conference of the Parties to the Convention on Migratory Species (CMS) </w:t>
      </w:r>
      <w:r w:rsidR="0087248A">
        <w:rPr>
          <w:rFonts w:cstheme="minorHAnsi"/>
          <w:lang w:val="en-US"/>
        </w:rPr>
        <w:t>in</w:t>
      </w:r>
      <w:r w:rsidR="00E94627" w:rsidRPr="00C0477E">
        <w:rPr>
          <w:rFonts w:cstheme="minorHAnsi"/>
          <w:lang w:val="en-US"/>
        </w:rPr>
        <w:t xml:space="preserve"> February 2020, in Gandhinagar, India. At the high-level segment on migratory species conservation in the </w:t>
      </w:r>
      <w:r w:rsidR="007B5B74" w:rsidRPr="00C0477E">
        <w:rPr>
          <w:rFonts w:cstheme="minorHAnsi"/>
          <w:lang w:val="en-US"/>
        </w:rPr>
        <w:t>Post-2020 Global Biodiversity Framework</w:t>
      </w:r>
      <w:r w:rsidR="00E94627" w:rsidRPr="00C0477E">
        <w:rPr>
          <w:rFonts w:cstheme="minorHAnsi"/>
          <w:lang w:val="en-US"/>
        </w:rPr>
        <w:t xml:space="preserve">, the Secretary General emphasized the critical role of wetlands for migratory species and the relevance of the Convention in implementing the </w:t>
      </w:r>
      <w:r w:rsidR="007B5B74" w:rsidRPr="00C0477E">
        <w:rPr>
          <w:rFonts w:cstheme="minorHAnsi"/>
          <w:lang w:val="en-US"/>
        </w:rPr>
        <w:t>Post-2020 Framework</w:t>
      </w:r>
      <w:r w:rsidR="00E94627" w:rsidRPr="00C0477E">
        <w:rPr>
          <w:rFonts w:cstheme="minorHAnsi"/>
          <w:lang w:val="en-US"/>
        </w:rPr>
        <w:t>, as well as the ongoing collaboration between the two Conventions. She also participated in a special meeting convened by the Ministry of the Environment of India regarding progress and best practice in implementing the Convention on Wetlands at the national level. Before COP13,</w:t>
      </w:r>
      <w:r w:rsidR="007B5B74">
        <w:rPr>
          <w:rFonts w:cstheme="minorHAnsi"/>
          <w:lang w:val="en-US"/>
        </w:rPr>
        <w:t xml:space="preserve"> in </w:t>
      </w:r>
      <w:r w:rsidR="007B5B74" w:rsidRPr="00C0477E">
        <w:rPr>
          <w:rFonts w:cstheme="minorHAnsi"/>
          <w:lang w:val="en-US"/>
        </w:rPr>
        <w:t>November 2019, in Bonn, Germany</w:t>
      </w:r>
      <w:r w:rsidR="007B5B74">
        <w:rPr>
          <w:rFonts w:cstheme="minorHAnsi"/>
          <w:lang w:val="en-US"/>
        </w:rPr>
        <w:t>,</w:t>
      </w:r>
      <w:r w:rsidR="00E94627" w:rsidRPr="00C0477E">
        <w:rPr>
          <w:rFonts w:cstheme="minorHAnsi"/>
          <w:lang w:val="en-US"/>
        </w:rPr>
        <w:t xml:space="preserve"> the Secretariat </w:t>
      </w:r>
      <w:r w:rsidR="007B5B74">
        <w:rPr>
          <w:rFonts w:cstheme="minorHAnsi"/>
          <w:lang w:val="en-US"/>
        </w:rPr>
        <w:t xml:space="preserve">also </w:t>
      </w:r>
      <w:r w:rsidR="00E94627" w:rsidRPr="00C0477E">
        <w:rPr>
          <w:rFonts w:cstheme="minorHAnsi"/>
          <w:lang w:val="en-US"/>
        </w:rPr>
        <w:t xml:space="preserve">participated in an event organized by CMS on connectivity and the </w:t>
      </w:r>
      <w:r w:rsidR="007B5B74" w:rsidRPr="00C0477E">
        <w:rPr>
          <w:rFonts w:cstheme="minorHAnsi"/>
          <w:lang w:val="en-US"/>
        </w:rPr>
        <w:t>Post-2020 Global Biodiversity Framework</w:t>
      </w:r>
      <w:r w:rsidR="00E94627" w:rsidRPr="00C0477E">
        <w:rPr>
          <w:rFonts w:cstheme="minorHAnsi"/>
          <w:lang w:val="en-US"/>
        </w:rPr>
        <w:t>.</w:t>
      </w:r>
    </w:p>
    <w:p w14:paraId="2D01112A" w14:textId="77777777" w:rsidR="008A384C" w:rsidRPr="00C0477E" w:rsidRDefault="008A384C" w:rsidP="00FA12DB">
      <w:pPr>
        <w:ind w:left="426"/>
        <w:rPr>
          <w:rFonts w:cstheme="minorHAnsi"/>
        </w:rPr>
      </w:pPr>
    </w:p>
    <w:p w14:paraId="1CFC4343" w14:textId="3A05DFDF" w:rsidR="00BA22A2" w:rsidRPr="00C0477E" w:rsidRDefault="003D35F2" w:rsidP="00FA12DB">
      <w:pPr>
        <w:ind w:left="426"/>
        <w:rPr>
          <w:rFonts w:cstheme="minorHAnsi"/>
        </w:rPr>
      </w:pPr>
      <w:r>
        <w:rPr>
          <w:rFonts w:cstheme="minorHAnsi"/>
        </w:rPr>
        <w:t>33</w:t>
      </w:r>
      <w:r w:rsidR="01146BA0" w:rsidRPr="00C0477E">
        <w:rPr>
          <w:rFonts w:cstheme="minorHAnsi"/>
        </w:rPr>
        <w:t>.</w:t>
      </w:r>
      <w:r w:rsidR="00A81B3A" w:rsidRPr="00C0477E">
        <w:rPr>
          <w:rFonts w:cstheme="minorHAnsi"/>
        </w:rPr>
        <w:tab/>
      </w:r>
      <w:r w:rsidR="01146BA0" w:rsidRPr="00C0477E">
        <w:rPr>
          <w:rFonts w:cstheme="minorHAnsi"/>
        </w:rPr>
        <w:t xml:space="preserve">The Secretariat </w:t>
      </w:r>
      <w:r w:rsidR="005E2146" w:rsidRPr="00C0477E">
        <w:rPr>
          <w:rFonts w:cstheme="minorHAnsi"/>
        </w:rPr>
        <w:t xml:space="preserve">continued its engagement with </w:t>
      </w:r>
      <w:r w:rsidR="007B5B74">
        <w:rPr>
          <w:rFonts w:cstheme="minorHAnsi"/>
        </w:rPr>
        <w:t xml:space="preserve">the </w:t>
      </w:r>
      <w:r w:rsidR="007B5B74" w:rsidRPr="007B5B74">
        <w:rPr>
          <w:rFonts w:cstheme="minorHAnsi"/>
        </w:rPr>
        <w:t>Intergovernmental Science-Policy Platform on Biodiversity and Ecosystem Services (IPBES)</w:t>
      </w:r>
      <w:r w:rsidR="007B5B74" w:rsidRPr="00C0477E">
        <w:rPr>
          <w:rFonts w:cstheme="minorHAnsi"/>
        </w:rPr>
        <w:t xml:space="preserve"> </w:t>
      </w:r>
      <w:r w:rsidR="00383294" w:rsidRPr="00C0477E">
        <w:rPr>
          <w:rFonts w:cstheme="minorHAnsi"/>
        </w:rPr>
        <w:t>during the reporting period.</w:t>
      </w:r>
      <w:r w:rsidR="00BB773D" w:rsidRPr="00C0477E">
        <w:rPr>
          <w:rFonts w:cstheme="minorHAnsi"/>
        </w:rPr>
        <w:t xml:space="preserve"> </w:t>
      </w:r>
      <w:r w:rsidR="00383294" w:rsidRPr="00C0477E">
        <w:rPr>
          <w:rFonts w:cstheme="minorHAnsi"/>
        </w:rPr>
        <w:t xml:space="preserve">The Secretariat </w:t>
      </w:r>
      <w:r w:rsidR="01146BA0" w:rsidRPr="00C0477E">
        <w:rPr>
          <w:rFonts w:cstheme="minorHAnsi"/>
        </w:rPr>
        <w:t>renewed the Memorandum of Cooperation with IPBES in November 2019, extending it for the duration of the IPBES 2030 rolling work programme</w:t>
      </w:r>
      <w:r w:rsidR="007B5B74">
        <w:rPr>
          <w:rFonts w:cstheme="minorHAnsi"/>
        </w:rPr>
        <w:t>,</w:t>
      </w:r>
      <w:r w:rsidR="00BA22A2" w:rsidRPr="00C0477E">
        <w:rPr>
          <w:rFonts w:cstheme="minorHAnsi"/>
        </w:rPr>
        <w:t xml:space="preserve"> and</w:t>
      </w:r>
      <w:r w:rsidR="00E4253B">
        <w:rPr>
          <w:rFonts w:cstheme="minorHAnsi"/>
        </w:rPr>
        <w:t xml:space="preserve"> </w:t>
      </w:r>
      <w:r w:rsidR="00BA22A2" w:rsidRPr="00C0477E">
        <w:rPr>
          <w:rFonts w:cstheme="minorHAnsi"/>
        </w:rPr>
        <w:t>attended the 7th, 8th and 9th Plenary Sessions of IPBES, making joint statements at IPBES-7 and IPBES-9 with the other members of the BLG, and an individual statement at IPBES-8.</w:t>
      </w:r>
    </w:p>
    <w:p w14:paraId="53BE9127" w14:textId="77777777" w:rsidR="002772FF" w:rsidRPr="00C0477E" w:rsidRDefault="002772FF" w:rsidP="005948F3"/>
    <w:p w14:paraId="50D355F1" w14:textId="5A222C4F" w:rsidR="00DF1A68" w:rsidRPr="00C0477E" w:rsidRDefault="003D35F2" w:rsidP="00FA12DB">
      <w:pPr>
        <w:ind w:left="426"/>
        <w:rPr>
          <w:rFonts w:cstheme="minorHAnsi"/>
        </w:rPr>
      </w:pPr>
      <w:r>
        <w:rPr>
          <w:rFonts w:cstheme="minorHAnsi"/>
        </w:rPr>
        <w:t>34</w:t>
      </w:r>
      <w:r w:rsidR="007F61F4" w:rsidRPr="00C0477E">
        <w:rPr>
          <w:rFonts w:cstheme="minorHAnsi"/>
        </w:rPr>
        <w:t>.</w:t>
      </w:r>
      <w:r w:rsidR="007F61F4" w:rsidRPr="00C0477E">
        <w:rPr>
          <w:rFonts w:cstheme="minorHAnsi"/>
        </w:rPr>
        <w:tab/>
      </w:r>
      <w:r w:rsidR="207F27EF" w:rsidRPr="00C0477E">
        <w:rPr>
          <w:rFonts w:cstheme="minorHAnsi"/>
        </w:rPr>
        <w:t xml:space="preserve">Given the critical role played by wetlands in climate change mitigation and adaptation, the Secretariat </w:t>
      </w:r>
      <w:r w:rsidR="00276784" w:rsidRPr="00C0477E">
        <w:rPr>
          <w:rFonts w:cstheme="minorHAnsi"/>
        </w:rPr>
        <w:t xml:space="preserve">has </w:t>
      </w:r>
      <w:r w:rsidR="207F27EF" w:rsidRPr="00C0477E">
        <w:rPr>
          <w:rFonts w:cstheme="minorHAnsi"/>
        </w:rPr>
        <w:t>engage</w:t>
      </w:r>
      <w:r w:rsidR="003910BE" w:rsidRPr="00C0477E">
        <w:rPr>
          <w:rFonts w:cstheme="minorHAnsi"/>
        </w:rPr>
        <w:t>d</w:t>
      </w:r>
      <w:r w:rsidR="207F27EF" w:rsidRPr="00C0477E">
        <w:rPr>
          <w:rFonts w:cstheme="minorHAnsi"/>
        </w:rPr>
        <w:t xml:space="preserve"> in</w:t>
      </w:r>
      <w:r w:rsidR="0078142B" w:rsidRPr="00C0477E">
        <w:rPr>
          <w:rFonts w:cstheme="minorHAnsi"/>
        </w:rPr>
        <w:t xml:space="preserve"> </w:t>
      </w:r>
      <w:r w:rsidR="207F27EF" w:rsidRPr="00C0477E">
        <w:rPr>
          <w:rFonts w:cstheme="minorHAnsi"/>
        </w:rPr>
        <w:t xml:space="preserve">the climate change </w:t>
      </w:r>
      <w:r w:rsidR="009116C0" w:rsidRPr="00C0477E">
        <w:rPr>
          <w:rFonts w:cstheme="minorHAnsi"/>
        </w:rPr>
        <w:t xml:space="preserve">policy </w:t>
      </w:r>
      <w:r w:rsidR="207F27EF" w:rsidRPr="00C0477E">
        <w:rPr>
          <w:rFonts w:cstheme="minorHAnsi"/>
        </w:rPr>
        <w:t xml:space="preserve">agenda. In particular, the Secretariat </w:t>
      </w:r>
      <w:r w:rsidR="009D32B0" w:rsidRPr="00C0477E">
        <w:rPr>
          <w:rFonts w:cstheme="minorHAnsi"/>
        </w:rPr>
        <w:t>participated</w:t>
      </w:r>
      <w:r w:rsidR="207F27EF" w:rsidRPr="00C0477E">
        <w:rPr>
          <w:rFonts w:cstheme="minorHAnsi"/>
        </w:rPr>
        <w:t xml:space="preserve"> in </w:t>
      </w:r>
      <w:r w:rsidR="007B5B74">
        <w:rPr>
          <w:rFonts w:cstheme="minorHAnsi"/>
        </w:rPr>
        <w:t>COP</w:t>
      </w:r>
      <w:r w:rsidR="007B5B74" w:rsidRPr="00C0477E">
        <w:rPr>
          <w:rFonts w:cstheme="minorHAnsi"/>
        </w:rPr>
        <w:t xml:space="preserve">24, </w:t>
      </w:r>
      <w:r w:rsidR="007B5B74">
        <w:rPr>
          <w:rFonts w:cstheme="minorHAnsi"/>
        </w:rPr>
        <w:t>COP</w:t>
      </w:r>
      <w:r w:rsidR="007B5B74" w:rsidRPr="00C0477E">
        <w:rPr>
          <w:rFonts w:cstheme="minorHAnsi"/>
        </w:rPr>
        <w:t>25 and</w:t>
      </w:r>
      <w:r w:rsidR="007E5935">
        <w:rPr>
          <w:rFonts w:cstheme="minorHAnsi"/>
        </w:rPr>
        <w:t xml:space="preserve"> </w:t>
      </w:r>
      <w:r w:rsidR="007B5B74">
        <w:rPr>
          <w:rFonts w:cstheme="minorHAnsi"/>
        </w:rPr>
        <w:t>COP</w:t>
      </w:r>
      <w:r w:rsidR="007B5B74" w:rsidRPr="00C0477E">
        <w:rPr>
          <w:rFonts w:cstheme="minorHAnsi"/>
        </w:rPr>
        <w:t>26</w:t>
      </w:r>
      <w:r w:rsidR="007B5B74">
        <w:rPr>
          <w:rFonts w:cstheme="minorHAnsi"/>
        </w:rPr>
        <w:t xml:space="preserve"> of</w:t>
      </w:r>
      <w:r w:rsidR="004079F7">
        <w:rPr>
          <w:rFonts w:cstheme="minorHAnsi"/>
        </w:rPr>
        <w:t xml:space="preserve"> </w:t>
      </w:r>
      <w:r w:rsidR="207F27EF" w:rsidRPr="00C0477E">
        <w:rPr>
          <w:rFonts w:cstheme="minorHAnsi"/>
        </w:rPr>
        <w:t xml:space="preserve">the </w:t>
      </w:r>
      <w:r w:rsidR="00C617C5" w:rsidRPr="00C0477E">
        <w:rPr>
          <w:rFonts w:cstheme="minorHAnsi"/>
        </w:rPr>
        <w:t>UN Framework Convention on Climate Change (UNFCCC)</w:t>
      </w:r>
      <w:r w:rsidR="007B5B74">
        <w:rPr>
          <w:rFonts w:cstheme="minorHAnsi"/>
        </w:rPr>
        <w:t>.</w:t>
      </w:r>
    </w:p>
    <w:p w14:paraId="5694D10C" w14:textId="77777777" w:rsidR="00C40701" w:rsidRPr="00C0477E" w:rsidRDefault="00C40701" w:rsidP="005948F3">
      <w:pPr>
        <w:rPr>
          <w:rFonts w:cstheme="minorHAnsi"/>
        </w:rPr>
      </w:pPr>
    </w:p>
    <w:p w14:paraId="262492AD" w14:textId="141904DC" w:rsidR="00C40701" w:rsidRPr="00C0477E" w:rsidRDefault="003D35F2" w:rsidP="003D35F2">
      <w:pPr>
        <w:pStyle w:val="ListParagraph"/>
        <w:ind w:left="851" w:hanging="426"/>
        <w:rPr>
          <w:rFonts w:cstheme="minorHAnsi"/>
        </w:rPr>
      </w:pPr>
      <w:r>
        <w:rPr>
          <w:rFonts w:cstheme="minorHAnsi"/>
        </w:rPr>
        <w:t>i</w:t>
      </w:r>
      <w:r w:rsidR="00FC5353">
        <w:rPr>
          <w:rFonts w:cstheme="minorHAnsi"/>
        </w:rPr>
        <w:t>.</w:t>
      </w:r>
      <w:r w:rsidR="00FC5353">
        <w:rPr>
          <w:rFonts w:cstheme="minorHAnsi"/>
        </w:rPr>
        <w:tab/>
      </w:r>
      <w:r w:rsidR="01146BA0" w:rsidRPr="00C0477E">
        <w:rPr>
          <w:rFonts w:cstheme="minorHAnsi"/>
        </w:rPr>
        <w:t xml:space="preserve">At COP24 in Katowice, Poland, in December 2018, the Secretariat participated </w:t>
      </w:r>
      <w:r w:rsidR="003E4686" w:rsidRPr="00C0477E">
        <w:rPr>
          <w:rFonts w:cstheme="minorHAnsi"/>
        </w:rPr>
        <w:t>as a speak</w:t>
      </w:r>
      <w:r w:rsidR="00BA01E4" w:rsidRPr="00C0477E">
        <w:rPr>
          <w:rFonts w:cstheme="minorHAnsi"/>
        </w:rPr>
        <w:t>e</w:t>
      </w:r>
      <w:r w:rsidR="003E4686" w:rsidRPr="00C0477E">
        <w:rPr>
          <w:rFonts w:cstheme="minorHAnsi"/>
        </w:rPr>
        <w:t xml:space="preserve">r </w:t>
      </w:r>
      <w:r w:rsidR="01146BA0" w:rsidRPr="00C0477E">
        <w:rPr>
          <w:rFonts w:cstheme="minorHAnsi"/>
        </w:rPr>
        <w:t>in events</w:t>
      </w:r>
      <w:r w:rsidR="003E4686" w:rsidRPr="00C0477E">
        <w:rPr>
          <w:rFonts w:cstheme="minorHAnsi"/>
        </w:rPr>
        <w:t xml:space="preserve"> </w:t>
      </w:r>
      <w:r w:rsidR="007B5B74">
        <w:rPr>
          <w:rFonts w:cstheme="minorHAnsi"/>
        </w:rPr>
        <w:t xml:space="preserve">on </w:t>
      </w:r>
      <w:r w:rsidR="00C40701" w:rsidRPr="00C0477E">
        <w:rPr>
          <w:rFonts w:cstheme="minorHAnsi"/>
        </w:rPr>
        <w:t>“Protecting Tropical Peatlands Together – a Triple win for the Climate, People and the Planet”</w:t>
      </w:r>
      <w:r w:rsidR="003E4686" w:rsidRPr="00C0477E">
        <w:rPr>
          <w:rFonts w:cstheme="minorHAnsi"/>
        </w:rPr>
        <w:t xml:space="preserve"> with</w:t>
      </w:r>
      <w:r w:rsidR="00E4253B">
        <w:rPr>
          <w:rFonts w:cstheme="minorHAnsi"/>
        </w:rPr>
        <w:t xml:space="preserve"> </w:t>
      </w:r>
      <w:r w:rsidR="00C40701" w:rsidRPr="00C0477E">
        <w:rPr>
          <w:rFonts w:cstheme="minorHAnsi"/>
        </w:rPr>
        <w:t xml:space="preserve">other partners in the Global Peatlands Initiative and </w:t>
      </w:r>
      <w:r w:rsidR="007B5B74">
        <w:rPr>
          <w:rFonts w:cstheme="minorHAnsi"/>
        </w:rPr>
        <w:t>on “</w:t>
      </w:r>
      <w:r w:rsidR="00C40701" w:rsidRPr="00C0477E">
        <w:rPr>
          <w:rFonts w:cstheme="minorHAnsi"/>
        </w:rPr>
        <w:t>Innovative climate-smart management and South-South cooperation at a global scale</w:t>
      </w:r>
      <w:r w:rsidR="00A61F2F" w:rsidRPr="00C0477E">
        <w:rPr>
          <w:rFonts w:cstheme="minorHAnsi"/>
        </w:rPr>
        <w:t>”</w:t>
      </w:r>
      <w:r w:rsidR="007B5B74">
        <w:rPr>
          <w:rFonts w:cstheme="minorHAnsi"/>
        </w:rPr>
        <w:t>.</w:t>
      </w:r>
      <w:r w:rsidR="00C40701" w:rsidRPr="00C0477E">
        <w:rPr>
          <w:rFonts w:cstheme="minorHAnsi"/>
        </w:rPr>
        <w:t xml:space="preserve"> The panel shared experiences regarding progress in collaborative efforts across sectors to tackle the challenge of peatland protection and restoration. </w:t>
      </w:r>
    </w:p>
    <w:p w14:paraId="641BBE1A" w14:textId="77777777" w:rsidR="00DF1A68" w:rsidRPr="00C0477E" w:rsidRDefault="00DF1A68" w:rsidP="003D35F2">
      <w:pPr>
        <w:ind w:left="851" w:firstLine="0"/>
        <w:rPr>
          <w:rFonts w:cstheme="minorHAnsi"/>
        </w:rPr>
      </w:pPr>
    </w:p>
    <w:p w14:paraId="1758E1AF" w14:textId="61E10BED" w:rsidR="00ED779A" w:rsidRPr="003D35F2" w:rsidRDefault="003D35F2" w:rsidP="003D35F2">
      <w:pPr>
        <w:ind w:left="851"/>
        <w:rPr>
          <w:rFonts w:cstheme="minorHAnsi"/>
        </w:rPr>
      </w:pPr>
      <w:r>
        <w:rPr>
          <w:rFonts w:cstheme="minorHAnsi"/>
        </w:rPr>
        <w:t>ii.</w:t>
      </w:r>
      <w:r>
        <w:rPr>
          <w:rFonts w:cstheme="minorHAnsi"/>
        </w:rPr>
        <w:tab/>
      </w:r>
      <w:r w:rsidRPr="00C0477E">
        <w:rPr>
          <w:rFonts w:cstheme="minorHAnsi"/>
        </w:rPr>
        <w:t xml:space="preserve">At </w:t>
      </w:r>
      <w:r w:rsidR="00F2690E" w:rsidRPr="003D35F2">
        <w:rPr>
          <w:rFonts w:cstheme="minorHAnsi"/>
        </w:rPr>
        <w:t xml:space="preserve">COP25 in Madrid, Spain, </w:t>
      </w:r>
      <w:r>
        <w:rPr>
          <w:rFonts w:cstheme="minorHAnsi"/>
        </w:rPr>
        <w:t xml:space="preserve">in </w:t>
      </w:r>
      <w:r w:rsidR="00F2690E" w:rsidRPr="003D35F2">
        <w:rPr>
          <w:rFonts w:cstheme="minorHAnsi"/>
        </w:rPr>
        <w:t>December 2019</w:t>
      </w:r>
      <w:r>
        <w:rPr>
          <w:rFonts w:cstheme="minorHAnsi"/>
        </w:rPr>
        <w:t>,</w:t>
      </w:r>
      <w:r w:rsidR="00F2690E" w:rsidRPr="003D35F2">
        <w:rPr>
          <w:rFonts w:cstheme="minorHAnsi"/>
        </w:rPr>
        <w:t xml:space="preserve"> Secretariat staff participated in a workstream on adaptation, attended meetings and participated as panellists in two side events. The COP was also an opportunity to engage with relevant stakeholders in identifying opportunities to better integrate wetlands in climate change measures.</w:t>
      </w:r>
    </w:p>
    <w:p w14:paraId="47D6C22D" w14:textId="77777777" w:rsidR="00ED779A" w:rsidRPr="005948F3" w:rsidRDefault="00ED779A" w:rsidP="003D35F2">
      <w:pPr>
        <w:ind w:left="851"/>
        <w:rPr>
          <w:rFonts w:cstheme="minorHAnsi"/>
        </w:rPr>
      </w:pPr>
    </w:p>
    <w:p w14:paraId="14E41CC1" w14:textId="37E6DE36" w:rsidR="00167E01" w:rsidRPr="00C0477E" w:rsidRDefault="003D35F2" w:rsidP="003D35F2">
      <w:pPr>
        <w:ind w:left="851"/>
        <w:rPr>
          <w:rFonts w:cstheme="minorHAnsi"/>
        </w:rPr>
      </w:pPr>
      <w:r>
        <w:rPr>
          <w:rFonts w:cstheme="minorHAnsi"/>
        </w:rPr>
        <w:t>iii.</w:t>
      </w:r>
      <w:r>
        <w:rPr>
          <w:rFonts w:cstheme="minorHAnsi"/>
        </w:rPr>
        <w:tab/>
      </w:r>
      <w:r w:rsidR="01146BA0" w:rsidRPr="003D35F2">
        <w:rPr>
          <w:rFonts w:cstheme="minorHAnsi"/>
        </w:rPr>
        <w:t>The Secretariat engaged extensively at COP26</w:t>
      </w:r>
      <w:r>
        <w:rPr>
          <w:rFonts w:cstheme="minorHAnsi"/>
        </w:rPr>
        <w:t xml:space="preserve"> in Glasgow, United Kingdom of Great Britain and Northern Ireland, in October and November 2021</w:t>
      </w:r>
      <w:r w:rsidR="01146BA0" w:rsidRPr="003D35F2">
        <w:rPr>
          <w:rFonts w:cstheme="minorHAnsi"/>
        </w:rPr>
        <w:t>. Highlights included:</w:t>
      </w:r>
    </w:p>
    <w:p w14:paraId="0E2FDAE1" w14:textId="77777777" w:rsidR="00167E01" w:rsidRPr="005948F3" w:rsidRDefault="00167E01" w:rsidP="005948F3">
      <w:pPr>
        <w:pStyle w:val="ListParagraph"/>
        <w:ind w:left="0" w:firstLine="0"/>
        <w:rPr>
          <w:rFonts w:cstheme="minorHAnsi"/>
        </w:rPr>
      </w:pPr>
    </w:p>
    <w:p w14:paraId="5CEC9725" w14:textId="77777777" w:rsidR="003E4686" w:rsidRPr="00FA12DB" w:rsidRDefault="004D0585" w:rsidP="00FA12DB">
      <w:pPr>
        <w:pStyle w:val="ListParagraph"/>
        <w:numPr>
          <w:ilvl w:val="0"/>
          <w:numId w:val="33"/>
        </w:numPr>
        <w:ind w:left="1276" w:hanging="425"/>
        <w:rPr>
          <w:rFonts w:cstheme="minorHAnsi"/>
          <w:lang w:val="en-US"/>
        </w:rPr>
      </w:pPr>
      <w:r w:rsidRPr="00FA12DB">
        <w:rPr>
          <w:rFonts w:cstheme="minorHAnsi"/>
          <w:lang w:val="en-US"/>
        </w:rPr>
        <w:t>Prior to the COP, the</w:t>
      </w:r>
      <w:r w:rsidR="00F2690E" w:rsidRPr="00FA12DB">
        <w:rPr>
          <w:rFonts w:cstheme="minorHAnsi"/>
          <w:lang w:val="en-US"/>
        </w:rPr>
        <w:t xml:space="preserve"> Secretariat prepared a brief on harnessing wetland wise use, protection and restoration in delivering climate change outcomes. The brief synthesizes information on relevant provisions of Resolutions adopted by the COP of the Convention on Wetlands, as well as relevant guidance documents and knowledge products prepared by the STRP. </w:t>
      </w:r>
      <w:r w:rsidR="003E4686" w:rsidRPr="00FA12DB">
        <w:rPr>
          <w:rFonts w:cstheme="minorHAnsi"/>
          <w:lang w:val="en-US"/>
        </w:rPr>
        <w:t>The brief is available in the three languages of the Convention.</w:t>
      </w:r>
    </w:p>
    <w:p w14:paraId="7B6F4320" w14:textId="77777777" w:rsidR="00CC5962" w:rsidRPr="005948F3" w:rsidRDefault="00CC5962" w:rsidP="005948F3">
      <w:pPr>
        <w:rPr>
          <w:rFonts w:cstheme="minorHAnsi"/>
        </w:rPr>
      </w:pPr>
    </w:p>
    <w:p w14:paraId="766F16E9" w14:textId="2B69DAF9" w:rsidR="00824CB1" w:rsidRPr="0050301F" w:rsidRDefault="00F2690E" w:rsidP="00FA12DB">
      <w:pPr>
        <w:pStyle w:val="ListParagraph"/>
        <w:numPr>
          <w:ilvl w:val="0"/>
          <w:numId w:val="33"/>
        </w:numPr>
        <w:ind w:left="1276" w:hanging="425"/>
        <w:rPr>
          <w:rFonts w:cstheme="minorHAnsi"/>
        </w:rPr>
      </w:pPr>
      <w:r w:rsidRPr="00C0477E">
        <w:rPr>
          <w:rFonts w:cstheme="minorHAnsi"/>
          <w:lang w:val="en-US"/>
        </w:rPr>
        <w:t xml:space="preserve">During </w:t>
      </w:r>
      <w:r w:rsidR="008F0A66">
        <w:rPr>
          <w:rFonts w:cstheme="minorHAnsi"/>
          <w:lang w:val="en-US"/>
        </w:rPr>
        <w:t>the</w:t>
      </w:r>
      <w:r w:rsidR="008F0A66" w:rsidRPr="00C0477E">
        <w:rPr>
          <w:rFonts w:cstheme="minorHAnsi"/>
          <w:lang w:val="en-US"/>
        </w:rPr>
        <w:t xml:space="preserve"> </w:t>
      </w:r>
      <w:r w:rsidRPr="00C0477E">
        <w:rPr>
          <w:rFonts w:cstheme="minorHAnsi"/>
          <w:lang w:val="en-US"/>
        </w:rPr>
        <w:t xml:space="preserve">COP the Secretary General was a speaker in </w:t>
      </w:r>
      <w:r w:rsidR="008F0A66">
        <w:rPr>
          <w:rFonts w:cstheme="minorHAnsi"/>
          <w:lang w:val="en-US"/>
        </w:rPr>
        <w:t xml:space="preserve">a </w:t>
      </w:r>
      <w:r w:rsidRPr="00C0477E">
        <w:rPr>
          <w:rFonts w:cstheme="minorHAnsi"/>
          <w:lang w:val="en-US"/>
        </w:rPr>
        <w:t xml:space="preserve">side event </w:t>
      </w:r>
      <w:r w:rsidR="008F0A66">
        <w:rPr>
          <w:rFonts w:cstheme="minorHAnsi"/>
          <w:lang w:val="en-US"/>
        </w:rPr>
        <w:t>on</w:t>
      </w:r>
      <w:r w:rsidR="008F0A66" w:rsidRPr="00C0477E">
        <w:rPr>
          <w:rFonts w:cstheme="minorHAnsi"/>
          <w:lang w:val="en-US"/>
        </w:rPr>
        <w:t xml:space="preserve"> </w:t>
      </w:r>
      <w:r w:rsidRPr="00C0477E">
        <w:rPr>
          <w:rFonts w:cstheme="minorHAnsi"/>
          <w:lang w:val="en-US"/>
        </w:rPr>
        <w:t>“CBD COP15: Strengthening Synergies through the Post-2020 Global Biodiversity Framework and Promoting Transformational Change to Restore Balance with Nature”.</w:t>
      </w:r>
    </w:p>
    <w:p w14:paraId="1ECEE541" w14:textId="77777777" w:rsidR="0050301F" w:rsidRPr="0050301F" w:rsidRDefault="0050301F" w:rsidP="0050301F">
      <w:pPr>
        <w:rPr>
          <w:rFonts w:cstheme="minorHAnsi"/>
        </w:rPr>
      </w:pPr>
    </w:p>
    <w:p w14:paraId="11E79960" w14:textId="132DD726" w:rsidR="00824CB1" w:rsidRDefault="00F2690E" w:rsidP="00FA12DB">
      <w:pPr>
        <w:pStyle w:val="ListParagraph"/>
        <w:numPr>
          <w:ilvl w:val="0"/>
          <w:numId w:val="33"/>
        </w:numPr>
        <w:ind w:left="1276" w:hanging="425"/>
        <w:rPr>
          <w:rFonts w:cstheme="minorHAnsi"/>
          <w:lang w:val="en-US"/>
        </w:rPr>
      </w:pPr>
      <w:r w:rsidRPr="00C0477E">
        <w:rPr>
          <w:rFonts w:cstheme="minorHAnsi"/>
          <w:lang w:val="en-US"/>
        </w:rPr>
        <w:lastRenderedPageBreak/>
        <w:t>The Secretariat co-organized three events, exploring different aspects of wetlands action for climate change outcomes</w:t>
      </w:r>
      <w:r w:rsidR="00FC5ADE" w:rsidRPr="00C0477E">
        <w:rPr>
          <w:rFonts w:cstheme="minorHAnsi"/>
          <w:lang w:val="en-US"/>
        </w:rPr>
        <w:t xml:space="preserve"> in</w:t>
      </w:r>
      <w:r w:rsidR="00E4253B">
        <w:rPr>
          <w:rFonts w:cstheme="minorHAnsi"/>
          <w:lang w:val="en-US"/>
        </w:rPr>
        <w:t xml:space="preserve"> </w:t>
      </w:r>
      <w:r w:rsidR="00FC5ADE" w:rsidRPr="00C0477E">
        <w:rPr>
          <w:rFonts w:cstheme="minorHAnsi"/>
          <w:lang w:val="en-US"/>
        </w:rPr>
        <w:t xml:space="preserve">collaboration with governments, multilateral development banks, </w:t>
      </w:r>
      <w:r w:rsidR="008F0A66">
        <w:rPr>
          <w:rFonts w:cstheme="minorHAnsi"/>
          <w:lang w:val="en-US"/>
        </w:rPr>
        <w:t>International Organization Partners (</w:t>
      </w:r>
      <w:r w:rsidR="00FC5ADE" w:rsidRPr="00C0477E">
        <w:rPr>
          <w:rFonts w:cstheme="minorHAnsi"/>
          <w:lang w:val="en-US"/>
        </w:rPr>
        <w:t>IOPs</w:t>
      </w:r>
      <w:r w:rsidR="008F0A66">
        <w:rPr>
          <w:rFonts w:cstheme="minorHAnsi"/>
          <w:lang w:val="en-US"/>
        </w:rPr>
        <w:t>)</w:t>
      </w:r>
      <w:r w:rsidR="00FC5ADE" w:rsidRPr="00C0477E">
        <w:rPr>
          <w:rFonts w:cstheme="minorHAnsi"/>
          <w:lang w:val="en-US"/>
        </w:rPr>
        <w:t xml:space="preserve"> and the Rio Conventions </w:t>
      </w:r>
      <w:r w:rsidRPr="00C0477E">
        <w:rPr>
          <w:rFonts w:cstheme="minorHAnsi"/>
          <w:lang w:val="en-US"/>
        </w:rPr>
        <w:t>: “Financing Wetlands Conservation and Restoration for Climate Benefits – Challenges and Opportunities</w:t>
      </w:r>
      <w:r w:rsidR="008F0A66" w:rsidRPr="00C0477E">
        <w:rPr>
          <w:rFonts w:cstheme="minorHAnsi"/>
          <w:lang w:val="en-US"/>
        </w:rPr>
        <w:t>”</w:t>
      </w:r>
      <w:r w:rsidR="008F0A66">
        <w:rPr>
          <w:rFonts w:cstheme="minorHAnsi"/>
          <w:lang w:val="en-US"/>
        </w:rPr>
        <w:t>;</w:t>
      </w:r>
      <w:r w:rsidR="008F0A66" w:rsidRPr="00C0477E">
        <w:rPr>
          <w:rFonts w:cstheme="minorHAnsi"/>
          <w:lang w:val="en-US"/>
        </w:rPr>
        <w:t xml:space="preserve"> </w:t>
      </w:r>
      <w:r w:rsidRPr="00C0477E">
        <w:rPr>
          <w:rFonts w:cstheme="minorHAnsi"/>
          <w:lang w:val="en-US"/>
        </w:rPr>
        <w:t>“Partners for Wetlands: Decade for Wetland Restoration</w:t>
      </w:r>
      <w:r w:rsidR="008F0A66" w:rsidRPr="00C0477E">
        <w:rPr>
          <w:rFonts w:cstheme="minorHAnsi"/>
          <w:lang w:val="en-US"/>
        </w:rPr>
        <w:t>”</w:t>
      </w:r>
      <w:r w:rsidR="008F0A66">
        <w:rPr>
          <w:rFonts w:cstheme="minorHAnsi"/>
          <w:lang w:val="en-US"/>
        </w:rPr>
        <w:t>;</w:t>
      </w:r>
      <w:r w:rsidR="008F0A66" w:rsidRPr="00C0477E">
        <w:rPr>
          <w:rFonts w:cstheme="minorHAnsi"/>
          <w:lang w:val="en-US"/>
        </w:rPr>
        <w:t xml:space="preserve"> </w:t>
      </w:r>
      <w:r w:rsidRPr="00C0477E">
        <w:rPr>
          <w:rFonts w:cstheme="minorHAnsi"/>
          <w:lang w:val="en-US"/>
        </w:rPr>
        <w:t>and “Leveraging MEA synergies in peatland protection and res</w:t>
      </w:r>
      <w:r w:rsidR="0050301F">
        <w:rPr>
          <w:rFonts w:cstheme="minorHAnsi"/>
          <w:lang w:val="en-US"/>
        </w:rPr>
        <w:t>toration for climate outcomes”</w:t>
      </w:r>
      <w:r w:rsidR="008F0A66">
        <w:rPr>
          <w:rFonts w:cstheme="minorHAnsi"/>
          <w:lang w:val="en-US"/>
        </w:rPr>
        <w:t>.</w:t>
      </w:r>
    </w:p>
    <w:p w14:paraId="7CF3AFFF" w14:textId="77777777" w:rsidR="0050301F" w:rsidRPr="0050301F" w:rsidRDefault="0050301F" w:rsidP="0050301F">
      <w:pPr>
        <w:rPr>
          <w:rFonts w:cstheme="minorHAnsi"/>
          <w:lang w:val="en-US"/>
        </w:rPr>
      </w:pPr>
    </w:p>
    <w:p w14:paraId="2BB3BC5A" w14:textId="248692C6" w:rsidR="00022FE4" w:rsidRPr="00FA12DB" w:rsidRDefault="00F2690E" w:rsidP="00FA12DB">
      <w:pPr>
        <w:pStyle w:val="ListParagraph"/>
        <w:numPr>
          <w:ilvl w:val="0"/>
          <w:numId w:val="33"/>
        </w:numPr>
        <w:ind w:left="1276" w:hanging="425"/>
        <w:rPr>
          <w:rFonts w:cstheme="minorHAnsi"/>
        </w:rPr>
      </w:pPr>
      <w:r w:rsidRPr="00C0477E">
        <w:rPr>
          <w:rFonts w:cstheme="minorHAnsi"/>
          <w:lang w:val="en-US"/>
        </w:rPr>
        <w:t xml:space="preserve">Secretariat staff participated as speakers or panelists in </w:t>
      </w:r>
      <w:r w:rsidR="00D547DD" w:rsidRPr="00C0477E">
        <w:rPr>
          <w:rFonts w:cstheme="minorHAnsi"/>
          <w:lang w:val="en-US"/>
        </w:rPr>
        <w:t>nine</w:t>
      </w:r>
      <w:r w:rsidR="00E4253B">
        <w:rPr>
          <w:rFonts w:cstheme="minorHAnsi"/>
          <w:lang w:val="en-US"/>
        </w:rPr>
        <w:t xml:space="preserve"> </w:t>
      </w:r>
      <w:r w:rsidRPr="00C0477E">
        <w:rPr>
          <w:rFonts w:cstheme="minorHAnsi"/>
          <w:lang w:val="en-US"/>
        </w:rPr>
        <w:t xml:space="preserve">other events </w:t>
      </w:r>
      <w:r w:rsidR="00FC1D55">
        <w:rPr>
          <w:rFonts w:cstheme="minorHAnsi"/>
          <w:lang w:val="en-US"/>
        </w:rPr>
        <w:t>i</w:t>
      </w:r>
      <w:r w:rsidRPr="00C0477E">
        <w:rPr>
          <w:rFonts w:cstheme="minorHAnsi"/>
          <w:lang w:val="en-US"/>
        </w:rPr>
        <w:t>ncluding: “Policy Dialogue to Strengthen Blue Carbon’s Contribution to Carbon Neutrality”;</w:t>
      </w:r>
      <w:r w:rsidR="00686EBE" w:rsidRPr="00C0477E">
        <w:rPr>
          <w:rFonts w:cstheme="minorHAnsi"/>
          <w:lang w:val="en-US"/>
        </w:rPr>
        <w:t xml:space="preserve"> </w:t>
      </w:r>
      <w:r w:rsidRPr="00C0477E">
        <w:rPr>
          <w:rFonts w:cstheme="minorHAnsi"/>
          <w:lang w:val="en-US"/>
        </w:rPr>
        <w:t>“NbS and Climate Change: Harnessing the power of ecosystems for adaptation and mitigation”; “Peatlands and wider wetland conservation, restoration and management”;</w:t>
      </w:r>
      <w:r w:rsidR="00686EBE" w:rsidRPr="00C0477E">
        <w:rPr>
          <w:rFonts w:cstheme="minorHAnsi"/>
          <w:lang w:val="en-US"/>
        </w:rPr>
        <w:t xml:space="preserve"> </w:t>
      </w:r>
      <w:r w:rsidRPr="00C0477E">
        <w:rPr>
          <w:rFonts w:cstheme="minorHAnsi"/>
          <w:lang w:val="en-US"/>
        </w:rPr>
        <w:t>“International Blue Carbon Partnership - Working together to deliver outcomes for climate, the environment and people”</w:t>
      </w:r>
      <w:r w:rsidR="00FC1D55">
        <w:rPr>
          <w:rFonts w:cstheme="minorHAnsi"/>
          <w:lang w:val="en-US"/>
        </w:rPr>
        <w:t>.</w:t>
      </w:r>
    </w:p>
    <w:p w14:paraId="294DA622" w14:textId="77777777" w:rsidR="00FA12DB" w:rsidRPr="00FA12DB" w:rsidRDefault="00FA12DB" w:rsidP="00FA12DB">
      <w:pPr>
        <w:rPr>
          <w:rFonts w:cstheme="minorHAnsi"/>
        </w:rPr>
      </w:pPr>
    </w:p>
    <w:p w14:paraId="33332A31" w14:textId="2DD0EE42" w:rsidR="01146BA0" w:rsidRPr="003D35F2" w:rsidRDefault="003D35F2" w:rsidP="003D35F2">
      <w:pPr>
        <w:ind w:left="851"/>
        <w:rPr>
          <w:rFonts w:cstheme="minorHAnsi"/>
        </w:rPr>
      </w:pPr>
      <w:r>
        <w:rPr>
          <w:rFonts w:cstheme="minorHAnsi"/>
        </w:rPr>
        <w:t>iv.</w:t>
      </w:r>
      <w:r>
        <w:rPr>
          <w:rFonts w:cstheme="minorHAnsi"/>
        </w:rPr>
        <w:tab/>
      </w:r>
      <w:r w:rsidR="01146BA0" w:rsidRPr="003D35F2">
        <w:rPr>
          <w:rFonts w:cstheme="minorHAnsi"/>
        </w:rPr>
        <w:t xml:space="preserve">The Secretariat also participated in the 56th session of the Subsidiary Body for Scientific and Technological Advice (SBSTA) of UNFCCC </w:t>
      </w:r>
      <w:r>
        <w:rPr>
          <w:rFonts w:cstheme="minorHAnsi"/>
        </w:rPr>
        <w:t xml:space="preserve">in </w:t>
      </w:r>
      <w:r w:rsidR="01146BA0" w:rsidRPr="003D35F2">
        <w:rPr>
          <w:rFonts w:cstheme="minorHAnsi"/>
        </w:rPr>
        <w:t xml:space="preserve">June 2022 in Bonn. </w:t>
      </w:r>
    </w:p>
    <w:p w14:paraId="4CE67A02" w14:textId="77777777" w:rsidR="00BA22A2" w:rsidRPr="00C0477E" w:rsidRDefault="00BA22A2" w:rsidP="00C0477E">
      <w:pPr>
        <w:ind w:left="0" w:firstLine="0"/>
        <w:rPr>
          <w:rFonts w:cstheme="minorHAnsi"/>
        </w:rPr>
      </w:pPr>
    </w:p>
    <w:p w14:paraId="40E38142" w14:textId="7C720D69" w:rsidR="00022FE4" w:rsidRPr="00C0477E" w:rsidRDefault="002E05B7" w:rsidP="00FA12DB">
      <w:pPr>
        <w:ind w:left="426"/>
        <w:rPr>
          <w:rFonts w:cstheme="minorHAnsi"/>
        </w:rPr>
      </w:pPr>
      <w:r>
        <w:rPr>
          <w:rFonts w:cstheme="minorHAnsi"/>
        </w:rPr>
        <w:t>35</w:t>
      </w:r>
      <w:r w:rsidR="00022FE4" w:rsidRPr="00C0477E">
        <w:rPr>
          <w:rFonts w:cstheme="minorHAnsi"/>
        </w:rPr>
        <w:t xml:space="preserve">. </w:t>
      </w:r>
      <w:r w:rsidR="00022FE4" w:rsidRPr="00C0477E">
        <w:rPr>
          <w:rFonts w:cstheme="minorHAnsi"/>
          <w:lang w:val="en-US"/>
        </w:rPr>
        <w:tab/>
        <w:t>The Secretariat participated in COP14</w:t>
      </w:r>
      <w:r w:rsidR="00FC1D55">
        <w:rPr>
          <w:rFonts w:cstheme="minorHAnsi"/>
          <w:lang w:val="en-US"/>
        </w:rPr>
        <w:t xml:space="preserve"> of the UN </w:t>
      </w:r>
      <w:r w:rsidR="00FC1D55" w:rsidRPr="00FC1D55">
        <w:rPr>
          <w:rFonts w:cstheme="minorHAnsi"/>
          <w:lang w:val="en-US"/>
        </w:rPr>
        <w:t>Convention to Combat Desertification</w:t>
      </w:r>
      <w:r w:rsidR="00FC1D55">
        <w:rPr>
          <w:rFonts w:cstheme="minorHAnsi"/>
          <w:lang w:val="en-US"/>
        </w:rPr>
        <w:t xml:space="preserve"> (UNCCD)</w:t>
      </w:r>
      <w:r w:rsidR="00022FE4" w:rsidRPr="00C0477E">
        <w:rPr>
          <w:rFonts w:cstheme="minorHAnsi"/>
          <w:lang w:val="en-US"/>
        </w:rPr>
        <w:t xml:space="preserve"> </w:t>
      </w:r>
      <w:r w:rsidR="00FC1D55">
        <w:rPr>
          <w:rFonts w:cstheme="minorHAnsi"/>
          <w:lang w:val="en-US"/>
        </w:rPr>
        <w:t xml:space="preserve">in </w:t>
      </w:r>
      <w:r w:rsidR="00022FE4" w:rsidRPr="00C0477E">
        <w:rPr>
          <w:rFonts w:cstheme="minorHAnsi"/>
          <w:lang w:val="en-US"/>
        </w:rPr>
        <w:t>September 2019 in New Delhi, India. Among other inputs, the Secretariat made a statement in the high-level segment on the interlinkages between wetlands and land degradation, climate change and biodiversity loss.</w:t>
      </w:r>
    </w:p>
    <w:p w14:paraId="72E29558" w14:textId="77777777" w:rsidR="009D4535" w:rsidRPr="00C0477E" w:rsidRDefault="009D4535" w:rsidP="005948F3">
      <w:pPr>
        <w:rPr>
          <w:rFonts w:cstheme="minorHAnsi"/>
        </w:rPr>
      </w:pPr>
    </w:p>
    <w:p w14:paraId="79883F09" w14:textId="327302EE" w:rsidR="00626786" w:rsidRPr="00C0477E" w:rsidRDefault="002E05B7" w:rsidP="00FA12DB">
      <w:pPr>
        <w:ind w:left="426"/>
        <w:rPr>
          <w:rFonts w:cstheme="minorHAnsi"/>
        </w:rPr>
      </w:pPr>
      <w:r>
        <w:rPr>
          <w:rFonts w:cstheme="minorHAnsi"/>
        </w:rPr>
        <w:t>36</w:t>
      </w:r>
      <w:r w:rsidR="005D05E1" w:rsidRPr="00C0477E">
        <w:rPr>
          <w:rFonts w:cstheme="minorHAnsi"/>
        </w:rPr>
        <w:t>.</w:t>
      </w:r>
      <w:r w:rsidR="005D05E1" w:rsidRPr="00C0477E">
        <w:rPr>
          <w:rFonts w:cstheme="minorHAnsi"/>
        </w:rPr>
        <w:tab/>
      </w:r>
      <w:r w:rsidR="207F27EF" w:rsidRPr="00C0477E">
        <w:rPr>
          <w:rFonts w:cstheme="minorHAnsi"/>
        </w:rPr>
        <w:t xml:space="preserve">The Secretariat engaged actively </w:t>
      </w:r>
      <w:r w:rsidR="00E25E60" w:rsidRPr="00C0477E">
        <w:rPr>
          <w:rFonts w:cstheme="minorHAnsi"/>
        </w:rPr>
        <w:t>in</w:t>
      </w:r>
      <w:r w:rsidR="207F27EF" w:rsidRPr="00C0477E">
        <w:rPr>
          <w:rFonts w:cstheme="minorHAnsi"/>
        </w:rPr>
        <w:t xml:space="preserve"> the </w:t>
      </w:r>
      <w:r w:rsidR="006903A7" w:rsidRPr="00C0477E">
        <w:rPr>
          <w:rFonts w:cstheme="minorHAnsi"/>
        </w:rPr>
        <w:t xml:space="preserve">fourth and fifth </w:t>
      </w:r>
      <w:r w:rsidR="207F27EF" w:rsidRPr="00C0477E">
        <w:rPr>
          <w:rFonts w:cstheme="minorHAnsi"/>
        </w:rPr>
        <w:t>session</w:t>
      </w:r>
      <w:r w:rsidR="006903A7" w:rsidRPr="00C0477E">
        <w:rPr>
          <w:rFonts w:cstheme="minorHAnsi"/>
        </w:rPr>
        <w:t>s</w:t>
      </w:r>
      <w:r w:rsidR="207F27EF" w:rsidRPr="00C0477E">
        <w:rPr>
          <w:rFonts w:cstheme="minorHAnsi"/>
        </w:rPr>
        <w:t xml:space="preserve"> of the </w:t>
      </w:r>
      <w:r w:rsidR="00882735">
        <w:rPr>
          <w:rFonts w:cstheme="minorHAnsi"/>
        </w:rPr>
        <w:t>UN</w:t>
      </w:r>
      <w:r w:rsidR="207F27EF" w:rsidRPr="00C0477E">
        <w:rPr>
          <w:rFonts w:cstheme="minorHAnsi"/>
        </w:rPr>
        <w:t xml:space="preserve"> Environment Assembly (UNEA-</w:t>
      </w:r>
      <w:r w:rsidR="00411BD9" w:rsidRPr="00C0477E">
        <w:rPr>
          <w:rFonts w:cstheme="minorHAnsi"/>
        </w:rPr>
        <w:t>4</w:t>
      </w:r>
      <w:r w:rsidR="0020311D" w:rsidRPr="00C0477E">
        <w:rPr>
          <w:rFonts w:cstheme="minorHAnsi"/>
        </w:rPr>
        <w:t xml:space="preserve">, </w:t>
      </w:r>
      <w:r w:rsidR="006A4B0E" w:rsidRPr="00C0477E">
        <w:rPr>
          <w:rFonts w:cstheme="minorHAnsi"/>
        </w:rPr>
        <w:t>Nairobi, Kenya</w:t>
      </w:r>
      <w:r w:rsidR="006A4B0E">
        <w:rPr>
          <w:rFonts w:cstheme="minorHAnsi"/>
        </w:rPr>
        <w:t>,</w:t>
      </w:r>
      <w:r w:rsidR="006A4B0E" w:rsidRPr="00C0477E">
        <w:rPr>
          <w:rFonts w:cstheme="minorHAnsi"/>
        </w:rPr>
        <w:t xml:space="preserve"> </w:t>
      </w:r>
      <w:r w:rsidR="00411BD9" w:rsidRPr="00C0477E">
        <w:rPr>
          <w:rFonts w:cstheme="minorHAnsi"/>
        </w:rPr>
        <w:t>March 2019</w:t>
      </w:r>
      <w:r w:rsidR="006A4B0E">
        <w:rPr>
          <w:rFonts w:cstheme="minorHAnsi"/>
        </w:rPr>
        <w:t xml:space="preserve">; </w:t>
      </w:r>
      <w:r w:rsidR="00411BD9" w:rsidRPr="00C0477E">
        <w:rPr>
          <w:rFonts w:cstheme="minorHAnsi"/>
        </w:rPr>
        <w:t>UNEA-5</w:t>
      </w:r>
      <w:r w:rsidR="006A4B0E">
        <w:rPr>
          <w:rFonts w:cstheme="minorHAnsi"/>
        </w:rPr>
        <w:t>,</w:t>
      </w:r>
      <w:r w:rsidR="00281695" w:rsidRPr="00C0477E">
        <w:rPr>
          <w:rFonts w:cstheme="minorHAnsi"/>
        </w:rPr>
        <w:t xml:space="preserve"> online</w:t>
      </w:r>
      <w:r w:rsidR="006A4B0E">
        <w:rPr>
          <w:rFonts w:cstheme="minorHAnsi"/>
        </w:rPr>
        <w:t>,</w:t>
      </w:r>
      <w:r w:rsidR="00281695" w:rsidRPr="00C0477E">
        <w:rPr>
          <w:rFonts w:cstheme="minorHAnsi"/>
        </w:rPr>
        <w:t xml:space="preserve"> February 20</w:t>
      </w:r>
      <w:r w:rsidR="00626786" w:rsidRPr="00C0477E">
        <w:rPr>
          <w:rFonts w:cstheme="minorHAnsi"/>
        </w:rPr>
        <w:t>2</w:t>
      </w:r>
      <w:r w:rsidR="00281695" w:rsidRPr="00C0477E">
        <w:rPr>
          <w:rFonts w:cstheme="minorHAnsi"/>
        </w:rPr>
        <w:t>1 and</w:t>
      </w:r>
      <w:r w:rsidR="00E4253B">
        <w:rPr>
          <w:rFonts w:cstheme="minorHAnsi"/>
        </w:rPr>
        <w:t xml:space="preserve"> </w:t>
      </w:r>
      <w:r w:rsidR="00411BD9" w:rsidRPr="00C0477E">
        <w:rPr>
          <w:rFonts w:cstheme="minorHAnsi"/>
        </w:rPr>
        <w:t>February</w:t>
      </w:r>
      <w:r w:rsidR="006A4B0E">
        <w:rPr>
          <w:rFonts w:cstheme="minorHAnsi"/>
        </w:rPr>
        <w:t>-</w:t>
      </w:r>
      <w:r w:rsidR="00411BD9" w:rsidRPr="00C0477E">
        <w:rPr>
          <w:rFonts w:cstheme="minorHAnsi"/>
        </w:rPr>
        <w:t xml:space="preserve">March 2022) </w:t>
      </w:r>
      <w:r w:rsidR="00423F68" w:rsidRPr="00C0477E">
        <w:rPr>
          <w:rFonts w:cstheme="minorHAnsi"/>
        </w:rPr>
        <w:t>emphasizing the</w:t>
      </w:r>
      <w:r w:rsidR="207F27EF" w:rsidRPr="00C0477E">
        <w:rPr>
          <w:rFonts w:cstheme="minorHAnsi"/>
        </w:rPr>
        <w:t xml:space="preserve"> role </w:t>
      </w:r>
      <w:r w:rsidR="00423F68" w:rsidRPr="00C0477E">
        <w:rPr>
          <w:rFonts w:cstheme="minorHAnsi"/>
        </w:rPr>
        <w:t>of wetlands</w:t>
      </w:r>
      <w:r w:rsidR="00626786" w:rsidRPr="00C0477E">
        <w:rPr>
          <w:rFonts w:cstheme="minorHAnsi"/>
        </w:rPr>
        <w:t xml:space="preserve"> </w:t>
      </w:r>
      <w:r w:rsidR="006A4B0E">
        <w:rPr>
          <w:rFonts w:cstheme="minorHAnsi"/>
        </w:rPr>
        <w:t>in</w:t>
      </w:r>
      <w:r w:rsidR="006A4B0E" w:rsidRPr="00C0477E">
        <w:rPr>
          <w:rFonts w:cstheme="minorHAnsi"/>
        </w:rPr>
        <w:t xml:space="preserve"> </w:t>
      </w:r>
      <w:r w:rsidR="00626786" w:rsidRPr="00C0477E">
        <w:rPr>
          <w:rFonts w:eastAsia="Times New Roman" w:cstheme="minorHAnsi"/>
          <w:color w:val="000000"/>
          <w:lang w:eastAsia="en-GB"/>
        </w:rPr>
        <w:t>building a resilient and inclusive post-pandemic world</w:t>
      </w:r>
      <w:r w:rsidR="00E4253B">
        <w:rPr>
          <w:rFonts w:cstheme="minorHAnsi"/>
        </w:rPr>
        <w:t xml:space="preserve"> </w:t>
      </w:r>
      <w:r w:rsidR="00626786" w:rsidRPr="00C0477E">
        <w:rPr>
          <w:rFonts w:cstheme="minorHAnsi"/>
        </w:rPr>
        <w:t xml:space="preserve">and </w:t>
      </w:r>
      <w:r w:rsidR="00B92B90" w:rsidRPr="00C0477E">
        <w:rPr>
          <w:rFonts w:cstheme="minorHAnsi"/>
        </w:rPr>
        <w:t xml:space="preserve">achieving the </w:t>
      </w:r>
      <w:r w:rsidR="006A4B0E">
        <w:rPr>
          <w:rFonts w:cstheme="minorHAnsi"/>
        </w:rPr>
        <w:t>SDGs</w:t>
      </w:r>
      <w:r w:rsidR="00B92B90" w:rsidRPr="00C0477E">
        <w:rPr>
          <w:rFonts w:cstheme="minorHAnsi"/>
        </w:rPr>
        <w:t xml:space="preserve"> and </w:t>
      </w:r>
      <w:r w:rsidRPr="00C0477E">
        <w:rPr>
          <w:rFonts w:cstheme="minorHAnsi"/>
        </w:rPr>
        <w:t>participat</w:t>
      </w:r>
      <w:r>
        <w:rPr>
          <w:rFonts w:cstheme="minorHAnsi"/>
        </w:rPr>
        <w:t>ing</w:t>
      </w:r>
      <w:r w:rsidRPr="00C0477E">
        <w:rPr>
          <w:rFonts w:cstheme="minorHAnsi"/>
        </w:rPr>
        <w:t xml:space="preserve"> </w:t>
      </w:r>
      <w:r w:rsidR="00B92B90" w:rsidRPr="00C0477E">
        <w:rPr>
          <w:rFonts w:cstheme="minorHAnsi"/>
        </w:rPr>
        <w:t xml:space="preserve">in the Leaders Dialogue with the </w:t>
      </w:r>
      <w:r w:rsidR="006A4B0E">
        <w:rPr>
          <w:rFonts w:cstheme="minorHAnsi"/>
        </w:rPr>
        <w:t xml:space="preserve">MEAs </w:t>
      </w:r>
      <w:r w:rsidR="00C7723F" w:rsidRPr="00C0477E">
        <w:rPr>
          <w:rFonts w:cstheme="minorHAnsi"/>
        </w:rPr>
        <w:t xml:space="preserve">and in the </w:t>
      </w:r>
      <w:r w:rsidR="006A4B0E" w:rsidRPr="00C0477E">
        <w:rPr>
          <w:rFonts w:cstheme="minorHAnsi"/>
        </w:rPr>
        <w:t>multi</w:t>
      </w:r>
      <w:r w:rsidR="006A4B0E">
        <w:rPr>
          <w:rFonts w:cstheme="minorHAnsi"/>
        </w:rPr>
        <w:t>-</w:t>
      </w:r>
      <w:r w:rsidR="00C7723F" w:rsidRPr="00C0477E">
        <w:rPr>
          <w:rFonts w:cstheme="minorHAnsi"/>
        </w:rPr>
        <w:t>stakeholder dialogue</w:t>
      </w:r>
      <w:r>
        <w:rPr>
          <w:rFonts w:cstheme="minorHAnsi"/>
        </w:rPr>
        <w:t xml:space="preserve"> on</w:t>
      </w:r>
      <w:r w:rsidR="00C7723F" w:rsidRPr="00C0477E">
        <w:rPr>
          <w:rFonts w:cstheme="minorHAnsi"/>
        </w:rPr>
        <w:t xml:space="preserve"> “Strengthening actions for nature to achieve the SDGs building back greener”.</w:t>
      </w:r>
      <w:r w:rsidR="00E4253B">
        <w:rPr>
          <w:rFonts w:cstheme="minorHAnsi"/>
        </w:rPr>
        <w:t xml:space="preserve"> </w:t>
      </w:r>
      <w:r w:rsidR="00E26FCB" w:rsidRPr="00C0477E">
        <w:rPr>
          <w:rFonts w:cstheme="minorHAnsi"/>
        </w:rPr>
        <w:t xml:space="preserve">The Secretary General also </w:t>
      </w:r>
      <w:r w:rsidR="00B92B90" w:rsidRPr="00C0477E">
        <w:rPr>
          <w:rFonts w:cstheme="minorHAnsi"/>
        </w:rPr>
        <w:t>delivered a statement at</w:t>
      </w:r>
      <w:r w:rsidR="00E26FCB" w:rsidRPr="00C0477E">
        <w:rPr>
          <w:rFonts w:cstheme="minorHAnsi"/>
        </w:rPr>
        <w:t xml:space="preserve"> UNEP@50</w:t>
      </w:r>
      <w:r w:rsidR="00B14C9A" w:rsidRPr="00C0477E">
        <w:rPr>
          <w:rFonts w:cstheme="minorHAnsi"/>
        </w:rPr>
        <w:t xml:space="preserve"> </w:t>
      </w:r>
      <w:r>
        <w:rPr>
          <w:rFonts w:cstheme="minorHAnsi"/>
        </w:rPr>
        <w:t>in</w:t>
      </w:r>
      <w:r w:rsidR="00E26FCB" w:rsidRPr="00C0477E">
        <w:rPr>
          <w:rFonts w:cstheme="minorHAnsi"/>
        </w:rPr>
        <w:t xml:space="preserve"> March 2022</w:t>
      </w:r>
      <w:r w:rsidR="00B92B90" w:rsidRPr="00C0477E">
        <w:rPr>
          <w:rFonts w:cstheme="minorHAnsi"/>
        </w:rPr>
        <w:t xml:space="preserve"> and participated</w:t>
      </w:r>
      <w:r w:rsidR="00665625" w:rsidRPr="00C0477E">
        <w:rPr>
          <w:rFonts w:cstheme="minorHAnsi"/>
        </w:rPr>
        <w:t xml:space="preserve"> </w:t>
      </w:r>
      <w:r w:rsidR="00C7723F" w:rsidRPr="00C0477E">
        <w:rPr>
          <w:rFonts w:cstheme="minorHAnsi"/>
        </w:rPr>
        <w:t xml:space="preserve">in the </w:t>
      </w:r>
      <w:r w:rsidRPr="00C0477E">
        <w:rPr>
          <w:rFonts w:cstheme="minorHAnsi"/>
        </w:rPr>
        <w:t>multi</w:t>
      </w:r>
      <w:r>
        <w:rPr>
          <w:rFonts w:cstheme="minorHAnsi"/>
        </w:rPr>
        <w:t>-</w:t>
      </w:r>
      <w:r w:rsidR="00C7723F" w:rsidRPr="00C0477E">
        <w:rPr>
          <w:rFonts w:cstheme="minorHAnsi"/>
        </w:rPr>
        <w:t xml:space="preserve">stakeholder dialogue </w:t>
      </w:r>
      <w:r>
        <w:rPr>
          <w:rFonts w:cstheme="minorHAnsi"/>
        </w:rPr>
        <w:t xml:space="preserve">on </w:t>
      </w:r>
      <w:r w:rsidR="00C7723F" w:rsidRPr="00C0477E">
        <w:rPr>
          <w:rFonts w:cstheme="minorHAnsi"/>
        </w:rPr>
        <w:t>“</w:t>
      </w:r>
      <w:r w:rsidR="00665625" w:rsidRPr="00C0477E">
        <w:rPr>
          <w:rFonts w:cstheme="minorHAnsi"/>
        </w:rPr>
        <w:t xml:space="preserve">Strengthening UNEP for the implementation of the environmental dimension of </w:t>
      </w:r>
      <w:r w:rsidR="001137FD">
        <w:rPr>
          <w:rFonts w:cstheme="minorHAnsi"/>
        </w:rPr>
        <w:t xml:space="preserve">the </w:t>
      </w:r>
      <w:r w:rsidR="00665625" w:rsidRPr="00C0477E">
        <w:rPr>
          <w:rFonts w:cstheme="minorHAnsi"/>
        </w:rPr>
        <w:t>2030 agenda</w:t>
      </w:r>
      <w:r w:rsidR="00C7723F" w:rsidRPr="00C0477E">
        <w:rPr>
          <w:rFonts w:cstheme="minorHAnsi"/>
        </w:rPr>
        <w:t xml:space="preserve"> for sustainable development”</w:t>
      </w:r>
      <w:r w:rsidR="00E26FCB" w:rsidRPr="00C0477E">
        <w:rPr>
          <w:rFonts w:cstheme="minorHAnsi"/>
        </w:rPr>
        <w:t>.</w:t>
      </w:r>
    </w:p>
    <w:p w14:paraId="7AE73606" w14:textId="77777777" w:rsidR="00DF2C21" w:rsidRPr="00C0477E" w:rsidRDefault="00DF2C21" w:rsidP="00FA12DB">
      <w:pPr>
        <w:ind w:left="426"/>
        <w:rPr>
          <w:rFonts w:cstheme="minorHAnsi"/>
        </w:rPr>
      </w:pPr>
    </w:p>
    <w:p w14:paraId="13108AD4" w14:textId="682A1497" w:rsidR="008365FC" w:rsidRPr="00C0477E" w:rsidRDefault="002E05B7" w:rsidP="00FA12DB">
      <w:pPr>
        <w:ind w:left="426"/>
        <w:rPr>
          <w:rFonts w:cstheme="minorHAnsi"/>
          <w:lang w:val="en-US"/>
        </w:rPr>
      </w:pPr>
      <w:r>
        <w:rPr>
          <w:rFonts w:cstheme="minorHAnsi"/>
        </w:rPr>
        <w:t>37</w:t>
      </w:r>
      <w:r w:rsidR="005D05E1" w:rsidRPr="00C0477E">
        <w:rPr>
          <w:rFonts w:cstheme="minorHAnsi"/>
        </w:rPr>
        <w:t>.</w:t>
      </w:r>
      <w:r w:rsidR="00E5579C" w:rsidRPr="00C0477E">
        <w:rPr>
          <w:rFonts w:cstheme="minorHAnsi"/>
        </w:rPr>
        <w:tab/>
      </w:r>
      <w:r w:rsidR="008365FC" w:rsidRPr="00C0477E">
        <w:rPr>
          <w:rFonts w:cstheme="minorHAnsi"/>
          <w:lang w:val="en-US"/>
        </w:rPr>
        <w:t xml:space="preserve">As a Global Partner of the UN Decade on Ecosystem Restoration, the Secretariat </w:t>
      </w:r>
      <w:r>
        <w:rPr>
          <w:rFonts w:cstheme="minorHAnsi"/>
          <w:lang w:val="en-US"/>
        </w:rPr>
        <w:t xml:space="preserve">has </w:t>
      </w:r>
      <w:r w:rsidRPr="00C0477E">
        <w:rPr>
          <w:rFonts w:cstheme="minorHAnsi"/>
          <w:lang w:val="en-US"/>
        </w:rPr>
        <w:t>continue</w:t>
      </w:r>
      <w:r>
        <w:rPr>
          <w:rFonts w:cstheme="minorHAnsi"/>
          <w:lang w:val="en-US"/>
        </w:rPr>
        <w:t>d</w:t>
      </w:r>
      <w:r w:rsidRPr="00C0477E">
        <w:rPr>
          <w:rFonts w:cstheme="minorHAnsi"/>
          <w:lang w:val="en-US"/>
        </w:rPr>
        <w:t xml:space="preserve"> </w:t>
      </w:r>
      <w:r w:rsidR="008365FC" w:rsidRPr="00C0477E">
        <w:rPr>
          <w:rFonts w:cstheme="minorHAnsi"/>
          <w:lang w:val="en-US"/>
        </w:rPr>
        <w:t xml:space="preserve">to actively engage in this agenda and the task forces of the aquatic and transitional ecosystems monitoring and evaluation framework and best practices. These engagements informed the consideration of SDG 6 Indicator 6.6.1 for which the Convention is co-custodian and various targets of the Convention’s fourth Strategic Plan as priority indicators of the UN Decade’s monitoring framework. To mark the opening of the UN Decade </w:t>
      </w:r>
      <w:r>
        <w:rPr>
          <w:rFonts w:cstheme="minorHAnsi"/>
          <w:lang w:val="en-US"/>
        </w:rPr>
        <w:t>in</w:t>
      </w:r>
      <w:r w:rsidR="008365FC" w:rsidRPr="00C0477E">
        <w:rPr>
          <w:rFonts w:cstheme="minorHAnsi"/>
          <w:lang w:val="en-US"/>
        </w:rPr>
        <w:t xml:space="preserve"> June 2021, the Secretariat produced </w:t>
      </w:r>
      <w:r w:rsidRPr="002E05B7">
        <w:rPr>
          <w:rFonts w:cstheme="minorHAnsi"/>
          <w:lang w:val="en-US"/>
        </w:rPr>
        <w:t>three fact sheets</w:t>
      </w:r>
      <w:r>
        <w:rPr>
          <w:rStyle w:val="FootnoteReference"/>
          <w:rFonts w:cstheme="minorHAnsi"/>
          <w:lang w:val="en-US"/>
        </w:rPr>
        <w:footnoteReference w:id="4"/>
      </w:r>
      <w:r w:rsidR="008365FC" w:rsidRPr="00C0477E">
        <w:rPr>
          <w:rFonts w:cstheme="minorHAnsi"/>
          <w:lang w:val="en-US"/>
        </w:rPr>
        <w:t xml:space="preserve"> highlighting the untapped potential of wetlands to assist restoration efforts by Contracting Parties, policy makers and practitioners.</w:t>
      </w:r>
    </w:p>
    <w:p w14:paraId="7CAAAA39" w14:textId="77777777" w:rsidR="008365FC" w:rsidRPr="00C0477E" w:rsidRDefault="008365FC" w:rsidP="005948F3">
      <w:pPr>
        <w:rPr>
          <w:rFonts w:cstheme="minorHAnsi"/>
          <w:lang w:val="en-US"/>
        </w:rPr>
      </w:pPr>
    </w:p>
    <w:p w14:paraId="3A514A4A" w14:textId="3A83EE13" w:rsidR="008365FC" w:rsidRPr="00C0477E" w:rsidRDefault="002E05B7" w:rsidP="00FA12DB">
      <w:pPr>
        <w:ind w:left="426"/>
        <w:rPr>
          <w:rFonts w:cstheme="minorHAnsi"/>
          <w:lang w:val="en-US"/>
        </w:rPr>
      </w:pPr>
      <w:r>
        <w:rPr>
          <w:rFonts w:cstheme="minorHAnsi"/>
          <w:lang w:val="en-US"/>
        </w:rPr>
        <w:t>38</w:t>
      </w:r>
      <w:r w:rsidR="008365FC" w:rsidRPr="00C0477E">
        <w:rPr>
          <w:rFonts w:cstheme="minorHAnsi"/>
          <w:lang w:val="en-US"/>
        </w:rPr>
        <w:t>.</w:t>
      </w:r>
      <w:r w:rsidR="008365FC" w:rsidRPr="00C0477E">
        <w:rPr>
          <w:rFonts w:cstheme="minorHAnsi"/>
          <w:lang w:val="en-US"/>
        </w:rPr>
        <w:tab/>
        <w:t>The Secretar</w:t>
      </w:r>
      <w:r w:rsidR="003F4AEB" w:rsidRPr="00C0477E">
        <w:rPr>
          <w:rFonts w:cstheme="minorHAnsi"/>
          <w:lang w:val="en-US"/>
        </w:rPr>
        <w:t xml:space="preserve">y General and Secretariat staff </w:t>
      </w:r>
      <w:r w:rsidR="008365FC" w:rsidRPr="00C0477E">
        <w:rPr>
          <w:rFonts w:cstheme="minorHAnsi"/>
          <w:lang w:val="en-US"/>
        </w:rPr>
        <w:t>participated in the IUCN World Conservation Congress</w:t>
      </w:r>
      <w:r w:rsidR="006B5736" w:rsidRPr="00C0477E">
        <w:rPr>
          <w:rFonts w:cstheme="minorHAnsi"/>
          <w:lang w:val="en-US"/>
        </w:rPr>
        <w:t xml:space="preserve"> in September 2021</w:t>
      </w:r>
      <w:r w:rsidR="008365FC" w:rsidRPr="00C0477E">
        <w:rPr>
          <w:rFonts w:cstheme="minorHAnsi"/>
          <w:lang w:val="en-US"/>
        </w:rPr>
        <w:t>, including in dialogues relating to biodiversity and the formation of the emerging Post-2020 Global Biodiversity Framework</w:t>
      </w:r>
      <w:r w:rsidR="003F4AEB" w:rsidRPr="00C0477E">
        <w:rPr>
          <w:rFonts w:cstheme="minorHAnsi"/>
          <w:lang w:val="en-US"/>
        </w:rPr>
        <w:t xml:space="preserve">. </w:t>
      </w:r>
      <w:r>
        <w:rPr>
          <w:rFonts w:cstheme="minorHAnsi"/>
          <w:lang w:val="en-US"/>
        </w:rPr>
        <w:t>H</w:t>
      </w:r>
      <w:r w:rsidR="003F4AEB" w:rsidRPr="00C0477E">
        <w:rPr>
          <w:rFonts w:cstheme="minorHAnsi"/>
          <w:lang w:val="en-US"/>
        </w:rPr>
        <w:t>ighlights include</w:t>
      </w:r>
      <w:r>
        <w:rPr>
          <w:rFonts w:cstheme="minorHAnsi"/>
          <w:lang w:val="en-US"/>
        </w:rPr>
        <w:t>d</w:t>
      </w:r>
      <w:r w:rsidR="003F4AEB" w:rsidRPr="00C0477E">
        <w:rPr>
          <w:rFonts w:cstheme="minorHAnsi"/>
          <w:lang w:val="en-US"/>
        </w:rPr>
        <w:t xml:space="preserve"> the participation</w:t>
      </w:r>
      <w:r w:rsidR="00E4253B">
        <w:rPr>
          <w:rFonts w:cstheme="minorHAnsi"/>
          <w:lang w:val="en-US"/>
        </w:rPr>
        <w:t xml:space="preserve"> </w:t>
      </w:r>
      <w:r w:rsidR="003F4AEB" w:rsidRPr="00C0477E">
        <w:rPr>
          <w:rFonts w:cstheme="minorHAnsi"/>
          <w:lang w:val="en-US"/>
        </w:rPr>
        <w:t>of the Secretary General as speaker</w:t>
      </w:r>
      <w:r>
        <w:rPr>
          <w:rFonts w:cstheme="minorHAnsi"/>
          <w:lang w:val="en-US"/>
        </w:rPr>
        <w:t>:</w:t>
      </w:r>
      <w:r w:rsidR="003F4AEB" w:rsidRPr="00C0477E">
        <w:rPr>
          <w:rFonts w:cstheme="minorHAnsi"/>
          <w:lang w:val="en-US"/>
        </w:rPr>
        <w:t xml:space="preserve"> in the</w:t>
      </w:r>
      <w:r w:rsidR="00E4253B">
        <w:rPr>
          <w:rFonts w:cstheme="minorHAnsi"/>
          <w:lang w:val="en-US"/>
        </w:rPr>
        <w:t xml:space="preserve"> </w:t>
      </w:r>
      <w:r w:rsidRPr="00C0477E">
        <w:rPr>
          <w:rFonts w:cstheme="minorHAnsi"/>
          <w:lang w:val="en-US"/>
        </w:rPr>
        <w:t>opening plenary</w:t>
      </w:r>
      <w:r>
        <w:rPr>
          <w:rFonts w:cstheme="minorHAnsi"/>
          <w:lang w:val="en-US"/>
        </w:rPr>
        <w:t xml:space="preserve"> on</w:t>
      </w:r>
      <w:r w:rsidR="008365FC" w:rsidRPr="00C0477E">
        <w:rPr>
          <w:rFonts w:cstheme="minorHAnsi"/>
          <w:lang w:val="en-US"/>
        </w:rPr>
        <w:t xml:space="preserve"> “Our Freshwater Global Risk: Taking Actions to Reverse the Trend”</w:t>
      </w:r>
      <w:r>
        <w:rPr>
          <w:rFonts w:cstheme="minorHAnsi"/>
          <w:lang w:val="en-US"/>
        </w:rPr>
        <w:t xml:space="preserve">; </w:t>
      </w:r>
      <w:r w:rsidR="003F4AEB" w:rsidRPr="00C0477E">
        <w:rPr>
          <w:rFonts w:cstheme="minorHAnsi"/>
          <w:lang w:val="en-US"/>
        </w:rPr>
        <w:t>in the c</w:t>
      </w:r>
      <w:r w:rsidR="008365FC" w:rsidRPr="00C0477E">
        <w:rPr>
          <w:rFonts w:cstheme="minorHAnsi"/>
          <w:lang w:val="en-US"/>
        </w:rPr>
        <w:t xml:space="preserve">losing </w:t>
      </w:r>
      <w:r w:rsidRPr="00C0477E">
        <w:rPr>
          <w:rFonts w:cstheme="minorHAnsi"/>
          <w:lang w:val="en-US"/>
        </w:rPr>
        <w:t>plenary</w:t>
      </w:r>
      <w:r>
        <w:rPr>
          <w:rFonts w:cstheme="minorHAnsi"/>
          <w:lang w:val="en-US"/>
        </w:rPr>
        <w:t xml:space="preserve"> on</w:t>
      </w:r>
      <w:r w:rsidR="008365FC" w:rsidRPr="00C0477E">
        <w:rPr>
          <w:rFonts w:cstheme="minorHAnsi"/>
          <w:lang w:val="en-US"/>
        </w:rPr>
        <w:t xml:space="preserve"> “A blue breakthrough”</w:t>
      </w:r>
      <w:r>
        <w:rPr>
          <w:rFonts w:cstheme="minorHAnsi"/>
          <w:lang w:val="en-US"/>
        </w:rPr>
        <w:t>;</w:t>
      </w:r>
      <w:r w:rsidR="00E4253B">
        <w:rPr>
          <w:rFonts w:cstheme="minorHAnsi"/>
          <w:lang w:val="en-US"/>
        </w:rPr>
        <w:t xml:space="preserve"> </w:t>
      </w:r>
      <w:r w:rsidR="008365FC" w:rsidRPr="00C0477E">
        <w:rPr>
          <w:rFonts w:cstheme="minorHAnsi"/>
          <w:lang w:val="en-US"/>
        </w:rPr>
        <w:t xml:space="preserve">in </w:t>
      </w:r>
      <w:r w:rsidR="003F4AEB" w:rsidRPr="00C0477E">
        <w:rPr>
          <w:rFonts w:cstheme="minorHAnsi"/>
          <w:lang w:val="en-US"/>
        </w:rPr>
        <w:t>the</w:t>
      </w:r>
      <w:r w:rsidR="00E4253B">
        <w:rPr>
          <w:rFonts w:cstheme="minorHAnsi"/>
          <w:lang w:val="en-US"/>
        </w:rPr>
        <w:t xml:space="preserve"> </w:t>
      </w:r>
      <w:r w:rsidR="008365FC" w:rsidRPr="00C0477E">
        <w:rPr>
          <w:rFonts w:cstheme="minorHAnsi"/>
          <w:lang w:val="en-US"/>
        </w:rPr>
        <w:t>session</w:t>
      </w:r>
      <w:r>
        <w:rPr>
          <w:rFonts w:cstheme="minorHAnsi"/>
          <w:lang w:val="en-US"/>
        </w:rPr>
        <w:t>s</w:t>
      </w:r>
      <w:r w:rsidR="008365FC" w:rsidRPr="00C0477E">
        <w:rPr>
          <w:rFonts w:cstheme="minorHAnsi"/>
          <w:lang w:val="en-US"/>
        </w:rPr>
        <w:t xml:space="preserve"> </w:t>
      </w:r>
      <w:r>
        <w:rPr>
          <w:rFonts w:cstheme="minorHAnsi"/>
          <w:lang w:val="en-US"/>
        </w:rPr>
        <w:t xml:space="preserve">on </w:t>
      </w:r>
      <w:r w:rsidR="008365FC" w:rsidRPr="00C0477E">
        <w:rPr>
          <w:rFonts w:cstheme="minorHAnsi"/>
          <w:lang w:val="en-US"/>
        </w:rPr>
        <w:t>“Post-2020 Global Biodiversity Framework: a Recipe for Success”</w:t>
      </w:r>
      <w:r>
        <w:rPr>
          <w:rFonts w:cstheme="minorHAnsi"/>
          <w:lang w:val="en-US"/>
        </w:rPr>
        <w:t xml:space="preserve"> and on </w:t>
      </w:r>
      <w:r w:rsidR="003F4AEB" w:rsidRPr="00C0477E">
        <w:rPr>
          <w:rFonts w:cstheme="minorHAnsi"/>
          <w:lang w:val="en-US"/>
        </w:rPr>
        <w:t xml:space="preserve">“Deep Time 2029: What must we do now in 2021, to successfully address the Nature Emergency by </w:t>
      </w:r>
      <w:r w:rsidR="003F4AEB" w:rsidRPr="00C0477E">
        <w:rPr>
          <w:rFonts w:cstheme="minorHAnsi"/>
          <w:lang w:val="en-US"/>
        </w:rPr>
        <w:lastRenderedPageBreak/>
        <w:t>2050?”</w:t>
      </w:r>
      <w:r>
        <w:rPr>
          <w:rFonts w:cstheme="minorHAnsi"/>
          <w:lang w:val="en-US"/>
        </w:rPr>
        <w:t>;</w:t>
      </w:r>
      <w:r w:rsidR="00A9782D" w:rsidRPr="00C0477E">
        <w:rPr>
          <w:rFonts w:cstheme="minorHAnsi"/>
          <w:lang w:val="en-US"/>
        </w:rPr>
        <w:t xml:space="preserve"> in the event</w:t>
      </w:r>
      <w:r>
        <w:rPr>
          <w:rFonts w:cstheme="minorHAnsi"/>
          <w:lang w:val="en-US"/>
        </w:rPr>
        <w:t xml:space="preserve"> on</w:t>
      </w:r>
      <w:r w:rsidR="00A9782D" w:rsidRPr="00C0477E">
        <w:rPr>
          <w:rFonts w:cstheme="minorHAnsi"/>
          <w:lang w:val="en-US"/>
        </w:rPr>
        <w:t xml:space="preserve"> “IUCN Global Species Action Plan: supporting implementation of the Post-2020 Global Biodiversity Framework through species conservation”</w:t>
      </w:r>
      <w:r>
        <w:rPr>
          <w:rFonts w:cstheme="minorHAnsi"/>
          <w:lang w:val="en-US"/>
        </w:rPr>
        <w:t>;</w:t>
      </w:r>
      <w:r w:rsidR="00A9782D" w:rsidRPr="00C0477E">
        <w:rPr>
          <w:rFonts w:cstheme="minorHAnsi"/>
          <w:lang w:val="en-US"/>
        </w:rPr>
        <w:t xml:space="preserve"> and </w:t>
      </w:r>
      <w:r w:rsidR="008365FC" w:rsidRPr="00C0477E">
        <w:rPr>
          <w:rFonts w:cstheme="minorHAnsi"/>
          <w:lang w:val="en-US"/>
        </w:rPr>
        <w:t>in a high-level roundtable organized by the Ministère de l’Écologie of France exploring how France and the EU can further scale wetlands actions. She presented the French delegation with a certificate to mark the designation of France’s latest Wetland of International Importance (Ramsar Site), Baie d’Audierne.</w:t>
      </w:r>
    </w:p>
    <w:p w14:paraId="5B9BBCD7" w14:textId="77777777" w:rsidR="008365FC" w:rsidRPr="00C0477E" w:rsidRDefault="008365FC" w:rsidP="00FA12DB">
      <w:pPr>
        <w:ind w:left="426"/>
        <w:rPr>
          <w:rFonts w:cstheme="minorHAnsi"/>
          <w:lang w:val="en-US"/>
        </w:rPr>
      </w:pPr>
    </w:p>
    <w:p w14:paraId="00A87AA5" w14:textId="57C948FB" w:rsidR="008365FC" w:rsidRPr="00C0477E" w:rsidRDefault="0078436C" w:rsidP="0050301F">
      <w:pPr>
        <w:ind w:left="426" w:hanging="426"/>
        <w:rPr>
          <w:rFonts w:cstheme="minorHAnsi"/>
          <w:lang w:val="en-US"/>
        </w:rPr>
      </w:pPr>
      <w:r>
        <w:rPr>
          <w:rFonts w:cstheme="minorHAnsi"/>
        </w:rPr>
        <w:t>39.</w:t>
      </w:r>
      <w:r w:rsidR="008365FC" w:rsidRPr="00C0477E">
        <w:rPr>
          <w:rFonts w:cstheme="minorHAnsi"/>
        </w:rPr>
        <w:tab/>
      </w:r>
      <w:r w:rsidR="01146BA0" w:rsidRPr="00C0477E">
        <w:rPr>
          <w:rFonts w:cstheme="minorHAnsi"/>
          <w:lang w:val="en-US"/>
        </w:rPr>
        <w:t xml:space="preserve">Secretariat staff also made contributions </w:t>
      </w:r>
      <w:r w:rsidR="00082A98" w:rsidRPr="00C0477E">
        <w:rPr>
          <w:rFonts w:cstheme="minorHAnsi"/>
          <w:lang w:val="en-US"/>
        </w:rPr>
        <w:t>as speakers or pane</w:t>
      </w:r>
      <w:r w:rsidR="00081E33">
        <w:rPr>
          <w:rFonts w:cstheme="minorHAnsi"/>
          <w:lang w:val="en-US"/>
        </w:rPr>
        <w:t>l</w:t>
      </w:r>
      <w:r w:rsidR="00082A98" w:rsidRPr="00C0477E">
        <w:rPr>
          <w:rFonts w:cstheme="minorHAnsi"/>
          <w:lang w:val="en-US"/>
        </w:rPr>
        <w:t xml:space="preserve">lists </w:t>
      </w:r>
      <w:r w:rsidR="01146BA0" w:rsidRPr="00C0477E">
        <w:rPr>
          <w:rFonts w:cstheme="minorHAnsi"/>
          <w:lang w:val="en-US"/>
        </w:rPr>
        <w:t>to numerous other events including: “The Global Biodiversity Framework and freshwater ecosystems: Moving to implementation”; “Protecting aquascapes: integrating freshwater, estuarine and marine conservation”; “Partners for Wetlands’ Decade for Wetland Restoration”; and “Development of a global wetland training facility”.</w:t>
      </w:r>
    </w:p>
    <w:p w14:paraId="5A75CD0E" w14:textId="77777777" w:rsidR="008365FC" w:rsidRPr="00C0477E" w:rsidRDefault="008365FC" w:rsidP="00FA12DB">
      <w:pPr>
        <w:ind w:left="426"/>
        <w:rPr>
          <w:rFonts w:cstheme="minorHAnsi"/>
          <w:lang w:val="en-US"/>
        </w:rPr>
      </w:pPr>
    </w:p>
    <w:p w14:paraId="74486601" w14:textId="5E4FFA1E" w:rsidR="00034773" w:rsidRPr="00C0477E" w:rsidRDefault="0078436C" w:rsidP="00FA12DB">
      <w:pPr>
        <w:ind w:left="426"/>
        <w:rPr>
          <w:rFonts w:cstheme="minorHAnsi"/>
        </w:rPr>
      </w:pPr>
      <w:r>
        <w:rPr>
          <w:rFonts w:cstheme="minorHAnsi"/>
          <w:lang w:val="en-US"/>
        </w:rPr>
        <w:t>40</w:t>
      </w:r>
      <w:r w:rsidR="008365FC" w:rsidRPr="00C0477E">
        <w:rPr>
          <w:rFonts w:cstheme="minorHAnsi"/>
          <w:lang w:val="en-US"/>
        </w:rPr>
        <w:t>.</w:t>
      </w:r>
      <w:r w:rsidR="008365FC" w:rsidRPr="00C0477E">
        <w:rPr>
          <w:rFonts w:cstheme="minorHAnsi"/>
          <w:lang w:val="en-US"/>
        </w:rPr>
        <w:tab/>
        <w:t xml:space="preserve">The Secretariat remains </w:t>
      </w:r>
      <w:r w:rsidR="008365FC" w:rsidRPr="00C0477E">
        <w:rPr>
          <w:rFonts w:cstheme="minorHAnsi"/>
        </w:rPr>
        <w:t xml:space="preserve">committed to advancing SDG 5 </w:t>
      </w:r>
      <w:r w:rsidR="00082A98">
        <w:t>“</w:t>
      </w:r>
      <w:r w:rsidR="00082A98" w:rsidRPr="00082A98">
        <w:rPr>
          <w:rFonts w:cstheme="minorHAnsi"/>
        </w:rPr>
        <w:t>Achieve gender equality and empower all women and girls</w:t>
      </w:r>
      <w:r w:rsidR="00082A98">
        <w:rPr>
          <w:rFonts w:cstheme="minorHAnsi"/>
        </w:rPr>
        <w:t>”</w:t>
      </w:r>
      <w:r w:rsidR="008365FC" w:rsidRPr="00C0477E">
        <w:rPr>
          <w:rFonts w:cstheme="minorHAnsi"/>
        </w:rPr>
        <w:t xml:space="preserve"> and mainstreaming gender considerations across the activities and meetings of the Convention. </w:t>
      </w:r>
    </w:p>
    <w:p w14:paraId="187E2A74" w14:textId="77777777" w:rsidR="00034773" w:rsidRPr="00C0477E" w:rsidRDefault="00034773" w:rsidP="005948F3">
      <w:pPr>
        <w:ind w:left="0" w:firstLine="0"/>
        <w:rPr>
          <w:rFonts w:cstheme="minorHAnsi"/>
        </w:rPr>
      </w:pPr>
    </w:p>
    <w:p w14:paraId="3B2F61CF" w14:textId="1D94251F" w:rsidR="00034773" w:rsidRPr="00C0477E" w:rsidRDefault="00912A46" w:rsidP="00FA12DB">
      <w:pPr>
        <w:pStyle w:val="ListParagraph"/>
        <w:numPr>
          <w:ilvl w:val="0"/>
          <w:numId w:val="21"/>
        </w:numPr>
        <w:ind w:left="851" w:hanging="425"/>
        <w:rPr>
          <w:rFonts w:cstheme="minorHAnsi"/>
          <w:lang w:val="en-US"/>
        </w:rPr>
      </w:pPr>
      <w:r w:rsidRPr="00C0477E">
        <w:rPr>
          <w:rFonts w:cstheme="minorHAnsi"/>
          <w:lang w:val="en-US"/>
        </w:rPr>
        <w:t>In</w:t>
      </w:r>
      <w:r w:rsidR="00B96641" w:rsidRPr="00C0477E">
        <w:rPr>
          <w:rFonts w:cstheme="minorHAnsi"/>
          <w:lang w:val="en-US"/>
        </w:rPr>
        <w:t xml:space="preserve"> February</w:t>
      </w:r>
      <w:r w:rsidRPr="00C0477E">
        <w:rPr>
          <w:rFonts w:cstheme="minorHAnsi"/>
          <w:lang w:val="en-US"/>
        </w:rPr>
        <w:t xml:space="preserve"> 2021</w:t>
      </w:r>
      <w:r w:rsidR="005B63AF" w:rsidRPr="00C0477E">
        <w:rPr>
          <w:rFonts w:cstheme="minorHAnsi"/>
          <w:lang w:val="en-US"/>
        </w:rPr>
        <w:t>,</w:t>
      </w:r>
      <w:r w:rsidRPr="00C0477E">
        <w:rPr>
          <w:rFonts w:cstheme="minorHAnsi"/>
          <w:lang w:val="en-US"/>
        </w:rPr>
        <w:t xml:space="preserve"> t</w:t>
      </w:r>
      <w:r w:rsidR="00034773" w:rsidRPr="00C0477E">
        <w:rPr>
          <w:rFonts w:cstheme="minorHAnsi"/>
          <w:lang w:val="en-US"/>
        </w:rPr>
        <w:t xml:space="preserve">he Secretariat </w:t>
      </w:r>
      <w:r w:rsidR="0046120A" w:rsidRPr="00C0477E">
        <w:rPr>
          <w:rFonts w:cstheme="minorHAnsi"/>
          <w:lang w:val="en-US"/>
        </w:rPr>
        <w:t>published</w:t>
      </w:r>
      <w:r w:rsidR="00034773" w:rsidRPr="00C0477E">
        <w:rPr>
          <w:rFonts w:cstheme="minorHAnsi"/>
          <w:lang w:val="en-US"/>
        </w:rPr>
        <w:t xml:space="preserve"> guidelines </w:t>
      </w:r>
      <w:r w:rsidR="00F55441" w:rsidRPr="00C0477E">
        <w:rPr>
          <w:rFonts w:cstheme="minorHAnsi"/>
          <w:lang w:val="en-US"/>
        </w:rPr>
        <w:t xml:space="preserve">with supporting case studies </w:t>
      </w:r>
      <w:r w:rsidR="00034773" w:rsidRPr="00C0477E">
        <w:rPr>
          <w:rFonts w:cstheme="minorHAnsi"/>
          <w:lang w:val="en-US"/>
        </w:rPr>
        <w:t xml:space="preserve">to assist Contracting Parties to mainstream gender in their work in wetland conservation and wise use in support of implementation of Resolution XIII.18 on </w:t>
      </w:r>
      <w:r w:rsidR="00034773" w:rsidRPr="00C0477E">
        <w:rPr>
          <w:rFonts w:cstheme="minorHAnsi"/>
          <w:i/>
          <w:lang w:val="en-US"/>
        </w:rPr>
        <w:t>Gender and wetlands</w:t>
      </w:r>
      <w:r w:rsidR="0011590B" w:rsidRPr="00C0477E">
        <w:rPr>
          <w:rStyle w:val="FootnoteReference"/>
          <w:rFonts w:cstheme="minorHAnsi"/>
          <w:lang w:val="en-US"/>
        </w:rPr>
        <w:footnoteReference w:id="5"/>
      </w:r>
      <w:r w:rsidR="00034773" w:rsidRPr="00C0477E">
        <w:rPr>
          <w:rFonts w:cstheme="minorHAnsi"/>
          <w:lang w:val="en-US"/>
        </w:rPr>
        <w:t xml:space="preserve">. </w:t>
      </w:r>
      <w:r w:rsidR="00A9782D" w:rsidRPr="00C0477E">
        <w:rPr>
          <w:rFonts w:cstheme="minorHAnsi"/>
        </w:rPr>
        <w:t xml:space="preserve">Contracting Parties are reminded that the </w:t>
      </w:r>
      <w:r w:rsidR="009E7416">
        <w:rPr>
          <w:rFonts w:cstheme="minorHAnsi"/>
          <w:lang w:val="en-US"/>
        </w:rPr>
        <w:t>guidelines are</w:t>
      </w:r>
      <w:r w:rsidR="00A9782D" w:rsidRPr="00C0477E">
        <w:rPr>
          <w:rFonts w:cstheme="minorHAnsi"/>
          <w:lang w:val="en-US"/>
        </w:rPr>
        <w:t xml:space="preserve"> available in three languages on the Convention website.</w:t>
      </w:r>
      <w:r w:rsidR="00A9782D" w:rsidRPr="00C0477E">
        <w:rPr>
          <w:rStyle w:val="FootnoteReference"/>
          <w:rFonts w:cstheme="minorHAnsi"/>
          <w:lang w:val="en-US"/>
        </w:rPr>
        <w:footnoteReference w:id="6"/>
      </w:r>
    </w:p>
    <w:p w14:paraId="23C8087C" w14:textId="77777777" w:rsidR="00034773" w:rsidRPr="005948F3" w:rsidRDefault="00034773" w:rsidP="005948F3">
      <w:pPr>
        <w:rPr>
          <w:rFonts w:cstheme="minorHAnsi"/>
        </w:rPr>
      </w:pPr>
    </w:p>
    <w:p w14:paraId="4BFA3F0F" w14:textId="3268905E" w:rsidR="008365FC" w:rsidRPr="004715D0" w:rsidRDefault="004715D0" w:rsidP="00FA12DB">
      <w:pPr>
        <w:pStyle w:val="ListParagraph"/>
        <w:numPr>
          <w:ilvl w:val="0"/>
          <w:numId w:val="21"/>
        </w:numPr>
        <w:ind w:left="851" w:hanging="425"/>
        <w:rPr>
          <w:rFonts w:cstheme="minorHAnsi"/>
        </w:rPr>
      </w:pPr>
      <w:r w:rsidRPr="00C0477E">
        <w:rPr>
          <w:rFonts w:cstheme="minorHAnsi"/>
          <w:lang w:val="en-US"/>
        </w:rPr>
        <w:t>The Secretariat has adjusted its systems to better promote and report on gender balance in the delegations to meetings of governing and subsidiary bodies of the Convention.</w:t>
      </w:r>
      <w:r>
        <w:rPr>
          <w:rFonts w:cstheme="minorHAnsi"/>
          <w:lang w:val="en-US"/>
        </w:rPr>
        <w:t xml:space="preserve"> </w:t>
      </w:r>
      <w:r w:rsidR="008C1E60" w:rsidRPr="00C0477E">
        <w:rPr>
          <w:rFonts w:cstheme="minorHAnsi"/>
        </w:rPr>
        <w:t xml:space="preserve">The </w:t>
      </w:r>
      <w:r w:rsidR="008365FC" w:rsidRPr="00C0477E">
        <w:rPr>
          <w:rFonts w:cstheme="minorHAnsi"/>
        </w:rPr>
        <w:t xml:space="preserve">Secretariat continues to collect data and statistics related to gender representation as part of efforts to monitor progress towards gender parity. Furthermore, the Secretariat whenever relevant reminds Contracting Parties to consider nominating female representatives as part of their delegations. </w:t>
      </w:r>
      <w:r w:rsidR="00A9782D" w:rsidRPr="00C0477E">
        <w:rPr>
          <w:rFonts w:cstheme="minorHAnsi"/>
        </w:rPr>
        <w:t xml:space="preserve">In </w:t>
      </w:r>
      <w:r w:rsidR="00A9782D" w:rsidRPr="004715D0">
        <w:rPr>
          <w:rFonts w:cstheme="minorHAnsi"/>
        </w:rPr>
        <w:t xml:space="preserve">this regard, at </w:t>
      </w:r>
      <w:r w:rsidR="009E7416" w:rsidRPr="004715D0">
        <w:rPr>
          <w:rFonts w:cstheme="minorHAnsi"/>
        </w:rPr>
        <w:t>SC</w:t>
      </w:r>
      <w:r w:rsidR="00A9782D" w:rsidRPr="004715D0">
        <w:rPr>
          <w:rFonts w:cstheme="minorHAnsi"/>
        </w:rPr>
        <w:t>59 in 2021</w:t>
      </w:r>
      <w:r w:rsidR="0003353D" w:rsidRPr="004715D0">
        <w:rPr>
          <w:rFonts w:cstheme="minorHAnsi"/>
        </w:rPr>
        <w:t>,</w:t>
      </w:r>
      <w:r w:rsidR="00A9782D" w:rsidRPr="004715D0">
        <w:rPr>
          <w:rFonts w:cstheme="minorHAnsi"/>
        </w:rPr>
        <w:t xml:space="preserve"> 52% </w:t>
      </w:r>
      <w:r w:rsidR="0003353D" w:rsidRPr="004715D0">
        <w:rPr>
          <w:rFonts w:cstheme="minorHAnsi"/>
        </w:rPr>
        <w:t xml:space="preserve">of the participants </w:t>
      </w:r>
      <w:r w:rsidR="00A9782D" w:rsidRPr="004715D0">
        <w:rPr>
          <w:rFonts w:cstheme="minorHAnsi"/>
        </w:rPr>
        <w:t>were women and 48% m</w:t>
      </w:r>
      <w:r w:rsidR="009E7416" w:rsidRPr="004715D0">
        <w:rPr>
          <w:rFonts w:cstheme="minorHAnsi"/>
        </w:rPr>
        <w:t>e</w:t>
      </w:r>
      <w:r w:rsidR="00A9782D" w:rsidRPr="004715D0">
        <w:rPr>
          <w:rFonts w:cstheme="minorHAnsi"/>
        </w:rPr>
        <w:t>n</w:t>
      </w:r>
      <w:r w:rsidR="0003353D" w:rsidRPr="004715D0">
        <w:rPr>
          <w:rFonts w:cstheme="minorHAnsi"/>
        </w:rPr>
        <w:t xml:space="preserve">. This same trend is observed in other meetings of the Convention such as </w:t>
      </w:r>
      <w:r w:rsidR="00D9510A" w:rsidRPr="004715D0">
        <w:rPr>
          <w:rFonts w:cstheme="minorHAnsi"/>
        </w:rPr>
        <w:t>ExCOP3</w:t>
      </w:r>
      <w:r w:rsidR="00B5291C" w:rsidRPr="004715D0">
        <w:rPr>
          <w:rFonts w:cstheme="minorHAnsi"/>
        </w:rPr>
        <w:t xml:space="preserve"> in 2021 and the </w:t>
      </w:r>
      <w:r w:rsidR="0003353D" w:rsidRPr="004715D0">
        <w:rPr>
          <w:rFonts w:cstheme="minorHAnsi"/>
        </w:rPr>
        <w:t xml:space="preserve">regional meetings </w:t>
      </w:r>
      <w:r w:rsidR="00B5291C" w:rsidRPr="004715D0">
        <w:rPr>
          <w:rFonts w:cstheme="minorHAnsi"/>
        </w:rPr>
        <w:t>in preparation for COP14</w:t>
      </w:r>
      <w:r w:rsidR="00D9510A" w:rsidRPr="004715D0">
        <w:rPr>
          <w:rFonts w:cstheme="minorHAnsi"/>
        </w:rPr>
        <w:t>.</w:t>
      </w:r>
    </w:p>
    <w:p w14:paraId="5A51FD43" w14:textId="77777777" w:rsidR="008365FC" w:rsidRPr="004715D0" w:rsidRDefault="008365FC" w:rsidP="00C0477E">
      <w:pPr>
        <w:ind w:left="0" w:firstLine="0"/>
        <w:rPr>
          <w:rFonts w:cstheme="minorHAnsi"/>
        </w:rPr>
      </w:pPr>
    </w:p>
    <w:p w14:paraId="166DD2E0" w14:textId="73C70CFD" w:rsidR="008365FC" w:rsidRPr="00C0477E" w:rsidRDefault="0078436C" w:rsidP="00FA12DB">
      <w:pPr>
        <w:ind w:left="426"/>
        <w:rPr>
          <w:rFonts w:cstheme="minorHAnsi"/>
          <w:lang w:val="en-US"/>
        </w:rPr>
      </w:pPr>
      <w:r>
        <w:rPr>
          <w:rFonts w:cstheme="minorHAnsi"/>
          <w:lang w:val="en-US"/>
        </w:rPr>
        <w:t>41</w:t>
      </w:r>
      <w:r w:rsidR="008365FC" w:rsidRPr="00C0477E">
        <w:rPr>
          <w:rFonts w:cstheme="minorHAnsi"/>
          <w:lang w:val="en-US"/>
        </w:rPr>
        <w:t>.</w:t>
      </w:r>
      <w:r w:rsidR="008365FC" w:rsidRPr="00C0477E">
        <w:rPr>
          <w:rFonts w:cstheme="minorHAnsi"/>
          <w:lang w:val="en-US"/>
        </w:rPr>
        <w:tab/>
      </w:r>
      <w:r w:rsidR="00E9284C" w:rsidRPr="00C0477E">
        <w:rPr>
          <w:rFonts w:cstheme="minorHAnsi"/>
          <w:lang w:val="en-US"/>
        </w:rPr>
        <w:t>T</w:t>
      </w:r>
      <w:r w:rsidR="008365FC" w:rsidRPr="00C0477E">
        <w:rPr>
          <w:rFonts w:cstheme="minorHAnsi"/>
          <w:lang w:val="en-US"/>
        </w:rPr>
        <w:t xml:space="preserve">he Secretary General </w:t>
      </w:r>
      <w:r w:rsidR="004715D0">
        <w:rPr>
          <w:rFonts w:cstheme="minorHAnsi"/>
          <w:lang w:val="en-US"/>
        </w:rPr>
        <w:t>was</w:t>
      </w:r>
      <w:r w:rsidR="004715D0" w:rsidRPr="00C0477E">
        <w:rPr>
          <w:rFonts w:cstheme="minorHAnsi"/>
          <w:lang w:val="en-US"/>
        </w:rPr>
        <w:t xml:space="preserve"> </w:t>
      </w:r>
      <w:r w:rsidR="008365FC" w:rsidRPr="00C0477E">
        <w:rPr>
          <w:rFonts w:cstheme="minorHAnsi"/>
          <w:lang w:val="en-US"/>
        </w:rPr>
        <w:t xml:space="preserve">one of the International Gender Champions, a network of ambassadors and heads of agencies established initially in Geneva and now active in other cities. The Secretary General implemented her commitment to this initiative throughout the reporting period, and participated in the network’s activities including its annual meeting to review progress during 2021 and priorities for 2022. </w:t>
      </w:r>
    </w:p>
    <w:p w14:paraId="0E3FA58F" w14:textId="77777777" w:rsidR="00332D51" w:rsidRPr="00C0477E" w:rsidRDefault="00332D51" w:rsidP="00FA12DB">
      <w:pPr>
        <w:ind w:left="426"/>
        <w:rPr>
          <w:rFonts w:cstheme="minorHAnsi"/>
          <w:lang w:val="en-US"/>
        </w:rPr>
      </w:pPr>
    </w:p>
    <w:p w14:paraId="4E2FFCE9" w14:textId="54697A9C" w:rsidR="008365FC" w:rsidRPr="00C0477E" w:rsidRDefault="0078436C" w:rsidP="00FA12DB">
      <w:pPr>
        <w:ind w:left="426"/>
        <w:rPr>
          <w:rFonts w:cstheme="minorHAnsi"/>
          <w:lang w:val="en-US"/>
        </w:rPr>
      </w:pPr>
      <w:r>
        <w:rPr>
          <w:rFonts w:cstheme="minorHAnsi"/>
          <w:lang w:val="en-US"/>
        </w:rPr>
        <w:t>42</w:t>
      </w:r>
      <w:r w:rsidR="008365FC" w:rsidRPr="00C0477E">
        <w:rPr>
          <w:rFonts w:cstheme="minorHAnsi"/>
          <w:lang w:val="en-US"/>
        </w:rPr>
        <w:t>.</w:t>
      </w:r>
      <w:r w:rsidR="008365FC" w:rsidRPr="00C0477E">
        <w:rPr>
          <w:rFonts w:cstheme="minorHAnsi"/>
          <w:lang w:val="en-US"/>
        </w:rPr>
        <w:tab/>
        <w:t xml:space="preserve">The Secretariat continues to strengthen its relationship with the Geneva-based Permanent Missions to the United Nations and UN agencies. The Secretariat planned a briefing for the Permanent Missions on the linkages between wetlands and the Post-2020 Global Biodiversity Framework and on important issues </w:t>
      </w:r>
      <w:r w:rsidR="00B5291C" w:rsidRPr="00C0477E">
        <w:rPr>
          <w:rFonts w:cstheme="minorHAnsi"/>
          <w:lang w:val="en-US"/>
        </w:rPr>
        <w:t>on</w:t>
      </w:r>
      <w:r w:rsidR="008365FC" w:rsidRPr="00C0477E">
        <w:rPr>
          <w:rFonts w:cstheme="minorHAnsi"/>
          <w:lang w:val="en-US"/>
        </w:rPr>
        <w:t xml:space="preserve"> COP14. </w:t>
      </w:r>
      <w:r w:rsidR="004715D0">
        <w:rPr>
          <w:rFonts w:cstheme="minorHAnsi"/>
          <w:lang w:val="en-US"/>
        </w:rPr>
        <w:t>However t</w:t>
      </w:r>
      <w:r w:rsidR="008365FC" w:rsidRPr="00C0477E">
        <w:rPr>
          <w:rFonts w:cstheme="minorHAnsi"/>
          <w:lang w:val="en-US"/>
        </w:rPr>
        <w:t>he briefing scheduled for 2021 was cancelled due to the COVID-19 situation. The Secretariat is planning a briefing in 2022 prior to COP14.</w:t>
      </w:r>
    </w:p>
    <w:p w14:paraId="2206434C" w14:textId="77777777" w:rsidR="008365FC" w:rsidRPr="00C0477E" w:rsidRDefault="008365FC" w:rsidP="0050301F">
      <w:pPr>
        <w:rPr>
          <w:rFonts w:cstheme="minorHAnsi"/>
        </w:rPr>
      </w:pPr>
    </w:p>
    <w:p w14:paraId="65508D7A" w14:textId="0C263A52" w:rsidR="008365FC" w:rsidRPr="00C0477E" w:rsidRDefault="0078436C" w:rsidP="00FA12DB">
      <w:pPr>
        <w:ind w:left="426"/>
        <w:rPr>
          <w:rFonts w:cstheme="minorHAnsi"/>
          <w:lang w:val="en-US"/>
        </w:rPr>
      </w:pPr>
      <w:r>
        <w:rPr>
          <w:rFonts w:cstheme="minorHAnsi"/>
          <w:lang w:val="en-US"/>
        </w:rPr>
        <w:lastRenderedPageBreak/>
        <w:t>43</w:t>
      </w:r>
      <w:r w:rsidR="008365FC" w:rsidRPr="00C0477E">
        <w:rPr>
          <w:rFonts w:cstheme="minorHAnsi"/>
          <w:lang w:val="en-US"/>
        </w:rPr>
        <w:t>.</w:t>
      </w:r>
      <w:r w:rsidR="008365FC" w:rsidRPr="00C0477E">
        <w:rPr>
          <w:rFonts w:cstheme="minorHAnsi"/>
          <w:lang w:val="en-US"/>
        </w:rPr>
        <w:tab/>
        <w:t xml:space="preserve">The Secretariat continued to contribute to the InforMEA initiative and participated in the 12th meeting of the InforMEA Steering Committee that took place virtually </w:t>
      </w:r>
      <w:r w:rsidR="004715D0">
        <w:rPr>
          <w:rFonts w:cstheme="minorHAnsi"/>
          <w:lang w:val="en-US"/>
        </w:rPr>
        <w:t>in</w:t>
      </w:r>
      <w:r w:rsidR="008365FC" w:rsidRPr="00C0477E">
        <w:rPr>
          <w:rFonts w:cstheme="minorHAnsi"/>
          <w:lang w:val="en-US"/>
        </w:rPr>
        <w:t xml:space="preserve"> November 2021. The Secretariat contributed on issues including API </w:t>
      </w:r>
      <w:r w:rsidR="004715D0">
        <w:rPr>
          <w:rFonts w:cstheme="minorHAnsi"/>
          <w:lang w:val="en-US"/>
        </w:rPr>
        <w:t>(</w:t>
      </w:r>
      <w:r w:rsidR="004715D0" w:rsidRPr="004715D0">
        <w:rPr>
          <w:rFonts w:cstheme="minorHAnsi"/>
          <w:lang w:val="en-US"/>
        </w:rPr>
        <w:t>Application Programming Interface)</w:t>
      </w:r>
      <w:r w:rsidR="004715D0">
        <w:rPr>
          <w:rFonts w:ascii="Arial" w:hAnsi="Arial" w:cs="Arial"/>
          <w:b/>
          <w:bCs/>
          <w:color w:val="202124"/>
          <w:sz w:val="21"/>
          <w:szCs w:val="21"/>
          <w:shd w:val="clear" w:color="auto" w:fill="FFFFFF"/>
        </w:rPr>
        <w:t xml:space="preserve"> </w:t>
      </w:r>
      <w:r w:rsidR="008365FC" w:rsidRPr="00C0477E">
        <w:rPr>
          <w:rFonts w:cstheme="minorHAnsi"/>
          <w:lang w:val="en-US"/>
        </w:rPr>
        <w:t>implementation, semantic indexing and e-learning.</w:t>
      </w:r>
      <w:r w:rsidR="00E4253B">
        <w:rPr>
          <w:rFonts w:cstheme="minorHAnsi"/>
          <w:lang w:val="en-US"/>
        </w:rPr>
        <w:t xml:space="preserve"> </w:t>
      </w:r>
      <w:r w:rsidR="00B5291C" w:rsidRPr="00C0477E">
        <w:rPr>
          <w:rFonts w:cstheme="minorHAnsi"/>
        </w:rPr>
        <w:t xml:space="preserve">An </w:t>
      </w:r>
      <w:r w:rsidR="00461771" w:rsidRPr="00C0477E">
        <w:rPr>
          <w:rFonts w:cstheme="minorHAnsi"/>
          <w:lang w:val="en-US"/>
        </w:rPr>
        <w:t>introductory</w:t>
      </w:r>
      <w:r w:rsidR="00B5291C" w:rsidRPr="00C0477E">
        <w:rPr>
          <w:rFonts w:cstheme="minorHAnsi"/>
          <w:lang w:val="en-US"/>
        </w:rPr>
        <w:t xml:space="preserve"> course on the Convention on Wetlands is under development and will be available when completed to download on the Convention’s website.</w:t>
      </w:r>
    </w:p>
    <w:p w14:paraId="5E507D7A" w14:textId="77777777" w:rsidR="009F6175" w:rsidRPr="00C0477E" w:rsidRDefault="009F6175" w:rsidP="00FA12DB">
      <w:pPr>
        <w:ind w:left="426"/>
        <w:rPr>
          <w:rFonts w:cstheme="minorHAnsi"/>
        </w:rPr>
      </w:pPr>
    </w:p>
    <w:p w14:paraId="50EA8A56" w14:textId="6B2BFB5A" w:rsidR="008365FC" w:rsidRPr="00C0477E" w:rsidRDefault="003A2B02" w:rsidP="00FA12DB">
      <w:pPr>
        <w:ind w:left="426"/>
        <w:rPr>
          <w:rFonts w:cstheme="minorHAnsi"/>
          <w:lang w:val="en-US"/>
        </w:rPr>
      </w:pPr>
      <w:r>
        <w:rPr>
          <w:rFonts w:cstheme="minorHAnsi"/>
        </w:rPr>
        <w:t>44</w:t>
      </w:r>
      <w:r w:rsidR="009F6175" w:rsidRPr="00C0477E">
        <w:rPr>
          <w:rFonts w:cstheme="minorHAnsi"/>
        </w:rPr>
        <w:t>.</w:t>
      </w:r>
      <w:r w:rsidR="009F6175" w:rsidRPr="00C0477E">
        <w:rPr>
          <w:rFonts w:cstheme="minorHAnsi"/>
        </w:rPr>
        <w:tab/>
      </w:r>
      <w:r w:rsidR="01146BA0" w:rsidRPr="00C0477E">
        <w:rPr>
          <w:rFonts w:cstheme="minorHAnsi"/>
          <w:lang w:val="en-US"/>
        </w:rPr>
        <w:t xml:space="preserve">Despite the COVID-19 pandemic and the resulting postponement of meetings of relevant policy processes, there was considerable activity in advancing work, creating important opportunities for engagement by the Secretariat to position wetlands and the work of the Convention in the global agendas on biodiversity, sustainable development and climate change. In fulfilment of its mandate, the Secretariat continued its engagement with relevant and prioritized MEAs and UN processes. However, as reported previously, it remains a major challenge that the Secretariat does not have access to the UNGA or the UN Economic and Social Council, the UN platform for debate on sustainable development. The proposal to obtain observer status was submitted by Uruguay, then Chair of the Standing Committee, in 2017, but its consideration has been deferred. The Secretariat has continued to face limitations to its engagement in the UN, including UNGA and UN-Water processes. This issue </w:t>
      </w:r>
      <w:r w:rsidR="00DE4A22">
        <w:rPr>
          <w:rFonts w:cstheme="minorHAnsi"/>
          <w:lang w:val="en-US"/>
        </w:rPr>
        <w:t xml:space="preserve">is </w:t>
      </w:r>
      <w:r w:rsidR="01146BA0" w:rsidRPr="00C0477E">
        <w:rPr>
          <w:rFonts w:cstheme="minorHAnsi"/>
          <w:lang w:val="en-US"/>
        </w:rPr>
        <w:t>being addressed by the Standing Committee’s Working Group on Observer Status.</w:t>
      </w:r>
    </w:p>
    <w:p w14:paraId="50C9D6FD" w14:textId="77777777" w:rsidR="009D4535" w:rsidRPr="00C0477E" w:rsidRDefault="009D4535" w:rsidP="00FA12DB">
      <w:pPr>
        <w:ind w:left="426"/>
        <w:rPr>
          <w:rFonts w:cstheme="minorHAnsi"/>
          <w:b/>
          <w:bCs/>
          <w:lang w:val="en-US"/>
        </w:rPr>
      </w:pPr>
    </w:p>
    <w:p w14:paraId="6A498844" w14:textId="77777777" w:rsidR="001D3E01" w:rsidRPr="00C0477E" w:rsidRDefault="31B94901" w:rsidP="0050301F">
      <w:pPr>
        <w:keepNext/>
        <w:ind w:left="0" w:firstLine="0"/>
        <w:rPr>
          <w:rFonts w:cstheme="minorHAnsi"/>
          <w:b/>
          <w:bCs/>
          <w:u w:val="single"/>
        </w:rPr>
      </w:pPr>
      <w:r w:rsidRPr="00C0477E">
        <w:rPr>
          <w:rFonts w:cstheme="minorHAnsi"/>
          <w:b/>
          <w:bCs/>
          <w:u w:val="single"/>
        </w:rPr>
        <w:t>Strengthening support and enabling implementation</w:t>
      </w:r>
    </w:p>
    <w:p w14:paraId="21FD892C" w14:textId="77777777" w:rsidR="0091414E" w:rsidRPr="00C0477E" w:rsidRDefault="0091414E" w:rsidP="00FA12DB">
      <w:pPr>
        <w:keepNext/>
        <w:ind w:left="426" w:firstLine="0"/>
        <w:rPr>
          <w:rFonts w:cstheme="minorHAnsi"/>
        </w:rPr>
      </w:pPr>
    </w:p>
    <w:p w14:paraId="1684291D" w14:textId="0102CAAD" w:rsidR="00511DEE" w:rsidRPr="00C0477E" w:rsidRDefault="003A2B02" w:rsidP="00FA12DB">
      <w:pPr>
        <w:ind w:left="426"/>
        <w:rPr>
          <w:rFonts w:cstheme="minorHAnsi"/>
          <w:lang w:val="en-US"/>
        </w:rPr>
      </w:pPr>
      <w:r>
        <w:rPr>
          <w:rFonts w:cstheme="minorHAnsi"/>
        </w:rPr>
        <w:t>45</w:t>
      </w:r>
      <w:r w:rsidR="00A11CCC" w:rsidRPr="00C0477E">
        <w:rPr>
          <w:rFonts w:cstheme="minorHAnsi"/>
        </w:rPr>
        <w:t xml:space="preserve">. </w:t>
      </w:r>
      <w:r w:rsidR="00A11CCC" w:rsidRPr="00C0477E">
        <w:rPr>
          <w:rFonts w:cstheme="minorHAnsi"/>
        </w:rPr>
        <w:tab/>
      </w:r>
      <w:r w:rsidR="00DE1AB2" w:rsidRPr="00C0477E">
        <w:rPr>
          <w:rFonts w:cstheme="minorHAnsi"/>
        </w:rPr>
        <w:t xml:space="preserve">Over the </w:t>
      </w:r>
      <w:r w:rsidR="00511DEE" w:rsidRPr="00C0477E">
        <w:rPr>
          <w:rFonts w:cstheme="minorHAnsi"/>
        </w:rPr>
        <w:t xml:space="preserve">extended </w:t>
      </w:r>
      <w:r w:rsidR="00DE1AB2" w:rsidRPr="00C0477E">
        <w:rPr>
          <w:rFonts w:cstheme="minorHAnsi"/>
        </w:rPr>
        <w:t>triennium the Secretariat has provided support in the designation of 125 new Ramsar Sites and the update of information for 221 existing Ramsar Sites, including support in data transfer into the Ramsar Sites Information System (RSIS), publication and translations. The Secretariat supported Contracting Parties with four Ramsar Advisory Missions (RAMs)</w:t>
      </w:r>
      <w:r>
        <w:rPr>
          <w:rFonts w:cstheme="minorHAnsi"/>
        </w:rPr>
        <w:t>, to</w:t>
      </w:r>
      <w:r w:rsidR="00DE1AB2" w:rsidRPr="00C0477E">
        <w:rPr>
          <w:rFonts w:cstheme="minorHAnsi"/>
        </w:rPr>
        <w:t xml:space="preserve"> Italy (Venice and its Lagoon), Montenegro (Skadar Lake), the Russian Federation (Kurgalsky Peninsula) and Spain (Doñana)</w:t>
      </w:r>
      <w:r w:rsidR="00511DEE" w:rsidRPr="00C0477E">
        <w:rPr>
          <w:rFonts w:cstheme="minorHAnsi"/>
        </w:rPr>
        <w:t xml:space="preserve"> before the pandemic</w:t>
      </w:r>
      <w:r w:rsidR="00461771" w:rsidRPr="00C0477E">
        <w:rPr>
          <w:rFonts w:cstheme="minorHAnsi"/>
        </w:rPr>
        <w:t>.</w:t>
      </w:r>
      <w:r w:rsidR="00511DEE" w:rsidRPr="00C0477E">
        <w:rPr>
          <w:rFonts w:cstheme="minorHAnsi"/>
          <w:lang w:val="en-US"/>
        </w:rPr>
        <w:t xml:space="preserve"> Due to the travel restrictions imposed, none of the RAMs </w:t>
      </w:r>
      <w:r>
        <w:rPr>
          <w:rFonts w:cstheme="minorHAnsi"/>
          <w:lang w:val="en-US"/>
        </w:rPr>
        <w:t>being prepared</w:t>
      </w:r>
      <w:r w:rsidR="00511DEE" w:rsidRPr="00C0477E">
        <w:rPr>
          <w:rFonts w:cstheme="minorHAnsi"/>
          <w:lang w:val="en-US"/>
        </w:rPr>
        <w:t xml:space="preserve"> for Bolivia (Poopó y Uru-Uru), Malawi (Lake Chilwa), Nicaragua (Sistema de Humedales de Bahía de Bluefields) </w:t>
      </w:r>
      <w:r>
        <w:rPr>
          <w:rFonts w:cstheme="minorHAnsi"/>
          <w:lang w:val="en-US"/>
        </w:rPr>
        <w:t>or</w:t>
      </w:r>
      <w:r w:rsidRPr="00C0477E">
        <w:rPr>
          <w:rFonts w:cstheme="minorHAnsi"/>
          <w:lang w:val="en-US"/>
        </w:rPr>
        <w:t xml:space="preserve"> </w:t>
      </w:r>
      <w:r w:rsidR="00511DEE" w:rsidRPr="00C0477E">
        <w:rPr>
          <w:rFonts w:cstheme="minorHAnsi"/>
          <w:lang w:val="en-US"/>
        </w:rPr>
        <w:t xml:space="preserve">Tunisia (Sebkhet Sejoumi) could be undertaken. The Secretariat is </w:t>
      </w:r>
      <w:r w:rsidR="007E5935">
        <w:rPr>
          <w:rFonts w:cstheme="minorHAnsi"/>
          <w:lang w:val="en-US"/>
        </w:rPr>
        <w:t xml:space="preserve">now </w:t>
      </w:r>
      <w:r w:rsidR="007D70B3">
        <w:rPr>
          <w:rFonts w:cstheme="minorHAnsi"/>
          <w:lang w:val="en-US"/>
        </w:rPr>
        <w:t xml:space="preserve">starting to </w:t>
      </w:r>
      <w:r w:rsidR="00511DEE" w:rsidRPr="00C0477E">
        <w:rPr>
          <w:rFonts w:cstheme="minorHAnsi"/>
          <w:lang w:val="en-US"/>
        </w:rPr>
        <w:t>conduct</w:t>
      </w:r>
      <w:r w:rsidR="007D70B3">
        <w:rPr>
          <w:rFonts w:cstheme="minorHAnsi"/>
          <w:lang w:val="en-US"/>
        </w:rPr>
        <w:t xml:space="preserve"> the RAMs as restrict</w:t>
      </w:r>
      <w:r w:rsidR="007E5935">
        <w:rPr>
          <w:rFonts w:cstheme="minorHAnsi"/>
          <w:lang w:val="en-US"/>
        </w:rPr>
        <w:t>ions to travel have been lifted</w:t>
      </w:r>
      <w:r w:rsidR="00511DEE" w:rsidRPr="00C0477E">
        <w:rPr>
          <w:rFonts w:cstheme="minorHAnsi"/>
          <w:lang w:val="en-US"/>
        </w:rPr>
        <w:t>.</w:t>
      </w:r>
    </w:p>
    <w:p w14:paraId="672A05FD" w14:textId="77777777" w:rsidR="001D3733" w:rsidRPr="00C0477E" w:rsidRDefault="001D3733" w:rsidP="00FA12DB">
      <w:pPr>
        <w:ind w:left="426"/>
        <w:rPr>
          <w:rFonts w:cstheme="minorHAnsi"/>
        </w:rPr>
      </w:pPr>
    </w:p>
    <w:p w14:paraId="5234AD8D" w14:textId="70E3FF57" w:rsidR="00275CED" w:rsidRPr="00C0477E" w:rsidRDefault="00E472A4" w:rsidP="00FA12DB">
      <w:pPr>
        <w:ind w:left="426"/>
        <w:rPr>
          <w:rFonts w:cstheme="minorHAnsi"/>
        </w:rPr>
      </w:pPr>
      <w:r>
        <w:rPr>
          <w:rFonts w:cstheme="minorHAnsi"/>
        </w:rPr>
        <w:t>46</w:t>
      </w:r>
      <w:r w:rsidR="01146BA0" w:rsidRPr="00C0477E">
        <w:rPr>
          <w:rFonts w:cstheme="minorHAnsi"/>
        </w:rPr>
        <w:t>.</w:t>
      </w:r>
      <w:r w:rsidR="00861078" w:rsidRPr="00C0477E">
        <w:rPr>
          <w:rFonts w:cstheme="minorHAnsi"/>
        </w:rPr>
        <w:tab/>
      </w:r>
      <w:r w:rsidR="00775659" w:rsidRPr="00C0477E">
        <w:rPr>
          <w:rFonts w:cstheme="minorHAnsi"/>
        </w:rPr>
        <w:t xml:space="preserve">The Secretariat continues its efforts to strengthen its “enabling” role (in addition to direct support to individual Contracting Parties), to use its limited capacity and resources in a more efficient and strategic way. </w:t>
      </w:r>
      <w:r w:rsidR="003A2B02">
        <w:rPr>
          <w:rFonts w:cstheme="minorHAnsi"/>
        </w:rPr>
        <w:t>D</w:t>
      </w:r>
      <w:r w:rsidR="00F4659E" w:rsidRPr="00C0477E">
        <w:rPr>
          <w:rFonts w:cstheme="minorHAnsi"/>
        </w:rPr>
        <w:t xml:space="preserve">uring the </w:t>
      </w:r>
      <w:r w:rsidR="003A2B02">
        <w:rPr>
          <w:rFonts w:cstheme="minorHAnsi"/>
        </w:rPr>
        <w:t>reporting period</w:t>
      </w:r>
      <w:r w:rsidR="00F4659E" w:rsidRPr="00C0477E">
        <w:rPr>
          <w:rFonts w:cstheme="minorHAnsi"/>
        </w:rPr>
        <w:t xml:space="preserve"> </w:t>
      </w:r>
      <w:r w:rsidR="00775659" w:rsidRPr="00C0477E">
        <w:rPr>
          <w:rFonts w:cstheme="minorHAnsi"/>
        </w:rPr>
        <w:t xml:space="preserve">the Secretariat engaged in numerous </w:t>
      </w:r>
      <w:r w:rsidR="003A2B02" w:rsidRPr="00C0477E">
        <w:rPr>
          <w:rFonts w:cstheme="minorHAnsi"/>
        </w:rPr>
        <w:t>capacity</w:t>
      </w:r>
      <w:r w:rsidR="003A2B02">
        <w:rPr>
          <w:rFonts w:cstheme="minorHAnsi"/>
        </w:rPr>
        <w:t>-</w:t>
      </w:r>
      <w:r w:rsidR="00775659" w:rsidRPr="00C0477E">
        <w:rPr>
          <w:rFonts w:cstheme="minorHAnsi"/>
        </w:rPr>
        <w:t xml:space="preserve">building efforts including training sessions </w:t>
      </w:r>
      <w:r w:rsidRPr="00C0477E">
        <w:rPr>
          <w:rFonts w:cstheme="minorHAnsi"/>
        </w:rPr>
        <w:t xml:space="preserve">on the use of the RSIS </w:t>
      </w:r>
      <w:r w:rsidR="00775659" w:rsidRPr="00C0477E">
        <w:rPr>
          <w:rFonts w:cstheme="minorHAnsi"/>
        </w:rPr>
        <w:t>and webinars</w:t>
      </w:r>
      <w:r w:rsidR="00F4659E" w:rsidRPr="00C0477E">
        <w:rPr>
          <w:rFonts w:cstheme="minorHAnsi"/>
        </w:rPr>
        <w:t xml:space="preserve"> in all three Convention languages as follows:</w:t>
      </w:r>
      <w:r w:rsidR="01146BA0" w:rsidRPr="00C0477E">
        <w:rPr>
          <w:rFonts w:cstheme="minorHAnsi"/>
        </w:rPr>
        <w:t xml:space="preserve"> </w:t>
      </w:r>
    </w:p>
    <w:p w14:paraId="49F2D09D" w14:textId="1C81AD57" w:rsidR="00DE31D0" w:rsidRPr="00C0477E" w:rsidRDefault="00DE31D0" w:rsidP="00FA12DB">
      <w:pPr>
        <w:pStyle w:val="ListParagraph"/>
        <w:numPr>
          <w:ilvl w:val="0"/>
          <w:numId w:val="27"/>
        </w:numPr>
        <w:ind w:left="851" w:hanging="425"/>
        <w:rPr>
          <w:rFonts w:cstheme="minorHAnsi"/>
        </w:rPr>
      </w:pPr>
      <w:r w:rsidRPr="00C0477E">
        <w:rPr>
          <w:rFonts w:cstheme="minorHAnsi"/>
        </w:rPr>
        <w:t xml:space="preserve">March 2020: </w:t>
      </w:r>
      <w:r w:rsidR="00086126" w:rsidRPr="00C0477E">
        <w:rPr>
          <w:rFonts w:cstheme="minorHAnsi"/>
        </w:rPr>
        <w:t>“</w:t>
      </w:r>
      <w:r w:rsidR="00755630" w:rsidRPr="00C0477E">
        <w:rPr>
          <w:rFonts w:cstheme="minorHAnsi"/>
        </w:rPr>
        <w:t>How to Access Green Climate Fund (GCF) for the Conservation of Wetlands</w:t>
      </w:r>
      <w:r w:rsidR="00086126" w:rsidRPr="00C0477E">
        <w:rPr>
          <w:rFonts w:cstheme="minorHAnsi"/>
        </w:rPr>
        <w:t>”</w:t>
      </w:r>
      <w:r w:rsidR="00FB4FEE">
        <w:rPr>
          <w:rFonts w:cstheme="minorHAnsi"/>
        </w:rPr>
        <w:t>;</w:t>
      </w:r>
    </w:p>
    <w:p w14:paraId="033A0170" w14:textId="587E793E" w:rsidR="00F12CE9" w:rsidRPr="00C0477E" w:rsidRDefault="00F12CE9" w:rsidP="00FA12DB">
      <w:pPr>
        <w:pStyle w:val="ListParagraph"/>
        <w:numPr>
          <w:ilvl w:val="0"/>
          <w:numId w:val="27"/>
        </w:numPr>
        <w:ind w:left="851" w:hanging="425"/>
        <w:rPr>
          <w:rFonts w:cstheme="minorHAnsi"/>
        </w:rPr>
      </w:pPr>
      <w:r w:rsidRPr="00C0477E">
        <w:rPr>
          <w:rFonts w:cstheme="minorHAnsi"/>
        </w:rPr>
        <w:t xml:space="preserve">September 2020: </w:t>
      </w:r>
      <w:r w:rsidR="00086126" w:rsidRPr="00C0477E">
        <w:rPr>
          <w:rFonts w:cstheme="minorHAnsi"/>
        </w:rPr>
        <w:t>“</w:t>
      </w:r>
      <w:r w:rsidRPr="00C0477E">
        <w:rPr>
          <w:rFonts w:cstheme="minorHAnsi"/>
        </w:rPr>
        <w:t>Guidance on utilizing Earth observation as a tool for wetland management</w:t>
      </w:r>
      <w:r w:rsidR="0009159B" w:rsidRPr="00C0477E">
        <w:rPr>
          <w:rFonts w:cstheme="minorHAnsi"/>
        </w:rPr>
        <w:t xml:space="preserve">, </w:t>
      </w:r>
      <w:r w:rsidR="009F7D40" w:rsidRPr="00C0477E">
        <w:rPr>
          <w:rFonts w:cstheme="minorHAnsi"/>
        </w:rPr>
        <w:t xml:space="preserve">provided </w:t>
      </w:r>
      <w:r w:rsidR="0009159B" w:rsidRPr="00C0477E">
        <w:rPr>
          <w:rFonts w:cstheme="minorHAnsi"/>
        </w:rPr>
        <w:t>for Eastern and Southern African parties</w:t>
      </w:r>
      <w:r w:rsidR="00086126" w:rsidRPr="00C0477E">
        <w:rPr>
          <w:rFonts w:cstheme="minorHAnsi"/>
        </w:rPr>
        <w:t>”</w:t>
      </w:r>
      <w:r w:rsidR="00FB4FEE">
        <w:rPr>
          <w:rFonts w:cstheme="minorHAnsi"/>
        </w:rPr>
        <w:t>;</w:t>
      </w:r>
    </w:p>
    <w:p w14:paraId="6355D677" w14:textId="3F9D3C29" w:rsidR="0009159B" w:rsidRPr="00C0477E" w:rsidRDefault="0009159B" w:rsidP="00FA12DB">
      <w:pPr>
        <w:pStyle w:val="CommentText"/>
        <w:numPr>
          <w:ilvl w:val="0"/>
          <w:numId w:val="27"/>
        </w:numPr>
        <w:ind w:left="851" w:hanging="425"/>
        <w:rPr>
          <w:rFonts w:cstheme="minorHAnsi"/>
          <w:sz w:val="22"/>
          <w:szCs w:val="22"/>
        </w:rPr>
      </w:pPr>
      <w:r w:rsidRPr="00C0477E">
        <w:rPr>
          <w:rFonts w:cstheme="minorHAnsi"/>
          <w:sz w:val="22"/>
          <w:szCs w:val="22"/>
        </w:rPr>
        <w:t xml:space="preserve">September 2020 and October 2020: </w:t>
      </w:r>
      <w:r w:rsidR="00086126" w:rsidRPr="00C0477E">
        <w:rPr>
          <w:rFonts w:cstheme="minorHAnsi"/>
          <w:sz w:val="22"/>
          <w:szCs w:val="22"/>
        </w:rPr>
        <w:t>“</w:t>
      </w:r>
      <w:r w:rsidRPr="00C0477E">
        <w:rPr>
          <w:rFonts w:cstheme="minorHAnsi"/>
          <w:sz w:val="22"/>
          <w:szCs w:val="22"/>
        </w:rPr>
        <w:t>Grant Writing: How to write effective project proposals</w:t>
      </w:r>
      <w:r w:rsidR="00086126" w:rsidRPr="00C0477E">
        <w:rPr>
          <w:rFonts w:cstheme="minorHAnsi"/>
          <w:sz w:val="22"/>
          <w:szCs w:val="22"/>
        </w:rPr>
        <w:t>”</w:t>
      </w:r>
      <w:r w:rsidRPr="00C0477E">
        <w:rPr>
          <w:rFonts w:cstheme="minorHAnsi"/>
          <w:sz w:val="22"/>
          <w:szCs w:val="22"/>
        </w:rPr>
        <w:t xml:space="preserve"> (English, French and Spanish)</w:t>
      </w:r>
      <w:r w:rsidR="00FB4FEE">
        <w:rPr>
          <w:rFonts w:cstheme="minorHAnsi"/>
          <w:sz w:val="22"/>
          <w:szCs w:val="22"/>
        </w:rPr>
        <w:t>;</w:t>
      </w:r>
    </w:p>
    <w:p w14:paraId="6F117696" w14:textId="4EE57433" w:rsidR="0009159B" w:rsidRPr="00C0477E" w:rsidRDefault="0009159B" w:rsidP="00FA12DB">
      <w:pPr>
        <w:pStyle w:val="CommentText"/>
        <w:numPr>
          <w:ilvl w:val="0"/>
          <w:numId w:val="27"/>
        </w:numPr>
        <w:ind w:left="851" w:hanging="425"/>
        <w:rPr>
          <w:rFonts w:cstheme="minorHAnsi"/>
          <w:sz w:val="22"/>
          <w:szCs w:val="22"/>
        </w:rPr>
      </w:pPr>
      <w:r w:rsidRPr="00C0477E">
        <w:rPr>
          <w:rFonts w:cstheme="minorHAnsi"/>
          <w:sz w:val="22"/>
          <w:szCs w:val="22"/>
        </w:rPr>
        <w:t xml:space="preserve">October 2020: </w:t>
      </w:r>
      <w:r w:rsidR="00086126" w:rsidRPr="00C0477E">
        <w:rPr>
          <w:rFonts w:cstheme="minorHAnsi"/>
          <w:sz w:val="22"/>
          <w:szCs w:val="22"/>
        </w:rPr>
        <w:t>“</w:t>
      </w:r>
      <w:r w:rsidRPr="00C0477E">
        <w:rPr>
          <w:rFonts w:cstheme="minorHAnsi"/>
          <w:sz w:val="22"/>
          <w:szCs w:val="22"/>
        </w:rPr>
        <w:t>National Wetlands Inventories Training Webinar</w:t>
      </w:r>
      <w:r w:rsidR="00086126" w:rsidRPr="00C0477E">
        <w:rPr>
          <w:rFonts w:cstheme="minorHAnsi"/>
          <w:sz w:val="22"/>
          <w:szCs w:val="22"/>
        </w:rPr>
        <w:t>”</w:t>
      </w:r>
      <w:r w:rsidRPr="00C0477E">
        <w:rPr>
          <w:rFonts w:cstheme="minorHAnsi"/>
          <w:sz w:val="22"/>
          <w:szCs w:val="22"/>
        </w:rPr>
        <w:t xml:space="preserve"> (English with French and Spanish interpretation)</w:t>
      </w:r>
      <w:r w:rsidR="00FB4FEE">
        <w:rPr>
          <w:rFonts w:cstheme="minorHAnsi"/>
          <w:sz w:val="22"/>
          <w:szCs w:val="22"/>
        </w:rPr>
        <w:t>;</w:t>
      </w:r>
    </w:p>
    <w:p w14:paraId="0BFF43CB" w14:textId="317469F9" w:rsidR="0009159B" w:rsidRPr="00C0477E" w:rsidRDefault="0009159B" w:rsidP="00FA12DB">
      <w:pPr>
        <w:pStyle w:val="CommentText"/>
        <w:numPr>
          <w:ilvl w:val="0"/>
          <w:numId w:val="27"/>
        </w:numPr>
        <w:ind w:left="851" w:hanging="425"/>
        <w:rPr>
          <w:rFonts w:cstheme="minorHAnsi"/>
          <w:sz w:val="22"/>
          <w:szCs w:val="22"/>
        </w:rPr>
      </w:pPr>
      <w:r w:rsidRPr="00C0477E">
        <w:rPr>
          <w:rFonts w:cstheme="minorHAnsi"/>
          <w:sz w:val="22"/>
          <w:szCs w:val="22"/>
        </w:rPr>
        <w:t xml:space="preserve">November 2020: </w:t>
      </w:r>
      <w:r w:rsidR="00086126" w:rsidRPr="00C0477E">
        <w:rPr>
          <w:rFonts w:cstheme="minorHAnsi"/>
          <w:sz w:val="22"/>
          <w:szCs w:val="22"/>
        </w:rPr>
        <w:t>“</w:t>
      </w:r>
      <w:r w:rsidRPr="00C0477E">
        <w:rPr>
          <w:rFonts w:cstheme="minorHAnsi"/>
          <w:sz w:val="22"/>
          <w:szCs w:val="22"/>
        </w:rPr>
        <w:t>Preparation of National Reports to COP14</w:t>
      </w:r>
      <w:r w:rsidR="00086126" w:rsidRPr="00C0477E">
        <w:rPr>
          <w:rFonts w:cstheme="minorHAnsi"/>
          <w:sz w:val="22"/>
          <w:szCs w:val="22"/>
        </w:rPr>
        <w:t>”</w:t>
      </w:r>
      <w:r w:rsidRPr="00C0477E">
        <w:rPr>
          <w:rFonts w:cstheme="minorHAnsi"/>
          <w:sz w:val="22"/>
          <w:szCs w:val="22"/>
        </w:rPr>
        <w:t xml:space="preserve"> (English, French and Spanish)</w:t>
      </w:r>
      <w:r w:rsidR="00FB4FEE">
        <w:rPr>
          <w:rFonts w:cstheme="minorHAnsi"/>
          <w:sz w:val="22"/>
          <w:szCs w:val="22"/>
        </w:rPr>
        <w:t>;</w:t>
      </w:r>
    </w:p>
    <w:p w14:paraId="5AD87A6B" w14:textId="4D02190D" w:rsidR="0009159B" w:rsidRPr="00C0477E" w:rsidRDefault="0009159B" w:rsidP="00FA12DB">
      <w:pPr>
        <w:pStyle w:val="CommentText"/>
        <w:numPr>
          <w:ilvl w:val="0"/>
          <w:numId w:val="27"/>
        </w:numPr>
        <w:ind w:left="851" w:hanging="425"/>
        <w:rPr>
          <w:rFonts w:cstheme="minorHAnsi"/>
          <w:sz w:val="22"/>
          <w:szCs w:val="22"/>
        </w:rPr>
      </w:pPr>
      <w:r w:rsidRPr="00C0477E">
        <w:rPr>
          <w:rFonts w:cstheme="minorHAnsi"/>
          <w:sz w:val="22"/>
          <w:szCs w:val="22"/>
        </w:rPr>
        <w:t xml:space="preserve">December 2020: </w:t>
      </w:r>
      <w:r w:rsidR="00AB39AE" w:rsidRPr="00C0477E">
        <w:rPr>
          <w:rFonts w:cstheme="minorHAnsi"/>
          <w:sz w:val="22"/>
          <w:szCs w:val="22"/>
        </w:rPr>
        <w:t>“</w:t>
      </w:r>
      <w:r w:rsidRPr="00C0477E">
        <w:rPr>
          <w:rFonts w:cstheme="minorHAnsi"/>
          <w:sz w:val="22"/>
          <w:szCs w:val="22"/>
        </w:rPr>
        <w:t>Wetlands as Nature-based Solutions (NbS) for Nationally Determined Contributions (NDCs)</w:t>
      </w:r>
      <w:r w:rsidR="00AB39AE" w:rsidRPr="00C0477E">
        <w:rPr>
          <w:rFonts w:cstheme="minorHAnsi"/>
          <w:sz w:val="22"/>
          <w:szCs w:val="22"/>
        </w:rPr>
        <w:t>”</w:t>
      </w:r>
      <w:r w:rsidRPr="00C0477E">
        <w:rPr>
          <w:rFonts w:cstheme="minorHAnsi"/>
          <w:sz w:val="22"/>
          <w:szCs w:val="22"/>
        </w:rPr>
        <w:t xml:space="preserve"> (English with French and Spanish interpretation)</w:t>
      </w:r>
      <w:r w:rsidR="00FB4FEE">
        <w:rPr>
          <w:rFonts w:cstheme="minorHAnsi"/>
          <w:sz w:val="22"/>
          <w:szCs w:val="22"/>
        </w:rPr>
        <w:t>;</w:t>
      </w:r>
    </w:p>
    <w:p w14:paraId="3DDD3323" w14:textId="47F0C792" w:rsidR="00833AAB" w:rsidRPr="00C0477E" w:rsidRDefault="01146BA0" w:rsidP="00FA12DB">
      <w:pPr>
        <w:pStyle w:val="ListParagraph"/>
        <w:numPr>
          <w:ilvl w:val="0"/>
          <w:numId w:val="27"/>
        </w:numPr>
        <w:ind w:left="851" w:hanging="425"/>
        <w:rPr>
          <w:rFonts w:cstheme="minorHAnsi"/>
        </w:rPr>
      </w:pPr>
      <w:r w:rsidRPr="00C0477E">
        <w:rPr>
          <w:rFonts w:cstheme="minorHAnsi"/>
        </w:rPr>
        <w:t xml:space="preserve">March 2021: </w:t>
      </w:r>
      <w:r w:rsidR="00AB39AE" w:rsidRPr="00C0477E">
        <w:rPr>
          <w:rFonts w:cstheme="minorHAnsi"/>
        </w:rPr>
        <w:t>“</w:t>
      </w:r>
      <w:r w:rsidRPr="00C0477E">
        <w:rPr>
          <w:rFonts w:cstheme="minorHAnsi"/>
        </w:rPr>
        <w:t>Training Webinar – Preparation of Draft Resolutions for COP14</w:t>
      </w:r>
      <w:r w:rsidR="00AB39AE" w:rsidRPr="00C0477E">
        <w:rPr>
          <w:rFonts w:cstheme="minorHAnsi"/>
        </w:rPr>
        <w:t>”</w:t>
      </w:r>
      <w:r w:rsidR="007A0EF5" w:rsidRPr="00C0477E">
        <w:rPr>
          <w:rFonts w:cstheme="minorHAnsi"/>
        </w:rPr>
        <w:t xml:space="preserve"> </w:t>
      </w:r>
      <w:r w:rsidRPr="00C0477E">
        <w:rPr>
          <w:rFonts w:cstheme="minorHAnsi"/>
        </w:rPr>
        <w:t>(English, French and Spanish)</w:t>
      </w:r>
      <w:r w:rsidR="00FB4FEE">
        <w:rPr>
          <w:rFonts w:cstheme="minorHAnsi"/>
        </w:rPr>
        <w:t>;</w:t>
      </w:r>
    </w:p>
    <w:p w14:paraId="69FF9E81" w14:textId="45535FB5" w:rsidR="004E352A" w:rsidRPr="00C0477E" w:rsidRDefault="01146BA0" w:rsidP="00FA12DB">
      <w:pPr>
        <w:pStyle w:val="ListParagraph"/>
        <w:numPr>
          <w:ilvl w:val="0"/>
          <w:numId w:val="27"/>
        </w:numPr>
        <w:ind w:left="851" w:hanging="425"/>
        <w:rPr>
          <w:rFonts w:cstheme="minorHAnsi"/>
        </w:rPr>
      </w:pPr>
      <w:r w:rsidRPr="00C0477E">
        <w:rPr>
          <w:rFonts w:cstheme="minorHAnsi"/>
        </w:rPr>
        <w:lastRenderedPageBreak/>
        <w:t xml:space="preserve">March 2021: </w:t>
      </w:r>
      <w:r w:rsidR="00AB39AE" w:rsidRPr="00C0477E">
        <w:rPr>
          <w:rFonts w:cstheme="minorHAnsi"/>
        </w:rPr>
        <w:t>“</w:t>
      </w:r>
      <w:r w:rsidRPr="00C0477E">
        <w:rPr>
          <w:rFonts w:cstheme="minorHAnsi"/>
        </w:rPr>
        <w:t>Training Webinar: Mainstreaming Gender under the Convention on Wetlands</w:t>
      </w:r>
      <w:r w:rsidR="00AB39AE" w:rsidRPr="00C0477E">
        <w:rPr>
          <w:rFonts w:cstheme="minorHAnsi"/>
        </w:rPr>
        <w:t>”</w:t>
      </w:r>
      <w:r w:rsidRPr="00C0477E">
        <w:rPr>
          <w:rFonts w:cstheme="minorHAnsi"/>
        </w:rPr>
        <w:t xml:space="preserve"> (English with French and Spanish interpretation)</w:t>
      </w:r>
      <w:r w:rsidR="00FB4FEE">
        <w:rPr>
          <w:rFonts w:cstheme="minorHAnsi"/>
        </w:rPr>
        <w:t>;</w:t>
      </w:r>
    </w:p>
    <w:p w14:paraId="0E709E12" w14:textId="0735D89B" w:rsidR="006A4D06" w:rsidRPr="00C0477E" w:rsidRDefault="01146BA0" w:rsidP="00FA12DB">
      <w:pPr>
        <w:pStyle w:val="ListParagraph"/>
        <w:numPr>
          <w:ilvl w:val="0"/>
          <w:numId w:val="27"/>
        </w:numPr>
        <w:ind w:left="851" w:hanging="425"/>
        <w:rPr>
          <w:rFonts w:cstheme="minorHAnsi"/>
        </w:rPr>
      </w:pPr>
      <w:r w:rsidRPr="00C0477E">
        <w:rPr>
          <w:rFonts w:cstheme="minorHAnsi"/>
        </w:rPr>
        <w:t>October 2021: “Connecting for Wetlands Action: An Intergenerational Dialogue”</w:t>
      </w:r>
      <w:r w:rsidR="009A6466" w:rsidRPr="00C0477E">
        <w:rPr>
          <w:rFonts w:cstheme="minorHAnsi"/>
        </w:rPr>
        <w:t xml:space="preserve"> </w:t>
      </w:r>
      <w:r w:rsidRPr="00C0477E">
        <w:rPr>
          <w:rFonts w:cstheme="minorHAnsi"/>
        </w:rPr>
        <w:t>(English with French and Spanish interpretation)</w:t>
      </w:r>
      <w:r w:rsidR="00FB4FEE">
        <w:rPr>
          <w:rFonts w:cstheme="minorHAnsi"/>
        </w:rPr>
        <w:t>;</w:t>
      </w:r>
    </w:p>
    <w:p w14:paraId="116CDEE6" w14:textId="5A3A23B7" w:rsidR="00B5779D" w:rsidRPr="00C0477E" w:rsidRDefault="01146BA0" w:rsidP="00FA12DB">
      <w:pPr>
        <w:pStyle w:val="ListParagraph"/>
        <w:numPr>
          <w:ilvl w:val="0"/>
          <w:numId w:val="27"/>
        </w:numPr>
        <w:ind w:left="851" w:hanging="425"/>
        <w:rPr>
          <w:rFonts w:cstheme="minorHAnsi"/>
        </w:rPr>
      </w:pPr>
      <w:r w:rsidRPr="00C0477E">
        <w:rPr>
          <w:rFonts w:cstheme="minorHAnsi"/>
        </w:rPr>
        <w:t>December 2021: “Financing Mechanisms for Freshwater Ecosystems” (English with French and Spanish interpretation)</w:t>
      </w:r>
      <w:r w:rsidR="00FB4FEE">
        <w:rPr>
          <w:rFonts w:cstheme="minorHAnsi"/>
        </w:rPr>
        <w:t>;</w:t>
      </w:r>
    </w:p>
    <w:p w14:paraId="18AFE68A" w14:textId="1778C692" w:rsidR="00520772" w:rsidRPr="00C0477E" w:rsidRDefault="01146BA0" w:rsidP="00FA12DB">
      <w:pPr>
        <w:pStyle w:val="ListParagraph"/>
        <w:numPr>
          <w:ilvl w:val="0"/>
          <w:numId w:val="27"/>
        </w:numPr>
        <w:ind w:left="851" w:hanging="425"/>
        <w:rPr>
          <w:rFonts w:cstheme="minorHAnsi"/>
        </w:rPr>
      </w:pPr>
      <w:r w:rsidRPr="00C0477E">
        <w:rPr>
          <w:rFonts w:cstheme="minorHAnsi"/>
        </w:rPr>
        <w:t>January 2022: “Acting for Wetlands: Challenges and Opportunities Ecosystems”</w:t>
      </w:r>
      <w:r w:rsidR="00736ED5" w:rsidRPr="00C0477E">
        <w:rPr>
          <w:rFonts w:cstheme="minorHAnsi"/>
        </w:rPr>
        <w:t xml:space="preserve"> </w:t>
      </w:r>
      <w:r w:rsidRPr="00C0477E">
        <w:rPr>
          <w:rFonts w:cstheme="minorHAnsi"/>
        </w:rPr>
        <w:t>(English with French and Spanish interpretation)</w:t>
      </w:r>
      <w:r w:rsidR="00FB4FEE">
        <w:rPr>
          <w:rFonts w:cstheme="minorHAnsi"/>
        </w:rPr>
        <w:t>;</w:t>
      </w:r>
    </w:p>
    <w:p w14:paraId="2F2BEC77" w14:textId="3B00675B" w:rsidR="00370F29" w:rsidRPr="00C0477E" w:rsidRDefault="00370F29" w:rsidP="00FA12DB">
      <w:pPr>
        <w:pStyle w:val="ListParagraph"/>
        <w:numPr>
          <w:ilvl w:val="0"/>
          <w:numId w:val="27"/>
        </w:numPr>
        <w:ind w:left="851" w:hanging="425"/>
        <w:rPr>
          <w:rFonts w:cstheme="minorHAnsi"/>
        </w:rPr>
      </w:pPr>
      <w:r w:rsidRPr="00C0477E">
        <w:rPr>
          <w:rFonts w:cstheme="minorHAnsi"/>
        </w:rPr>
        <w:t>February</w:t>
      </w:r>
      <w:r w:rsidR="00E472A4">
        <w:rPr>
          <w:rFonts w:cstheme="minorHAnsi"/>
        </w:rPr>
        <w:t xml:space="preserve"> 2022</w:t>
      </w:r>
      <w:r w:rsidRPr="00C0477E">
        <w:rPr>
          <w:rFonts w:cstheme="minorHAnsi"/>
        </w:rPr>
        <w:t xml:space="preserve">: </w:t>
      </w:r>
      <w:r w:rsidR="00E14881" w:rsidRPr="00C0477E">
        <w:rPr>
          <w:rFonts w:cstheme="minorHAnsi"/>
        </w:rPr>
        <w:t>“</w:t>
      </w:r>
      <w:r w:rsidRPr="00C0477E">
        <w:rPr>
          <w:rFonts w:cstheme="minorHAnsi"/>
        </w:rPr>
        <w:t>Training Webinar on Nagao Wetland Fund 2022</w:t>
      </w:r>
      <w:r w:rsidR="00E14881" w:rsidRPr="00C0477E">
        <w:rPr>
          <w:rFonts w:cstheme="minorHAnsi"/>
        </w:rPr>
        <w:t>”</w:t>
      </w:r>
      <w:r w:rsidR="00FB4FEE">
        <w:rPr>
          <w:rFonts w:cstheme="minorHAnsi"/>
        </w:rPr>
        <w:t>;</w:t>
      </w:r>
    </w:p>
    <w:p w14:paraId="431B4AC7" w14:textId="3010B6AB" w:rsidR="00520772" w:rsidRPr="00C0477E" w:rsidRDefault="01146BA0" w:rsidP="00FA12DB">
      <w:pPr>
        <w:pStyle w:val="ListParagraph"/>
        <w:numPr>
          <w:ilvl w:val="0"/>
          <w:numId w:val="27"/>
        </w:numPr>
        <w:ind w:left="851" w:hanging="425"/>
        <w:rPr>
          <w:rFonts w:cstheme="minorHAnsi"/>
        </w:rPr>
      </w:pPr>
      <w:r w:rsidRPr="00C0477E">
        <w:rPr>
          <w:rFonts w:cstheme="minorHAnsi"/>
        </w:rPr>
        <w:t>May 2022: “Wetlands and Climate Change</w:t>
      </w:r>
      <w:r w:rsidR="00C16108" w:rsidRPr="00C0477E">
        <w:rPr>
          <w:rFonts w:cstheme="minorHAnsi"/>
        </w:rPr>
        <w:t>: Actions to protect blue carbon ecosystems and peatlands for mitigation and adaptation</w:t>
      </w:r>
      <w:r w:rsidRPr="00C0477E">
        <w:rPr>
          <w:rFonts w:cstheme="minorHAnsi"/>
        </w:rPr>
        <w:t>”</w:t>
      </w:r>
      <w:r w:rsidR="0077084C" w:rsidRPr="00C0477E">
        <w:rPr>
          <w:rFonts w:cstheme="minorHAnsi"/>
        </w:rPr>
        <w:t xml:space="preserve"> (English with French and Spanish interpretation)</w:t>
      </w:r>
      <w:r w:rsidR="00FB4FEE">
        <w:rPr>
          <w:rFonts w:cstheme="minorHAnsi"/>
        </w:rPr>
        <w:t>; and</w:t>
      </w:r>
    </w:p>
    <w:p w14:paraId="09107AF4" w14:textId="53239F11" w:rsidR="0077084C" w:rsidRPr="00C0477E" w:rsidRDefault="01146BA0" w:rsidP="00FA12DB">
      <w:pPr>
        <w:pStyle w:val="ListParagraph"/>
        <w:numPr>
          <w:ilvl w:val="0"/>
          <w:numId w:val="27"/>
        </w:numPr>
        <w:ind w:left="851" w:hanging="425"/>
        <w:rPr>
          <w:rFonts w:cstheme="minorHAnsi"/>
        </w:rPr>
      </w:pPr>
      <w:r w:rsidRPr="00C0477E">
        <w:rPr>
          <w:rFonts w:cstheme="minorHAnsi"/>
        </w:rPr>
        <w:t>July 2022: “</w:t>
      </w:r>
      <w:r w:rsidR="00C16108" w:rsidRPr="00C0477E">
        <w:rPr>
          <w:rFonts w:cstheme="minorHAnsi"/>
        </w:rPr>
        <w:t>Wetlands and Agriculture</w:t>
      </w:r>
      <w:r w:rsidRPr="00C0477E">
        <w:rPr>
          <w:rFonts w:cstheme="minorHAnsi"/>
        </w:rPr>
        <w:t>”</w:t>
      </w:r>
      <w:r w:rsidR="0077084C" w:rsidRPr="00C0477E">
        <w:rPr>
          <w:rFonts w:cstheme="minorHAnsi"/>
        </w:rPr>
        <w:t xml:space="preserve"> (English with French and Spanish interpretation).</w:t>
      </w:r>
    </w:p>
    <w:p w14:paraId="5849A121" w14:textId="77777777" w:rsidR="00282EBB" w:rsidRPr="00C0477E" w:rsidRDefault="00282EBB" w:rsidP="00C0477E">
      <w:pPr>
        <w:ind w:left="0" w:firstLine="0"/>
        <w:rPr>
          <w:rFonts w:cstheme="minorHAnsi"/>
        </w:rPr>
      </w:pPr>
    </w:p>
    <w:p w14:paraId="1BB75B90" w14:textId="22CDAC51" w:rsidR="00275CED" w:rsidRPr="00C0477E" w:rsidRDefault="01146BA0" w:rsidP="00E472A4">
      <w:pPr>
        <w:ind w:left="426" w:firstLine="0"/>
        <w:rPr>
          <w:rFonts w:cstheme="minorHAnsi"/>
        </w:rPr>
      </w:pPr>
      <w:r w:rsidRPr="009E441E">
        <w:rPr>
          <w:rFonts w:cstheme="minorHAnsi"/>
        </w:rPr>
        <w:t xml:space="preserve">In total, these webinars saw </w:t>
      </w:r>
      <w:r w:rsidR="008A771B" w:rsidRPr="009E441E">
        <w:rPr>
          <w:rFonts w:cstheme="minorHAnsi"/>
        </w:rPr>
        <w:t>1</w:t>
      </w:r>
      <w:r w:rsidR="00E472A4">
        <w:rPr>
          <w:rFonts w:cstheme="minorHAnsi"/>
        </w:rPr>
        <w:t>,</w:t>
      </w:r>
      <w:r w:rsidR="008A771B" w:rsidRPr="009E441E">
        <w:rPr>
          <w:rFonts w:cstheme="minorHAnsi"/>
        </w:rPr>
        <w:t>524</w:t>
      </w:r>
      <w:r w:rsidRPr="009E441E">
        <w:rPr>
          <w:rFonts w:cstheme="minorHAnsi"/>
        </w:rPr>
        <w:t xml:space="preserve"> participants join from 1</w:t>
      </w:r>
      <w:r w:rsidR="008A771B" w:rsidRPr="009E441E">
        <w:rPr>
          <w:rFonts w:cstheme="minorHAnsi"/>
        </w:rPr>
        <w:t>47</w:t>
      </w:r>
      <w:r w:rsidRPr="009E441E">
        <w:rPr>
          <w:rFonts w:cstheme="minorHAnsi"/>
        </w:rPr>
        <w:t xml:space="preserve"> countries</w:t>
      </w:r>
      <w:r w:rsidR="00020EE5">
        <w:rPr>
          <w:rFonts w:cstheme="minorHAnsi"/>
        </w:rPr>
        <w:t>,</w:t>
      </w:r>
      <w:r w:rsidRPr="009E441E">
        <w:rPr>
          <w:rFonts w:cstheme="minorHAnsi"/>
        </w:rPr>
        <w:t xml:space="preserve"> with 5</w:t>
      </w:r>
      <w:r w:rsidR="008A771B" w:rsidRPr="009E441E">
        <w:rPr>
          <w:rFonts w:cstheme="minorHAnsi"/>
        </w:rPr>
        <w:t>3</w:t>
      </w:r>
      <w:r w:rsidRPr="009E441E">
        <w:rPr>
          <w:rFonts w:cstheme="minorHAnsi"/>
        </w:rPr>
        <w:t>% female and 4</w:t>
      </w:r>
      <w:r w:rsidR="008A771B" w:rsidRPr="009E441E">
        <w:rPr>
          <w:rFonts w:cstheme="minorHAnsi"/>
        </w:rPr>
        <w:t>7</w:t>
      </w:r>
      <w:r w:rsidRPr="009E441E">
        <w:rPr>
          <w:rFonts w:cstheme="minorHAnsi"/>
        </w:rPr>
        <w:t xml:space="preserve">% male participation. </w:t>
      </w:r>
    </w:p>
    <w:p w14:paraId="64405E5B" w14:textId="77777777" w:rsidR="003C427C" w:rsidRPr="00C0477E" w:rsidRDefault="003C427C" w:rsidP="009E441E">
      <w:pPr>
        <w:ind w:left="426"/>
        <w:rPr>
          <w:rFonts w:cstheme="minorHAnsi"/>
        </w:rPr>
      </w:pPr>
    </w:p>
    <w:p w14:paraId="1470A7FF" w14:textId="6ADC1670" w:rsidR="008B0758" w:rsidRPr="00C0477E" w:rsidRDefault="00E472A4" w:rsidP="009E441E">
      <w:pPr>
        <w:ind w:left="426"/>
        <w:rPr>
          <w:rFonts w:cstheme="minorHAnsi"/>
        </w:rPr>
      </w:pPr>
      <w:r>
        <w:rPr>
          <w:rFonts w:cstheme="minorHAnsi"/>
        </w:rPr>
        <w:t>47</w:t>
      </w:r>
      <w:r w:rsidR="0058733D" w:rsidRPr="00C0477E">
        <w:rPr>
          <w:rFonts w:cstheme="minorHAnsi"/>
        </w:rPr>
        <w:t>.</w:t>
      </w:r>
      <w:r w:rsidR="0058733D" w:rsidRPr="00C0477E">
        <w:rPr>
          <w:rFonts w:cstheme="minorHAnsi"/>
        </w:rPr>
        <w:tab/>
      </w:r>
      <w:r w:rsidR="008B0758" w:rsidRPr="00C0477E">
        <w:rPr>
          <w:rFonts w:cstheme="minorHAnsi"/>
        </w:rPr>
        <w:t xml:space="preserve">In the context of furthering its enabling role, the Secretariat </w:t>
      </w:r>
      <w:r w:rsidRPr="00C0477E">
        <w:rPr>
          <w:rFonts w:cstheme="minorHAnsi"/>
        </w:rPr>
        <w:t>continue</w:t>
      </w:r>
      <w:r>
        <w:rPr>
          <w:rFonts w:cstheme="minorHAnsi"/>
        </w:rPr>
        <w:t>d</w:t>
      </w:r>
      <w:r w:rsidRPr="00C0477E">
        <w:rPr>
          <w:rFonts w:cstheme="minorHAnsi"/>
        </w:rPr>
        <w:t xml:space="preserve"> </w:t>
      </w:r>
      <w:r w:rsidR="008B0758" w:rsidRPr="00C0477E">
        <w:rPr>
          <w:rFonts w:cstheme="minorHAnsi"/>
        </w:rPr>
        <w:t>to support Ramsar Regional Initiatives (RRIs) which remain</w:t>
      </w:r>
      <w:r>
        <w:rPr>
          <w:rFonts w:cstheme="minorHAnsi"/>
        </w:rPr>
        <w:t>ed</w:t>
      </w:r>
      <w:r w:rsidR="008B0758" w:rsidRPr="00C0477E">
        <w:rPr>
          <w:rFonts w:cstheme="minorHAnsi"/>
        </w:rPr>
        <w:t xml:space="preserve"> active, including by: participating in their </w:t>
      </w:r>
      <w:r w:rsidR="00077436" w:rsidRPr="00C0477E">
        <w:rPr>
          <w:rFonts w:cstheme="minorHAnsi"/>
        </w:rPr>
        <w:t>governing structures</w:t>
      </w:r>
      <w:r w:rsidR="008B0758" w:rsidRPr="00C0477E">
        <w:rPr>
          <w:rFonts w:cstheme="minorHAnsi"/>
        </w:rPr>
        <w:t xml:space="preserve">; advising on and supporting the implementation of their activities; </w:t>
      </w:r>
      <w:r>
        <w:rPr>
          <w:rFonts w:cstheme="minorHAnsi"/>
        </w:rPr>
        <w:t xml:space="preserve">supporting </w:t>
      </w:r>
      <w:r w:rsidR="008B0758" w:rsidRPr="00C0477E">
        <w:rPr>
          <w:rFonts w:cstheme="minorHAnsi"/>
        </w:rPr>
        <w:t xml:space="preserve">fundraising efforts in line with the COP13-approved priorities; facilitating and compiling their reports to the Standing Committee; and providing support to the Standing Committee’s Working Group on </w:t>
      </w:r>
      <w:r>
        <w:rPr>
          <w:rFonts w:cstheme="minorHAnsi"/>
        </w:rPr>
        <w:t>the RRIs</w:t>
      </w:r>
      <w:r w:rsidR="008B0758" w:rsidRPr="00C0477E">
        <w:rPr>
          <w:rFonts w:cstheme="minorHAnsi"/>
        </w:rPr>
        <w:t>.</w:t>
      </w:r>
      <w:r w:rsidR="00077436" w:rsidRPr="009E441E">
        <w:rPr>
          <w:rFonts w:cstheme="minorHAnsi"/>
        </w:rPr>
        <w:t xml:space="preserve"> Advice was also provided to all </w:t>
      </w:r>
      <w:r>
        <w:rPr>
          <w:rFonts w:cstheme="minorHAnsi"/>
        </w:rPr>
        <w:t>RRIs</w:t>
      </w:r>
      <w:r w:rsidR="00077436" w:rsidRPr="009E441E">
        <w:rPr>
          <w:rFonts w:cstheme="minorHAnsi"/>
        </w:rPr>
        <w:t xml:space="preserve"> in the submission of annual reports to SC58 and SC59.</w:t>
      </w:r>
    </w:p>
    <w:p w14:paraId="40E99A6F" w14:textId="77777777" w:rsidR="008B0758" w:rsidRPr="00C0477E" w:rsidRDefault="008B0758" w:rsidP="009E441E">
      <w:pPr>
        <w:ind w:left="426"/>
        <w:rPr>
          <w:rFonts w:cstheme="minorHAnsi"/>
        </w:rPr>
      </w:pPr>
    </w:p>
    <w:p w14:paraId="5CD66206" w14:textId="475D45E4" w:rsidR="008B0758" w:rsidRPr="009E441E" w:rsidRDefault="00E472A4" w:rsidP="009E441E">
      <w:pPr>
        <w:ind w:left="426"/>
        <w:rPr>
          <w:rFonts w:cstheme="minorHAnsi"/>
        </w:rPr>
      </w:pPr>
      <w:r>
        <w:rPr>
          <w:rFonts w:cstheme="minorHAnsi"/>
        </w:rPr>
        <w:t>48.</w:t>
      </w:r>
      <w:r>
        <w:rPr>
          <w:rFonts w:cstheme="minorHAnsi"/>
        </w:rPr>
        <w:tab/>
      </w:r>
      <w:r w:rsidR="008B0758" w:rsidRPr="009E441E">
        <w:rPr>
          <w:rFonts w:cstheme="minorHAnsi"/>
        </w:rPr>
        <w:t xml:space="preserve">During the reporting period, the Secretariat supported the work of </w:t>
      </w:r>
      <w:r w:rsidR="00C55C49">
        <w:rPr>
          <w:rFonts w:cstheme="minorHAnsi"/>
        </w:rPr>
        <w:t>RRIs</w:t>
      </w:r>
      <w:r w:rsidR="008B0758" w:rsidRPr="009E441E">
        <w:rPr>
          <w:rFonts w:cstheme="minorHAnsi"/>
        </w:rPr>
        <w:t xml:space="preserve"> and participated in meetings of their governing structures, notably of the Mediterranean Wetlands Initiative (MedWet), the Nordic Baltic Wetlands Initiative (NorBalWet), t</w:t>
      </w:r>
      <w:r w:rsidR="008B0758" w:rsidRPr="00C0477E">
        <w:rPr>
          <w:rFonts w:cstheme="minorHAnsi"/>
        </w:rPr>
        <w:t>he Ramsar Centres for Eastern Africa (RAMCEA), East Asia (RRC-EA), Central and West Asia (</w:t>
      </w:r>
      <w:r w:rsidR="008B0758" w:rsidRPr="009E441E">
        <w:rPr>
          <w:rFonts w:cstheme="minorHAnsi"/>
        </w:rPr>
        <w:t xml:space="preserve">RRC-CWA) </w:t>
      </w:r>
      <w:r w:rsidR="00C55C49">
        <w:rPr>
          <w:rFonts w:cstheme="minorHAnsi"/>
        </w:rPr>
        <w:t xml:space="preserve">and </w:t>
      </w:r>
      <w:r w:rsidR="008B0758" w:rsidRPr="00C0477E">
        <w:rPr>
          <w:rFonts w:cstheme="minorHAnsi"/>
        </w:rPr>
        <w:t xml:space="preserve">for Training and Research in the Western Hemisphere (CREHO), </w:t>
      </w:r>
      <w:r w:rsidR="00AD5E77">
        <w:rPr>
          <w:rFonts w:cstheme="minorHAnsi"/>
        </w:rPr>
        <w:t xml:space="preserve">and </w:t>
      </w:r>
      <w:r w:rsidR="008B0758" w:rsidRPr="00C0477E">
        <w:rPr>
          <w:rFonts w:cstheme="minorHAnsi"/>
        </w:rPr>
        <w:t xml:space="preserve">the </w:t>
      </w:r>
      <w:r w:rsidR="00AD5E77">
        <w:rPr>
          <w:rFonts w:cstheme="minorHAnsi"/>
        </w:rPr>
        <w:t>I</w:t>
      </w:r>
      <w:r w:rsidR="008B0758" w:rsidRPr="00C0477E">
        <w:rPr>
          <w:rFonts w:cstheme="minorHAnsi"/>
        </w:rPr>
        <w:t xml:space="preserve">nitiatives for the Conservation and Wise Use of the Plata River Basin, the Amazon River Basin, </w:t>
      </w:r>
      <w:r w:rsidR="009861A7" w:rsidRPr="00C0477E">
        <w:rPr>
          <w:rFonts w:cstheme="minorHAnsi"/>
        </w:rPr>
        <w:t xml:space="preserve">the Caribbean Regional Initiative, </w:t>
      </w:r>
      <w:r w:rsidR="008B0758" w:rsidRPr="00C0477E">
        <w:rPr>
          <w:rFonts w:cstheme="minorHAnsi"/>
        </w:rPr>
        <w:t>the Niger River Basin (NigerWet), West African Coastal Zone Wetlands (WACoWet),</w:t>
      </w:r>
      <w:r w:rsidR="008B0758" w:rsidRPr="009E441E">
        <w:rPr>
          <w:rFonts w:cstheme="minorHAnsi"/>
        </w:rPr>
        <w:t xml:space="preserve"> High Andean Wetlands, </w:t>
      </w:r>
      <w:r w:rsidR="00C55C49">
        <w:rPr>
          <w:rFonts w:cstheme="minorHAnsi"/>
        </w:rPr>
        <w:t xml:space="preserve">and </w:t>
      </w:r>
      <w:r w:rsidR="008B0758" w:rsidRPr="009E441E">
        <w:rPr>
          <w:rFonts w:cstheme="minorHAnsi"/>
        </w:rPr>
        <w:t xml:space="preserve">Mangroves and Coral Reefs. </w:t>
      </w:r>
    </w:p>
    <w:p w14:paraId="277B67E2" w14:textId="77777777" w:rsidR="00461771" w:rsidRPr="009E441E" w:rsidRDefault="00461771" w:rsidP="009E441E">
      <w:pPr>
        <w:ind w:left="426"/>
        <w:rPr>
          <w:rFonts w:cstheme="minorHAnsi"/>
        </w:rPr>
      </w:pPr>
    </w:p>
    <w:p w14:paraId="444D0B90" w14:textId="473E775A" w:rsidR="007C5A85" w:rsidRPr="009E441E" w:rsidRDefault="00B3389A" w:rsidP="009E441E">
      <w:pPr>
        <w:ind w:left="426"/>
        <w:rPr>
          <w:rFonts w:cstheme="minorHAnsi"/>
        </w:rPr>
      </w:pPr>
      <w:r>
        <w:rPr>
          <w:rFonts w:cstheme="minorHAnsi"/>
        </w:rPr>
        <w:t>49</w:t>
      </w:r>
      <w:r w:rsidR="007C5A85" w:rsidRPr="00C0477E">
        <w:rPr>
          <w:rFonts w:cstheme="minorHAnsi"/>
        </w:rPr>
        <w:t xml:space="preserve">. </w:t>
      </w:r>
      <w:r w:rsidR="007C5A85" w:rsidRPr="00C0477E">
        <w:rPr>
          <w:rFonts w:cstheme="minorHAnsi"/>
        </w:rPr>
        <w:tab/>
      </w:r>
      <w:r w:rsidR="00A419DB" w:rsidRPr="00C0477E">
        <w:rPr>
          <w:rFonts w:cstheme="minorHAnsi"/>
        </w:rPr>
        <w:t>The Secretariat also</w:t>
      </w:r>
      <w:r w:rsidR="00266AF0" w:rsidRPr="00C0477E">
        <w:rPr>
          <w:rFonts w:cstheme="minorHAnsi"/>
        </w:rPr>
        <w:t xml:space="preserve"> engage</w:t>
      </w:r>
      <w:r w:rsidR="00A419DB" w:rsidRPr="00C0477E">
        <w:rPr>
          <w:rFonts w:cstheme="minorHAnsi"/>
        </w:rPr>
        <w:t>d</w:t>
      </w:r>
      <w:r w:rsidR="00266AF0" w:rsidRPr="00C0477E">
        <w:rPr>
          <w:rFonts w:cstheme="minorHAnsi"/>
        </w:rPr>
        <w:t xml:space="preserve"> in strategic partnerships</w:t>
      </w:r>
      <w:r w:rsidR="0095571F" w:rsidRPr="00C0477E">
        <w:rPr>
          <w:rFonts w:cstheme="minorHAnsi"/>
        </w:rPr>
        <w:t>.</w:t>
      </w:r>
      <w:r w:rsidR="007C5A85" w:rsidRPr="009E441E">
        <w:rPr>
          <w:rFonts w:cstheme="minorHAnsi"/>
        </w:rPr>
        <w:t xml:space="preserve"> The Secretariat and Danone renewed and signed a three-year Partnership Agreement (2022 to 2024) in December 2021 to increase global visibility and understanding of wetlands among public and private sector decision-makers. The Partnership Agreement with a total value of EUR 240,000 lays out three main areas of cooperation: </w:t>
      </w:r>
      <w:r w:rsidR="00C55C49">
        <w:rPr>
          <w:rFonts w:cstheme="minorHAnsi"/>
        </w:rPr>
        <w:t>to r</w:t>
      </w:r>
      <w:r w:rsidR="00C55C49" w:rsidRPr="009E441E">
        <w:rPr>
          <w:rFonts w:cstheme="minorHAnsi"/>
        </w:rPr>
        <w:t xml:space="preserve">aise </w:t>
      </w:r>
      <w:r w:rsidR="009861A7" w:rsidRPr="009E441E">
        <w:rPr>
          <w:rFonts w:cstheme="minorHAnsi"/>
        </w:rPr>
        <w:t>awareness on the importance of wetlands through the global World Wetlands Day campaign</w:t>
      </w:r>
      <w:r w:rsidR="00C55C49">
        <w:rPr>
          <w:rFonts w:cstheme="minorHAnsi"/>
        </w:rPr>
        <w:t>; to</w:t>
      </w:r>
      <w:r w:rsidR="009861A7" w:rsidRPr="009E441E">
        <w:rPr>
          <w:rFonts w:cstheme="minorHAnsi"/>
        </w:rPr>
        <w:t xml:space="preserve"> accelerate adoption of best conservation practices by financing wetlands conservation through </w:t>
      </w:r>
      <w:r w:rsidR="00AD5E77">
        <w:rPr>
          <w:rFonts w:cstheme="minorHAnsi"/>
        </w:rPr>
        <w:t xml:space="preserve">the </w:t>
      </w:r>
      <w:r w:rsidR="009861A7" w:rsidRPr="009E441E">
        <w:rPr>
          <w:rFonts w:cstheme="minorHAnsi"/>
        </w:rPr>
        <w:t>Ramsar Wetland Conservation Awards and the Action for Wetlands Fund</w:t>
      </w:r>
      <w:r w:rsidR="00C55C49">
        <w:rPr>
          <w:rFonts w:cstheme="minorHAnsi"/>
        </w:rPr>
        <w:t>; and to</w:t>
      </w:r>
      <w:r w:rsidR="00C55C49" w:rsidRPr="009E441E">
        <w:rPr>
          <w:rFonts w:cstheme="minorHAnsi"/>
        </w:rPr>
        <w:t xml:space="preserve"> </w:t>
      </w:r>
      <w:r w:rsidR="009861A7" w:rsidRPr="009E441E">
        <w:rPr>
          <w:rFonts w:cstheme="minorHAnsi"/>
        </w:rPr>
        <w:t xml:space="preserve">facilitate </w:t>
      </w:r>
      <w:r w:rsidR="00C55C49" w:rsidRPr="009E441E">
        <w:rPr>
          <w:rFonts w:cstheme="minorHAnsi"/>
        </w:rPr>
        <w:t xml:space="preserve">dissemination </w:t>
      </w:r>
      <w:r w:rsidR="00C55C49">
        <w:rPr>
          <w:rFonts w:cstheme="minorHAnsi"/>
        </w:rPr>
        <w:t xml:space="preserve">of </w:t>
      </w:r>
      <w:r w:rsidR="009861A7" w:rsidRPr="009E441E">
        <w:rPr>
          <w:rFonts w:cstheme="minorHAnsi"/>
        </w:rPr>
        <w:t xml:space="preserve">scientific knowledge to inform decision-making and promote sustainable management practices of wetlands, including </w:t>
      </w:r>
      <w:r w:rsidR="00C55C49">
        <w:rPr>
          <w:rFonts w:cstheme="minorHAnsi"/>
        </w:rPr>
        <w:t xml:space="preserve">by </w:t>
      </w:r>
      <w:r w:rsidR="009861A7" w:rsidRPr="009E441E">
        <w:rPr>
          <w:rFonts w:cstheme="minorHAnsi"/>
        </w:rPr>
        <w:t>drawing on the work of the STRP</w:t>
      </w:r>
      <w:r w:rsidR="00C55C49">
        <w:rPr>
          <w:rFonts w:cstheme="minorHAnsi"/>
        </w:rPr>
        <w:t>.</w:t>
      </w:r>
    </w:p>
    <w:p w14:paraId="5AC17192" w14:textId="77777777" w:rsidR="001A0ACF" w:rsidRPr="009E441E" w:rsidRDefault="001A0ACF" w:rsidP="009E441E">
      <w:pPr>
        <w:ind w:left="426"/>
        <w:rPr>
          <w:rFonts w:cstheme="minorHAnsi"/>
        </w:rPr>
      </w:pPr>
    </w:p>
    <w:p w14:paraId="4A2EDB36" w14:textId="7BA7F5C4" w:rsidR="001A0ACF" w:rsidRPr="00C0477E" w:rsidRDefault="00C55C49" w:rsidP="009E441E">
      <w:pPr>
        <w:ind w:left="426"/>
        <w:rPr>
          <w:rFonts w:cstheme="minorHAnsi"/>
        </w:rPr>
      </w:pPr>
      <w:r>
        <w:rPr>
          <w:rFonts w:cstheme="minorHAnsi"/>
        </w:rPr>
        <w:t>50</w:t>
      </w:r>
      <w:r w:rsidR="0058733D" w:rsidRPr="00C0477E">
        <w:rPr>
          <w:rFonts w:cstheme="minorHAnsi"/>
        </w:rPr>
        <w:t>.</w:t>
      </w:r>
      <w:r w:rsidR="0058733D" w:rsidRPr="00C0477E">
        <w:rPr>
          <w:rFonts w:cstheme="minorHAnsi"/>
        </w:rPr>
        <w:tab/>
      </w:r>
      <w:r w:rsidR="008A6B45" w:rsidRPr="009E441E">
        <w:rPr>
          <w:rFonts w:cstheme="minorHAnsi"/>
        </w:rPr>
        <w:t>The Secretariat continues to strengthen its collaboration with the IOPs. Periodic teleconferences between the partners are held to review implementation of the Joint Activities for Collaboration in the renewed Memorandum of Cooperation. The IOPs contributed to the development of the 50th Anniversary campaign and actively supported World Wetlands Day</w:t>
      </w:r>
      <w:r w:rsidR="001D394F" w:rsidRPr="009E441E">
        <w:rPr>
          <w:rFonts w:cstheme="minorHAnsi"/>
        </w:rPr>
        <w:t xml:space="preserve"> campaigns in</w:t>
      </w:r>
      <w:r w:rsidR="008A6B45" w:rsidRPr="009E441E">
        <w:rPr>
          <w:rFonts w:cstheme="minorHAnsi"/>
        </w:rPr>
        <w:t xml:space="preserve"> </w:t>
      </w:r>
      <w:r w:rsidR="00F4043D" w:rsidRPr="009E441E">
        <w:rPr>
          <w:rFonts w:cstheme="minorHAnsi"/>
        </w:rPr>
        <w:t xml:space="preserve">2019, 2021 and </w:t>
      </w:r>
      <w:r w:rsidR="008A6B45" w:rsidRPr="009E441E">
        <w:rPr>
          <w:rFonts w:cstheme="minorHAnsi"/>
        </w:rPr>
        <w:t>2022.</w:t>
      </w:r>
    </w:p>
    <w:p w14:paraId="029C730C" w14:textId="77777777" w:rsidR="00D74A26" w:rsidRPr="00C0477E" w:rsidRDefault="00D74A26" w:rsidP="009E441E">
      <w:pPr>
        <w:ind w:left="426"/>
        <w:rPr>
          <w:rFonts w:cstheme="minorHAnsi"/>
        </w:rPr>
      </w:pPr>
    </w:p>
    <w:p w14:paraId="46F65153" w14:textId="742CFD30" w:rsidR="00CE1AF2" w:rsidRPr="009E441E" w:rsidRDefault="00C55C49" w:rsidP="009E441E">
      <w:pPr>
        <w:ind w:left="426"/>
        <w:rPr>
          <w:rFonts w:cstheme="minorHAnsi"/>
        </w:rPr>
      </w:pPr>
      <w:r>
        <w:rPr>
          <w:rFonts w:cstheme="minorHAnsi"/>
        </w:rPr>
        <w:lastRenderedPageBreak/>
        <w:t>51</w:t>
      </w:r>
      <w:r w:rsidR="40F2EF6A" w:rsidRPr="00C0477E">
        <w:rPr>
          <w:rFonts w:cstheme="minorHAnsi"/>
        </w:rPr>
        <w:t>.</w:t>
      </w:r>
      <w:r w:rsidR="00CE1AF2" w:rsidRPr="00C0477E">
        <w:rPr>
          <w:rFonts w:cstheme="minorHAnsi"/>
        </w:rPr>
        <w:tab/>
      </w:r>
      <w:r w:rsidR="40F2EF6A" w:rsidRPr="00C0477E">
        <w:rPr>
          <w:rFonts w:cstheme="minorHAnsi"/>
        </w:rPr>
        <w:t xml:space="preserve">Regarding resource </w:t>
      </w:r>
      <w:r w:rsidR="40F2EF6A" w:rsidRPr="007F04DC">
        <w:rPr>
          <w:rFonts w:cstheme="minorHAnsi"/>
        </w:rPr>
        <w:t xml:space="preserve">mobilization, during the triennium the non-core resources amounted to CHF 888,000 to support the priorities established by the COP in </w:t>
      </w:r>
      <w:r w:rsidR="00E232AF" w:rsidRPr="007F04DC">
        <w:rPr>
          <w:rFonts w:cstheme="minorHAnsi"/>
        </w:rPr>
        <w:t xml:space="preserve">Annex 3 of </w:t>
      </w:r>
      <w:r w:rsidR="40F2EF6A" w:rsidRPr="007F04DC">
        <w:rPr>
          <w:rFonts w:cstheme="minorHAnsi"/>
        </w:rPr>
        <w:t>Resolution XII</w:t>
      </w:r>
      <w:r w:rsidR="00793C89" w:rsidRPr="007F04DC">
        <w:rPr>
          <w:rFonts w:cstheme="minorHAnsi"/>
        </w:rPr>
        <w:t>I</w:t>
      </w:r>
      <w:r w:rsidR="40F2EF6A" w:rsidRPr="007F04DC">
        <w:rPr>
          <w:rFonts w:cstheme="minorHAnsi"/>
        </w:rPr>
        <w:t>.</w:t>
      </w:r>
      <w:r w:rsidR="00793C89" w:rsidRPr="007F04DC">
        <w:rPr>
          <w:rFonts w:cstheme="minorHAnsi"/>
        </w:rPr>
        <w:t xml:space="preserve">2 on </w:t>
      </w:r>
      <w:r w:rsidR="00793C89" w:rsidRPr="007F04DC">
        <w:rPr>
          <w:rFonts w:cstheme="minorHAnsi"/>
          <w:i/>
        </w:rPr>
        <w:t>Financial and budgetary matters</w:t>
      </w:r>
      <w:r w:rsidR="40F2EF6A" w:rsidRPr="007F04DC">
        <w:rPr>
          <w:rFonts w:cstheme="minorHAnsi"/>
        </w:rPr>
        <w:t>.</w:t>
      </w:r>
      <w:r w:rsidR="00E4253B" w:rsidRPr="007F04DC">
        <w:rPr>
          <w:rFonts w:cstheme="minorHAnsi"/>
        </w:rPr>
        <w:t xml:space="preserve"> </w:t>
      </w:r>
      <w:r w:rsidR="40F2EF6A" w:rsidRPr="007F04DC">
        <w:rPr>
          <w:rFonts w:cstheme="minorHAnsi"/>
        </w:rPr>
        <w:t>Specifically</w:t>
      </w:r>
      <w:r w:rsidR="00E232AF" w:rsidRPr="007F04DC">
        <w:rPr>
          <w:rFonts w:cstheme="minorHAnsi"/>
        </w:rPr>
        <w:t>,</w:t>
      </w:r>
      <w:r w:rsidR="40F2EF6A" w:rsidRPr="007F04DC">
        <w:rPr>
          <w:rFonts w:cstheme="minorHAnsi"/>
        </w:rPr>
        <w:t xml:space="preserve"> the funds mobilized contributed to developing the guidance document on </w:t>
      </w:r>
      <w:r w:rsidR="00E232AF" w:rsidRPr="007F04DC">
        <w:rPr>
          <w:rFonts w:cstheme="minorHAnsi"/>
        </w:rPr>
        <w:t xml:space="preserve">gender </w:t>
      </w:r>
      <w:r w:rsidR="40F2EF6A" w:rsidRPr="007F04DC">
        <w:rPr>
          <w:rFonts w:cstheme="minorHAnsi"/>
        </w:rPr>
        <w:t xml:space="preserve">and </w:t>
      </w:r>
      <w:r w:rsidR="00E232AF" w:rsidRPr="007F04DC">
        <w:rPr>
          <w:rFonts w:cstheme="minorHAnsi"/>
        </w:rPr>
        <w:t>wetlands</w:t>
      </w:r>
      <w:r w:rsidR="40F2EF6A" w:rsidRPr="007F04DC">
        <w:rPr>
          <w:rFonts w:cstheme="minorHAnsi"/>
        </w:rPr>
        <w:t>,</w:t>
      </w:r>
      <w:r w:rsidR="00F75FD5" w:rsidRPr="007F04DC">
        <w:rPr>
          <w:rFonts w:cstheme="minorHAnsi"/>
        </w:rPr>
        <w:t xml:space="preserve"> </w:t>
      </w:r>
      <w:r w:rsidR="40F2EF6A" w:rsidRPr="007F04DC">
        <w:rPr>
          <w:rFonts w:cstheme="minorHAnsi"/>
        </w:rPr>
        <w:t xml:space="preserve">RAMs, </w:t>
      </w:r>
      <w:r w:rsidR="00E232AF" w:rsidRPr="007F04DC">
        <w:rPr>
          <w:rFonts w:cstheme="minorHAnsi"/>
        </w:rPr>
        <w:t xml:space="preserve">facilitating </w:t>
      </w:r>
      <w:r w:rsidR="40F2EF6A" w:rsidRPr="007F04DC">
        <w:rPr>
          <w:rFonts w:cstheme="minorHAnsi"/>
        </w:rPr>
        <w:t>the development of wetland inventories and the work of the STRP.</w:t>
      </w:r>
      <w:r w:rsidR="00E4253B" w:rsidRPr="007F04DC">
        <w:rPr>
          <w:rFonts w:cstheme="minorHAnsi"/>
        </w:rPr>
        <w:t xml:space="preserve"> </w:t>
      </w:r>
      <w:r w:rsidR="00BE602B" w:rsidRPr="007F04DC">
        <w:rPr>
          <w:rFonts w:cstheme="minorHAnsi"/>
        </w:rPr>
        <w:t>In the financial report on non-core projects, and Annex 3 of the Subgroup on Finance Report</w:t>
      </w:r>
      <w:r w:rsidR="00BE602B" w:rsidRPr="009E441E">
        <w:rPr>
          <w:rFonts w:cstheme="minorHAnsi"/>
        </w:rPr>
        <w:t xml:space="preserve"> and Decisions of SC59 in June 2021</w:t>
      </w:r>
      <w:r w:rsidR="00AD5E77">
        <w:rPr>
          <w:rFonts w:cstheme="minorHAnsi"/>
        </w:rPr>
        <w:t>,</w:t>
      </w:r>
      <w:r w:rsidR="00BE602B" w:rsidRPr="009E441E">
        <w:rPr>
          <w:rFonts w:cstheme="minorHAnsi"/>
        </w:rPr>
        <w:t xml:space="preserve"> </w:t>
      </w:r>
      <w:r w:rsidR="00E232AF" w:rsidRPr="00C0477E">
        <w:rPr>
          <w:rFonts w:cstheme="minorHAnsi"/>
        </w:rPr>
        <w:t>the signing of the IKI Caribbean project</w:t>
      </w:r>
      <w:r w:rsidR="00E232AF" w:rsidRPr="009E441E">
        <w:rPr>
          <w:rFonts w:cstheme="minorHAnsi"/>
        </w:rPr>
        <w:t xml:space="preserve"> </w:t>
      </w:r>
      <w:r w:rsidR="00E232AF">
        <w:rPr>
          <w:rFonts w:cstheme="minorHAnsi"/>
        </w:rPr>
        <w:t>was</w:t>
      </w:r>
      <w:r w:rsidR="00E232AF" w:rsidRPr="009E441E">
        <w:rPr>
          <w:rFonts w:cstheme="minorHAnsi"/>
        </w:rPr>
        <w:t xml:space="preserve"> </w:t>
      </w:r>
      <w:r w:rsidR="00BE602B" w:rsidRPr="009E441E">
        <w:rPr>
          <w:rFonts w:cstheme="minorHAnsi"/>
        </w:rPr>
        <w:t xml:space="preserve">noted with </w:t>
      </w:r>
      <w:r w:rsidR="00BE602B" w:rsidRPr="00C0477E">
        <w:rPr>
          <w:rFonts w:cstheme="minorHAnsi"/>
        </w:rPr>
        <w:t xml:space="preserve">satisfaction. </w:t>
      </w:r>
      <w:r w:rsidR="40F2EF6A" w:rsidRPr="009E441E">
        <w:rPr>
          <w:rFonts w:cstheme="minorHAnsi"/>
        </w:rPr>
        <w:t>At the</w:t>
      </w:r>
      <w:r w:rsidR="00802532" w:rsidRPr="009E441E">
        <w:rPr>
          <w:rFonts w:cstheme="minorHAnsi"/>
        </w:rPr>
        <w:t xml:space="preserve"> time of</w:t>
      </w:r>
      <w:r w:rsidR="40F2EF6A" w:rsidRPr="009E441E">
        <w:rPr>
          <w:rFonts w:cstheme="minorHAnsi"/>
        </w:rPr>
        <w:t xml:space="preserve"> writing of this report fundraising for sponsored delegate travel to COP14 was ongoing</w:t>
      </w:r>
      <w:r w:rsidR="00E232AF">
        <w:rPr>
          <w:rFonts w:cstheme="minorHAnsi"/>
        </w:rPr>
        <w:t>,</w:t>
      </w:r>
      <w:r w:rsidR="40F2EF6A" w:rsidRPr="009E441E">
        <w:rPr>
          <w:rFonts w:cstheme="minorHAnsi"/>
        </w:rPr>
        <w:t xml:space="preserve"> with contributions so far received from the governments of Australia, Canada and Norway. </w:t>
      </w:r>
    </w:p>
    <w:p w14:paraId="729ABF4F" w14:textId="77777777" w:rsidR="40F2EF6A" w:rsidRPr="009E441E" w:rsidRDefault="40F2EF6A" w:rsidP="009E441E">
      <w:pPr>
        <w:ind w:left="426"/>
        <w:rPr>
          <w:rFonts w:cstheme="minorHAnsi"/>
        </w:rPr>
      </w:pPr>
    </w:p>
    <w:p w14:paraId="35AA2898" w14:textId="297ABC97" w:rsidR="00021977" w:rsidRPr="009E441E" w:rsidRDefault="00C55C49" w:rsidP="009E441E">
      <w:pPr>
        <w:ind w:left="426"/>
        <w:rPr>
          <w:rFonts w:cstheme="minorHAnsi"/>
        </w:rPr>
      </w:pPr>
      <w:r>
        <w:rPr>
          <w:rFonts w:cstheme="minorHAnsi"/>
        </w:rPr>
        <w:t>52</w:t>
      </w:r>
      <w:r w:rsidR="0058733D" w:rsidRPr="00C0477E">
        <w:rPr>
          <w:rFonts w:cstheme="minorHAnsi"/>
        </w:rPr>
        <w:t>.</w:t>
      </w:r>
      <w:r w:rsidR="0058733D" w:rsidRPr="00C0477E">
        <w:rPr>
          <w:rFonts w:cstheme="minorHAnsi"/>
        </w:rPr>
        <w:tab/>
      </w:r>
      <w:r w:rsidR="00670185" w:rsidRPr="00C0477E">
        <w:rPr>
          <w:rFonts w:cstheme="minorHAnsi"/>
        </w:rPr>
        <w:t xml:space="preserve">The Secretariat </w:t>
      </w:r>
      <w:r w:rsidR="00C3788D" w:rsidRPr="00C0477E">
        <w:rPr>
          <w:rFonts w:cstheme="minorHAnsi"/>
        </w:rPr>
        <w:t xml:space="preserve">also </w:t>
      </w:r>
      <w:r w:rsidR="00CD7EF2" w:rsidRPr="00C0477E">
        <w:rPr>
          <w:rFonts w:cstheme="minorHAnsi"/>
        </w:rPr>
        <w:t>provided support to Contracting Parties in their fund</w:t>
      </w:r>
      <w:r w:rsidR="001F04E0" w:rsidRPr="00C0477E">
        <w:rPr>
          <w:rFonts w:cstheme="minorHAnsi"/>
        </w:rPr>
        <w:t>raising efforts</w:t>
      </w:r>
      <w:r w:rsidR="00793C89" w:rsidRPr="00C0477E">
        <w:rPr>
          <w:rFonts w:cstheme="minorHAnsi"/>
        </w:rPr>
        <w:t xml:space="preserve"> and</w:t>
      </w:r>
      <w:r w:rsidR="009E6945">
        <w:rPr>
          <w:rFonts w:cstheme="minorHAnsi"/>
        </w:rPr>
        <w:t xml:space="preserve"> has </w:t>
      </w:r>
      <w:r w:rsidR="00021977" w:rsidRPr="009E441E">
        <w:rPr>
          <w:rFonts w:cstheme="minorHAnsi"/>
        </w:rPr>
        <w:t>encourage</w:t>
      </w:r>
      <w:r w:rsidR="009E6945">
        <w:rPr>
          <w:rFonts w:cstheme="minorHAnsi"/>
        </w:rPr>
        <w:t>d</w:t>
      </w:r>
      <w:r w:rsidR="00021977" w:rsidRPr="009E441E">
        <w:rPr>
          <w:rFonts w:cstheme="minorHAnsi"/>
        </w:rPr>
        <w:t xml:space="preserve"> Contracting Parties to use </w:t>
      </w:r>
      <w:r w:rsidR="007D3FE1" w:rsidRPr="009E441E">
        <w:rPr>
          <w:rFonts w:cstheme="minorHAnsi"/>
        </w:rPr>
        <w:t xml:space="preserve">the </w:t>
      </w:r>
      <w:hyperlink r:id="rId11" w:history="1">
        <w:r w:rsidR="007D3FE1" w:rsidRPr="009E441E">
          <w:t>database of funding organizations</w:t>
        </w:r>
      </w:hyperlink>
      <w:r w:rsidR="00021977" w:rsidRPr="009E441E">
        <w:rPr>
          <w:rFonts w:cstheme="minorHAnsi"/>
        </w:rPr>
        <w:t xml:space="preserve"> to communicate news on funding opportunities. In addition, a guide for writing conservation project proposals </w:t>
      </w:r>
      <w:r w:rsidR="009E6945">
        <w:rPr>
          <w:rFonts w:cstheme="minorHAnsi"/>
        </w:rPr>
        <w:t>has been made</w:t>
      </w:r>
      <w:r w:rsidR="00021977" w:rsidRPr="009E441E">
        <w:rPr>
          <w:rFonts w:cstheme="minorHAnsi"/>
        </w:rPr>
        <w:t xml:space="preserve"> available on the </w:t>
      </w:r>
      <w:hyperlink r:id="rId12" w:history="1">
        <w:r w:rsidR="00021977" w:rsidRPr="009E441E">
          <w:t>websit</w:t>
        </w:r>
        <w:r w:rsidR="00F50221" w:rsidRPr="009E441E">
          <w:t>e</w:t>
        </w:r>
      </w:hyperlink>
      <w:r w:rsidR="00F50221" w:rsidRPr="009E441E">
        <w:rPr>
          <w:rFonts w:cstheme="minorHAnsi"/>
        </w:rPr>
        <w:t xml:space="preserve"> </w:t>
      </w:r>
      <w:r w:rsidR="00021977" w:rsidRPr="009E441E">
        <w:rPr>
          <w:rFonts w:cstheme="minorHAnsi"/>
        </w:rPr>
        <w:t>to support Parties in writing project proposals in response to the request made at SC57</w:t>
      </w:r>
      <w:r w:rsidR="00C6640F" w:rsidRPr="009E441E">
        <w:rPr>
          <w:rFonts w:cstheme="minorHAnsi"/>
        </w:rPr>
        <w:t xml:space="preserve">. </w:t>
      </w:r>
      <w:r w:rsidR="004F701D">
        <w:rPr>
          <w:rFonts w:cstheme="minorHAnsi"/>
        </w:rPr>
        <w:t>In addition,</w:t>
      </w:r>
      <w:r w:rsidR="00C6640F" w:rsidRPr="009E441E">
        <w:rPr>
          <w:rFonts w:cstheme="minorHAnsi"/>
        </w:rPr>
        <w:t xml:space="preserve"> </w:t>
      </w:r>
      <w:r w:rsidR="00793C89" w:rsidRPr="009E441E">
        <w:rPr>
          <w:rFonts w:cstheme="minorHAnsi"/>
        </w:rPr>
        <w:t>the training</w:t>
      </w:r>
      <w:r w:rsidR="00E4253B">
        <w:rPr>
          <w:rFonts w:cstheme="minorHAnsi"/>
        </w:rPr>
        <w:t xml:space="preserve"> </w:t>
      </w:r>
      <w:r w:rsidR="009E6945">
        <w:rPr>
          <w:rFonts w:cstheme="minorHAnsi"/>
        </w:rPr>
        <w:t xml:space="preserve">course </w:t>
      </w:r>
      <w:r w:rsidR="00793C89" w:rsidRPr="009E441E">
        <w:rPr>
          <w:rFonts w:cstheme="minorHAnsi"/>
        </w:rPr>
        <w:t>“</w:t>
      </w:r>
      <w:r w:rsidR="00793C89" w:rsidRPr="00C0477E">
        <w:rPr>
          <w:rFonts w:cstheme="minorHAnsi"/>
        </w:rPr>
        <w:t xml:space="preserve">Grant Writing: How to write effective project proposals” was held </w:t>
      </w:r>
      <w:r w:rsidR="009E6945">
        <w:rPr>
          <w:rFonts w:cstheme="minorHAnsi"/>
        </w:rPr>
        <w:t>in</w:t>
      </w:r>
      <w:r w:rsidR="00793C89" w:rsidRPr="00C0477E">
        <w:rPr>
          <w:rFonts w:cstheme="minorHAnsi"/>
        </w:rPr>
        <w:t xml:space="preserve"> September and October 2020</w:t>
      </w:r>
      <w:r w:rsidR="00D67DF6">
        <w:rPr>
          <w:rFonts w:cstheme="minorHAnsi"/>
        </w:rPr>
        <w:t>.</w:t>
      </w:r>
      <w:r w:rsidR="00021977" w:rsidRPr="009E441E">
        <w:rPr>
          <w:rFonts w:cstheme="minorHAnsi"/>
        </w:rPr>
        <w:t xml:space="preserve"> </w:t>
      </w:r>
    </w:p>
    <w:p w14:paraId="5BE42276" w14:textId="77777777" w:rsidR="00191B74" w:rsidRPr="009E441E" w:rsidRDefault="00191B74" w:rsidP="009E441E">
      <w:pPr>
        <w:ind w:left="426"/>
        <w:rPr>
          <w:rFonts w:cstheme="minorHAnsi"/>
        </w:rPr>
      </w:pPr>
    </w:p>
    <w:p w14:paraId="5A0B0180" w14:textId="144A32C7" w:rsidR="00191B74" w:rsidRPr="00C0477E" w:rsidRDefault="00C55C49" w:rsidP="009E441E">
      <w:pPr>
        <w:ind w:left="426"/>
        <w:rPr>
          <w:rFonts w:cstheme="minorHAnsi"/>
        </w:rPr>
      </w:pPr>
      <w:r>
        <w:rPr>
          <w:rFonts w:cstheme="minorHAnsi"/>
        </w:rPr>
        <w:t>53</w:t>
      </w:r>
      <w:r w:rsidR="00191B74" w:rsidRPr="00C0477E">
        <w:rPr>
          <w:rFonts w:cstheme="minorHAnsi"/>
        </w:rPr>
        <w:t>.</w:t>
      </w:r>
      <w:r w:rsidR="00191B74" w:rsidRPr="00C0477E">
        <w:rPr>
          <w:rFonts w:cstheme="minorHAnsi"/>
        </w:rPr>
        <w:tab/>
        <w:t xml:space="preserve">The Secretariat facilitated meetings </w:t>
      </w:r>
      <w:r w:rsidR="009E6945">
        <w:rPr>
          <w:rFonts w:cstheme="minorHAnsi"/>
        </w:rPr>
        <w:t>in</w:t>
      </w:r>
      <w:r w:rsidR="00191B74" w:rsidRPr="00C0477E">
        <w:rPr>
          <w:rFonts w:cstheme="minorHAnsi"/>
        </w:rPr>
        <w:t xml:space="preserve"> February 2019 between the National Designated Authority of Burkina Faso for the Green Climate Fund (GCF) and the IUCN office for West and Central Africa (IUCN/PACO) to develop a national wetland project to be submitted to GCF. </w:t>
      </w:r>
      <w:r w:rsidR="009E6945">
        <w:rPr>
          <w:rFonts w:cstheme="minorHAnsi"/>
        </w:rPr>
        <w:t>In the same month t</w:t>
      </w:r>
      <w:r w:rsidR="009E6945" w:rsidRPr="00C0477E">
        <w:rPr>
          <w:rFonts w:cstheme="minorHAnsi"/>
        </w:rPr>
        <w:t xml:space="preserve">he </w:t>
      </w:r>
      <w:r w:rsidR="00191B74" w:rsidRPr="00C0477E">
        <w:rPr>
          <w:rFonts w:cstheme="minorHAnsi"/>
        </w:rPr>
        <w:t xml:space="preserve">Secretariat also facilitated a planning workshop during the Second Governing Council Meeting of the Ramsar Centre for Eastern Africa to plan a 2019 activity to develop a sub-regional programme to be submitted to GCF. In the Americas, the Secretariat is supporting countries of the High Andean Wetlands and the Mangroves and Coral Reefs Regional Initiatives in the submission of regional projects to donors (GEF and IKI). </w:t>
      </w:r>
      <w:r w:rsidR="00C6640F" w:rsidRPr="00C0477E">
        <w:rPr>
          <w:rFonts w:cstheme="minorHAnsi"/>
        </w:rPr>
        <w:t>The Secretariat also supported the fundraising activities of the Indo-Burma Ramsar Regional Initiative (IBRRI) to identify new sources for funding.</w:t>
      </w:r>
    </w:p>
    <w:p w14:paraId="73457645" w14:textId="77777777" w:rsidR="00926446" w:rsidRPr="00C0477E" w:rsidRDefault="00926446" w:rsidP="00C0477E">
      <w:pPr>
        <w:ind w:left="0" w:firstLine="0"/>
        <w:rPr>
          <w:rFonts w:cstheme="minorHAnsi"/>
        </w:rPr>
      </w:pPr>
    </w:p>
    <w:p w14:paraId="3C34D479" w14:textId="564E3FA4" w:rsidR="00AA58E0" w:rsidRPr="00C0477E" w:rsidRDefault="31B94901" w:rsidP="0050301F">
      <w:pPr>
        <w:keepNext/>
        <w:ind w:left="0" w:firstLine="0"/>
        <w:rPr>
          <w:rFonts w:cstheme="minorHAnsi"/>
          <w:b/>
          <w:bCs/>
          <w:u w:val="single"/>
        </w:rPr>
      </w:pPr>
      <w:r w:rsidRPr="00C0477E">
        <w:rPr>
          <w:rFonts w:cstheme="minorHAnsi"/>
          <w:b/>
          <w:bCs/>
          <w:u w:val="single"/>
        </w:rPr>
        <w:t>Enhancing the visibility of wetlands and the Convention</w:t>
      </w:r>
    </w:p>
    <w:p w14:paraId="51C7FC20" w14:textId="77777777" w:rsidR="00D352B8" w:rsidRPr="00C0477E" w:rsidRDefault="00D352B8" w:rsidP="0050301F">
      <w:pPr>
        <w:keepNext/>
        <w:ind w:left="0" w:firstLine="0"/>
        <w:rPr>
          <w:rFonts w:cstheme="minorHAnsi"/>
        </w:rPr>
      </w:pPr>
    </w:p>
    <w:p w14:paraId="00202D1F" w14:textId="40D4B8C8" w:rsidR="008B18E1" w:rsidRPr="00C0477E" w:rsidRDefault="00C55C49" w:rsidP="009E441E">
      <w:pPr>
        <w:ind w:left="426"/>
        <w:rPr>
          <w:rFonts w:cstheme="minorHAnsi"/>
        </w:rPr>
      </w:pPr>
      <w:r>
        <w:rPr>
          <w:rFonts w:cstheme="minorHAnsi"/>
        </w:rPr>
        <w:t>54</w:t>
      </w:r>
      <w:r w:rsidR="01146BA0" w:rsidRPr="00C0477E">
        <w:rPr>
          <w:rFonts w:cstheme="minorHAnsi"/>
        </w:rPr>
        <w:t>.</w:t>
      </w:r>
      <w:r w:rsidR="001B7657" w:rsidRPr="00C0477E">
        <w:rPr>
          <w:rFonts w:cstheme="minorHAnsi"/>
        </w:rPr>
        <w:tab/>
      </w:r>
      <w:r w:rsidR="01146BA0" w:rsidRPr="00C0477E">
        <w:rPr>
          <w:rFonts w:cstheme="minorHAnsi"/>
        </w:rPr>
        <w:t xml:space="preserve">The visibility of wetlands and the Convention are being </w:t>
      </w:r>
      <w:r w:rsidR="009E6945">
        <w:rPr>
          <w:rFonts w:cstheme="minorHAnsi"/>
        </w:rPr>
        <w:t>increased</w:t>
      </w:r>
      <w:r w:rsidR="009E6945" w:rsidRPr="00C0477E">
        <w:rPr>
          <w:rFonts w:cstheme="minorHAnsi"/>
        </w:rPr>
        <w:t xml:space="preserve"> </w:t>
      </w:r>
      <w:r w:rsidR="01146BA0" w:rsidRPr="00C0477E">
        <w:rPr>
          <w:rFonts w:cstheme="minorHAnsi"/>
        </w:rPr>
        <w:t xml:space="preserve">through a variety of communications outreach efforts. The Secretariat has strengthened information sharing among the stakeholders of the Convention and </w:t>
      </w:r>
      <w:r w:rsidR="009E6945" w:rsidRPr="00C0477E">
        <w:rPr>
          <w:rFonts w:cstheme="minorHAnsi"/>
        </w:rPr>
        <w:t>increas</w:t>
      </w:r>
      <w:r w:rsidR="009E6945">
        <w:rPr>
          <w:rFonts w:cstheme="minorHAnsi"/>
        </w:rPr>
        <w:t>ed</w:t>
      </w:r>
      <w:r w:rsidR="009E6945" w:rsidRPr="00C0477E">
        <w:rPr>
          <w:rFonts w:cstheme="minorHAnsi"/>
        </w:rPr>
        <w:t xml:space="preserve"> </w:t>
      </w:r>
      <w:r w:rsidR="01146BA0" w:rsidRPr="00C0477E">
        <w:rPr>
          <w:rFonts w:cstheme="minorHAnsi"/>
        </w:rPr>
        <w:t xml:space="preserve">public awareness about wetland services and benefits through the </w:t>
      </w:r>
      <w:r w:rsidR="009E6945">
        <w:rPr>
          <w:rFonts w:cstheme="minorHAnsi"/>
        </w:rPr>
        <w:t>Convention</w:t>
      </w:r>
      <w:r w:rsidR="009E6945" w:rsidRPr="00C0477E">
        <w:rPr>
          <w:rFonts w:cstheme="minorHAnsi"/>
        </w:rPr>
        <w:t xml:space="preserve"> </w:t>
      </w:r>
      <w:r w:rsidR="01146BA0" w:rsidRPr="00C0477E">
        <w:rPr>
          <w:rFonts w:cstheme="minorHAnsi"/>
        </w:rPr>
        <w:t xml:space="preserve">website, social media, newsletter, a broad range of e-lists and outreach campaigns such as World Wetlands Day. The Secretariat has taken an approach </w:t>
      </w:r>
      <w:r w:rsidR="00ED70EA">
        <w:rPr>
          <w:rFonts w:cstheme="minorHAnsi"/>
        </w:rPr>
        <w:t>of</w:t>
      </w:r>
      <w:r w:rsidR="01146BA0" w:rsidRPr="00C0477E">
        <w:rPr>
          <w:rFonts w:cstheme="minorHAnsi"/>
        </w:rPr>
        <w:t xml:space="preserve"> speaking with “one voice” to </w:t>
      </w:r>
      <w:r w:rsidR="009E6945">
        <w:rPr>
          <w:rFonts w:cstheme="minorHAnsi"/>
        </w:rPr>
        <w:t>its</w:t>
      </w:r>
      <w:r w:rsidR="009E6945" w:rsidRPr="00C0477E">
        <w:rPr>
          <w:rFonts w:cstheme="minorHAnsi"/>
        </w:rPr>
        <w:t xml:space="preserve"> </w:t>
      </w:r>
      <w:r w:rsidR="01146BA0" w:rsidRPr="00C0477E">
        <w:rPr>
          <w:rFonts w:cstheme="minorHAnsi"/>
        </w:rPr>
        <w:t xml:space="preserve">target audiences about wetlands issues and linking wetlands to relevant policy frameworks such as SDGs and climate change. </w:t>
      </w:r>
      <w:r w:rsidR="005C3A8A" w:rsidRPr="00C0477E">
        <w:rPr>
          <w:rFonts w:cstheme="minorHAnsi"/>
        </w:rPr>
        <w:t xml:space="preserve">The number of </w:t>
      </w:r>
      <w:r w:rsidR="009E6945">
        <w:rPr>
          <w:rFonts w:cstheme="minorHAnsi"/>
        </w:rPr>
        <w:t xml:space="preserve">website </w:t>
      </w:r>
      <w:r w:rsidR="005C3A8A" w:rsidRPr="00C0477E">
        <w:rPr>
          <w:rFonts w:cstheme="minorHAnsi"/>
        </w:rPr>
        <w:t xml:space="preserve">visitors in the current reporting period </w:t>
      </w:r>
      <w:r w:rsidR="0016320F" w:rsidRPr="00C0477E">
        <w:rPr>
          <w:rFonts w:cstheme="minorHAnsi"/>
        </w:rPr>
        <w:t xml:space="preserve">was </w:t>
      </w:r>
      <w:r w:rsidR="00385747" w:rsidRPr="00C0477E">
        <w:rPr>
          <w:rFonts w:cstheme="minorHAnsi"/>
        </w:rPr>
        <w:t>1.2 million</w:t>
      </w:r>
      <w:r w:rsidR="0016320F" w:rsidRPr="00C0477E">
        <w:rPr>
          <w:rFonts w:cstheme="minorHAnsi"/>
        </w:rPr>
        <w:t xml:space="preserve">, more or less </w:t>
      </w:r>
      <w:r w:rsidR="0071334E" w:rsidRPr="00C0477E">
        <w:rPr>
          <w:rFonts w:cstheme="minorHAnsi"/>
        </w:rPr>
        <w:t>consistent with the previous</w:t>
      </w:r>
      <w:r w:rsidR="0016320F" w:rsidRPr="00C0477E">
        <w:rPr>
          <w:rFonts w:cstheme="minorHAnsi"/>
        </w:rPr>
        <w:t xml:space="preserve"> triennium</w:t>
      </w:r>
      <w:r w:rsidR="01146BA0" w:rsidRPr="00C0477E">
        <w:rPr>
          <w:rFonts w:cstheme="minorHAnsi"/>
        </w:rPr>
        <w:t>.</w:t>
      </w:r>
    </w:p>
    <w:p w14:paraId="6D6FBB67" w14:textId="77777777" w:rsidR="00EE515A" w:rsidRPr="00C0477E" w:rsidRDefault="00EE515A" w:rsidP="009E441E">
      <w:pPr>
        <w:ind w:left="426"/>
        <w:rPr>
          <w:rFonts w:cstheme="minorHAnsi"/>
        </w:rPr>
      </w:pPr>
    </w:p>
    <w:p w14:paraId="727540A6" w14:textId="79C9F004" w:rsidR="00EE515A" w:rsidRPr="00C0477E" w:rsidRDefault="00C55C49" w:rsidP="009E441E">
      <w:pPr>
        <w:ind w:left="426" w:hanging="430"/>
        <w:rPr>
          <w:rFonts w:cstheme="minorHAnsi"/>
        </w:rPr>
      </w:pPr>
      <w:r>
        <w:rPr>
          <w:rFonts w:cstheme="minorHAnsi"/>
        </w:rPr>
        <w:t>55</w:t>
      </w:r>
      <w:r w:rsidR="01146BA0" w:rsidRPr="00C0477E">
        <w:rPr>
          <w:rFonts w:cstheme="minorHAnsi"/>
        </w:rPr>
        <w:t>.</w:t>
      </w:r>
      <w:r w:rsidR="00241F5F" w:rsidRPr="00C0477E">
        <w:rPr>
          <w:rFonts w:cstheme="minorHAnsi"/>
        </w:rPr>
        <w:tab/>
      </w:r>
      <w:r w:rsidR="01146BA0" w:rsidRPr="00C0477E">
        <w:rPr>
          <w:rFonts w:cstheme="minorHAnsi"/>
        </w:rPr>
        <w:t>Communications outreach activities have increased in support of the Secretariat’s</w:t>
      </w:r>
      <w:r w:rsidR="00FB6686" w:rsidRPr="00C0477E">
        <w:rPr>
          <w:rFonts w:cstheme="minorHAnsi"/>
        </w:rPr>
        <w:t xml:space="preserve"> active</w:t>
      </w:r>
      <w:r w:rsidR="00E4253B">
        <w:rPr>
          <w:rFonts w:cstheme="minorHAnsi"/>
        </w:rPr>
        <w:t xml:space="preserve"> </w:t>
      </w:r>
      <w:r w:rsidR="01146BA0" w:rsidRPr="00C0477E">
        <w:rPr>
          <w:rFonts w:cstheme="minorHAnsi"/>
        </w:rPr>
        <w:t>participation in events over the triennium. Key messages</w:t>
      </w:r>
      <w:r w:rsidR="00DB3946" w:rsidRPr="00C0477E">
        <w:rPr>
          <w:rFonts w:cstheme="minorHAnsi"/>
        </w:rPr>
        <w:t xml:space="preserve"> from the Convention </w:t>
      </w:r>
      <w:r w:rsidR="00460ED2" w:rsidRPr="00C0477E">
        <w:rPr>
          <w:rFonts w:cstheme="minorHAnsi"/>
        </w:rPr>
        <w:t xml:space="preserve">that </w:t>
      </w:r>
      <w:r w:rsidR="00DB3946" w:rsidRPr="00C0477E">
        <w:rPr>
          <w:rFonts w:cstheme="minorHAnsi"/>
        </w:rPr>
        <w:t>were</w:t>
      </w:r>
      <w:r w:rsidR="01146BA0" w:rsidRPr="00C0477E">
        <w:rPr>
          <w:rFonts w:cstheme="minorHAnsi"/>
        </w:rPr>
        <w:t xml:space="preserve"> delivered via social media and other communication channels have included the role of wetlands in </w:t>
      </w:r>
      <w:r w:rsidR="006C12CF">
        <w:rPr>
          <w:rFonts w:cstheme="minorHAnsi"/>
        </w:rPr>
        <w:t xml:space="preserve">reversing biodiversity loss, </w:t>
      </w:r>
      <w:r w:rsidR="01146BA0" w:rsidRPr="00C0477E">
        <w:rPr>
          <w:rFonts w:cstheme="minorHAnsi"/>
        </w:rPr>
        <w:t xml:space="preserve">climate change adaptation and mitigation, water quality and quantity, and disaster risk reduction. </w:t>
      </w:r>
      <w:r w:rsidR="0083662F" w:rsidRPr="00C0477E">
        <w:rPr>
          <w:rFonts w:cstheme="minorHAnsi"/>
        </w:rPr>
        <w:t xml:space="preserve">Social media </w:t>
      </w:r>
      <w:r w:rsidR="001234DF" w:rsidRPr="00C0477E">
        <w:rPr>
          <w:rFonts w:cstheme="minorHAnsi"/>
        </w:rPr>
        <w:t>impressions</w:t>
      </w:r>
      <w:r w:rsidR="0083662F" w:rsidRPr="00C0477E">
        <w:rPr>
          <w:rFonts w:cstheme="minorHAnsi"/>
        </w:rPr>
        <w:t xml:space="preserve"> topped 7</w:t>
      </w:r>
      <w:r w:rsidR="004E6CA7" w:rsidRPr="00C0477E">
        <w:rPr>
          <w:rFonts w:cstheme="minorHAnsi"/>
        </w:rPr>
        <w:t>6</w:t>
      </w:r>
      <w:r w:rsidR="0083662F" w:rsidRPr="00C0477E">
        <w:rPr>
          <w:rFonts w:cstheme="minorHAnsi"/>
        </w:rPr>
        <w:t xml:space="preserve"> million for the reporting period</w:t>
      </w:r>
      <w:r w:rsidR="003B58AB" w:rsidRPr="00C0477E">
        <w:rPr>
          <w:rFonts w:cstheme="minorHAnsi"/>
        </w:rPr>
        <w:t>, a</w:t>
      </w:r>
      <w:r w:rsidR="007D30D1" w:rsidRPr="00C0477E">
        <w:rPr>
          <w:rFonts w:cstheme="minorHAnsi"/>
        </w:rPr>
        <w:t xml:space="preserve"> </w:t>
      </w:r>
      <w:r w:rsidR="003B58AB" w:rsidRPr="00C0477E">
        <w:rPr>
          <w:rFonts w:cstheme="minorHAnsi"/>
        </w:rPr>
        <w:t>74</w:t>
      </w:r>
      <w:r w:rsidR="00AB7BEA" w:rsidRPr="00C0477E">
        <w:rPr>
          <w:rFonts w:cstheme="minorHAnsi"/>
        </w:rPr>
        <w:t xml:space="preserve">% </w:t>
      </w:r>
      <w:r w:rsidR="00EB22D7" w:rsidRPr="00C0477E">
        <w:rPr>
          <w:rFonts w:cstheme="minorHAnsi"/>
        </w:rPr>
        <w:t>increase from the last</w:t>
      </w:r>
      <w:r w:rsidR="00AB7BEA" w:rsidRPr="00C0477E">
        <w:rPr>
          <w:rFonts w:cstheme="minorHAnsi"/>
        </w:rPr>
        <w:t xml:space="preserve"> triennium</w:t>
      </w:r>
      <w:r w:rsidR="01146BA0" w:rsidRPr="00C0477E">
        <w:rPr>
          <w:rFonts w:cstheme="minorHAnsi"/>
        </w:rPr>
        <w:t xml:space="preserve">. Four opinion editorials by the Secretary General </w:t>
      </w:r>
      <w:r w:rsidR="001A4407" w:rsidRPr="00C0477E">
        <w:rPr>
          <w:rFonts w:cstheme="minorHAnsi"/>
        </w:rPr>
        <w:t xml:space="preserve">were </w:t>
      </w:r>
      <w:r w:rsidR="01146BA0" w:rsidRPr="00C0477E">
        <w:rPr>
          <w:rFonts w:cstheme="minorHAnsi"/>
        </w:rPr>
        <w:t>published</w:t>
      </w:r>
      <w:r w:rsidR="00AB1A80" w:rsidRPr="00C0477E">
        <w:rPr>
          <w:rFonts w:cstheme="minorHAnsi"/>
        </w:rPr>
        <w:t xml:space="preserve">: two on </w:t>
      </w:r>
      <w:r w:rsidR="01146BA0" w:rsidRPr="00C0477E">
        <w:rPr>
          <w:rFonts w:cstheme="minorHAnsi"/>
        </w:rPr>
        <w:t xml:space="preserve">Project Syndicate and </w:t>
      </w:r>
      <w:r w:rsidR="009E3635" w:rsidRPr="00C0477E">
        <w:rPr>
          <w:rFonts w:cstheme="minorHAnsi"/>
        </w:rPr>
        <w:t xml:space="preserve">two via </w:t>
      </w:r>
      <w:r w:rsidR="00F12056">
        <w:rPr>
          <w:rFonts w:cstheme="minorHAnsi"/>
        </w:rPr>
        <w:t xml:space="preserve">the </w:t>
      </w:r>
      <w:r w:rsidR="01146BA0" w:rsidRPr="00C0477E">
        <w:rPr>
          <w:rFonts w:cstheme="minorHAnsi"/>
        </w:rPr>
        <w:t>Reuters</w:t>
      </w:r>
      <w:r w:rsidR="009E096A" w:rsidRPr="00C0477E">
        <w:rPr>
          <w:rFonts w:cstheme="minorHAnsi"/>
        </w:rPr>
        <w:t xml:space="preserve"> news</w:t>
      </w:r>
      <w:r w:rsidR="00707D6F" w:rsidRPr="00C0477E">
        <w:rPr>
          <w:rFonts w:cstheme="minorHAnsi"/>
        </w:rPr>
        <w:t xml:space="preserve"> platform</w:t>
      </w:r>
      <w:r w:rsidR="01146BA0" w:rsidRPr="00C0477E">
        <w:rPr>
          <w:rFonts w:cstheme="minorHAnsi"/>
        </w:rPr>
        <w:t>.</w:t>
      </w:r>
    </w:p>
    <w:p w14:paraId="173E0DA1" w14:textId="77777777" w:rsidR="00AF16C4" w:rsidRPr="00C0477E" w:rsidRDefault="00AF16C4" w:rsidP="009E441E">
      <w:pPr>
        <w:ind w:left="426"/>
        <w:rPr>
          <w:rFonts w:cstheme="minorHAnsi"/>
        </w:rPr>
      </w:pPr>
    </w:p>
    <w:p w14:paraId="429D8D90" w14:textId="01478EDE" w:rsidR="00AF16C4" w:rsidRPr="00C0477E" w:rsidRDefault="00C55C49" w:rsidP="009E441E">
      <w:pPr>
        <w:ind w:left="426"/>
        <w:rPr>
          <w:rFonts w:cstheme="minorHAnsi"/>
          <w:lang w:val="en-US"/>
        </w:rPr>
      </w:pPr>
      <w:r>
        <w:rPr>
          <w:rFonts w:cstheme="minorHAnsi"/>
          <w:lang w:val="en-US"/>
        </w:rPr>
        <w:t>56</w:t>
      </w:r>
      <w:r w:rsidR="00AF16C4" w:rsidRPr="00C0477E">
        <w:rPr>
          <w:rFonts w:cstheme="minorHAnsi"/>
          <w:lang w:val="en-US"/>
        </w:rPr>
        <w:t xml:space="preserve">. </w:t>
      </w:r>
      <w:r w:rsidR="00AF16C4" w:rsidRPr="00C0477E">
        <w:rPr>
          <w:rFonts w:cstheme="minorHAnsi"/>
          <w:lang w:val="en-US"/>
        </w:rPr>
        <w:tab/>
      </w:r>
      <w:r w:rsidR="0073245F" w:rsidRPr="00C0477E">
        <w:rPr>
          <w:rFonts w:cstheme="minorHAnsi"/>
          <w:lang w:val="en-US"/>
        </w:rPr>
        <w:t>In 2020, the S</w:t>
      </w:r>
      <w:r w:rsidR="00AF16C4" w:rsidRPr="00C0477E">
        <w:rPr>
          <w:rFonts w:cstheme="minorHAnsi"/>
          <w:lang w:val="en-US"/>
        </w:rPr>
        <w:t xml:space="preserve">ecretariat with the assistance of Media Measurement conducted an analysis of the global “conversation” about wetlands in social and mainstream media. The analysis was </w:t>
      </w:r>
      <w:r w:rsidR="00AF16C4" w:rsidRPr="00C0477E">
        <w:rPr>
          <w:rFonts w:cstheme="minorHAnsi"/>
          <w:lang w:val="en-US"/>
        </w:rPr>
        <w:lastRenderedPageBreak/>
        <w:t xml:space="preserve">conducted </w:t>
      </w:r>
      <w:r w:rsidR="00786EBA" w:rsidRPr="00C0477E">
        <w:rPr>
          <w:rFonts w:cstheme="minorHAnsi"/>
          <w:lang w:val="en-US"/>
        </w:rPr>
        <w:t>to develop</w:t>
      </w:r>
      <w:r w:rsidR="00AF16C4" w:rsidRPr="00C0477E">
        <w:rPr>
          <w:rFonts w:cstheme="minorHAnsi"/>
          <w:lang w:val="en-US"/>
        </w:rPr>
        <w:t xml:space="preserve"> insights </w:t>
      </w:r>
      <w:r w:rsidR="00C970AE" w:rsidRPr="00C0477E">
        <w:rPr>
          <w:rFonts w:cstheme="minorHAnsi"/>
          <w:lang w:val="en-US"/>
        </w:rPr>
        <w:t>for</w:t>
      </w:r>
      <w:r w:rsidR="00AF16C4" w:rsidRPr="00C0477E">
        <w:rPr>
          <w:rFonts w:cstheme="minorHAnsi"/>
          <w:lang w:val="en-US"/>
        </w:rPr>
        <w:t xml:space="preserve"> more effective positioning of wetlands by the Secretariat and Contracting Parties</w:t>
      </w:r>
      <w:r w:rsidR="002C24AF" w:rsidRPr="00C0477E">
        <w:rPr>
          <w:rFonts w:cstheme="minorHAnsi"/>
          <w:lang w:val="en-US"/>
        </w:rPr>
        <w:t>,</w:t>
      </w:r>
      <w:r w:rsidR="005450A8" w:rsidRPr="00C0477E">
        <w:rPr>
          <w:rFonts w:cstheme="minorHAnsi"/>
          <w:lang w:val="en-US"/>
        </w:rPr>
        <w:t xml:space="preserve"> and</w:t>
      </w:r>
      <w:r w:rsidR="00AF16C4" w:rsidRPr="00C0477E">
        <w:rPr>
          <w:rFonts w:cstheme="minorHAnsi"/>
          <w:lang w:val="en-US"/>
        </w:rPr>
        <w:t xml:space="preserve"> </w:t>
      </w:r>
      <w:r w:rsidR="00786EBA" w:rsidRPr="00C0477E">
        <w:rPr>
          <w:rFonts w:cstheme="minorHAnsi"/>
          <w:lang w:val="en-US"/>
        </w:rPr>
        <w:t xml:space="preserve">to inform the </w:t>
      </w:r>
      <w:r w:rsidR="00AF16C4" w:rsidRPr="00C0477E">
        <w:rPr>
          <w:rFonts w:cstheme="minorHAnsi"/>
          <w:lang w:val="en-US"/>
        </w:rPr>
        <w:t xml:space="preserve">50th </w:t>
      </w:r>
      <w:r w:rsidR="00F12056">
        <w:rPr>
          <w:rFonts w:cstheme="minorHAnsi"/>
          <w:lang w:val="en-US"/>
        </w:rPr>
        <w:t>A</w:t>
      </w:r>
      <w:r w:rsidR="00F12056" w:rsidRPr="00C0477E">
        <w:rPr>
          <w:rFonts w:cstheme="minorHAnsi"/>
          <w:lang w:val="en-US"/>
        </w:rPr>
        <w:t xml:space="preserve">nniversary </w:t>
      </w:r>
      <w:r w:rsidR="00AF16C4" w:rsidRPr="00C0477E">
        <w:rPr>
          <w:rFonts w:cstheme="minorHAnsi"/>
          <w:lang w:val="en-US"/>
        </w:rPr>
        <w:t xml:space="preserve">theme. These insights coupled with the advice of a communications expert </w:t>
      </w:r>
      <w:r w:rsidR="00FF0BA3" w:rsidRPr="00C0477E">
        <w:rPr>
          <w:rFonts w:cstheme="minorHAnsi"/>
          <w:lang w:val="en-US"/>
        </w:rPr>
        <w:t>were</w:t>
      </w:r>
      <w:r w:rsidR="00AF16C4" w:rsidRPr="00C0477E">
        <w:rPr>
          <w:rFonts w:cstheme="minorHAnsi"/>
          <w:lang w:val="en-US"/>
        </w:rPr>
        <w:t xml:space="preserve"> shared with the CEPA Oversight Panel, the STRP and the COP14 host country (Chair of the </w:t>
      </w:r>
      <w:r w:rsidR="00ED70EA">
        <w:rPr>
          <w:rFonts w:cstheme="minorHAnsi"/>
          <w:lang w:val="en-US"/>
        </w:rPr>
        <w:t>S</w:t>
      </w:r>
      <w:r w:rsidR="00ED70EA" w:rsidRPr="00C0477E">
        <w:rPr>
          <w:rFonts w:cstheme="minorHAnsi"/>
          <w:lang w:val="en-US"/>
        </w:rPr>
        <w:t xml:space="preserve">ubgroup </w:t>
      </w:r>
      <w:r w:rsidR="00ED70EA">
        <w:rPr>
          <w:rFonts w:cstheme="minorHAnsi"/>
          <w:lang w:val="en-US"/>
        </w:rPr>
        <w:t xml:space="preserve">on </w:t>
      </w:r>
      <w:r w:rsidR="00AF16C4" w:rsidRPr="00C0477E">
        <w:rPr>
          <w:rFonts w:cstheme="minorHAnsi"/>
          <w:lang w:val="en-US"/>
        </w:rPr>
        <w:t>COP14) to assist Parties in</w:t>
      </w:r>
      <w:r w:rsidR="00A74AE3" w:rsidRPr="00C0477E">
        <w:rPr>
          <w:rFonts w:cstheme="minorHAnsi"/>
          <w:lang w:val="en-US"/>
        </w:rPr>
        <w:t xml:space="preserve"> selecting</w:t>
      </w:r>
      <w:r w:rsidR="00AF16C4" w:rsidRPr="00C0477E">
        <w:rPr>
          <w:rFonts w:cstheme="minorHAnsi"/>
          <w:lang w:val="en-US"/>
        </w:rPr>
        <w:t xml:space="preserve"> </w:t>
      </w:r>
      <w:r w:rsidR="00F055FE" w:rsidRPr="00C0477E">
        <w:rPr>
          <w:rFonts w:cstheme="minorHAnsi"/>
          <w:lang w:val="en-US"/>
        </w:rPr>
        <w:t>the</w:t>
      </w:r>
      <w:r w:rsidR="00AF16C4" w:rsidRPr="00C0477E">
        <w:rPr>
          <w:rFonts w:cstheme="minorHAnsi"/>
          <w:lang w:val="en-US"/>
        </w:rPr>
        <w:t xml:space="preserve"> theme </w:t>
      </w:r>
      <w:r w:rsidR="00256A30" w:rsidRPr="00C0477E">
        <w:rPr>
          <w:rFonts w:cstheme="minorHAnsi"/>
          <w:lang w:val="en-US"/>
        </w:rPr>
        <w:t>f</w:t>
      </w:r>
      <w:r w:rsidR="00AF16C4" w:rsidRPr="00C0477E">
        <w:rPr>
          <w:rFonts w:cstheme="minorHAnsi"/>
          <w:lang w:val="en-US"/>
        </w:rPr>
        <w:t xml:space="preserve">or </w:t>
      </w:r>
      <w:r w:rsidR="009E4BFE" w:rsidRPr="00C0477E">
        <w:rPr>
          <w:rFonts w:cstheme="minorHAnsi"/>
          <w:lang w:val="en-US"/>
        </w:rPr>
        <w:t>the</w:t>
      </w:r>
      <w:r w:rsidR="00CC1973" w:rsidRPr="00C0477E">
        <w:rPr>
          <w:rFonts w:cstheme="minorHAnsi"/>
          <w:lang w:val="en-US"/>
        </w:rPr>
        <w:t xml:space="preserve"> </w:t>
      </w:r>
      <w:r w:rsidR="00CC1973" w:rsidRPr="00F12056">
        <w:rPr>
          <w:rFonts w:cstheme="minorHAnsi"/>
          <w:lang w:val="en-US"/>
        </w:rPr>
        <w:t>50th</w:t>
      </w:r>
      <w:r w:rsidR="00CC1973" w:rsidRPr="00C0477E">
        <w:rPr>
          <w:rFonts w:cstheme="minorHAnsi"/>
          <w:lang w:val="en-US"/>
        </w:rPr>
        <w:t xml:space="preserve"> </w:t>
      </w:r>
      <w:r w:rsidR="00BA0AEC" w:rsidRPr="00C0477E">
        <w:rPr>
          <w:rFonts w:cstheme="minorHAnsi"/>
          <w:lang w:val="en-US"/>
        </w:rPr>
        <w:t>A</w:t>
      </w:r>
      <w:r w:rsidR="00CC1973" w:rsidRPr="00C0477E">
        <w:rPr>
          <w:rFonts w:cstheme="minorHAnsi"/>
          <w:lang w:val="en-US"/>
        </w:rPr>
        <w:t>nniversary</w:t>
      </w:r>
      <w:r w:rsidR="009E4BFE" w:rsidRPr="00C0477E">
        <w:rPr>
          <w:rFonts w:cstheme="minorHAnsi"/>
          <w:lang w:val="en-US"/>
        </w:rPr>
        <w:t xml:space="preserve"> </w:t>
      </w:r>
      <w:r w:rsidR="00AF16C4" w:rsidRPr="00C0477E">
        <w:rPr>
          <w:rFonts w:cstheme="minorHAnsi"/>
          <w:lang w:val="en-US"/>
        </w:rPr>
        <w:t xml:space="preserve">campaign </w:t>
      </w:r>
      <w:r w:rsidR="00F12056" w:rsidRPr="00C0477E">
        <w:rPr>
          <w:rFonts w:cstheme="minorHAnsi"/>
          <w:lang w:val="en-US"/>
        </w:rPr>
        <w:t xml:space="preserve">in 2021 </w:t>
      </w:r>
      <w:r w:rsidR="00282D13" w:rsidRPr="00C0477E">
        <w:rPr>
          <w:rFonts w:cstheme="minorHAnsi"/>
          <w:lang w:val="en-US"/>
        </w:rPr>
        <w:t>that</w:t>
      </w:r>
      <w:r w:rsidR="00AF16C4" w:rsidRPr="00C0477E">
        <w:rPr>
          <w:rFonts w:cstheme="minorHAnsi"/>
          <w:lang w:val="en-US"/>
        </w:rPr>
        <w:t xml:space="preserve"> engage</w:t>
      </w:r>
      <w:r w:rsidR="00282D13" w:rsidRPr="00C0477E">
        <w:rPr>
          <w:rFonts w:cstheme="minorHAnsi"/>
          <w:lang w:val="en-US"/>
        </w:rPr>
        <w:t>d</w:t>
      </w:r>
      <w:r w:rsidR="00AF16C4" w:rsidRPr="00C0477E">
        <w:rPr>
          <w:rFonts w:cstheme="minorHAnsi"/>
          <w:lang w:val="en-US"/>
        </w:rPr>
        <w:t xml:space="preserve"> and activate</w:t>
      </w:r>
      <w:r w:rsidR="00282D13" w:rsidRPr="00C0477E">
        <w:rPr>
          <w:rFonts w:cstheme="minorHAnsi"/>
          <w:lang w:val="en-US"/>
        </w:rPr>
        <w:t>d</w:t>
      </w:r>
      <w:r w:rsidR="00AF16C4" w:rsidRPr="00C0477E">
        <w:rPr>
          <w:rFonts w:cstheme="minorHAnsi"/>
          <w:lang w:val="en-US"/>
        </w:rPr>
        <w:t xml:space="preserve"> partners and stakeholders </w:t>
      </w:r>
      <w:r w:rsidR="00F12056">
        <w:rPr>
          <w:rFonts w:cstheme="minorHAnsi"/>
          <w:lang w:val="en-US"/>
        </w:rPr>
        <w:t>t</w:t>
      </w:r>
      <w:r w:rsidR="00AF16C4" w:rsidRPr="00C0477E">
        <w:rPr>
          <w:rFonts w:cstheme="minorHAnsi"/>
          <w:lang w:val="en-US"/>
        </w:rPr>
        <w:t xml:space="preserve">o conserve, protect and restore wetlands. </w:t>
      </w:r>
    </w:p>
    <w:p w14:paraId="314CB05E" w14:textId="77777777" w:rsidR="00AF16C4" w:rsidRPr="00C0477E" w:rsidRDefault="00AF16C4" w:rsidP="009E441E">
      <w:pPr>
        <w:ind w:left="426"/>
        <w:rPr>
          <w:rFonts w:cstheme="minorHAnsi"/>
          <w:lang w:val="en-US"/>
        </w:rPr>
      </w:pPr>
    </w:p>
    <w:p w14:paraId="6616E4EE" w14:textId="4A819F95" w:rsidR="003007F4" w:rsidRPr="00C0477E" w:rsidRDefault="00C55C49" w:rsidP="009E441E">
      <w:pPr>
        <w:ind w:left="426"/>
        <w:rPr>
          <w:rFonts w:cstheme="minorHAnsi"/>
        </w:rPr>
      </w:pPr>
      <w:r>
        <w:rPr>
          <w:rFonts w:cstheme="minorHAnsi"/>
          <w:lang w:val="en-US"/>
        </w:rPr>
        <w:t>57</w:t>
      </w:r>
      <w:r w:rsidR="003007F4" w:rsidRPr="00C0477E">
        <w:rPr>
          <w:rFonts w:cstheme="minorHAnsi"/>
          <w:lang w:val="en-US"/>
        </w:rPr>
        <w:t>.</w:t>
      </w:r>
      <w:r w:rsidR="007A3401" w:rsidRPr="00C0477E">
        <w:rPr>
          <w:rFonts w:cstheme="minorHAnsi"/>
          <w:lang w:val="en-US"/>
        </w:rPr>
        <w:tab/>
      </w:r>
      <w:r w:rsidR="003007F4" w:rsidRPr="00C0477E">
        <w:rPr>
          <w:rFonts w:cstheme="minorHAnsi"/>
        </w:rPr>
        <w:t>The</w:t>
      </w:r>
      <w:r w:rsidR="003007F4" w:rsidRPr="00C0477E">
        <w:rPr>
          <w:rFonts w:cstheme="minorHAnsi"/>
          <w:lang w:val="en-US"/>
        </w:rPr>
        <w:t xml:space="preserve"> 50th Anniversary campaign was launched in March 2021, following World Wetlands Day. A suite of campaign materials was made available to Parties on a dedicated campaign website. Assets and resources included the 50th Anniversary logo, 50th Anniversary video, brand guidelines, social media toolkit</w:t>
      </w:r>
      <w:r w:rsidR="00F12056">
        <w:rPr>
          <w:rFonts w:cstheme="minorHAnsi"/>
          <w:lang w:val="en-US"/>
        </w:rPr>
        <w:t xml:space="preserve"> and</w:t>
      </w:r>
      <w:r w:rsidR="003007F4" w:rsidRPr="00C0477E">
        <w:rPr>
          <w:rFonts w:cstheme="minorHAnsi"/>
          <w:lang w:val="en-US"/>
        </w:rPr>
        <w:t xml:space="preserve"> tiles, fact sheets and gifs. All campaign resources were available in English, French and Spanish. The campaign highlighted key international days throughout 2021, </w:t>
      </w:r>
      <w:r w:rsidR="00F12056">
        <w:rPr>
          <w:rFonts w:cstheme="minorHAnsi"/>
          <w:lang w:val="en-US"/>
        </w:rPr>
        <w:t>including</w:t>
      </w:r>
      <w:r w:rsidR="003007F4" w:rsidRPr="00C0477E">
        <w:rPr>
          <w:rFonts w:cstheme="minorHAnsi"/>
          <w:lang w:val="en-US"/>
        </w:rPr>
        <w:t xml:space="preserve"> World Water Day (22 March),</w:t>
      </w:r>
      <w:r w:rsidR="00ED70EA">
        <w:rPr>
          <w:rFonts w:cstheme="minorHAnsi"/>
          <w:lang w:val="en-US"/>
        </w:rPr>
        <w:t xml:space="preserve"> the</w:t>
      </w:r>
      <w:r w:rsidR="003007F4" w:rsidRPr="00C0477E">
        <w:rPr>
          <w:rFonts w:cstheme="minorHAnsi"/>
          <w:lang w:val="en-US"/>
        </w:rPr>
        <w:t xml:space="preserve"> International Day for Biological Diversity (22 May), World Ocean Day (8 June), International Youth Day (12 August), and </w:t>
      </w:r>
      <w:r w:rsidR="00F12056">
        <w:rPr>
          <w:rFonts w:cstheme="minorHAnsi"/>
          <w:lang w:val="en-US"/>
        </w:rPr>
        <w:t xml:space="preserve">the </w:t>
      </w:r>
      <w:r w:rsidR="003007F4" w:rsidRPr="00C0477E">
        <w:rPr>
          <w:rFonts w:cstheme="minorHAnsi"/>
          <w:lang w:val="en-US"/>
        </w:rPr>
        <w:t xml:space="preserve">International Day for Disaster Risk Reduction (13 October). Overall engagement and participation of stakeholders in the campaign was strong. The social media analytics show 4,869 instances of the campaign hashtag being used on Twitter and Instagram posts with a reach of 32 million viewers across all regions. There were 40,000 page visits to the 50th Anniversary website. </w:t>
      </w:r>
    </w:p>
    <w:p w14:paraId="1759760D" w14:textId="77777777" w:rsidR="003007F4" w:rsidRPr="00C0477E" w:rsidRDefault="003007F4" w:rsidP="0050301F">
      <w:pPr>
        <w:pStyle w:val="NoSpacing"/>
        <w:rPr>
          <w:rFonts w:asciiTheme="minorHAnsi" w:hAnsiTheme="minorHAnsi" w:cstheme="minorHAnsi"/>
          <w:lang w:val="en-US"/>
        </w:rPr>
      </w:pPr>
    </w:p>
    <w:p w14:paraId="5E12804D" w14:textId="0E739BCC" w:rsidR="003007F4" w:rsidRPr="00C0477E" w:rsidRDefault="00C55C49" w:rsidP="009E441E">
      <w:pPr>
        <w:pStyle w:val="NoSpacing"/>
        <w:ind w:left="426"/>
        <w:rPr>
          <w:rFonts w:asciiTheme="minorHAnsi" w:hAnsiTheme="minorHAnsi" w:cstheme="minorHAnsi"/>
          <w:lang w:val="en-US"/>
        </w:rPr>
      </w:pPr>
      <w:r>
        <w:rPr>
          <w:rFonts w:asciiTheme="minorHAnsi" w:hAnsiTheme="minorHAnsi" w:cstheme="minorHAnsi"/>
          <w:lang w:val="en-US"/>
        </w:rPr>
        <w:t>58</w:t>
      </w:r>
      <w:r w:rsidR="003007F4" w:rsidRPr="00C0477E">
        <w:rPr>
          <w:rFonts w:asciiTheme="minorHAnsi" w:hAnsiTheme="minorHAnsi" w:cstheme="minorHAnsi"/>
          <w:lang w:val="en-US"/>
        </w:rPr>
        <w:t>.</w:t>
      </w:r>
      <w:r w:rsidR="003007F4" w:rsidRPr="00C0477E">
        <w:rPr>
          <w:rFonts w:asciiTheme="minorHAnsi" w:hAnsiTheme="minorHAnsi" w:cstheme="minorHAnsi"/>
          <w:lang w:val="en-US"/>
        </w:rPr>
        <w:tab/>
        <w:t xml:space="preserve">From August to October </w:t>
      </w:r>
      <w:r w:rsidR="00395806" w:rsidRPr="00C0477E">
        <w:rPr>
          <w:rFonts w:asciiTheme="minorHAnsi" w:hAnsiTheme="minorHAnsi" w:cstheme="minorHAnsi"/>
          <w:lang w:val="en-US"/>
        </w:rPr>
        <w:t>202</w:t>
      </w:r>
      <w:r w:rsidR="00FB6686" w:rsidRPr="00C0477E">
        <w:rPr>
          <w:rFonts w:asciiTheme="minorHAnsi" w:hAnsiTheme="minorHAnsi" w:cstheme="minorHAnsi"/>
          <w:lang w:val="en-US"/>
        </w:rPr>
        <w:t>1</w:t>
      </w:r>
      <w:r w:rsidR="00395806" w:rsidRPr="00C0477E">
        <w:rPr>
          <w:rFonts w:asciiTheme="minorHAnsi" w:hAnsiTheme="minorHAnsi" w:cstheme="minorHAnsi"/>
          <w:lang w:val="en-US"/>
        </w:rPr>
        <w:t xml:space="preserve"> </w:t>
      </w:r>
      <w:r w:rsidR="003007F4" w:rsidRPr="00C0477E">
        <w:rPr>
          <w:rFonts w:asciiTheme="minorHAnsi" w:hAnsiTheme="minorHAnsi" w:cstheme="minorHAnsi"/>
          <w:lang w:val="en-US"/>
        </w:rPr>
        <w:t xml:space="preserve">youth were invited to engage in the 50th </w:t>
      </w:r>
      <w:r w:rsidR="00F12056">
        <w:rPr>
          <w:rFonts w:asciiTheme="minorHAnsi" w:hAnsiTheme="minorHAnsi" w:cstheme="minorHAnsi"/>
          <w:lang w:val="en-US"/>
        </w:rPr>
        <w:t>A</w:t>
      </w:r>
      <w:r w:rsidR="003007F4" w:rsidRPr="00C0477E">
        <w:rPr>
          <w:rFonts w:asciiTheme="minorHAnsi" w:hAnsiTheme="minorHAnsi" w:cstheme="minorHAnsi"/>
          <w:lang w:val="en-US"/>
        </w:rPr>
        <w:t xml:space="preserve">nniversary campaign. The campaign website featured content from youth including an open letter and stories. </w:t>
      </w:r>
      <w:r w:rsidR="00F12056">
        <w:rPr>
          <w:rFonts w:asciiTheme="minorHAnsi" w:hAnsiTheme="minorHAnsi" w:cstheme="minorHAnsi"/>
          <w:lang w:val="en-US"/>
        </w:rPr>
        <w:t>In</w:t>
      </w:r>
      <w:r w:rsidR="003007F4" w:rsidRPr="00C0477E">
        <w:rPr>
          <w:rFonts w:asciiTheme="minorHAnsi" w:hAnsiTheme="minorHAnsi" w:cstheme="minorHAnsi"/>
          <w:lang w:val="en-US"/>
        </w:rPr>
        <w:t xml:space="preserve"> October the Secretariat hosted an online event, titled: “Connecting for wetlands action: An intergenerational dialogue” which was opened by the Secretary General</w:t>
      </w:r>
      <w:r w:rsidR="00F12056">
        <w:rPr>
          <w:rFonts w:asciiTheme="minorHAnsi" w:hAnsiTheme="minorHAnsi" w:cstheme="minorHAnsi"/>
          <w:lang w:val="en-US"/>
        </w:rPr>
        <w:t xml:space="preserve">, </w:t>
      </w:r>
      <w:r w:rsidR="003007F4" w:rsidRPr="00C0477E">
        <w:rPr>
          <w:rFonts w:asciiTheme="minorHAnsi" w:hAnsiTheme="minorHAnsi" w:cstheme="minorHAnsi"/>
          <w:lang w:val="en-US"/>
        </w:rPr>
        <w:t xml:space="preserve">hosted a panel of speakers across different generations and was moderated by representatives of youth </w:t>
      </w:r>
      <w:r w:rsidR="00051817" w:rsidRPr="00C0477E">
        <w:rPr>
          <w:rFonts w:asciiTheme="minorHAnsi" w:hAnsiTheme="minorHAnsi" w:cstheme="minorHAnsi"/>
          <w:lang w:val="en-US"/>
        </w:rPr>
        <w:t>organizations</w:t>
      </w:r>
      <w:r w:rsidR="003007F4" w:rsidRPr="00C0477E">
        <w:rPr>
          <w:rFonts w:asciiTheme="minorHAnsi" w:hAnsiTheme="minorHAnsi" w:cstheme="minorHAnsi"/>
          <w:lang w:val="en-US"/>
        </w:rPr>
        <w:t xml:space="preserve">. The event focused on current youth action for wetlands and reflections on lessons learnt in the 50 years since the </w:t>
      </w:r>
      <w:r w:rsidR="00F12056">
        <w:rPr>
          <w:rFonts w:asciiTheme="minorHAnsi" w:hAnsiTheme="minorHAnsi" w:cstheme="minorHAnsi"/>
          <w:lang w:val="en-US"/>
        </w:rPr>
        <w:t xml:space="preserve">signing </w:t>
      </w:r>
      <w:r w:rsidR="003007F4" w:rsidRPr="00C0477E">
        <w:rPr>
          <w:rFonts w:asciiTheme="minorHAnsi" w:hAnsiTheme="minorHAnsi" w:cstheme="minorHAnsi"/>
          <w:lang w:val="en-US"/>
        </w:rPr>
        <w:t>of the Convention. A video of the online event is available on the Convention’s YouTube page.</w:t>
      </w:r>
    </w:p>
    <w:p w14:paraId="06D0F0EE" w14:textId="77777777" w:rsidR="00F56172" w:rsidRPr="00C0477E" w:rsidRDefault="00F56172" w:rsidP="0050301F">
      <w:pPr>
        <w:rPr>
          <w:rFonts w:cstheme="minorHAnsi"/>
        </w:rPr>
      </w:pPr>
    </w:p>
    <w:p w14:paraId="18B77D9B" w14:textId="437372BF" w:rsidR="00EE515A" w:rsidRPr="00C0477E" w:rsidRDefault="00C55C49" w:rsidP="009E441E">
      <w:pPr>
        <w:ind w:left="426"/>
        <w:rPr>
          <w:rFonts w:cstheme="minorHAnsi"/>
          <w:lang w:val="en-US"/>
        </w:rPr>
      </w:pPr>
      <w:r>
        <w:rPr>
          <w:rFonts w:cstheme="minorHAnsi"/>
        </w:rPr>
        <w:t>59</w:t>
      </w:r>
      <w:r w:rsidR="40F2EF6A" w:rsidRPr="00C0477E">
        <w:rPr>
          <w:rFonts w:cstheme="minorHAnsi"/>
        </w:rPr>
        <w:t>.</w:t>
      </w:r>
      <w:r w:rsidR="01146BA0" w:rsidRPr="00C0477E">
        <w:rPr>
          <w:rFonts w:cstheme="minorHAnsi"/>
        </w:rPr>
        <w:tab/>
      </w:r>
      <w:r w:rsidR="40F2EF6A" w:rsidRPr="00C0477E">
        <w:rPr>
          <w:rFonts w:cstheme="minorHAnsi"/>
        </w:rPr>
        <w:t xml:space="preserve">The Secretariat worked closely with the STRP Chair to develop outreach activities for each STRP product and provided guidance on making these products more policy-relevant and appropriate for communications purposes. A major area of work has been the preparation of the </w:t>
      </w:r>
      <w:r w:rsidR="40F2EF6A" w:rsidRPr="00C0477E">
        <w:rPr>
          <w:rFonts w:cstheme="minorHAnsi"/>
          <w:i/>
          <w:iCs/>
          <w:lang w:val="en-US"/>
        </w:rPr>
        <w:t>Global Wetland Outlook 2021: Special Edition</w:t>
      </w:r>
      <w:r w:rsidR="40F2EF6A" w:rsidRPr="00C0477E">
        <w:rPr>
          <w:rFonts w:cstheme="minorHAnsi"/>
          <w:lang w:val="en-US"/>
        </w:rPr>
        <w:t xml:space="preserve">, launched as part of the 50th Anniversary. In preparation for the launch, the </w:t>
      </w:r>
      <w:r w:rsidR="002A6FEF" w:rsidRPr="002A6FEF">
        <w:rPr>
          <w:rFonts w:cstheme="minorHAnsi"/>
          <w:lang w:val="en-US"/>
        </w:rPr>
        <w:t>Global Wetlands Outlook</w:t>
      </w:r>
      <w:r w:rsidR="40F2EF6A" w:rsidRPr="00C0477E">
        <w:rPr>
          <w:rFonts w:cstheme="minorHAnsi"/>
          <w:lang w:val="en-US"/>
        </w:rPr>
        <w:t xml:space="preserve"> microsite</w:t>
      </w:r>
      <w:r w:rsidR="002A6FEF">
        <w:rPr>
          <w:rStyle w:val="FootnoteReference"/>
          <w:rFonts w:cstheme="minorHAnsi"/>
          <w:lang w:val="en-US"/>
        </w:rPr>
        <w:footnoteReference w:id="7"/>
      </w:r>
      <w:r w:rsidR="40F2EF6A" w:rsidRPr="00C0477E">
        <w:rPr>
          <w:rFonts w:cstheme="minorHAnsi"/>
          <w:lang w:val="en-US"/>
        </w:rPr>
        <w:t xml:space="preserve"> was updated in line with the new document. A suite of communications materials related to the launch </w:t>
      </w:r>
      <w:r w:rsidR="002A6FEF" w:rsidRPr="00C0477E">
        <w:rPr>
          <w:rFonts w:cstheme="minorHAnsi"/>
          <w:lang w:val="en-US"/>
        </w:rPr>
        <w:t>w</w:t>
      </w:r>
      <w:r w:rsidR="002A6FEF">
        <w:rPr>
          <w:rFonts w:cstheme="minorHAnsi"/>
          <w:lang w:val="en-US"/>
        </w:rPr>
        <w:t>as</w:t>
      </w:r>
      <w:r w:rsidR="002A6FEF" w:rsidRPr="00C0477E">
        <w:rPr>
          <w:rFonts w:cstheme="minorHAnsi"/>
          <w:lang w:val="en-US"/>
        </w:rPr>
        <w:t xml:space="preserve"> </w:t>
      </w:r>
      <w:r w:rsidR="40F2EF6A" w:rsidRPr="00C0477E">
        <w:rPr>
          <w:rFonts w:cstheme="minorHAnsi"/>
          <w:lang w:val="en-US"/>
        </w:rPr>
        <w:t xml:space="preserve">also released; these included a news story and press release, suggested social media posts, key messages and social media tiles. An op-ed by the Secretary General was published by the Thompson Reuters Foundation. </w:t>
      </w:r>
    </w:p>
    <w:p w14:paraId="525A5E0D" w14:textId="77777777" w:rsidR="40F2EF6A" w:rsidRPr="00C0477E" w:rsidRDefault="40F2EF6A" w:rsidP="009E441E">
      <w:pPr>
        <w:ind w:left="426"/>
        <w:rPr>
          <w:rFonts w:cstheme="minorHAnsi"/>
          <w:lang w:val="en-US"/>
        </w:rPr>
      </w:pPr>
    </w:p>
    <w:p w14:paraId="6FD70225" w14:textId="084958A3" w:rsidR="40F2EF6A" w:rsidRPr="00C0477E" w:rsidRDefault="00C55C49" w:rsidP="004D7A6C">
      <w:pPr>
        <w:ind w:left="426"/>
        <w:rPr>
          <w:rFonts w:cstheme="minorHAnsi"/>
        </w:rPr>
      </w:pPr>
      <w:r>
        <w:rPr>
          <w:rFonts w:eastAsia="Calibri" w:cstheme="minorHAnsi"/>
          <w:lang w:val="en-US"/>
        </w:rPr>
        <w:t>60.</w:t>
      </w:r>
      <w:r>
        <w:rPr>
          <w:rFonts w:eastAsia="Calibri" w:cstheme="minorHAnsi"/>
          <w:lang w:val="en-US"/>
        </w:rPr>
        <w:tab/>
      </w:r>
      <w:r w:rsidR="1CBD05DD" w:rsidRPr="00C0477E">
        <w:rPr>
          <w:rFonts w:eastAsia="Calibri" w:cstheme="minorHAnsi"/>
          <w:lang w:val="en-US"/>
        </w:rPr>
        <w:t xml:space="preserve">World Wetlands Day continues to be a powerful outreach platform from which to raise global and national awareness about wetlands. Over the triennium the Secretariat noted a steady increase in the number of events organized by </w:t>
      </w:r>
      <w:r w:rsidR="002A6FEF">
        <w:rPr>
          <w:rFonts w:eastAsia="Calibri" w:cstheme="minorHAnsi"/>
          <w:lang w:val="en-US"/>
        </w:rPr>
        <w:t xml:space="preserve">Contracting </w:t>
      </w:r>
      <w:r w:rsidR="1CBD05DD" w:rsidRPr="00C0477E">
        <w:rPr>
          <w:rFonts w:eastAsia="Calibri" w:cstheme="minorHAnsi"/>
          <w:lang w:val="en-US"/>
        </w:rPr>
        <w:t>Parties and other environment organization</w:t>
      </w:r>
      <w:r w:rsidR="002A6FEF">
        <w:rPr>
          <w:rFonts w:eastAsia="Calibri" w:cstheme="minorHAnsi"/>
          <w:lang w:val="en-US"/>
        </w:rPr>
        <w:t>s</w:t>
      </w:r>
      <w:r w:rsidR="1CBD05DD" w:rsidRPr="00C0477E">
        <w:rPr>
          <w:rFonts w:eastAsia="Calibri" w:cstheme="minorHAnsi"/>
          <w:lang w:val="en-US"/>
        </w:rPr>
        <w:t xml:space="preserve">. A transition to virtual events ensured that </w:t>
      </w:r>
      <w:r w:rsidR="002A6FEF" w:rsidRPr="00C0477E">
        <w:rPr>
          <w:rFonts w:eastAsia="Calibri" w:cstheme="minorHAnsi"/>
          <w:lang w:val="en-US"/>
        </w:rPr>
        <w:t xml:space="preserve">the COVID-19 </w:t>
      </w:r>
      <w:r w:rsidR="002A6FEF">
        <w:rPr>
          <w:rFonts w:eastAsia="Calibri" w:cstheme="minorHAnsi"/>
          <w:lang w:val="en-US"/>
        </w:rPr>
        <w:t>pandemic had the least possible</w:t>
      </w:r>
      <w:r w:rsidR="1CBD05DD" w:rsidRPr="00C0477E">
        <w:rPr>
          <w:rFonts w:eastAsia="Calibri" w:cstheme="minorHAnsi"/>
          <w:lang w:val="en-US"/>
        </w:rPr>
        <w:t xml:space="preserve"> impact on World Wetlands Day. The number of events registered on the map of events tota</w:t>
      </w:r>
      <w:r w:rsidR="002A6FEF">
        <w:rPr>
          <w:rFonts w:eastAsia="Calibri" w:cstheme="minorHAnsi"/>
          <w:lang w:val="en-US"/>
        </w:rPr>
        <w:t>l</w:t>
      </w:r>
      <w:r w:rsidR="1CBD05DD" w:rsidRPr="00C0477E">
        <w:rPr>
          <w:rFonts w:eastAsia="Calibri" w:cstheme="minorHAnsi"/>
          <w:lang w:val="en-US"/>
        </w:rPr>
        <w:t>led:</w:t>
      </w:r>
    </w:p>
    <w:p w14:paraId="267A3516" w14:textId="77777777" w:rsidR="40F2EF6A" w:rsidRPr="00C0477E" w:rsidRDefault="40F2EF6A" w:rsidP="009E441E">
      <w:pPr>
        <w:pStyle w:val="ListParagraph"/>
        <w:numPr>
          <w:ilvl w:val="0"/>
          <w:numId w:val="1"/>
        </w:numPr>
        <w:ind w:left="851" w:hanging="425"/>
        <w:rPr>
          <w:rFonts w:eastAsiaTheme="minorEastAsia" w:cstheme="minorHAnsi"/>
        </w:rPr>
      </w:pPr>
      <w:r w:rsidRPr="00C0477E">
        <w:rPr>
          <w:rFonts w:eastAsia="Calibri" w:cstheme="minorHAnsi"/>
          <w:lang w:val="en-US"/>
        </w:rPr>
        <w:t>1</w:t>
      </w:r>
      <w:r w:rsidR="001E50EA" w:rsidRPr="00C0477E">
        <w:rPr>
          <w:rFonts w:eastAsia="Calibri" w:cstheme="minorHAnsi"/>
          <w:lang w:val="en-US"/>
        </w:rPr>
        <w:t>,</w:t>
      </w:r>
      <w:r w:rsidRPr="00C0477E">
        <w:rPr>
          <w:rFonts w:eastAsia="Calibri" w:cstheme="minorHAnsi"/>
          <w:lang w:val="en-US"/>
        </w:rPr>
        <w:t>495 events in 108 countries in 2019</w:t>
      </w:r>
    </w:p>
    <w:p w14:paraId="39535958" w14:textId="77777777" w:rsidR="40F2EF6A" w:rsidRPr="00C0477E" w:rsidRDefault="40F2EF6A" w:rsidP="009E441E">
      <w:pPr>
        <w:pStyle w:val="ListParagraph"/>
        <w:numPr>
          <w:ilvl w:val="0"/>
          <w:numId w:val="1"/>
        </w:numPr>
        <w:ind w:left="851" w:hanging="425"/>
        <w:rPr>
          <w:rFonts w:eastAsiaTheme="minorEastAsia" w:cstheme="minorHAnsi"/>
        </w:rPr>
      </w:pPr>
      <w:r w:rsidRPr="00C0477E">
        <w:rPr>
          <w:rFonts w:eastAsia="Calibri" w:cstheme="minorHAnsi"/>
          <w:lang w:val="en-US"/>
        </w:rPr>
        <w:t>1,595 events in 85 countries</w:t>
      </w:r>
      <w:r w:rsidR="00E4253B">
        <w:rPr>
          <w:rFonts w:eastAsia="Calibri" w:cstheme="minorHAnsi"/>
          <w:lang w:val="en-US"/>
        </w:rPr>
        <w:t xml:space="preserve"> </w:t>
      </w:r>
      <w:r w:rsidRPr="00C0477E">
        <w:rPr>
          <w:rFonts w:eastAsia="Calibri" w:cstheme="minorHAnsi"/>
          <w:lang w:val="en-US"/>
        </w:rPr>
        <w:t>in 2020</w:t>
      </w:r>
    </w:p>
    <w:p w14:paraId="4D976254" w14:textId="77777777" w:rsidR="40F2EF6A" w:rsidRPr="00C0477E" w:rsidRDefault="40F2EF6A" w:rsidP="009E441E">
      <w:pPr>
        <w:pStyle w:val="ListParagraph"/>
        <w:numPr>
          <w:ilvl w:val="0"/>
          <w:numId w:val="1"/>
        </w:numPr>
        <w:ind w:left="851" w:hanging="425"/>
        <w:rPr>
          <w:rFonts w:eastAsiaTheme="minorEastAsia" w:cstheme="minorHAnsi"/>
        </w:rPr>
      </w:pPr>
      <w:r w:rsidRPr="00C0477E">
        <w:rPr>
          <w:rFonts w:eastAsia="Calibri" w:cstheme="minorHAnsi"/>
          <w:lang w:val="en-US"/>
        </w:rPr>
        <w:t>1,139 events in 82 countries in 2021</w:t>
      </w:r>
    </w:p>
    <w:p w14:paraId="43A416CB" w14:textId="77777777" w:rsidR="40F2EF6A" w:rsidRPr="00C0477E" w:rsidRDefault="40F2EF6A" w:rsidP="009E441E">
      <w:pPr>
        <w:pStyle w:val="ListParagraph"/>
        <w:numPr>
          <w:ilvl w:val="0"/>
          <w:numId w:val="1"/>
        </w:numPr>
        <w:ind w:left="851" w:hanging="425"/>
        <w:rPr>
          <w:rFonts w:eastAsiaTheme="minorEastAsia" w:cstheme="minorHAnsi"/>
        </w:rPr>
      </w:pPr>
      <w:r w:rsidRPr="00C0477E">
        <w:rPr>
          <w:rFonts w:eastAsia="Calibri" w:cstheme="minorHAnsi"/>
          <w:lang w:val="en-US"/>
        </w:rPr>
        <w:t>1,591 events in 86 countries in 2022</w:t>
      </w:r>
    </w:p>
    <w:p w14:paraId="090B4144" w14:textId="77777777" w:rsidR="00021D66" w:rsidRPr="00C0477E" w:rsidRDefault="00021D66" w:rsidP="00C0477E">
      <w:pPr>
        <w:pStyle w:val="ListParagraph"/>
        <w:ind w:left="0" w:firstLine="0"/>
        <w:rPr>
          <w:rFonts w:eastAsiaTheme="minorEastAsia" w:cstheme="minorHAnsi"/>
        </w:rPr>
      </w:pPr>
    </w:p>
    <w:p w14:paraId="0FD3872D" w14:textId="0D36DFF6" w:rsidR="00AC3442" w:rsidRPr="00C0477E" w:rsidRDefault="00701E8A" w:rsidP="004D7A6C">
      <w:pPr>
        <w:ind w:left="426"/>
        <w:rPr>
          <w:rFonts w:cstheme="minorHAnsi"/>
        </w:rPr>
      </w:pPr>
      <w:r>
        <w:rPr>
          <w:rFonts w:cstheme="minorHAnsi"/>
          <w:lang w:val="en-US"/>
        </w:rPr>
        <w:t>61</w:t>
      </w:r>
      <w:r w:rsidR="001061F5" w:rsidRPr="00C0477E">
        <w:rPr>
          <w:rFonts w:cstheme="minorHAnsi"/>
          <w:lang w:val="en-US"/>
        </w:rPr>
        <w:t>.</w:t>
      </w:r>
      <w:r w:rsidR="001061F5" w:rsidRPr="00C0477E">
        <w:rPr>
          <w:rFonts w:cstheme="minorHAnsi"/>
          <w:lang w:val="en-US"/>
        </w:rPr>
        <w:tab/>
      </w:r>
      <w:r w:rsidR="00AC3442" w:rsidRPr="00C0477E">
        <w:rPr>
          <w:rFonts w:cstheme="minorHAnsi"/>
          <w:lang w:val="en-US"/>
        </w:rPr>
        <w:t xml:space="preserve">The 2022 World Wetlands Day campaign highlighted </w:t>
      </w:r>
      <w:r w:rsidR="00AC3442" w:rsidRPr="00C0477E">
        <w:rPr>
          <w:rFonts w:cstheme="minorHAnsi"/>
        </w:rPr>
        <w:t xml:space="preserve">the importance of actions to ensure the conservation and sustainable use of wetlands for human and planetary health. “Wetlands Action for People and Nature” was the theme for the first celebration of World Wetlands Day as a United Nations International Day (see paragraph </w:t>
      </w:r>
      <w:r w:rsidR="002A6FEF">
        <w:rPr>
          <w:rFonts w:cstheme="minorHAnsi"/>
        </w:rPr>
        <w:t>16 above</w:t>
      </w:r>
      <w:r w:rsidR="00AC3442" w:rsidRPr="00C0477E">
        <w:rPr>
          <w:rFonts w:cstheme="minorHAnsi"/>
        </w:rPr>
        <w:t xml:space="preserve">). The Secretariat provided communication and campaign resources to support national outreach activities. </w:t>
      </w:r>
      <w:r w:rsidR="00425CCE">
        <w:rPr>
          <w:rFonts w:cstheme="minorHAnsi"/>
        </w:rPr>
        <w:t>It also</w:t>
      </w:r>
      <w:r w:rsidR="00AC3442" w:rsidRPr="00C0477E">
        <w:rPr>
          <w:rFonts w:cstheme="minorHAnsi"/>
        </w:rPr>
        <w:t xml:space="preserve"> invited the heads of relevant </w:t>
      </w:r>
      <w:r w:rsidR="00882735">
        <w:rPr>
          <w:rFonts w:cstheme="minorHAnsi"/>
        </w:rPr>
        <w:t>UN</w:t>
      </w:r>
      <w:r w:rsidR="00AC3442" w:rsidRPr="00C0477E">
        <w:rPr>
          <w:rFonts w:cstheme="minorHAnsi"/>
        </w:rPr>
        <w:t xml:space="preserve"> agencies and the IOPs to observe World Wetlands Day, as requested by the </w:t>
      </w:r>
      <w:r w:rsidR="00425CCE">
        <w:rPr>
          <w:rFonts w:cstheme="minorHAnsi"/>
        </w:rPr>
        <w:t>UNGA</w:t>
      </w:r>
      <w:r w:rsidR="00AC3442" w:rsidRPr="00C0477E">
        <w:rPr>
          <w:rFonts w:cstheme="minorHAnsi"/>
        </w:rPr>
        <w:t xml:space="preserve"> Resolution, by providing video statements and support for the global social media campaign. Video statements were received from the heads of UNEP, CBD, </w:t>
      </w:r>
      <w:r w:rsidR="00950C34" w:rsidRPr="00950C34">
        <w:rPr>
          <w:rFonts w:cstheme="minorHAnsi"/>
        </w:rPr>
        <w:t xml:space="preserve">the Convention on International Trade in Endangered Species of Wild Fauna and Flora </w:t>
      </w:r>
      <w:r w:rsidR="00950C34">
        <w:rPr>
          <w:rFonts w:cstheme="minorHAnsi"/>
        </w:rPr>
        <w:t>(</w:t>
      </w:r>
      <w:r w:rsidR="00AC3442" w:rsidRPr="00C0477E">
        <w:rPr>
          <w:rFonts w:cstheme="minorHAnsi"/>
        </w:rPr>
        <w:t>CITES</w:t>
      </w:r>
      <w:r w:rsidR="00950C34">
        <w:rPr>
          <w:rFonts w:cstheme="minorHAnsi"/>
        </w:rPr>
        <w:t>)</w:t>
      </w:r>
      <w:r w:rsidR="00AC3442" w:rsidRPr="00C0477E">
        <w:rPr>
          <w:rFonts w:cstheme="minorHAnsi"/>
        </w:rPr>
        <w:t xml:space="preserve">, </w:t>
      </w:r>
      <w:r w:rsidR="00950C34">
        <w:rPr>
          <w:rFonts w:cstheme="minorHAnsi"/>
        </w:rPr>
        <w:t xml:space="preserve">the </w:t>
      </w:r>
      <w:r w:rsidR="00950C34" w:rsidRPr="00950C34">
        <w:rPr>
          <w:rFonts w:cstheme="minorHAnsi"/>
        </w:rPr>
        <w:t xml:space="preserve">Food and Agriculture Organization of the </w:t>
      </w:r>
      <w:r w:rsidR="00950C34">
        <w:rPr>
          <w:rFonts w:cstheme="minorHAnsi"/>
        </w:rPr>
        <w:t>UN (FAO)</w:t>
      </w:r>
      <w:r w:rsidR="00AC3442" w:rsidRPr="00C0477E">
        <w:rPr>
          <w:rFonts w:cstheme="minorHAnsi"/>
        </w:rPr>
        <w:t xml:space="preserve"> </w:t>
      </w:r>
      <w:r w:rsidR="00950C34">
        <w:rPr>
          <w:rFonts w:cstheme="minorHAnsi"/>
        </w:rPr>
        <w:t xml:space="preserve">and </w:t>
      </w:r>
      <w:r w:rsidR="00AC3442" w:rsidRPr="00C0477E">
        <w:rPr>
          <w:rFonts w:cstheme="minorHAnsi"/>
        </w:rPr>
        <w:t>UNFCCC</w:t>
      </w:r>
      <w:r w:rsidR="00950C34">
        <w:rPr>
          <w:rFonts w:cstheme="minorHAnsi"/>
        </w:rPr>
        <w:t>;</w:t>
      </w:r>
      <w:r w:rsidR="00AC3442" w:rsidRPr="00C0477E">
        <w:rPr>
          <w:rFonts w:cstheme="minorHAnsi"/>
        </w:rPr>
        <w:t xml:space="preserve"> and written statements were provided by </w:t>
      </w:r>
      <w:r w:rsidR="00950C34">
        <w:rPr>
          <w:rFonts w:cstheme="minorHAnsi"/>
        </w:rPr>
        <w:t xml:space="preserve">the </w:t>
      </w:r>
      <w:r w:rsidR="00AC3442" w:rsidRPr="00C0477E">
        <w:rPr>
          <w:rFonts w:cstheme="minorHAnsi"/>
        </w:rPr>
        <w:t xml:space="preserve">heads of </w:t>
      </w:r>
      <w:r w:rsidR="00950C34">
        <w:rPr>
          <w:rFonts w:cstheme="minorHAnsi"/>
        </w:rPr>
        <w:t>UNDP</w:t>
      </w:r>
      <w:r w:rsidR="00ED70EA">
        <w:rPr>
          <w:rFonts w:cstheme="minorHAnsi"/>
        </w:rPr>
        <w:t>,</w:t>
      </w:r>
      <w:r w:rsidR="00AC3442" w:rsidRPr="00C0477E">
        <w:rPr>
          <w:rFonts w:cstheme="minorHAnsi"/>
        </w:rPr>
        <w:t xml:space="preserve"> CMS, </w:t>
      </w:r>
      <w:r w:rsidR="00950C34">
        <w:rPr>
          <w:rFonts w:cstheme="minorHAnsi"/>
        </w:rPr>
        <w:t xml:space="preserve">and the </w:t>
      </w:r>
      <w:r w:rsidR="00AC3442" w:rsidRPr="00C0477E">
        <w:rPr>
          <w:rFonts w:cstheme="minorHAnsi"/>
        </w:rPr>
        <w:t>African-Eurasian Migratory Waterbird Agreement, all highlighting the importance of wetlands.</w:t>
      </w:r>
      <w:r w:rsidR="00F55410" w:rsidRPr="00C0477E">
        <w:rPr>
          <w:rFonts w:cstheme="minorHAnsi"/>
        </w:rPr>
        <w:t xml:space="preserve"> </w:t>
      </w:r>
      <w:r w:rsidR="00AC3442" w:rsidRPr="00C0477E">
        <w:rPr>
          <w:rFonts w:cstheme="minorHAnsi"/>
        </w:rPr>
        <w:t xml:space="preserve">The UN Secretary General tweeted on World Wetlands Day. Importantly a page was created on the </w:t>
      </w:r>
      <w:r w:rsidR="00950C34" w:rsidRPr="00950C34">
        <w:rPr>
          <w:rFonts w:cstheme="minorHAnsi"/>
        </w:rPr>
        <w:t>webpage of the UN on World Wetlands Day</w:t>
      </w:r>
      <w:r w:rsidR="00ED70EA">
        <w:rPr>
          <w:rFonts w:cstheme="minorHAnsi"/>
        </w:rPr>
        <w:t>.</w:t>
      </w:r>
      <w:r w:rsidR="00950C34">
        <w:rPr>
          <w:rStyle w:val="FootnoteReference"/>
          <w:rFonts w:cstheme="minorHAnsi"/>
        </w:rPr>
        <w:footnoteReference w:id="8"/>
      </w:r>
      <w:r w:rsidR="0021784D" w:rsidRPr="00C0477E">
        <w:rPr>
          <w:rFonts w:cstheme="minorHAnsi"/>
        </w:rPr>
        <w:t xml:space="preserve"> </w:t>
      </w:r>
      <w:r w:rsidR="00AC3442" w:rsidRPr="00C0477E">
        <w:rPr>
          <w:rFonts w:cstheme="minorHAnsi"/>
        </w:rPr>
        <w:t xml:space="preserve">As part of the World Wetlands Day global launch, the Secretariat organized a virtual panel </w:t>
      </w:r>
      <w:r w:rsidR="00BC49A2">
        <w:rPr>
          <w:rFonts w:cstheme="minorHAnsi"/>
        </w:rPr>
        <w:t>in</w:t>
      </w:r>
      <w:r w:rsidR="00AC3442" w:rsidRPr="00C0477E">
        <w:rPr>
          <w:rFonts w:cstheme="minorHAnsi"/>
        </w:rPr>
        <w:t xml:space="preserve"> January 2022, titled “Acting for wetlands – challenges and solutions”. The interactive panel discussion explored priority actions for wetlands nationally and internationally, including new partnerships and investments. The panel discussion was moderated by the Secretary General and included speakers from the government of Costa Rica, a representative of UNDP’s Biodiversity Finance Initiative, the current vice chair of the STRP and the Head of Birdlife International. A recording of the virtual event is available to view on </w:t>
      </w:r>
      <w:r w:rsidR="00BC49A2" w:rsidRPr="00BC49A2">
        <w:rPr>
          <w:rFonts w:cstheme="minorHAnsi"/>
        </w:rPr>
        <w:t>the Convention website</w:t>
      </w:r>
      <w:r w:rsidR="00BC49A2">
        <w:rPr>
          <w:rStyle w:val="FootnoteReference"/>
          <w:rFonts w:cstheme="minorHAnsi"/>
        </w:rPr>
        <w:footnoteReference w:id="9"/>
      </w:r>
      <w:r w:rsidR="00AC3442" w:rsidRPr="00C0477E">
        <w:rPr>
          <w:rFonts w:cstheme="minorHAnsi"/>
        </w:rPr>
        <w:t>.</w:t>
      </w:r>
    </w:p>
    <w:p w14:paraId="40F58909" w14:textId="77777777" w:rsidR="000425B8" w:rsidRPr="00C0477E" w:rsidRDefault="000425B8" w:rsidP="004D7A6C">
      <w:pPr>
        <w:ind w:left="426"/>
        <w:rPr>
          <w:rFonts w:cstheme="minorHAnsi"/>
        </w:rPr>
      </w:pPr>
    </w:p>
    <w:p w14:paraId="2697073F" w14:textId="4715C2D8" w:rsidR="000425B8" w:rsidRPr="00C0477E" w:rsidRDefault="00701E8A" w:rsidP="004D7A6C">
      <w:pPr>
        <w:ind w:left="426"/>
        <w:rPr>
          <w:rFonts w:cstheme="minorHAnsi"/>
        </w:rPr>
      </w:pPr>
      <w:r>
        <w:rPr>
          <w:rFonts w:eastAsia="Calibri" w:cstheme="minorHAnsi"/>
          <w:lang w:val="en-US"/>
        </w:rPr>
        <w:t>62.</w:t>
      </w:r>
      <w:r>
        <w:rPr>
          <w:rFonts w:eastAsia="Calibri" w:cstheme="minorHAnsi"/>
          <w:lang w:val="en-US"/>
        </w:rPr>
        <w:tab/>
      </w:r>
      <w:r w:rsidR="000425B8" w:rsidRPr="00C0477E">
        <w:rPr>
          <w:rFonts w:eastAsia="Calibri" w:cstheme="minorHAnsi"/>
          <w:lang w:val="en-US"/>
        </w:rPr>
        <w:t xml:space="preserve">The Secretariat would like to acknowledge Danone and the Norwegian Environment Agency that provided funding during this triennium to produce the information and outreach materials for World Wetlands Day. Furthermore, the Secretariat recognizes the in-kind contribution of key partners Canon, </w:t>
      </w:r>
      <w:r w:rsidR="00BC49A2">
        <w:rPr>
          <w:rFonts w:eastAsia="Calibri" w:cstheme="minorHAnsi"/>
          <w:lang w:val="en-US"/>
        </w:rPr>
        <w:t>CBD</w:t>
      </w:r>
      <w:r w:rsidR="000425B8" w:rsidRPr="00C0477E">
        <w:rPr>
          <w:rFonts w:eastAsia="Calibri" w:cstheme="minorHAnsi"/>
          <w:lang w:val="en-US"/>
        </w:rPr>
        <w:t>, WWF, UN Water, IUCN, the Nature Conservancy and Medwet to World Wetlands Day outreach campaign</w:t>
      </w:r>
      <w:r w:rsidR="00B50CEE">
        <w:rPr>
          <w:rFonts w:eastAsia="Calibri" w:cstheme="minorHAnsi"/>
          <w:lang w:val="en-US"/>
        </w:rPr>
        <w:t>s</w:t>
      </w:r>
      <w:r w:rsidR="000425B8" w:rsidRPr="00C0477E">
        <w:rPr>
          <w:rFonts w:eastAsia="Calibri" w:cstheme="minorHAnsi"/>
          <w:lang w:val="en-US"/>
        </w:rPr>
        <w:t>.</w:t>
      </w:r>
    </w:p>
    <w:p w14:paraId="0AFDC1B9" w14:textId="77777777" w:rsidR="00AC3442" w:rsidRPr="00C0477E" w:rsidRDefault="00AC3442" w:rsidP="0050301F">
      <w:pPr>
        <w:rPr>
          <w:rFonts w:cstheme="minorHAnsi"/>
          <w:lang w:val="en-US"/>
        </w:rPr>
      </w:pPr>
    </w:p>
    <w:p w14:paraId="43FD94C6" w14:textId="713FBA52" w:rsidR="00AC3442" w:rsidRPr="00C0477E" w:rsidRDefault="00701E8A" w:rsidP="004D7A6C">
      <w:pPr>
        <w:ind w:left="426"/>
        <w:rPr>
          <w:rFonts w:cstheme="minorHAnsi"/>
          <w:lang w:val="en-US"/>
        </w:rPr>
      </w:pPr>
      <w:r>
        <w:rPr>
          <w:rFonts w:cstheme="minorHAnsi"/>
          <w:lang w:val="en-US"/>
        </w:rPr>
        <w:t>63</w:t>
      </w:r>
      <w:r w:rsidR="00AC3442" w:rsidRPr="00C0477E">
        <w:rPr>
          <w:rFonts w:cstheme="minorHAnsi"/>
          <w:lang w:val="en-US"/>
        </w:rPr>
        <w:t>.</w:t>
      </w:r>
      <w:r w:rsidR="00AC3442" w:rsidRPr="00C0477E">
        <w:rPr>
          <w:rFonts w:cstheme="minorHAnsi"/>
          <w:lang w:val="en-US"/>
        </w:rPr>
        <w:tab/>
        <w:t xml:space="preserve">Digital platforms and in particular social media are proving to be powerful </w:t>
      </w:r>
      <w:r w:rsidR="00B50CEE" w:rsidRPr="00C0477E">
        <w:rPr>
          <w:rFonts w:cstheme="minorHAnsi"/>
          <w:lang w:val="en-US"/>
        </w:rPr>
        <w:t>medi</w:t>
      </w:r>
      <w:r w:rsidR="00B50CEE">
        <w:rPr>
          <w:rFonts w:cstheme="minorHAnsi"/>
          <w:lang w:val="en-US"/>
        </w:rPr>
        <w:t>a</w:t>
      </w:r>
      <w:r w:rsidR="00B50CEE" w:rsidRPr="00C0477E">
        <w:rPr>
          <w:rFonts w:cstheme="minorHAnsi"/>
          <w:lang w:val="en-US"/>
        </w:rPr>
        <w:t xml:space="preserve"> </w:t>
      </w:r>
      <w:r w:rsidR="00AC3442" w:rsidRPr="00C0477E">
        <w:rPr>
          <w:rFonts w:cstheme="minorHAnsi"/>
          <w:lang w:val="en-US"/>
        </w:rPr>
        <w:t>to amplify our messages and reach larger and diverse audiences. This can be confirmed by the 436 million social media posts to mark World Wetlands Day</w:t>
      </w:r>
      <w:r w:rsidR="006D14EF" w:rsidRPr="00C0477E">
        <w:rPr>
          <w:rFonts w:cstheme="minorHAnsi"/>
          <w:lang w:val="en-US"/>
        </w:rPr>
        <w:t xml:space="preserve"> 2022</w:t>
      </w:r>
      <w:r w:rsidR="00B50CEE">
        <w:rPr>
          <w:rFonts w:cstheme="minorHAnsi"/>
          <w:lang w:val="en-US"/>
        </w:rPr>
        <w:t>,</w:t>
      </w:r>
      <w:r w:rsidR="00AC3442" w:rsidRPr="00C0477E">
        <w:rPr>
          <w:rFonts w:cstheme="minorHAnsi"/>
          <w:lang w:val="en-US"/>
        </w:rPr>
        <w:t xml:space="preserve"> driven by collective campaigns by the Secretariat, governments, international and other partner organizations.</w:t>
      </w:r>
    </w:p>
    <w:p w14:paraId="72413D1A" w14:textId="77777777" w:rsidR="00AC3442" w:rsidRPr="00C0477E" w:rsidRDefault="00AC3442" w:rsidP="0050301F">
      <w:pPr>
        <w:rPr>
          <w:rFonts w:cstheme="minorHAnsi"/>
          <w:lang w:val="en-US"/>
        </w:rPr>
      </w:pPr>
    </w:p>
    <w:p w14:paraId="4BD21218" w14:textId="15EBF9D7" w:rsidR="00AC3442" w:rsidRPr="00C0477E" w:rsidRDefault="00701E8A" w:rsidP="004D7A6C">
      <w:pPr>
        <w:ind w:left="426"/>
        <w:rPr>
          <w:rFonts w:cstheme="minorHAnsi"/>
          <w:lang w:val="en-US"/>
        </w:rPr>
      </w:pPr>
      <w:r>
        <w:rPr>
          <w:rFonts w:cstheme="minorHAnsi"/>
          <w:lang w:val="en-US"/>
        </w:rPr>
        <w:t>64</w:t>
      </w:r>
      <w:r w:rsidR="01146BA0" w:rsidRPr="00C0477E">
        <w:rPr>
          <w:rFonts w:cstheme="minorHAnsi"/>
          <w:lang w:val="en-US"/>
        </w:rPr>
        <w:t>.</w:t>
      </w:r>
      <w:r w:rsidR="00D165A7" w:rsidRPr="00C0477E">
        <w:rPr>
          <w:rFonts w:cstheme="minorHAnsi"/>
        </w:rPr>
        <w:tab/>
      </w:r>
      <w:r w:rsidR="01146BA0" w:rsidRPr="00C0477E">
        <w:rPr>
          <w:rFonts w:cstheme="minorHAnsi"/>
          <w:lang w:val="en-US"/>
        </w:rPr>
        <w:t>During the reporting period the Convention increased its proactive engagement with international media outlets to raise awareness of wetlands and the Convention around key moments, such as UNFCCC COP26</w:t>
      </w:r>
      <w:r w:rsidR="001F7678" w:rsidRPr="00C0477E">
        <w:rPr>
          <w:rFonts w:cstheme="minorHAnsi"/>
          <w:lang w:val="en-US"/>
        </w:rPr>
        <w:t xml:space="preserve"> and</w:t>
      </w:r>
      <w:r w:rsidR="01146BA0" w:rsidRPr="00C0477E">
        <w:rPr>
          <w:rFonts w:cstheme="minorHAnsi"/>
          <w:lang w:val="en-US"/>
        </w:rPr>
        <w:t xml:space="preserve"> the launch of </w:t>
      </w:r>
      <w:r w:rsidR="01146BA0" w:rsidRPr="00C0477E">
        <w:rPr>
          <w:rFonts w:cstheme="minorHAnsi"/>
          <w:i/>
          <w:iCs/>
          <w:lang w:val="en-US"/>
        </w:rPr>
        <w:t>Global Wetlands Outlook</w:t>
      </w:r>
      <w:r w:rsidR="01146BA0" w:rsidRPr="00C0477E">
        <w:rPr>
          <w:rFonts w:cstheme="minorHAnsi"/>
          <w:lang w:val="en-US"/>
        </w:rPr>
        <w:t xml:space="preserve"> </w:t>
      </w:r>
      <w:r w:rsidR="01146BA0" w:rsidRPr="00C0477E">
        <w:rPr>
          <w:rFonts w:cstheme="minorHAnsi"/>
          <w:i/>
          <w:iCs/>
          <w:lang w:val="en-US"/>
        </w:rPr>
        <w:t>2021: Special Edition</w:t>
      </w:r>
      <w:r w:rsidR="00A2346E" w:rsidRPr="00C0477E">
        <w:rPr>
          <w:rFonts w:cstheme="minorHAnsi"/>
          <w:lang w:val="en-US"/>
        </w:rPr>
        <w:t>.</w:t>
      </w:r>
    </w:p>
    <w:p w14:paraId="550D021A" w14:textId="77777777" w:rsidR="0001102B" w:rsidRPr="00C0477E" w:rsidRDefault="0001102B" w:rsidP="004D7A6C">
      <w:pPr>
        <w:ind w:left="426"/>
        <w:rPr>
          <w:rFonts w:cstheme="minorHAnsi"/>
          <w:lang w:val="en-US"/>
        </w:rPr>
      </w:pPr>
    </w:p>
    <w:p w14:paraId="6F16820C" w14:textId="3394FFB3" w:rsidR="0001102B" w:rsidRPr="00C0477E" w:rsidRDefault="00701E8A" w:rsidP="004D7A6C">
      <w:pPr>
        <w:ind w:left="426"/>
        <w:rPr>
          <w:rFonts w:cstheme="minorHAnsi"/>
          <w:lang w:val="en-US"/>
        </w:rPr>
      </w:pPr>
      <w:r>
        <w:rPr>
          <w:rFonts w:cstheme="minorHAnsi"/>
          <w:lang w:val="en-US"/>
        </w:rPr>
        <w:t>65</w:t>
      </w:r>
      <w:r w:rsidR="01146BA0" w:rsidRPr="00C0477E">
        <w:rPr>
          <w:rFonts w:cstheme="minorHAnsi"/>
          <w:lang w:val="en-US"/>
        </w:rPr>
        <w:t>.</w:t>
      </w:r>
      <w:r w:rsidR="00E718D5" w:rsidRPr="00C0477E">
        <w:rPr>
          <w:rFonts w:cstheme="minorHAnsi"/>
        </w:rPr>
        <w:tab/>
      </w:r>
      <w:r w:rsidR="01146BA0" w:rsidRPr="00C0477E">
        <w:rPr>
          <w:rFonts w:cstheme="minorHAnsi"/>
          <w:lang w:val="en-US"/>
        </w:rPr>
        <w:t xml:space="preserve">The Wetland City Accreditation initiative </w:t>
      </w:r>
      <w:r w:rsidR="00B50CEE">
        <w:rPr>
          <w:rFonts w:cstheme="minorHAnsi"/>
          <w:lang w:val="en-US"/>
        </w:rPr>
        <w:t xml:space="preserve">has </w:t>
      </w:r>
      <w:r w:rsidR="01146BA0" w:rsidRPr="00C0477E">
        <w:rPr>
          <w:rFonts w:cstheme="minorHAnsi"/>
          <w:lang w:val="en-US"/>
        </w:rPr>
        <w:t>continue</w:t>
      </w:r>
      <w:r w:rsidR="00B50CEE">
        <w:rPr>
          <w:rFonts w:cstheme="minorHAnsi"/>
          <w:lang w:val="en-US"/>
        </w:rPr>
        <w:t>d</w:t>
      </w:r>
      <w:r w:rsidR="01146BA0" w:rsidRPr="00C0477E">
        <w:rPr>
          <w:rFonts w:cstheme="minorHAnsi"/>
          <w:lang w:val="en-US"/>
        </w:rPr>
        <w:t xml:space="preserve"> to contribute to enhancing the visibility of wetlands and the Convention, including through the Convention’s webpage that features the cities accredited at COP13. </w:t>
      </w:r>
    </w:p>
    <w:p w14:paraId="4D88080F" w14:textId="77777777" w:rsidR="0001102B" w:rsidRPr="00C0477E" w:rsidRDefault="0001102B" w:rsidP="004D7A6C">
      <w:pPr>
        <w:ind w:left="426"/>
        <w:rPr>
          <w:rFonts w:cstheme="minorHAnsi"/>
          <w:lang w:val="en-US"/>
        </w:rPr>
      </w:pPr>
    </w:p>
    <w:p w14:paraId="76AA1178" w14:textId="1E44BEFA" w:rsidR="0001102B" w:rsidRPr="00C0477E" w:rsidRDefault="00701E8A" w:rsidP="004D7A6C">
      <w:pPr>
        <w:ind w:left="426"/>
        <w:rPr>
          <w:rFonts w:cstheme="minorHAnsi"/>
          <w:lang w:val="en-US"/>
        </w:rPr>
      </w:pPr>
      <w:r>
        <w:rPr>
          <w:rFonts w:cstheme="minorHAnsi"/>
          <w:lang w:val="en-US"/>
        </w:rPr>
        <w:t>66</w:t>
      </w:r>
      <w:r w:rsidR="0001102B" w:rsidRPr="00C0477E">
        <w:rPr>
          <w:rFonts w:cstheme="minorHAnsi"/>
          <w:lang w:val="en-US"/>
        </w:rPr>
        <w:t>.</w:t>
      </w:r>
      <w:r w:rsidR="0001102B" w:rsidRPr="00C0477E">
        <w:rPr>
          <w:rFonts w:cstheme="minorHAnsi"/>
          <w:lang w:val="en-US"/>
        </w:rPr>
        <w:tab/>
        <w:t>The Secretariat continues to participate in meetings</w:t>
      </w:r>
      <w:r w:rsidR="00B50CEE">
        <w:rPr>
          <w:rFonts w:cstheme="minorHAnsi"/>
          <w:lang w:val="en-US"/>
        </w:rPr>
        <w:t xml:space="preserve"> of the </w:t>
      </w:r>
      <w:r w:rsidR="00B50CEE" w:rsidRPr="00C0477E">
        <w:rPr>
          <w:rFonts w:cstheme="minorHAnsi"/>
          <w:lang w:val="en-US"/>
        </w:rPr>
        <w:t>“Flotilla”</w:t>
      </w:r>
      <w:r w:rsidR="0001102B" w:rsidRPr="00C0477E">
        <w:rPr>
          <w:rFonts w:cstheme="minorHAnsi"/>
          <w:lang w:val="en-US"/>
        </w:rPr>
        <w:t xml:space="preserve">, a mechanism to coordinate communications and achieve communications synergies among a number of biodiversity and environmental agreements and organizations. A key </w:t>
      </w:r>
      <w:r w:rsidR="00B50CEE">
        <w:rPr>
          <w:rFonts w:cstheme="minorHAnsi"/>
          <w:lang w:val="en-US"/>
        </w:rPr>
        <w:t>benefit</w:t>
      </w:r>
      <w:r w:rsidR="00B50CEE" w:rsidRPr="00C0477E">
        <w:rPr>
          <w:rFonts w:cstheme="minorHAnsi"/>
          <w:lang w:val="en-US"/>
        </w:rPr>
        <w:t xml:space="preserve"> </w:t>
      </w:r>
      <w:r w:rsidR="0001102B" w:rsidRPr="00C0477E">
        <w:rPr>
          <w:rFonts w:cstheme="minorHAnsi"/>
          <w:lang w:val="en-US"/>
        </w:rPr>
        <w:t>of the Flotilla is the ability for organizations to share their communications plans and resources allowing other organizations to support their efforts. The Flotilla has played an important role in broadly disseminating the Convention’s 50th Anniversary campaign resources, STRP products and supporting campaigns and broader messages promoting this milestone year for wetlands, climate and nature.</w:t>
      </w:r>
    </w:p>
    <w:p w14:paraId="756D299E" w14:textId="77777777" w:rsidR="0001102B" w:rsidRPr="00C0477E" w:rsidRDefault="0001102B" w:rsidP="0050301F">
      <w:pPr>
        <w:ind w:left="0" w:firstLine="0"/>
        <w:rPr>
          <w:rFonts w:cstheme="minorHAnsi"/>
          <w:lang w:val="en-US"/>
        </w:rPr>
      </w:pPr>
    </w:p>
    <w:p w14:paraId="1A298D8B" w14:textId="77777777" w:rsidR="00561D51" w:rsidRPr="00C0477E" w:rsidRDefault="31B94901" w:rsidP="00A508C9">
      <w:pPr>
        <w:keepNext/>
        <w:ind w:left="0" w:firstLine="0"/>
        <w:rPr>
          <w:rFonts w:cstheme="minorHAnsi"/>
          <w:b/>
          <w:bCs/>
          <w:u w:val="single"/>
        </w:rPr>
      </w:pPr>
      <w:r w:rsidRPr="00C0477E">
        <w:rPr>
          <w:rFonts w:cstheme="minorHAnsi"/>
          <w:b/>
          <w:bCs/>
          <w:u w:val="single"/>
        </w:rPr>
        <w:t>Strengthening the Secretariat</w:t>
      </w:r>
      <w:r w:rsidR="00F04B42" w:rsidRPr="00C0477E">
        <w:rPr>
          <w:rFonts w:cstheme="minorHAnsi"/>
          <w:b/>
          <w:bCs/>
          <w:u w:val="single"/>
        </w:rPr>
        <w:t>’</w:t>
      </w:r>
      <w:r w:rsidRPr="00C0477E">
        <w:rPr>
          <w:rFonts w:cstheme="minorHAnsi"/>
          <w:b/>
          <w:bCs/>
          <w:u w:val="single"/>
        </w:rPr>
        <w:t>s efficiency and effectiveness</w:t>
      </w:r>
    </w:p>
    <w:p w14:paraId="4727DC78" w14:textId="77777777" w:rsidR="00D352B8" w:rsidRPr="00C0477E" w:rsidRDefault="00D352B8" w:rsidP="00A508C9">
      <w:pPr>
        <w:keepNext/>
        <w:ind w:left="0" w:firstLine="0"/>
        <w:rPr>
          <w:rFonts w:cstheme="minorHAnsi"/>
        </w:rPr>
      </w:pPr>
    </w:p>
    <w:p w14:paraId="5F41D2AA" w14:textId="5FA85705" w:rsidR="007C06CF" w:rsidRPr="00C0477E" w:rsidRDefault="00701E8A" w:rsidP="004D7A6C">
      <w:pPr>
        <w:ind w:left="426" w:hanging="426"/>
        <w:rPr>
          <w:rFonts w:cstheme="minorHAnsi"/>
          <w:lang w:val="en-US"/>
        </w:rPr>
      </w:pPr>
      <w:r>
        <w:rPr>
          <w:rFonts w:cstheme="minorHAnsi"/>
        </w:rPr>
        <w:t>67</w:t>
      </w:r>
      <w:r w:rsidR="006A3761" w:rsidRPr="00C0477E">
        <w:rPr>
          <w:rFonts w:cstheme="minorHAnsi"/>
        </w:rPr>
        <w:t>.</w:t>
      </w:r>
      <w:r w:rsidR="006A3761" w:rsidRPr="00C0477E">
        <w:rPr>
          <w:rFonts w:cstheme="minorHAnsi"/>
        </w:rPr>
        <w:tab/>
      </w:r>
      <w:r w:rsidR="00E468BD" w:rsidRPr="00C0477E">
        <w:rPr>
          <w:rFonts w:cstheme="minorHAnsi"/>
        </w:rPr>
        <w:t>As in the previous triennium, t</w:t>
      </w:r>
      <w:r w:rsidR="00E7322F" w:rsidRPr="00C0477E">
        <w:rPr>
          <w:rFonts w:cstheme="minorHAnsi"/>
        </w:rPr>
        <w:t>he gui</w:t>
      </w:r>
      <w:r w:rsidR="00EE1495" w:rsidRPr="00C0477E">
        <w:rPr>
          <w:rFonts w:cstheme="minorHAnsi"/>
        </w:rPr>
        <w:t xml:space="preserve">ding objective </w:t>
      </w:r>
      <w:r w:rsidR="00E468BD" w:rsidRPr="00C0477E">
        <w:rPr>
          <w:rFonts w:cstheme="minorHAnsi"/>
        </w:rPr>
        <w:t>continued to be</w:t>
      </w:r>
      <w:r w:rsidR="00E4253B">
        <w:rPr>
          <w:rFonts w:cstheme="minorHAnsi"/>
        </w:rPr>
        <w:t xml:space="preserve"> </w:t>
      </w:r>
      <w:r w:rsidR="00E7322F" w:rsidRPr="00C0477E">
        <w:rPr>
          <w:rFonts w:cstheme="minorHAnsi"/>
        </w:rPr>
        <w:t xml:space="preserve">to </w:t>
      </w:r>
      <w:r w:rsidR="00652DF0" w:rsidRPr="00C0477E">
        <w:rPr>
          <w:rFonts w:cstheme="minorHAnsi"/>
        </w:rPr>
        <w:t>“</w:t>
      </w:r>
      <w:r w:rsidR="00E7322F" w:rsidRPr="00C0477E">
        <w:rPr>
          <w:rFonts w:cstheme="minorHAnsi"/>
        </w:rPr>
        <w:t>organize to deliver</w:t>
      </w:r>
      <w:r w:rsidR="00652DF0" w:rsidRPr="00C0477E">
        <w:rPr>
          <w:rFonts w:cstheme="minorHAnsi"/>
        </w:rPr>
        <w:t>”</w:t>
      </w:r>
      <w:r w:rsidR="00E7322F" w:rsidRPr="00C0477E">
        <w:rPr>
          <w:rFonts w:cstheme="minorHAnsi"/>
        </w:rPr>
        <w:t xml:space="preserve"> on the Strategic Plan of the Convention and the mandate of the Contracting Parties, and to use in the most efficient way the limited resources of the Convention and the</w:t>
      </w:r>
      <w:r w:rsidR="00843F44" w:rsidRPr="00C0477E">
        <w:rPr>
          <w:rFonts w:cstheme="minorHAnsi"/>
        </w:rPr>
        <w:t xml:space="preserve"> capacities of the Secretariat. </w:t>
      </w:r>
      <w:r w:rsidR="00E468BD" w:rsidRPr="00C0477E">
        <w:rPr>
          <w:rFonts w:cstheme="minorHAnsi"/>
        </w:rPr>
        <w:t>However, t</w:t>
      </w:r>
      <w:r w:rsidR="007C06CF" w:rsidRPr="00C0477E">
        <w:rPr>
          <w:rFonts w:cstheme="minorHAnsi"/>
        </w:rPr>
        <w:t xml:space="preserve">he reporting period was marked by the </w:t>
      </w:r>
      <w:r w:rsidR="00092368" w:rsidRPr="00C0477E">
        <w:rPr>
          <w:rFonts w:cstheme="minorHAnsi"/>
        </w:rPr>
        <w:t>COVID</w:t>
      </w:r>
      <w:r w:rsidR="007C06CF" w:rsidRPr="00C0477E">
        <w:rPr>
          <w:rFonts w:cstheme="minorHAnsi"/>
        </w:rPr>
        <w:t xml:space="preserve">-19 pandemic, and </w:t>
      </w:r>
      <w:r w:rsidR="007C06CF" w:rsidRPr="00C0477E">
        <w:rPr>
          <w:rFonts w:cstheme="minorHAnsi"/>
          <w:lang w:val="en-US"/>
        </w:rPr>
        <w:t>the Secretariat had to adapt its way of delivering its work in this context.</w:t>
      </w:r>
    </w:p>
    <w:p w14:paraId="7B3BB33F" w14:textId="77777777" w:rsidR="007C06CF" w:rsidRPr="00C0477E" w:rsidRDefault="007C06CF" w:rsidP="004D7A6C">
      <w:pPr>
        <w:ind w:left="426" w:hanging="426"/>
        <w:rPr>
          <w:rFonts w:cstheme="minorHAnsi"/>
        </w:rPr>
      </w:pPr>
    </w:p>
    <w:p w14:paraId="3C5882E1" w14:textId="704AE495" w:rsidR="00EA66AB" w:rsidRPr="00C0477E" w:rsidRDefault="00701E8A" w:rsidP="004D7A6C">
      <w:pPr>
        <w:ind w:left="426" w:hanging="426"/>
        <w:rPr>
          <w:rFonts w:cstheme="minorHAnsi"/>
        </w:rPr>
      </w:pPr>
      <w:r>
        <w:rPr>
          <w:rFonts w:cstheme="minorHAnsi"/>
        </w:rPr>
        <w:t>68</w:t>
      </w:r>
      <w:r w:rsidR="00EA66AB" w:rsidRPr="00C0477E">
        <w:rPr>
          <w:rFonts w:cstheme="minorHAnsi"/>
        </w:rPr>
        <w:t>.</w:t>
      </w:r>
      <w:r w:rsidR="00E4253B">
        <w:rPr>
          <w:rFonts w:cstheme="minorHAnsi"/>
        </w:rPr>
        <w:t xml:space="preserve"> </w:t>
      </w:r>
      <w:r w:rsidR="00092368">
        <w:rPr>
          <w:rFonts w:cstheme="minorHAnsi"/>
        </w:rPr>
        <w:tab/>
        <w:t>From</w:t>
      </w:r>
      <w:r w:rsidR="00092368" w:rsidRPr="00C0477E">
        <w:rPr>
          <w:rFonts w:cstheme="minorHAnsi"/>
        </w:rPr>
        <w:t xml:space="preserve"> </w:t>
      </w:r>
      <w:r w:rsidR="007C06CF" w:rsidRPr="00C0477E">
        <w:rPr>
          <w:rFonts w:cstheme="minorHAnsi"/>
        </w:rPr>
        <w:t>the first signs of the pandemic, actions were taken to enable staff to quickly and effectively work from home. Previous efforts during th</w:t>
      </w:r>
      <w:r w:rsidR="00E468BD" w:rsidRPr="00C0477E">
        <w:rPr>
          <w:rFonts w:cstheme="minorHAnsi"/>
        </w:rPr>
        <w:t xml:space="preserve">e triennium </w:t>
      </w:r>
      <w:r w:rsidR="007C06CF" w:rsidRPr="00C0477E">
        <w:rPr>
          <w:rFonts w:cstheme="minorHAnsi"/>
        </w:rPr>
        <w:t>to strengthen IT infrastructure and train staff in the utilization of online tools allowed the Secretariat to work in a coordinated and effective manner despite working remotely. The Secretariat embraced new technologies to support the work of Contracting Parties including for their decision-making processes. Some highlights are provided below.</w:t>
      </w:r>
    </w:p>
    <w:p w14:paraId="2AA1C97B" w14:textId="77777777" w:rsidR="00EA66AB" w:rsidRPr="00C0477E" w:rsidRDefault="00EA66AB" w:rsidP="004D7A6C">
      <w:pPr>
        <w:ind w:left="426" w:hanging="426"/>
        <w:rPr>
          <w:rFonts w:cstheme="minorHAnsi"/>
        </w:rPr>
      </w:pPr>
    </w:p>
    <w:p w14:paraId="1BBB4210" w14:textId="3708E0B7" w:rsidR="00E468BD" w:rsidRPr="00C0477E" w:rsidRDefault="00701E8A" w:rsidP="004D7A6C">
      <w:pPr>
        <w:ind w:left="426" w:hanging="426"/>
        <w:rPr>
          <w:rFonts w:cstheme="minorHAnsi"/>
        </w:rPr>
      </w:pPr>
      <w:r>
        <w:rPr>
          <w:rFonts w:cstheme="minorHAnsi"/>
          <w:lang w:val="en-US"/>
        </w:rPr>
        <w:t>69</w:t>
      </w:r>
      <w:r w:rsidR="00EA66AB" w:rsidRPr="00C0477E">
        <w:rPr>
          <w:rFonts w:cstheme="minorHAnsi"/>
          <w:lang w:val="en-US"/>
        </w:rPr>
        <w:t>.</w:t>
      </w:r>
      <w:r w:rsidR="00C2012F">
        <w:rPr>
          <w:rFonts w:cstheme="minorHAnsi"/>
          <w:lang w:val="en-US"/>
        </w:rPr>
        <w:tab/>
      </w:r>
      <w:r w:rsidR="00E468BD" w:rsidRPr="00C0477E">
        <w:rPr>
          <w:rFonts w:cstheme="minorHAnsi"/>
          <w:lang w:val="en-US"/>
        </w:rPr>
        <w:t>The management of finances and administration continued to be strengthened during the reporting period and adapted to new ways of working:</w:t>
      </w:r>
    </w:p>
    <w:p w14:paraId="79E21323" w14:textId="77777777" w:rsidR="0045434D" w:rsidRPr="00C0477E" w:rsidRDefault="0045434D" w:rsidP="004D7A6C">
      <w:pPr>
        <w:ind w:left="426" w:hanging="426"/>
        <w:rPr>
          <w:rFonts w:cstheme="minorHAnsi"/>
        </w:rPr>
      </w:pPr>
    </w:p>
    <w:p w14:paraId="71050FD0" w14:textId="50B5F80F" w:rsidR="0045434D" w:rsidRPr="00015778" w:rsidRDefault="00015778" w:rsidP="00015778">
      <w:pPr>
        <w:ind w:left="851"/>
        <w:rPr>
          <w:rFonts w:cstheme="minorHAnsi"/>
        </w:rPr>
      </w:pPr>
      <w:r>
        <w:rPr>
          <w:rFonts w:cstheme="minorHAnsi"/>
        </w:rPr>
        <w:t>i.</w:t>
      </w:r>
      <w:r>
        <w:rPr>
          <w:rFonts w:cstheme="minorHAnsi"/>
        </w:rPr>
        <w:tab/>
      </w:r>
      <w:r w:rsidR="00B450F3" w:rsidRPr="00015778">
        <w:rPr>
          <w:rFonts w:cstheme="minorHAnsi"/>
        </w:rPr>
        <w:t>T</w:t>
      </w:r>
      <w:r w:rsidR="0045434D" w:rsidRPr="00015778">
        <w:rPr>
          <w:rFonts w:cstheme="minorHAnsi"/>
        </w:rPr>
        <w:t xml:space="preserve">he financial health of the Secretariat </w:t>
      </w:r>
      <w:r w:rsidR="00B450F3" w:rsidRPr="00015778">
        <w:rPr>
          <w:rFonts w:cstheme="minorHAnsi"/>
        </w:rPr>
        <w:t>was</w:t>
      </w:r>
      <w:r w:rsidR="0045434D" w:rsidRPr="00015778">
        <w:rPr>
          <w:rFonts w:cstheme="minorHAnsi"/>
        </w:rPr>
        <w:t xml:space="preserve"> considered </w:t>
      </w:r>
      <w:r w:rsidR="00B450F3" w:rsidRPr="00015778">
        <w:rPr>
          <w:rFonts w:cstheme="minorHAnsi"/>
        </w:rPr>
        <w:t>as having</w:t>
      </w:r>
      <w:r w:rsidR="0045434D" w:rsidRPr="00015778">
        <w:rPr>
          <w:rFonts w:cstheme="minorHAnsi"/>
        </w:rPr>
        <w:t xml:space="preserve"> improved both by the auditors and by the Standing Committee. </w:t>
      </w:r>
      <w:r w:rsidR="00E468BD" w:rsidRPr="00015778">
        <w:rPr>
          <w:rFonts w:cstheme="minorHAnsi"/>
          <w:lang w:val="en-US"/>
        </w:rPr>
        <w:t>The financial stability of the Secretariat remained solid in 2021 as in the prior year</w:t>
      </w:r>
      <w:r w:rsidR="0045434D" w:rsidRPr="00015778">
        <w:rPr>
          <w:rFonts w:cstheme="minorHAnsi"/>
          <w:lang w:val="en-US"/>
        </w:rPr>
        <w:t>s</w:t>
      </w:r>
      <w:r w:rsidR="00E468BD" w:rsidRPr="00015778">
        <w:rPr>
          <w:rFonts w:cstheme="minorHAnsi"/>
          <w:lang w:val="en-US"/>
        </w:rPr>
        <w:t>. In 2021 there was an increase in cash from CHF 5,634K in 2020 to CHF 6,946K</w:t>
      </w:r>
      <w:r w:rsidR="00B450F3" w:rsidRPr="00015778">
        <w:rPr>
          <w:rFonts w:cstheme="minorHAnsi"/>
          <w:lang w:val="en-US"/>
        </w:rPr>
        <w:t>, w</w:t>
      </w:r>
      <w:r w:rsidR="0045434D" w:rsidRPr="00015778">
        <w:rPr>
          <w:rFonts w:cstheme="minorHAnsi"/>
          <w:lang w:val="en-US"/>
        </w:rPr>
        <w:t>hile t</w:t>
      </w:r>
      <w:r w:rsidR="00E468BD" w:rsidRPr="00015778">
        <w:rPr>
          <w:rFonts w:cstheme="minorHAnsi"/>
          <w:lang w:val="en-US"/>
        </w:rPr>
        <w:t>here was a decrease in Contracting Part</w:t>
      </w:r>
      <w:r w:rsidR="00B450F3" w:rsidRPr="00015778">
        <w:rPr>
          <w:rFonts w:cstheme="minorHAnsi"/>
          <w:lang w:val="en-US"/>
        </w:rPr>
        <w:t>ies</w:t>
      </w:r>
      <w:r w:rsidR="00E468BD" w:rsidRPr="00015778">
        <w:rPr>
          <w:rFonts w:cstheme="minorHAnsi"/>
          <w:lang w:val="en-US"/>
        </w:rPr>
        <w:t xml:space="preserve"> net receivables from CHF 680K in 2020 to CHF 484K</w:t>
      </w:r>
      <w:r w:rsidR="00EA66AB" w:rsidRPr="00015778">
        <w:rPr>
          <w:rFonts w:cstheme="minorHAnsi"/>
          <w:lang w:val="en-US"/>
        </w:rPr>
        <w:t xml:space="preserve">, representing </w:t>
      </w:r>
      <w:r w:rsidR="0045434D" w:rsidRPr="00015778">
        <w:rPr>
          <w:rFonts w:cstheme="minorHAnsi"/>
          <w:lang w:val="en-US"/>
        </w:rPr>
        <w:t xml:space="preserve">a </w:t>
      </w:r>
      <w:r w:rsidR="0045434D" w:rsidRPr="00015778">
        <w:rPr>
          <w:rFonts w:cstheme="minorHAnsi"/>
        </w:rPr>
        <w:t>decrease in total outstanding contributions of 8% compared to 2020</w:t>
      </w:r>
      <w:r w:rsidR="00EA66AB" w:rsidRPr="00015778">
        <w:rPr>
          <w:rFonts w:cstheme="minorHAnsi"/>
        </w:rPr>
        <w:t xml:space="preserve">. </w:t>
      </w:r>
      <w:r w:rsidR="00B91EEF" w:rsidRPr="00015778">
        <w:rPr>
          <w:rFonts w:cstheme="minorHAnsi"/>
        </w:rPr>
        <w:t>T</w:t>
      </w:r>
      <w:r w:rsidR="0045434D" w:rsidRPr="00015778">
        <w:rPr>
          <w:rFonts w:cstheme="minorHAnsi"/>
        </w:rPr>
        <w:t xml:space="preserve">he Subgroup on Finance </w:t>
      </w:r>
      <w:r w:rsidR="00B91EEF" w:rsidRPr="00015778">
        <w:rPr>
          <w:rFonts w:cstheme="minorHAnsi"/>
        </w:rPr>
        <w:t xml:space="preserve">recognized this </w:t>
      </w:r>
      <w:r w:rsidR="0045434D" w:rsidRPr="00015778">
        <w:rPr>
          <w:rFonts w:cstheme="minorHAnsi"/>
        </w:rPr>
        <w:t xml:space="preserve">as an exceptional outcome among comparable organizations, </w:t>
      </w:r>
      <w:r w:rsidR="00B91EEF" w:rsidRPr="00015778">
        <w:rPr>
          <w:rFonts w:cstheme="minorHAnsi"/>
        </w:rPr>
        <w:t xml:space="preserve">and acknowledged </w:t>
      </w:r>
      <w:r w:rsidR="0045434D" w:rsidRPr="00015778">
        <w:rPr>
          <w:rFonts w:cstheme="minorHAnsi"/>
        </w:rPr>
        <w:t>the Secretariat’s actions to this end. The regular payment of the Parties is also evidence of</w:t>
      </w:r>
      <w:r w:rsidR="00A14667" w:rsidRPr="00015778">
        <w:rPr>
          <w:rFonts w:cstheme="minorHAnsi"/>
        </w:rPr>
        <w:t xml:space="preserve"> their</w:t>
      </w:r>
      <w:r w:rsidR="0045434D" w:rsidRPr="00015778">
        <w:rPr>
          <w:rFonts w:cstheme="minorHAnsi"/>
        </w:rPr>
        <w:t xml:space="preserve"> increased trust in the Secretariat.</w:t>
      </w:r>
    </w:p>
    <w:p w14:paraId="6A3C8031" w14:textId="77777777" w:rsidR="00E468BD" w:rsidRPr="00C0477E" w:rsidRDefault="00E468BD" w:rsidP="00015778">
      <w:pPr>
        <w:ind w:left="851"/>
        <w:rPr>
          <w:rFonts w:cstheme="minorHAnsi"/>
          <w:lang w:val="en-US"/>
        </w:rPr>
      </w:pPr>
    </w:p>
    <w:p w14:paraId="2E0ECBB7" w14:textId="567576BF" w:rsidR="00EA66AB" w:rsidRPr="00015778" w:rsidRDefault="00015778" w:rsidP="00015778">
      <w:pPr>
        <w:ind w:left="851"/>
        <w:rPr>
          <w:rFonts w:cstheme="minorHAnsi"/>
          <w:lang w:val="en-US"/>
        </w:rPr>
      </w:pPr>
      <w:r>
        <w:rPr>
          <w:rFonts w:cstheme="minorHAnsi"/>
          <w:lang w:val="en-US"/>
        </w:rPr>
        <w:t>ii.</w:t>
      </w:r>
      <w:r>
        <w:rPr>
          <w:rFonts w:cstheme="minorHAnsi"/>
          <w:lang w:val="en-US"/>
        </w:rPr>
        <w:tab/>
      </w:r>
      <w:r w:rsidR="0045434D" w:rsidRPr="00015778">
        <w:rPr>
          <w:rFonts w:cstheme="minorHAnsi"/>
          <w:lang w:val="en-US"/>
        </w:rPr>
        <w:t>During the last two years,</w:t>
      </w:r>
      <w:r w:rsidR="008A0417" w:rsidRPr="00015778">
        <w:rPr>
          <w:rFonts w:cstheme="minorHAnsi"/>
          <w:lang w:val="en-US"/>
        </w:rPr>
        <w:t xml:space="preserve"> </w:t>
      </w:r>
      <w:r w:rsidR="00E468BD" w:rsidRPr="00015778">
        <w:rPr>
          <w:rFonts w:cstheme="minorHAnsi"/>
          <w:lang w:val="en-US"/>
        </w:rPr>
        <w:t xml:space="preserve">the financial audit was done remotely and the Secretariat successfully delivered all requested documentation and information. </w:t>
      </w:r>
      <w:r w:rsidR="00B450F3" w:rsidRPr="00015778">
        <w:rPr>
          <w:rFonts w:cstheme="minorHAnsi"/>
          <w:lang w:val="en-US"/>
        </w:rPr>
        <w:t>A</w:t>
      </w:r>
      <w:r w:rsidR="008A0417" w:rsidRPr="00015778">
        <w:rPr>
          <w:rFonts w:cstheme="minorHAnsi"/>
          <w:lang w:val="en-US"/>
        </w:rPr>
        <w:t xml:space="preserve">ll the issues that were open prior to the current Secretary General taking office in 2016 were closed in the </w:t>
      </w:r>
      <w:r w:rsidR="00E468BD" w:rsidRPr="00015778">
        <w:rPr>
          <w:rFonts w:cstheme="minorHAnsi"/>
          <w:lang w:val="en-US"/>
        </w:rPr>
        <w:t>financial audit of the 2019</w:t>
      </w:r>
      <w:r w:rsidR="008A0417" w:rsidRPr="00015778">
        <w:rPr>
          <w:rFonts w:cstheme="minorHAnsi"/>
          <w:lang w:val="en-US"/>
        </w:rPr>
        <w:t xml:space="preserve"> accounts in April 2020</w:t>
      </w:r>
      <w:r w:rsidR="00B450F3" w:rsidRPr="00015778">
        <w:rPr>
          <w:rFonts w:cstheme="minorHAnsi"/>
          <w:lang w:val="en-US"/>
        </w:rPr>
        <w:t>, and no new financial issues have been raised.</w:t>
      </w:r>
      <w:r w:rsidR="008A0417" w:rsidRPr="00015778">
        <w:rPr>
          <w:rFonts w:cstheme="minorHAnsi"/>
          <w:lang w:val="en-US"/>
        </w:rPr>
        <w:t xml:space="preserve"> This is the result of the improvements put in place since the last triennium</w:t>
      </w:r>
      <w:r w:rsidR="00EA66AB" w:rsidRPr="00015778">
        <w:rPr>
          <w:rFonts w:cstheme="minorHAnsi"/>
          <w:lang w:val="en-US"/>
        </w:rPr>
        <w:t>.</w:t>
      </w:r>
    </w:p>
    <w:p w14:paraId="08AA0540" w14:textId="77777777" w:rsidR="00EA66AB" w:rsidRPr="00C0477E" w:rsidRDefault="00EA66AB" w:rsidP="00015778">
      <w:pPr>
        <w:ind w:left="851"/>
        <w:rPr>
          <w:rFonts w:cstheme="minorHAnsi"/>
          <w:lang w:val="en-US"/>
        </w:rPr>
      </w:pPr>
    </w:p>
    <w:p w14:paraId="7D980C96" w14:textId="30818252" w:rsidR="008A0417" w:rsidRPr="00015778" w:rsidRDefault="00015778" w:rsidP="00015778">
      <w:pPr>
        <w:ind w:left="851"/>
        <w:rPr>
          <w:rFonts w:cstheme="minorHAnsi"/>
        </w:rPr>
      </w:pPr>
      <w:r>
        <w:rPr>
          <w:rFonts w:cstheme="minorHAnsi"/>
          <w:lang w:val="en-US"/>
        </w:rPr>
        <w:t>iii.</w:t>
      </w:r>
      <w:r>
        <w:rPr>
          <w:rFonts w:cstheme="minorHAnsi"/>
          <w:lang w:val="en-US"/>
        </w:rPr>
        <w:tab/>
      </w:r>
      <w:r w:rsidR="00EA66AB" w:rsidRPr="00015778">
        <w:rPr>
          <w:rFonts w:cstheme="minorHAnsi"/>
          <w:lang w:val="en-US"/>
        </w:rPr>
        <w:t xml:space="preserve">Procedures </w:t>
      </w:r>
      <w:r w:rsidR="00CC5252" w:rsidRPr="00015778">
        <w:rPr>
          <w:rFonts w:cstheme="minorHAnsi"/>
          <w:lang w:val="en-US"/>
        </w:rPr>
        <w:t>were</w:t>
      </w:r>
      <w:r w:rsidR="00B450F3" w:rsidRPr="00015778">
        <w:rPr>
          <w:rFonts w:cstheme="minorHAnsi"/>
          <w:lang w:val="en-US"/>
        </w:rPr>
        <w:t xml:space="preserve"> developed and rolled out</w:t>
      </w:r>
      <w:r w:rsidR="00CC5252" w:rsidRPr="00015778">
        <w:rPr>
          <w:rFonts w:cstheme="minorHAnsi"/>
          <w:lang w:val="en-US"/>
        </w:rPr>
        <w:t>:</w:t>
      </w:r>
      <w:r w:rsidR="00EA66AB" w:rsidRPr="00015778">
        <w:rPr>
          <w:rFonts w:cstheme="minorHAnsi"/>
          <w:lang w:val="en-US"/>
        </w:rPr>
        <w:t xml:space="preserve"> </w:t>
      </w:r>
      <w:r w:rsidR="008A0417" w:rsidRPr="00015778">
        <w:rPr>
          <w:rFonts w:cstheme="minorHAnsi"/>
        </w:rPr>
        <w:t xml:space="preserve">the allocation </w:t>
      </w:r>
      <w:r w:rsidR="00C24E55" w:rsidRPr="00015778">
        <w:rPr>
          <w:rFonts w:cstheme="minorHAnsi"/>
        </w:rPr>
        <w:t xml:space="preserve">of </w:t>
      </w:r>
      <w:r w:rsidR="008A0417" w:rsidRPr="00015778">
        <w:rPr>
          <w:rFonts w:cstheme="minorHAnsi"/>
        </w:rPr>
        <w:t xml:space="preserve">financial roles and responsibilities between IUCN </w:t>
      </w:r>
      <w:r w:rsidR="00CC5252" w:rsidRPr="00015778">
        <w:rPr>
          <w:rFonts w:cstheme="minorHAnsi"/>
        </w:rPr>
        <w:t xml:space="preserve">Finance </w:t>
      </w:r>
      <w:r w:rsidR="008A0417" w:rsidRPr="00015778">
        <w:rPr>
          <w:rFonts w:cstheme="minorHAnsi"/>
        </w:rPr>
        <w:t>and the Secretariat</w:t>
      </w:r>
      <w:r w:rsidR="00CC5252" w:rsidRPr="00015778">
        <w:rPr>
          <w:rFonts w:cstheme="minorHAnsi"/>
        </w:rPr>
        <w:t xml:space="preserve"> were clearly defined</w:t>
      </w:r>
      <w:r w:rsidR="00EA66AB" w:rsidRPr="00015778">
        <w:rPr>
          <w:rFonts w:cstheme="minorHAnsi"/>
        </w:rPr>
        <w:t>;</w:t>
      </w:r>
      <w:r w:rsidR="008A0417" w:rsidRPr="00015778">
        <w:rPr>
          <w:rFonts w:cstheme="minorHAnsi"/>
        </w:rPr>
        <w:t xml:space="preserve"> internal controls between IUCN and the Secretariat</w:t>
      </w:r>
      <w:r w:rsidR="00EA66AB" w:rsidRPr="00015778">
        <w:rPr>
          <w:rFonts w:cstheme="minorHAnsi"/>
        </w:rPr>
        <w:t xml:space="preserve"> </w:t>
      </w:r>
      <w:r w:rsidR="00C24E55" w:rsidRPr="00015778">
        <w:rPr>
          <w:rFonts w:cstheme="minorHAnsi"/>
        </w:rPr>
        <w:t xml:space="preserve">were </w:t>
      </w:r>
      <w:r w:rsidR="00EA66AB" w:rsidRPr="00015778">
        <w:rPr>
          <w:rFonts w:cstheme="minorHAnsi"/>
        </w:rPr>
        <w:t>regularly validated; f</w:t>
      </w:r>
      <w:r w:rsidR="008A0417" w:rsidRPr="00015778">
        <w:rPr>
          <w:rFonts w:cstheme="minorHAnsi"/>
        </w:rPr>
        <w:t xml:space="preserve">inancial operational </w:t>
      </w:r>
      <w:r w:rsidR="00EA66AB" w:rsidRPr="00015778">
        <w:rPr>
          <w:rFonts w:cstheme="minorHAnsi"/>
        </w:rPr>
        <w:t>g</w:t>
      </w:r>
      <w:r w:rsidR="008A0417" w:rsidRPr="00015778">
        <w:rPr>
          <w:rFonts w:cstheme="minorHAnsi"/>
        </w:rPr>
        <w:t xml:space="preserve">uidelines </w:t>
      </w:r>
      <w:r w:rsidR="00C24E55" w:rsidRPr="00015778">
        <w:rPr>
          <w:rFonts w:cstheme="minorHAnsi"/>
        </w:rPr>
        <w:t xml:space="preserve">were </w:t>
      </w:r>
      <w:r w:rsidR="00EA66AB" w:rsidRPr="00015778">
        <w:rPr>
          <w:rFonts w:cstheme="minorHAnsi"/>
        </w:rPr>
        <w:t xml:space="preserve">developed </w:t>
      </w:r>
      <w:r w:rsidR="008A0417" w:rsidRPr="00015778">
        <w:rPr>
          <w:rFonts w:cstheme="minorHAnsi"/>
        </w:rPr>
        <w:t xml:space="preserve">as part of the Secretariat </w:t>
      </w:r>
      <w:r w:rsidR="00CC5252" w:rsidRPr="00015778">
        <w:rPr>
          <w:rFonts w:cstheme="minorHAnsi"/>
        </w:rPr>
        <w:t>Standar</w:t>
      </w:r>
      <w:r w:rsidR="00D60DCB" w:rsidRPr="00015778">
        <w:rPr>
          <w:rFonts w:cstheme="minorHAnsi"/>
        </w:rPr>
        <w:t>d</w:t>
      </w:r>
      <w:r w:rsidR="00CC5252" w:rsidRPr="00015778">
        <w:rPr>
          <w:rFonts w:cstheme="minorHAnsi"/>
        </w:rPr>
        <w:t xml:space="preserve"> </w:t>
      </w:r>
      <w:r w:rsidR="008A0417" w:rsidRPr="00015778">
        <w:rPr>
          <w:rFonts w:cstheme="minorHAnsi"/>
        </w:rPr>
        <w:t xml:space="preserve">Operational </w:t>
      </w:r>
      <w:r w:rsidR="00CC5252" w:rsidRPr="00015778">
        <w:rPr>
          <w:rFonts w:cstheme="minorHAnsi"/>
        </w:rPr>
        <w:t>P</w:t>
      </w:r>
      <w:r w:rsidR="008A0417" w:rsidRPr="00015778">
        <w:rPr>
          <w:rFonts w:cstheme="minorHAnsi"/>
        </w:rPr>
        <w:t>rocedures</w:t>
      </w:r>
      <w:r w:rsidR="00EA66AB" w:rsidRPr="00015778">
        <w:rPr>
          <w:rFonts w:cstheme="minorHAnsi"/>
        </w:rPr>
        <w:t xml:space="preserve">; and staff </w:t>
      </w:r>
      <w:r w:rsidR="00C24E55" w:rsidRPr="00015778">
        <w:rPr>
          <w:rFonts w:cstheme="minorHAnsi"/>
        </w:rPr>
        <w:t xml:space="preserve">were </w:t>
      </w:r>
      <w:r w:rsidR="00EA66AB" w:rsidRPr="00015778">
        <w:rPr>
          <w:rFonts w:cstheme="minorHAnsi"/>
        </w:rPr>
        <w:t>regularly trained and supported.</w:t>
      </w:r>
    </w:p>
    <w:p w14:paraId="4D27DA5E" w14:textId="77777777" w:rsidR="008A0417" w:rsidRPr="0050301F" w:rsidRDefault="008A0417" w:rsidP="0050301F">
      <w:pPr>
        <w:ind w:left="0" w:firstLine="0"/>
        <w:rPr>
          <w:rFonts w:cstheme="minorHAnsi"/>
        </w:rPr>
      </w:pPr>
    </w:p>
    <w:p w14:paraId="0CF11601" w14:textId="3382010C" w:rsidR="00EA66AB" w:rsidRPr="00C0477E" w:rsidRDefault="00701E8A" w:rsidP="00C2012F">
      <w:pPr>
        <w:ind w:left="426"/>
        <w:rPr>
          <w:rFonts w:cstheme="minorHAnsi"/>
        </w:rPr>
      </w:pPr>
      <w:r>
        <w:rPr>
          <w:rFonts w:cstheme="minorHAnsi"/>
          <w:lang w:val="en-US"/>
        </w:rPr>
        <w:t>70</w:t>
      </w:r>
      <w:r w:rsidR="00EA66AB" w:rsidRPr="00C0477E">
        <w:rPr>
          <w:rFonts w:cstheme="minorHAnsi"/>
          <w:lang w:val="en-US"/>
        </w:rPr>
        <w:t>.</w:t>
      </w:r>
      <w:r w:rsidR="00E4253B">
        <w:rPr>
          <w:rFonts w:cstheme="minorHAnsi"/>
          <w:lang w:val="en-US"/>
        </w:rPr>
        <w:t xml:space="preserve"> </w:t>
      </w:r>
      <w:r w:rsidR="00490BE5">
        <w:rPr>
          <w:rFonts w:cstheme="minorHAnsi"/>
          <w:lang w:val="en-US"/>
        </w:rPr>
        <w:tab/>
      </w:r>
      <w:r w:rsidR="00E468BD" w:rsidRPr="00C0477E">
        <w:rPr>
          <w:rFonts w:cstheme="minorHAnsi"/>
          <w:lang w:val="en-US"/>
        </w:rPr>
        <w:t>Technologies and business practices continue</w:t>
      </w:r>
      <w:r w:rsidR="00EA66AB" w:rsidRPr="00C0477E">
        <w:rPr>
          <w:rFonts w:cstheme="minorHAnsi"/>
          <w:lang w:val="en-US"/>
        </w:rPr>
        <w:t>d</w:t>
      </w:r>
      <w:r w:rsidR="00E468BD" w:rsidRPr="00C0477E">
        <w:rPr>
          <w:rFonts w:cstheme="minorHAnsi"/>
          <w:lang w:val="en-US"/>
        </w:rPr>
        <w:t xml:space="preserve"> to be developed to enhance the efficiency and effectiveness of the work of the Secretariat</w:t>
      </w:r>
      <w:r w:rsidR="00EA66AB" w:rsidRPr="00C0477E">
        <w:rPr>
          <w:rFonts w:cstheme="minorHAnsi"/>
          <w:lang w:val="en-US"/>
        </w:rPr>
        <w:t xml:space="preserve">. </w:t>
      </w:r>
      <w:r w:rsidR="00EA66AB" w:rsidRPr="00C0477E">
        <w:rPr>
          <w:rFonts w:cstheme="minorHAnsi"/>
        </w:rPr>
        <w:t xml:space="preserve">Of particular importance was the development of </w:t>
      </w:r>
      <w:r w:rsidR="00015778">
        <w:rPr>
          <w:rFonts w:cstheme="minorHAnsi"/>
        </w:rPr>
        <w:t>the</w:t>
      </w:r>
      <w:r w:rsidR="00015778" w:rsidRPr="00C0477E">
        <w:rPr>
          <w:rFonts w:cstheme="minorHAnsi"/>
        </w:rPr>
        <w:t xml:space="preserve"> </w:t>
      </w:r>
      <w:r w:rsidR="00EA66AB" w:rsidRPr="00C0477E">
        <w:rPr>
          <w:rFonts w:cstheme="minorHAnsi"/>
        </w:rPr>
        <w:t xml:space="preserve">new CRM database that has enabled more efficient management of mailings, meeting registration, and contacts </w:t>
      </w:r>
      <w:r w:rsidR="00CC5252" w:rsidRPr="00C0477E">
        <w:rPr>
          <w:rFonts w:cstheme="minorHAnsi"/>
        </w:rPr>
        <w:t xml:space="preserve">while ensuring </w:t>
      </w:r>
      <w:r w:rsidR="00EA66AB" w:rsidRPr="00C0477E">
        <w:rPr>
          <w:rFonts w:cstheme="minorHAnsi"/>
        </w:rPr>
        <w:t>compliance with</w:t>
      </w:r>
      <w:r w:rsidR="00E4253B">
        <w:rPr>
          <w:rFonts w:cstheme="minorHAnsi"/>
        </w:rPr>
        <w:t xml:space="preserve"> </w:t>
      </w:r>
      <w:r w:rsidR="00EA66AB" w:rsidRPr="00C0477E">
        <w:rPr>
          <w:rFonts w:cstheme="minorHAnsi"/>
        </w:rPr>
        <w:t>new privacy laws.</w:t>
      </w:r>
      <w:r w:rsidR="00E468BD" w:rsidRPr="00C0477E">
        <w:rPr>
          <w:rFonts w:cstheme="minorHAnsi"/>
          <w:lang w:val="en-US"/>
        </w:rPr>
        <w:t xml:space="preserve"> </w:t>
      </w:r>
      <w:r w:rsidR="00EA66AB" w:rsidRPr="00C0477E">
        <w:rPr>
          <w:rFonts w:cstheme="minorHAnsi"/>
          <w:lang w:val="en-US"/>
        </w:rPr>
        <w:t>This and other technologies</w:t>
      </w:r>
      <w:r w:rsidR="00E468BD" w:rsidRPr="00C0477E">
        <w:rPr>
          <w:rFonts w:cstheme="minorHAnsi"/>
          <w:lang w:val="en-US"/>
        </w:rPr>
        <w:t xml:space="preserve"> </w:t>
      </w:r>
      <w:r w:rsidR="00EA66AB" w:rsidRPr="00C0477E">
        <w:rPr>
          <w:rFonts w:cstheme="minorHAnsi"/>
          <w:lang w:val="en-US"/>
        </w:rPr>
        <w:t xml:space="preserve">have resulted in </w:t>
      </w:r>
      <w:r w:rsidR="00E468BD" w:rsidRPr="00C0477E">
        <w:rPr>
          <w:rFonts w:cstheme="minorHAnsi"/>
          <w:lang w:val="en-US"/>
        </w:rPr>
        <w:t>reducing the time spent by staff on administrative tasks (e.g. correspondence, registration, meeting organization), use of digital rather than paper documents, online signatures and electronic submission of documents and contracts,</w:t>
      </w:r>
      <w:r w:rsidR="00EA66AB" w:rsidRPr="00C0477E">
        <w:rPr>
          <w:rFonts w:cstheme="minorHAnsi"/>
        </w:rPr>
        <w:t xml:space="preserve"> voice-over-internet services for conference calls, online learning (webinars) and higher utilization of digital document sharing mechanisms.</w:t>
      </w:r>
    </w:p>
    <w:p w14:paraId="17E5CD47" w14:textId="77777777" w:rsidR="00E468BD" w:rsidRPr="00C0477E" w:rsidRDefault="00E468BD" w:rsidP="00C2012F">
      <w:pPr>
        <w:ind w:left="426"/>
        <w:rPr>
          <w:rFonts w:cstheme="minorHAnsi"/>
          <w:lang w:val="en-US"/>
        </w:rPr>
      </w:pPr>
    </w:p>
    <w:p w14:paraId="6600D703" w14:textId="75964A4A" w:rsidR="0092615B" w:rsidRPr="00C0477E" w:rsidRDefault="00701E8A" w:rsidP="00C2012F">
      <w:pPr>
        <w:ind w:left="426"/>
        <w:rPr>
          <w:rFonts w:cstheme="minorHAnsi"/>
        </w:rPr>
      </w:pPr>
      <w:r>
        <w:rPr>
          <w:rFonts w:cstheme="minorHAnsi"/>
          <w:lang w:val="en-US"/>
        </w:rPr>
        <w:lastRenderedPageBreak/>
        <w:t>71.</w:t>
      </w:r>
      <w:r>
        <w:rPr>
          <w:rFonts w:cstheme="minorHAnsi"/>
          <w:lang w:val="en-US"/>
        </w:rPr>
        <w:tab/>
      </w:r>
      <w:r w:rsidR="0092615B" w:rsidRPr="00C0477E">
        <w:rPr>
          <w:rFonts w:cstheme="minorHAnsi"/>
          <w:lang w:val="en-US"/>
        </w:rPr>
        <w:t>Work continued from the previous triennium in ensuring that the capacity of staff meets the requirements of the key functions of the Secretariat</w:t>
      </w:r>
      <w:r w:rsidR="00A85428" w:rsidRPr="00C0477E">
        <w:rPr>
          <w:rFonts w:cstheme="minorHAnsi"/>
          <w:lang w:val="en-US"/>
        </w:rPr>
        <w:t>,</w:t>
      </w:r>
      <w:r w:rsidR="0092615B" w:rsidRPr="00C0477E">
        <w:rPr>
          <w:rFonts w:cstheme="minorHAnsi"/>
          <w:lang w:val="en-US"/>
        </w:rPr>
        <w:t xml:space="preserve"> as identified in the triennial and annual work plans approved by the Standing Committee. Talent management policies and procedures of IUCN were implemented, including on appraisals and promotions. Work was also conducted with IUCN to enhance alignment of competencies, functional requirements and equity within the Secretariat, with IUCN and the market. A main highlight in this area was the conversion of the Internship Programme into a Junior Professional Programme whereby job descriptions and hiring conditions were revised and enhanced in line with IUCN. </w:t>
      </w:r>
      <w:r w:rsidR="00604B8F" w:rsidRPr="00C0477E">
        <w:rPr>
          <w:rFonts w:cstheme="minorHAnsi"/>
        </w:rPr>
        <w:t xml:space="preserve">With the </w:t>
      </w:r>
      <w:r w:rsidR="00423588" w:rsidRPr="00C0477E">
        <w:rPr>
          <w:rFonts w:cstheme="minorHAnsi"/>
        </w:rPr>
        <w:t xml:space="preserve">recent </w:t>
      </w:r>
      <w:r w:rsidR="00604B8F" w:rsidRPr="00C0477E">
        <w:rPr>
          <w:rFonts w:cstheme="minorHAnsi"/>
        </w:rPr>
        <w:t>recruitment of a new 50%</w:t>
      </w:r>
      <w:r w:rsidR="00E4253B">
        <w:rPr>
          <w:rFonts w:cstheme="minorHAnsi"/>
        </w:rPr>
        <w:t xml:space="preserve"> </w:t>
      </w:r>
      <w:r w:rsidR="00604B8F" w:rsidRPr="00C0477E">
        <w:rPr>
          <w:rFonts w:cstheme="minorHAnsi"/>
        </w:rPr>
        <w:t xml:space="preserve">Human Resources Officer, work is ongoing to allocate roles and responsibilities between the Secretariat and IUCN HR and to put in place the necessary coordination mechanisms in the context of the Letter of Agreement, to ensure the effective delivery of the full HR functions, following the experience for financial management. </w:t>
      </w:r>
      <w:r w:rsidR="0092615B" w:rsidRPr="00C0477E">
        <w:rPr>
          <w:rFonts w:cstheme="minorHAnsi"/>
          <w:lang w:val="en-US"/>
        </w:rPr>
        <w:t>During the reporting period</w:t>
      </w:r>
      <w:r w:rsidR="00E4253B">
        <w:rPr>
          <w:rFonts w:cstheme="minorHAnsi"/>
          <w:lang w:val="en-US"/>
        </w:rPr>
        <w:t xml:space="preserve"> </w:t>
      </w:r>
      <w:r w:rsidR="00604B8F" w:rsidRPr="00C0477E">
        <w:rPr>
          <w:rFonts w:cstheme="minorHAnsi"/>
          <w:lang w:val="en-US"/>
        </w:rPr>
        <w:t xml:space="preserve">other </w:t>
      </w:r>
      <w:r w:rsidR="0092615B" w:rsidRPr="00C0477E">
        <w:rPr>
          <w:rFonts w:cstheme="minorHAnsi"/>
          <w:lang w:val="en-US"/>
        </w:rPr>
        <w:t>competitive recruitment processes were completed</w:t>
      </w:r>
      <w:r w:rsidR="00995CF1">
        <w:rPr>
          <w:rFonts w:cstheme="minorHAnsi"/>
          <w:lang w:val="en-US"/>
        </w:rPr>
        <w:t>,</w:t>
      </w:r>
      <w:r w:rsidR="0092615B" w:rsidRPr="00C0477E">
        <w:rPr>
          <w:rFonts w:cstheme="minorHAnsi"/>
          <w:lang w:val="en-US"/>
        </w:rPr>
        <w:t xml:space="preserve"> including to fill the positions of</w:t>
      </w:r>
      <w:r w:rsidR="00490BE5">
        <w:rPr>
          <w:rFonts w:cstheme="minorHAnsi"/>
          <w:lang w:val="en-US"/>
        </w:rPr>
        <w:t>:</w:t>
      </w:r>
      <w:r w:rsidR="0092615B" w:rsidRPr="00C0477E">
        <w:rPr>
          <w:rFonts w:cstheme="minorHAnsi"/>
          <w:lang w:val="en-US"/>
        </w:rPr>
        <w:t xml:space="preserve"> </w:t>
      </w:r>
      <w:r w:rsidR="0092615B" w:rsidRPr="00C0477E">
        <w:rPr>
          <w:rFonts w:cstheme="minorHAnsi"/>
        </w:rPr>
        <w:t>Director of Science and Policy; Senior Advisors for Africa,</w:t>
      </w:r>
      <w:r w:rsidR="00E4253B">
        <w:rPr>
          <w:rFonts w:cstheme="minorHAnsi"/>
        </w:rPr>
        <w:t xml:space="preserve"> </w:t>
      </w:r>
      <w:r w:rsidR="0092615B" w:rsidRPr="00C0477E">
        <w:rPr>
          <w:rFonts w:cstheme="minorHAnsi"/>
        </w:rPr>
        <w:t>Asia and Oceania</w:t>
      </w:r>
      <w:r w:rsidR="00490BE5">
        <w:rPr>
          <w:rFonts w:cstheme="minorHAnsi"/>
        </w:rPr>
        <w:t>;</w:t>
      </w:r>
      <w:r w:rsidR="00490BE5" w:rsidRPr="00C0477E">
        <w:rPr>
          <w:rFonts w:cstheme="minorHAnsi"/>
        </w:rPr>
        <w:t xml:space="preserve"> </w:t>
      </w:r>
      <w:r w:rsidR="0092615B" w:rsidRPr="00C0477E">
        <w:rPr>
          <w:rFonts w:cstheme="minorHAnsi"/>
        </w:rPr>
        <w:t>Scientific and Technical Officer</w:t>
      </w:r>
      <w:r w:rsidR="00490BE5">
        <w:rPr>
          <w:rFonts w:cstheme="minorHAnsi"/>
        </w:rPr>
        <w:t>;</w:t>
      </w:r>
      <w:r w:rsidR="00490BE5" w:rsidRPr="00C0477E">
        <w:rPr>
          <w:rFonts w:cstheme="minorHAnsi"/>
        </w:rPr>
        <w:t xml:space="preserve"> </w:t>
      </w:r>
      <w:r w:rsidR="0092615B" w:rsidRPr="00C0477E">
        <w:rPr>
          <w:rFonts w:cstheme="minorHAnsi"/>
        </w:rPr>
        <w:t>Capacity Development and Policy Officer</w:t>
      </w:r>
      <w:r w:rsidR="00490BE5">
        <w:rPr>
          <w:rFonts w:cstheme="minorHAnsi"/>
        </w:rPr>
        <w:t>;</w:t>
      </w:r>
      <w:r w:rsidR="00604B8F" w:rsidRPr="00C0477E">
        <w:rPr>
          <w:rFonts w:cstheme="minorHAnsi"/>
        </w:rPr>
        <w:t xml:space="preserve"> and</w:t>
      </w:r>
      <w:r w:rsidR="0092615B" w:rsidRPr="00C0477E">
        <w:rPr>
          <w:rFonts w:cstheme="minorHAnsi"/>
        </w:rPr>
        <w:t xml:space="preserve"> Content Communications Officer. </w:t>
      </w:r>
      <w:r w:rsidR="00D86D54" w:rsidRPr="00C0477E">
        <w:rPr>
          <w:rFonts w:cstheme="minorHAnsi"/>
          <w:lang w:val="en-US"/>
        </w:rPr>
        <w:t xml:space="preserve">Efforts are being made to </w:t>
      </w:r>
      <w:r w:rsidR="007D79A3" w:rsidRPr="00C0477E">
        <w:rPr>
          <w:rFonts w:cstheme="minorHAnsi"/>
          <w:lang w:val="en-US"/>
        </w:rPr>
        <w:t>ensure that</w:t>
      </w:r>
      <w:r w:rsidR="00D86D54" w:rsidRPr="00C0477E">
        <w:rPr>
          <w:rFonts w:cstheme="minorHAnsi"/>
          <w:lang w:val="en-US"/>
        </w:rPr>
        <w:t xml:space="preserve"> regional and gender diversity is achieved to the extent possible. </w:t>
      </w:r>
      <w:r w:rsidR="006F4A50" w:rsidRPr="00C0477E">
        <w:rPr>
          <w:rFonts w:cstheme="minorHAnsi"/>
        </w:rPr>
        <w:t xml:space="preserve">Currently, </w:t>
      </w:r>
      <w:r w:rsidR="00490BE5">
        <w:rPr>
          <w:rFonts w:cstheme="minorHAnsi"/>
        </w:rPr>
        <w:t>50%</w:t>
      </w:r>
      <w:r w:rsidR="0092615B" w:rsidRPr="00C0477E">
        <w:rPr>
          <w:rFonts w:cstheme="minorHAnsi"/>
        </w:rPr>
        <w:t xml:space="preserve"> of Secretariat staff are women. </w:t>
      </w:r>
    </w:p>
    <w:p w14:paraId="49456D19" w14:textId="77777777" w:rsidR="009D4535" w:rsidRPr="00C0477E" w:rsidRDefault="009D4535" w:rsidP="00C2012F">
      <w:pPr>
        <w:ind w:left="426"/>
        <w:rPr>
          <w:rFonts w:cstheme="minorHAnsi"/>
        </w:rPr>
      </w:pPr>
    </w:p>
    <w:p w14:paraId="07773E37" w14:textId="676DFB4A" w:rsidR="00B140D6" w:rsidRPr="00C0477E" w:rsidRDefault="00701E8A" w:rsidP="00C2012F">
      <w:pPr>
        <w:ind w:left="426"/>
        <w:rPr>
          <w:rFonts w:cstheme="minorHAnsi"/>
        </w:rPr>
      </w:pPr>
      <w:r>
        <w:rPr>
          <w:rFonts w:cstheme="minorHAnsi"/>
        </w:rPr>
        <w:t>72</w:t>
      </w:r>
      <w:r w:rsidR="01146BA0" w:rsidRPr="00C0477E">
        <w:rPr>
          <w:rFonts w:cstheme="minorHAnsi"/>
        </w:rPr>
        <w:t>.</w:t>
      </w:r>
      <w:r w:rsidR="00ED0DBB" w:rsidRPr="00C0477E">
        <w:rPr>
          <w:rFonts w:cstheme="minorHAnsi"/>
        </w:rPr>
        <w:tab/>
      </w:r>
      <w:r w:rsidR="00416877" w:rsidRPr="00C0477E">
        <w:rPr>
          <w:rFonts w:cstheme="minorHAnsi"/>
          <w:lang w:val="en-US"/>
        </w:rPr>
        <w:t>P</w:t>
      </w:r>
      <w:r w:rsidR="00454CBD" w:rsidRPr="00C0477E">
        <w:rPr>
          <w:rFonts w:cstheme="minorHAnsi"/>
          <w:lang w:val="en-US"/>
        </w:rPr>
        <w:t>rofessionally facilitated planning workshop</w:t>
      </w:r>
      <w:r w:rsidR="00416877" w:rsidRPr="00C0477E">
        <w:rPr>
          <w:rFonts w:cstheme="minorHAnsi"/>
          <w:lang w:val="en-US"/>
        </w:rPr>
        <w:t>s</w:t>
      </w:r>
      <w:r w:rsidR="00454CBD" w:rsidRPr="00C0477E">
        <w:rPr>
          <w:rFonts w:cstheme="minorHAnsi"/>
          <w:lang w:val="en-US"/>
        </w:rPr>
        <w:t xml:space="preserve"> for the Secretariat </w:t>
      </w:r>
      <w:r w:rsidR="00416877" w:rsidRPr="00C0477E">
        <w:rPr>
          <w:rFonts w:cstheme="minorHAnsi"/>
          <w:lang w:val="en-US"/>
        </w:rPr>
        <w:t xml:space="preserve">were </w:t>
      </w:r>
      <w:r w:rsidR="00454CBD" w:rsidRPr="00C0477E">
        <w:rPr>
          <w:rFonts w:cstheme="minorHAnsi"/>
          <w:lang w:val="en-US"/>
        </w:rPr>
        <w:t xml:space="preserve">conducted </w:t>
      </w:r>
      <w:r w:rsidR="000E6E70" w:rsidRPr="00C0477E">
        <w:rPr>
          <w:rFonts w:cstheme="minorHAnsi"/>
          <w:lang w:val="en-US"/>
        </w:rPr>
        <w:t>at the beginning of each year in the reporting period,</w:t>
      </w:r>
      <w:r w:rsidR="000E59A3" w:rsidRPr="00C0477E">
        <w:rPr>
          <w:rFonts w:cstheme="minorHAnsi"/>
          <w:lang w:val="en-US"/>
        </w:rPr>
        <w:t xml:space="preserve"> to</w:t>
      </w:r>
      <w:r w:rsidR="000E6E70" w:rsidRPr="00C0477E">
        <w:rPr>
          <w:rFonts w:cstheme="minorHAnsi"/>
          <w:lang w:val="en-US"/>
        </w:rPr>
        <w:t xml:space="preserve"> </w:t>
      </w:r>
      <w:r w:rsidR="000E6E70" w:rsidRPr="00C0477E">
        <w:rPr>
          <w:rFonts w:cstheme="minorHAnsi"/>
        </w:rPr>
        <w:t>review</w:t>
      </w:r>
      <w:r w:rsidR="000E59A3" w:rsidRPr="00C0477E">
        <w:rPr>
          <w:rFonts w:cstheme="minorHAnsi"/>
        </w:rPr>
        <w:t xml:space="preserve"> and assess progress and identify activities and indicators for the following year, in the context of </w:t>
      </w:r>
      <w:r w:rsidR="00995CF1">
        <w:rPr>
          <w:rFonts w:cstheme="minorHAnsi"/>
        </w:rPr>
        <w:t xml:space="preserve">the </w:t>
      </w:r>
      <w:r w:rsidR="000E6E70" w:rsidRPr="00C0477E">
        <w:rPr>
          <w:rFonts w:cstheme="minorHAnsi"/>
        </w:rPr>
        <w:t xml:space="preserve">2019-2021 triennial workplan </w:t>
      </w:r>
      <w:r w:rsidR="000E59A3" w:rsidRPr="00C0477E">
        <w:rPr>
          <w:rFonts w:cstheme="minorHAnsi"/>
        </w:rPr>
        <w:t xml:space="preserve">and annual workplans, as well as the 2022 annual workplan </w:t>
      </w:r>
      <w:r w:rsidR="000E6E70" w:rsidRPr="00C0477E">
        <w:rPr>
          <w:rFonts w:cstheme="minorHAnsi"/>
        </w:rPr>
        <w:t xml:space="preserve">approved by </w:t>
      </w:r>
      <w:r w:rsidR="000E59A3" w:rsidRPr="00C0477E">
        <w:rPr>
          <w:rFonts w:cstheme="minorHAnsi"/>
        </w:rPr>
        <w:t xml:space="preserve">the Standing Committee. </w:t>
      </w:r>
      <w:r w:rsidR="000E59A3" w:rsidRPr="00C0477E">
        <w:rPr>
          <w:rFonts w:cstheme="minorHAnsi"/>
          <w:lang w:val="en-US"/>
        </w:rPr>
        <w:t>The new streamlined format organized around the key functions has proven useful in enabling the Secretariat to focus on assigned activities, deliverables and outcomes that have been identified by the Contracting Parties as being most critical to the effective implementation of the Convention</w:t>
      </w:r>
      <w:r w:rsidR="00B140D6" w:rsidRPr="00C0477E">
        <w:rPr>
          <w:rFonts w:cstheme="minorHAnsi"/>
          <w:lang w:val="en-US"/>
        </w:rPr>
        <w:t xml:space="preserve">, thus contributing to staff ownership, coherence and accountability to the </w:t>
      </w:r>
      <w:r w:rsidR="000E59A3" w:rsidRPr="00C0477E">
        <w:rPr>
          <w:rFonts w:cstheme="minorHAnsi"/>
          <w:lang w:val="en-US"/>
        </w:rPr>
        <w:t xml:space="preserve">instructions provided by Parties. </w:t>
      </w:r>
      <w:r w:rsidR="000E59A3" w:rsidRPr="00C0477E">
        <w:rPr>
          <w:rFonts w:cstheme="minorHAnsi"/>
        </w:rPr>
        <w:t xml:space="preserve">During the pandemic the </w:t>
      </w:r>
      <w:r w:rsidR="00CB3D97" w:rsidRPr="00C0477E">
        <w:rPr>
          <w:rFonts w:cstheme="minorHAnsi"/>
        </w:rPr>
        <w:t xml:space="preserve">annual </w:t>
      </w:r>
      <w:r w:rsidR="000E59A3" w:rsidRPr="00C0477E">
        <w:rPr>
          <w:rFonts w:cstheme="minorHAnsi"/>
        </w:rPr>
        <w:t>workshop</w:t>
      </w:r>
      <w:r w:rsidR="00CB3D97" w:rsidRPr="00C0477E">
        <w:rPr>
          <w:rFonts w:cstheme="minorHAnsi"/>
        </w:rPr>
        <w:t>s</w:t>
      </w:r>
      <w:r w:rsidR="000E59A3" w:rsidRPr="00C0477E">
        <w:rPr>
          <w:rFonts w:cstheme="minorHAnsi"/>
        </w:rPr>
        <w:t xml:space="preserve"> took place virtually. </w:t>
      </w:r>
      <w:r w:rsidR="000E6E70" w:rsidRPr="00C0477E">
        <w:rPr>
          <w:rFonts w:cstheme="minorHAnsi"/>
        </w:rPr>
        <w:t>Th</w:t>
      </w:r>
      <w:r w:rsidR="00B140D6" w:rsidRPr="00C0477E">
        <w:rPr>
          <w:rFonts w:cstheme="minorHAnsi"/>
        </w:rPr>
        <w:t>e last</w:t>
      </w:r>
      <w:r w:rsidR="000E6E70" w:rsidRPr="00C0477E">
        <w:rPr>
          <w:rFonts w:cstheme="minorHAnsi"/>
        </w:rPr>
        <w:t xml:space="preserve"> </w:t>
      </w:r>
      <w:r w:rsidR="00B140D6" w:rsidRPr="00C0477E">
        <w:rPr>
          <w:rFonts w:cstheme="minorHAnsi"/>
        </w:rPr>
        <w:t>workshop</w:t>
      </w:r>
      <w:r w:rsidR="009E3B82">
        <w:rPr>
          <w:rFonts w:cstheme="minorHAnsi"/>
        </w:rPr>
        <w:t>,</w:t>
      </w:r>
      <w:r w:rsidR="00B140D6" w:rsidRPr="00C0477E">
        <w:rPr>
          <w:rFonts w:cstheme="minorHAnsi"/>
        </w:rPr>
        <w:t xml:space="preserve"> held in </w:t>
      </w:r>
      <w:r w:rsidR="000E6E70" w:rsidRPr="00C0477E">
        <w:rPr>
          <w:rFonts w:cstheme="minorHAnsi"/>
        </w:rPr>
        <w:t>January 2022, confirmed successful implementation of planned activities despite the challenges of the pandemic, while activities that required travel had to be postponed. It also showed considerable progress in the triennium in completing the desired results identified across the functional areas</w:t>
      </w:r>
      <w:r w:rsidR="00B140D6" w:rsidRPr="00C0477E">
        <w:rPr>
          <w:rFonts w:cstheme="minorHAnsi"/>
        </w:rPr>
        <w:t>.</w:t>
      </w:r>
      <w:r w:rsidR="000E6E70" w:rsidRPr="00C0477E">
        <w:rPr>
          <w:rFonts w:cstheme="minorHAnsi"/>
        </w:rPr>
        <w:t xml:space="preserve"> The 2022 workplan</w:t>
      </w:r>
      <w:r w:rsidR="00B140D6" w:rsidRPr="00C0477E">
        <w:rPr>
          <w:rFonts w:cstheme="minorHAnsi"/>
        </w:rPr>
        <w:t xml:space="preserve"> extending</w:t>
      </w:r>
      <w:r w:rsidR="000E6E70" w:rsidRPr="00C0477E">
        <w:rPr>
          <w:rFonts w:cstheme="minorHAnsi"/>
        </w:rPr>
        <w:t xml:space="preserve"> work in core areas of the Secretariat identified in the 2019-2021 workplan and includ</w:t>
      </w:r>
      <w:r w:rsidR="00B140D6" w:rsidRPr="00C0477E">
        <w:rPr>
          <w:rFonts w:cstheme="minorHAnsi"/>
        </w:rPr>
        <w:t>ing</w:t>
      </w:r>
      <w:r w:rsidR="000E6E70" w:rsidRPr="00C0477E">
        <w:rPr>
          <w:rFonts w:cstheme="minorHAnsi"/>
        </w:rPr>
        <w:t xml:space="preserve"> those that could not be completed due to the pandemic, such as work related to COP14 and its preparatory process</w:t>
      </w:r>
      <w:r w:rsidR="00B140D6" w:rsidRPr="00C0477E">
        <w:rPr>
          <w:rFonts w:cstheme="minorHAnsi"/>
        </w:rPr>
        <w:t>, was approved by SC59/2022</w:t>
      </w:r>
      <w:r w:rsidR="000E6E70" w:rsidRPr="00C0477E">
        <w:rPr>
          <w:rFonts w:cstheme="minorHAnsi"/>
        </w:rPr>
        <w:t xml:space="preserve">. As in previous years, the Secretariat’s workplan continues to serve as the basis for the </w:t>
      </w:r>
      <w:r w:rsidR="00CB3D97" w:rsidRPr="00C0477E">
        <w:rPr>
          <w:rFonts w:cstheme="minorHAnsi"/>
        </w:rPr>
        <w:t xml:space="preserve">delivery of the </w:t>
      </w:r>
      <w:r w:rsidR="000E6E70" w:rsidRPr="00C0477E">
        <w:rPr>
          <w:rFonts w:cstheme="minorHAnsi"/>
        </w:rPr>
        <w:t xml:space="preserve">work of the Secretariat and for the development of individual workplans for all staff and evaluation of staff performance. </w:t>
      </w:r>
    </w:p>
    <w:p w14:paraId="049A6733" w14:textId="77777777" w:rsidR="00B140D6" w:rsidRPr="00C0477E" w:rsidRDefault="00B140D6" w:rsidP="00C2012F">
      <w:pPr>
        <w:ind w:left="426"/>
        <w:rPr>
          <w:rStyle w:val="CommentReference"/>
          <w:rFonts w:cstheme="minorHAnsi"/>
          <w:sz w:val="22"/>
          <w:szCs w:val="22"/>
        </w:rPr>
      </w:pPr>
    </w:p>
    <w:p w14:paraId="0B495939" w14:textId="5E35C3E8" w:rsidR="00907A83" w:rsidRPr="00C0477E" w:rsidRDefault="00701E8A" w:rsidP="00015778">
      <w:pPr>
        <w:ind w:left="426"/>
        <w:rPr>
          <w:rFonts w:cstheme="minorHAnsi"/>
          <w:lang w:val="en-US"/>
        </w:rPr>
      </w:pPr>
      <w:r>
        <w:rPr>
          <w:rFonts w:cstheme="minorHAnsi"/>
        </w:rPr>
        <w:t>73</w:t>
      </w:r>
      <w:r w:rsidR="01146BA0" w:rsidRPr="00C0477E">
        <w:rPr>
          <w:rFonts w:cstheme="minorHAnsi"/>
        </w:rPr>
        <w:t>.</w:t>
      </w:r>
      <w:r w:rsidR="009E3B82">
        <w:rPr>
          <w:rFonts w:cstheme="minorHAnsi"/>
          <w:lang w:val="en-US"/>
        </w:rPr>
        <w:tab/>
      </w:r>
      <w:r w:rsidR="00B140D6" w:rsidRPr="00C0477E">
        <w:rPr>
          <w:rFonts w:cstheme="minorHAnsi"/>
          <w:lang w:val="en-US"/>
        </w:rPr>
        <w:t>Capacity building of staff continued during the reporting period.</w:t>
      </w:r>
      <w:r w:rsidR="00015778">
        <w:rPr>
          <w:rFonts w:cstheme="minorHAnsi"/>
          <w:lang w:val="en-US"/>
        </w:rPr>
        <w:t xml:space="preserve"> </w:t>
      </w:r>
      <w:r w:rsidR="002A1DA5" w:rsidRPr="00C0477E">
        <w:rPr>
          <w:rFonts w:cstheme="minorHAnsi"/>
          <w:lang w:val="en-US"/>
        </w:rPr>
        <w:t>The</w:t>
      </w:r>
      <w:r w:rsidR="00E4253B">
        <w:rPr>
          <w:rFonts w:cstheme="minorHAnsi"/>
          <w:lang w:val="en-US"/>
        </w:rPr>
        <w:t xml:space="preserve"> </w:t>
      </w:r>
      <w:r w:rsidR="002A1DA5" w:rsidRPr="00C0477E">
        <w:rPr>
          <w:rFonts w:cstheme="minorHAnsi"/>
          <w:lang w:val="en-US"/>
        </w:rPr>
        <w:t xml:space="preserve">gender equality and mainstreaming training for Secretariat staff called for in Resolution XIII.18 was completed in December 2019. A two-day training session tailored to the needs of Secretariat staff was delivered by </w:t>
      </w:r>
      <w:r w:rsidR="00CB3D97" w:rsidRPr="00C0477E">
        <w:rPr>
          <w:rFonts w:cstheme="minorHAnsi"/>
          <w:lang w:val="en-US"/>
        </w:rPr>
        <w:t xml:space="preserve">the </w:t>
      </w:r>
      <w:r w:rsidR="002A1DA5" w:rsidRPr="00C0477E">
        <w:rPr>
          <w:rFonts w:cstheme="minorHAnsi"/>
          <w:lang w:val="en-US"/>
        </w:rPr>
        <w:t>IUCN’s gender office.</w:t>
      </w:r>
      <w:r w:rsidR="00E4253B">
        <w:rPr>
          <w:rFonts w:cstheme="minorHAnsi"/>
          <w:lang w:val="en-US"/>
        </w:rPr>
        <w:t xml:space="preserve"> </w:t>
      </w:r>
      <w:r w:rsidR="005714A0" w:rsidRPr="00C0477E">
        <w:rPr>
          <w:rFonts w:cstheme="minorHAnsi"/>
          <w:lang w:val="en-US"/>
        </w:rPr>
        <w:t xml:space="preserve">In 2020, following the survey of staff development needs conducted in the previous triennium, training focused on the Myers &amp; Briggs methodology. Individual sessions with a professional coach were conducted to identify personality, communication and work styles, followed by a two-day </w:t>
      </w:r>
      <w:r w:rsidR="00CB3D97" w:rsidRPr="00C0477E">
        <w:rPr>
          <w:rFonts w:cstheme="minorHAnsi"/>
          <w:lang w:val="en-US"/>
        </w:rPr>
        <w:t xml:space="preserve">all-staff </w:t>
      </w:r>
      <w:r w:rsidR="005714A0" w:rsidRPr="00C0477E">
        <w:rPr>
          <w:rFonts w:cstheme="minorHAnsi"/>
          <w:lang w:val="en-US"/>
        </w:rPr>
        <w:t xml:space="preserve">workshop focusing on individual strengths and team collaboration. </w:t>
      </w:r>
    </w:p>
    <w:p w14:paraId="17F0A17F" w14:textId="77777777" w:rsidR="00E17118" w:rsidRPr="00C0477E" w:rsidRDefault="00E17118" w:rsidP="00C2012F">
      <w:pPr>
        <w:ind w:left="426"/>
        <w:rPr>
          <w:rFonts w:cstheme="minorHAnsi"/>
          <w:lang w:val="en-US"/>
        </w:rPr>
      </w:pPr>
    </w:p>
    <w:p w14:paraId="05704B0C" w14:textId="0E2127AA" w:rsidR="00907A83" w:rsidRPr="00C0477E" w:rsidRDefault="009E3B82" w:rsidP="00C2012F">
      <w:pPr>
        <w:tabs>
          <w:tab w:val="left" w:pos="1572"/>
        </w:tabs>
        <w:ind w:left="426"/>
        <w:rPr>
          <w:rFonts w:cstheme="minorHAnsi"/>
          <w:lang w:val="en-US"/>
        </w:rPr>
      </w:pPr>
      <w:r>
        <w:rPr>
          <w:rFonts w:cstheme="minorHAnsi"/>
          <w:lang w:val="en-US"/>
        </w:rPr>
        <w:t>74</w:t>
      </w:r>
      <w:r w:rsidR="00701E8A">
        <w:rPr>
          <w:rFonts w:cstheme="minorHAnsi"/>
          <w:lang w:val="en-US"/>
        </w:rPr>
        <w:t>.</w:t>
      </w:r>
      <w:r w:rsidR="00701E8A">
        <w:rPr>
          <w:rFonts w:cstheme="minorHAnsi"/>
          <w:lang w:val="en-US"/>
        </w:rPr>
        <w:tab/>
      </w:r>
      <w:r w:rsidR="01146BA0" w:rsidRPr="00C0477E">
        <w:rPr>
          <w:rFonts w:cstheme="minorHAnsi"/>
          <w:lang w:val="en-US"/>
        </w:rPr>
        <w:t xml:space="preserve">Responding to the identification of wellbeing as a priority for staff in the context of the pandemic </w:t>
      </w:r>
      <w:r w:rsidR="004354FD" w:rsidRPr="00C0477E">
        <w:rPr>
          <w:rFonts w:cstheme="minorHAnsi"/>
          <w:lang w:val="en-US"/>
        </w:rPr>
        <w:t xml:space="preserve">during the annual planning process, </w:t>
      </w:r>
      <w:r w:rsidR="01146BA0" w:rsidRPr="00C0477E">
        <w:rPr>
          <w:rFonts w:cstheme="minorHAnsi"/>
          <w:lang w:val="en-US"/>
        </w:rPr>
        <w:t>the Secretariat</w:t>
      </w:r>
      <w:r w:rsidR="004354FD" w:rsidRPr="00C0477E">
        <w:rPr>
          <w:rFonts w:cstheme="minorHAnsi"/>
          <w:lang w:val="en-US"/>
        </w:rPr>
        <w:t xml:space="preserve"> conducted a survey and as a first response, staff were offered webinars developed by IUCN. The Secretariat went further by organizing an all-staff training workshop on improving resilience and wellbeing in January 2022. Attention was also paid to the challenges and opportunities resulting from working from home. </w:t>
      </w:r>
      <w:r w:rsidR="004354FD" w:rsidRPr="00C0477E">
        <w:rPr>
          <w:rFonts w:cstheme="minorHAnsi"/>
          <w:lang w:val="en-US"/>
        </w:rPr>
        <w:lastRenderedPageBreak/>
        <w:t>Regular staff meetings were held while working in these conditions to maintain internal communication and foster a sense of team and connectedness</w:t>
      </w:r>
      <w:r w:rsidR="00DD19CA">
        <w:rPr>
          <w:rFonts w:cstheme="minorHAnsi"/>
          <w:lang w:val="en-US"/>
        </w:rPr>
        <w:t>.</w:t>
      </w:r>
    </w:p>
    <w:p w14:paraId="3FFBD0E5" w14:textId="77777777" w:rsidR="00907A83" w:rsidRPr="00C0477E" w:rsidRDefault="00907A83" w:rsidP="00C2012F">
      <w:pPr>
        <w:ind w:left="426"/>
        <w:rPr>
          <w:rFonts w:cstheme="minorHAnsi"/>
          <w:lang w:val="en-US"/>
        </w:rPr>
      </w:pPr>
    </w:p>
    <w:p w14:paraId="30F1C92D" w14:textId="10B059FF" w:rsidR="00DD19CA" w:rsidRDefault="009E3B82" w:rsidP="005574C7">
      <w:pPr>
        <w:ind w:left="426"/>
        <w:rPr>
          <w:rFonts w:cstheme="minorHAnsi"/>
        </w:rPr>
      </w:pPr>
      <w:r>
        <w:rPr>
          <w:rFonts w:cstheme="minorHAnsi"/>
          <w:lang w:val="en-US"/>
        </w:rPr>
        <w:t>75</w:t>
      </w:r>
      <w:r w:rsidR="00907A83" w:rsidRPr="00C0477E">
        <w:rPr>
          <w:rFonts w:cstheme="minorHAnsi"/>
          <w:lang w:val="en-US"/>
        </w:rPr>
        <w:t>.</w:t>
      </w:r>
      <w:r w:rsidR="00907A83" w:rsidRPr="00C0477E">
        <w:rPr>
          <w:rFonts w:cstheme="minorHAnsi"/>
          <w:lang w:val="en-US"/>
        </w:rPr>
        <w:tab/>
        <w:t xml:space="preserve">The reporting period </w:t>
      </w:r>
      <w:r w:rsidR="004354FD" w:rsidRPr="00C0477E">
        <w:rPr>
          <w:rFonts w:cstheme="minorHAnsi"/>
          <w:lang w:val="en-US"/>
        </w:rPr>
        <w:t>was exceptional in that it was</w:t>
      </w:r>
      <w:r w:rsidR="00907A83" w:rsidRPr="00C0477E">
        <w:rPr>
          <w:rFonts w:cstheme="minorHAnsi"/>
          <w:lang w:val="en-US"/>
        </w:rPr>
        <w:t xml:space="preserve"> marked by the COVID-19 pandemic. Despite the resulting challenges, the team has worked hard with achievements in all areas of the Secretariat’s work plan as described in this report. The pandemic has also created opportunities to develop new ways of working including virtual means to increase the Secretariat’s reach and to build capacities of Contracting Parties. </w:t>
      </w:r>
      <w:r w:rsidR="004354FD" w:rsidRPr="00C0477E">
        <w:rPr>
          <w:rFonts w:cstheme="minorHAnsi"/>
          <w:lang w:val="en-US"/>
        </w:rPr>
        <w:t xml:space="preserve">As </w:t>
      </w:r>
      <w:r w:rsidR="00907A83" w:rsidRPr="00C0477E">
        <w:rPr>
          <w:rFonts w:cstheme="minorHAnsi"/>
          <w:lang w:val="en-US"/>
        </w:rPr>
        <w:t xml:space="preserve">restrictions in office use, travel and face-to-face meetings </w:t>
      </w:r>
      <w:r w:rsidR="004354FD" w:rsidRPr="00C0477E">
        <w:rPr>
          <w:rFonts w:cstheme="minorHAnsi"/>
          <w:lang w:val="en-US"/>
        </w:rPr>
        <w:t>start</w:t>
      </w:r>
      <w:r w:rsidR="00DD19CA">
        <w:rPr>
          <w:rFonts w:cstheme="minorHAnsi"/>
          <w:lang w:val="en-US"/>
        </w:rPr>
        <w:t>ed</w:t>
      </w:r>
      <w:r w:rsidR="004354FD" w:rsidRPr="00C0477E">
        <w:rPr>
          <w:rFonts w:cstheme="minorHAnsi"/>
          <w:lang w:val="en-US"/>
        </w:rPr>
        <w:t xml:space="preserve"> to ease, the Secretariat </w:t>
      </w:r>
      <w:r w:rsidR="00DD19CA">
        <w:rPr>
          <w:rFonts w:cstheme="minorHAnsi"/>
          <w:lang w:val="en-US"/>
        </w:rPr>
        <w:t>returned</w:t>
      </w:r>
      <w:r w:rsidR="004354FD" w:rsidRPr="00C0477E">
        <w:rPr>
          <w:rFonts w:cstheme="minorHAnsi"/>
          <w:lang w:val="en-US"/>
        </w:rPr>
        <w:t xml:space="preserve"> to more normal levels of operation, as </w:t>
      </w:r>
      <w:r w:rsidR="00DD19CA" w:rsidRPr="00C0477E">
        <w:rPr>
          <w:rFonts w:cstheme="minorHAnsi"/>
          <w:lang w:val="en-US"/>
        </w:rPr>
        <w:t>show</w:t>
      </w:r>
      <w:r w:rsidR="00DD19CA">
        <w:rPr>
          <w:rFonts w:cstheme="minorHAnsi"/>
          <w:lang w:val="en-US"/>
        </w:rPr>
        <w:t>n</w:t>
      </w:r>
      <w:r w:rsidR="00DD19CA" w:rsidRPr="00C0477E">
        <w:rPr>
          <w:rFonts w:cstheme="minorHAnsi"/>
          <w:lang w:val="en-US"/>
        </w:rPr>
        <w:t xml:space="preserve"> </w:t>
      </w:r>
      <w:r w:rsidR="004354FD" w:rsidRPr="00C0477E">
        <w:rPr>
          <w:rFonts w:cstheme="minorHAnsi"/>
          <w:lang w:val="en-US"/>
        </w:rPr>
        <w:t xml:space="preserve">in the organization of the resumed session of SC59 held in Gland in May 2022. </w:t>
      </w:r>
      <w:r w:rsidR="002D0906" w:rsidRPr="00C0477E">
        <w:rPr>
          <w:rFonts w:cstheme="minorHAnsi"/>
          <w:lang w:val="en-US"/>
        </w:rPr>
        <w:t xml:space="preserve">Moving forward, </w:t>
      </w:r>
      <w:r w:rsidR="00CC46F0" w:rsidRPr="00C0477E">
        <w:rPr>
          <w:rFonts w:cstheme="minorHAnsi"/>
          <w:lang w:val="en-US"/>
        </w:rPr>
        <w:t>the Secretariat has proved its capacity to adapt and step</w:t>
      </w:r>
      <w:r w:rsidR="00DD19CA">
        <w:rPr>
          <w:rFonts w:cstheme="minorHAnsi"/>
          <w:lang w:val="en-US"/>
        </w:rPr>
        <w:t xml:space="preserve"> </w:t>
      </w:r>
      <w:r w:rsidR="002D0906" w:rsidRPr="00C0477E">
        <w:rPr>
          <w:rFonts w:cstheme="minorHAnsi"/>
          <w:lang w:val="en-US"/>
        </w:rPr>
        <w:t xml:space="preserve">in as a team to deliver on its mandate, including </w:t>
      </w:r>
      <w:r w:rsidR="00B57B61" w:rsidRPr="00C0477E">
        <w:rPr>
          <w:rFonts w:cstheme="minorHAnsi"/>
          <w:lang w:val="en-US"/>
        </w:rPr>
        <w:t xml:space="preserve">for </w:t>
      </w:r>
      <w:r w:rsidR="000747A5">
        <w:rPr>
          <w:rFonts w:cstheme="minorHAnsi"/>
          <w:lang w:val="en-US"/>
        </w:rPr>
        <w:t xml:space="preserve">the resumed session of SC59 and </w:t>
      </w:r>
      <w:r w:rsidR="002D0906" w:rsidRPr="00C0477E">
        <w:rPr>
          <w:rFonts w:cstheme="minorHAnsi"/>
          <w:lang w:val="en-US"/>
        </w:rPr>
        <w:t xml:space="preserve">the </w:t>
      </w:r>
      <w:r w:rsidR="00B57B61" w:rsidRPr="00C0477E">
        <w:rPr>
          <w:rFonts w:cstheme="minorHAnsi"/>
          <w:lang w:val="en-US"/>
        </w:rPr>
        <w:t xml:space="preserve">ongoing </w:t>
      </w:r>
      <w:r w:rsidR="002D0906" w:rsidRPr="00C0477E">
        <w:rPr>
          <w:rFonts w:cstheme="minorHAnsi"/>
          <w:lang w:val="en-US"/>
        </w:rPr>
        <w:t xml:space="preserve">organization of the coming </w:t>
      </w:r>
      <w:r w:rsidR="00907A83" w:rsidRPr="00C0477E">
        <w:rPr>
          <w:rFonts w:cstheme="minorHAnsi"/>
          <w:lang w:val="en-US"/>
        </w:rPr>
        <w:t>COP14.</w:t>
      </w:r>
      <w:r w:rsidR="00DD19CA">
        <w:rPr>
          <w:rFonts w:cstheme="minorHAnsi"/>
          <w:lang w:val="en-US"/>
        </w:rPr>
        <w:t xml:space="preserve"> </w:t>
      </w:r>
      <w:r w:rsidR="00B57B61" w:rsidRPr="00C0477E">
        <w:rPr>
          <w:rFonts w:cstheme="minorHAnsi"/>
        </w:rPr>
        <w:t xml:space="preserve">Overall, </w:t>
      </w:r>
      <w:r w:rsidR="00B57B61" w:rsidRPr="00C0477E">
        <w:rPr>
          <w:rFonts w:cstheme="minorHAnsi"/>
          <w:lang w:val="en-US"/>
        </w:rPr>
        <w:t xml:space="preserve">the team </w:t>
      </w:r>
      <w:r w:rsidR="00B57B61" w:rsidRPr="00C0477E">
        <w:rPr>
          <w:rFonts w:cstheme="minorHAnsi"/>
        </w:rPr>
        <w:t>has continued to strengthen a whole-of-Secretariat approach</w:t>
      </w:r>
      <w:r w:rsidR="00CB3D97" w:rsidRPr="00C0477E">
        <w:rPr>
          <w:rFonts w:cstheme="minorHAnsi"/>
        </w:rPr>
        <w:t xml:space="preserve"> and to</w:t>
      </w:r>
      <w:r w:rsidR="00E4253B">
        <w:rPr>
          <w:rFonts w:cstheme="minorHAnsi"/>
        </w:rPr>
        <w:t xml:space="preserve"> </w:t>
      </w:r>
      <w:r w:rsidR="00B57B61" w:rsidRPr="00C0477E">
        <w:rPr>
          <w:rFonts w:cstheme="minorHAnsi"/>
        </w:rPr>
        <w:t>develo</w:t>
      </w:r>
      <w:r w:rsidR="00CB3D97" w:rsidRPr="00C0477E">
        <w:rPr>
          <w:rFonts w:cstheme="minorHAnsi"/>
        </w:rPr>
        <w:t>p</w:t>
      </w:r>
      <w:r w:rsidR="00B57B61" w:rsidRPr="00C0477E">
        <w:rPr>
          <w:rFonts w:cstheme="minorHAnsi"/>
        </w:rPr>
        <w:t xml:space="preserve"> additional </w:t>
      </w:r>
      <w:r w:rsidR="00DD19CA" w:rsidRPr="00C0477E">
        <w:rPr>
          <w:rFonts w:cstheme="minorHAnsi"/>
        </w:rPr>
        <w:t xml:space="preserve">standard operating procedures </w:t>
      </w:r>
      <w:r w:rsidR="00B57B61" w:rsidRPr="00C0477E">
        <w:rPr>
          <w:rFonts w:cstheme="minorHAnsi"/>
        </w:rPr>
        <w:t>(SOPs)</w:t>
      </w:r>
      <w:r w:rsidR="00E4253B">
        <w:rPr>
          <w:rFonts w:cstheme="minorHAnsi"/>
        </w:rPr>
        <w:t xml:space="preserve"> </w:t>
      </w:r>
      <w:r w:rsidR="00CB3D97" w:rsidRPr="00C0477E">
        <w:rPr>
          <w:rFonts w:cstheme="minorHAnsi"/>
        </w:rPr>
        <w:t>in key areas of its work, that have contributed and will continue to</w:t>
      </w:r>
      <w:r w:rsidR="00B57B61" w:rsidRPr="00C0477E">
        <w:rPr>
          <w:rFonts w:cstheme="minorHAnsi"/>
        </w:rPr>
        <w:t xml:space="preserve"> contribute to making further progress in terms of operational coherence and efficiency. It has also strengthened its adaptability</w:t>
      </w:r>
      <w:r w:rsidR="00927CF5" w:rsidRPr="00C0477E">
        <w:rPr>
          <w:rFonts w:cstheme="minorHAnsi"/>
        </w:rPr>
        <w:t xml:space="preserve"> </w:t>
      </w:r>
      <w:r w:rsidR="00801ABF" w:rsidRPr="00C0477E">
        <w:rPr>
          <w:rFonts w:cstheme="minorHAnsi"/>
        </w:rPr>
        <w:t>and innovation</w:t>
      </w:r>
      <w:r w:rsidR="00927CF5" w:rsidRPr="00C0477E">
        <w:rPr>
          <w:rFonts w:cstheme="minorHAnsi"/>
        </w:rPr>
        <w:t xml:space="preserve"> capacity.</w:t>
      </w:r>
      <w:r w:rsidR="00B57B61" w:rsidRPr="00C0477E">
        <w:rPr>
          <w:rFonts w:cstheme="minorHAnsi"/>
        </w:rPr>
        <w:t xml:space="preserve"> </w:t>
      </w:r>
    </w:p>
    <w:p w14:paraId="18595744" w14:textId="77777777" w:rsidR="00DD19CA" w:rsidRDefault="00DD19CA" w:rsidP="005574C7">
      <w:pPr>
        <w:ind w:left="426"/>
        <w:rPr>
          <w:rFonts w:cstheme="minorHAnsi"/>
        </w:rPr>
      </w:pPr>
    </w:p>
    <w:p w14:paraId="3068A6A6" w14:textId="69129EB6" w:rsidR="3B9DE253" w:rsidRPr="0045725C" w:rsidRDefault="008818E6" w:rsidP="005574C7">
      <w:pPr>
        <w:ind w:left="426"/>
        <w:rPr>
          <w:rFonts w:cstheme="minorHAnsi"/>
        </w:rPr>
      </w:pPr>
      <w:r>
        <w:rPr>
          <w:rFonts w:cstheme="minorHAnsi"/>
        </w:rPr>
        <w:t>76.</w:t>
      </w:r>
      <w:r>
        <w:rPr>
          <w:rFonts w:cstheme="minorHAnsi"/>
        </w:rPr>
        <w:tab/>
      </w:r>
      <w:r w:rsidR="00B57B61" w:rsidRPr="00C0477E">
        <w:rPr>
          <w:rFonts w:cstheme="minorHAnsi"/>
        </w:rPr>
        <w:t>S</w:t>
      </w:r>
      <w:r w:rsidR="002D0906" w:rsidRPr="00C0477E">
        <w:rPr>
          <w:rFonts w:cstheme="minorHAnsi"/>
        </w:rPr>
        <w:t>ome important challenges identified previously remain, including the legal status of the Secretariat as it relates to access to strategic global fora, signing of donor contracts and talent acquisition and retention. Other areas for further work include</w:t>
      </w:r>
      <w:r w:rsidR="00927CF5" w:rsidRPr="00C0477E">
        <w:rPr>
          <w:rFonts w:cstheme="minorHAnsi"/>
        </w:rPr>
        <w:t xml:space="preserve">: </w:t>
      </w:r>
      <w:r w:rsidR="00604B8F" w:rsidRPr="00C0477E">
        <w:rPr>
          <w:rFonts w:cstheme="minorHAnsi"/>
        </w:rPr>
        <w:t>completing work</w:t>
      </w:r>
      <w:r w:rsidR="00E4253B">
        <w:rPr>
          <w:rFonts w:cstheme="minorHAnsi"/>
        </w:rPr>
        <w:t xml:space="preserve"> </w:t>
      </w:r>
      <w:r w:rsidR="00604B8F" w:rsidRPr="00C0477E">
        <w:rPr>
          <w:rFonts w:cstheme="minorHAnsi"/>
        </w:rPr>
        <w:t>to allocate HR roles and responsibilities and mechanisms for coordination</w:t>
      </w:r>
      <w:r w:rsidR="00423588" w:rsidRPr="00C0477E">
        <w:rPr>
          <w:rFonts w:cstheme="minorHAnsi"/>
        </w:rPr>
        <w:t xml:space="preserve"> between the Secretariat and IUCN</w:t>
      </w:r>
      <w:r w:rsidR="00604B8F" w:rsidRPr="00C0477E">
        <w:rPr>
          <w:rFonts w:cstheme="minorHAnsi"/>
        </w:rPr>
        <w:t xml:space="preserve">; </w:t>
      </w:r>
      <w:r w:rsidR="00927CF5" w:rsidRPr="00C0477E">
        <w:rPr>
          <w:rFonts w:cstheme="minorHAnsi"/>
        </w:rPr>
        <w:t>keeping</w:t>
      </w:r>
      <w:r w:rsidR="00867EA3" w:rsidRPr="00C0477E">
        <w:rPr>
          <w:rFonts w:cstheme="minorHAnsi"/>
        </w:rPr>
        <w:t xml:space="preserve"> a deliberate focus on staff wellbeing;</w:t>
      </w:r>
      <w:r w:rsidR="002D0906" w:rsidRPr="00C0477E">
        <w:rPr>
          <w:rFonts w:cstheme="minorHAnsi"/>
        </w:rPr>
        <w:t xml:space="preserve"> </w:t>
      </w:r>
      <w:r w:rsidR="00927CF5" w:rsidRPr="00C0477E">
        <w:rPr>
          <w:rFonts w:cstheme="minorHAnsi"/>
        </w:rPr>
        <w:t xml:space="preserve">continuing to </w:t>
      </w:r>
      <w:r w:rsidR="002D0906" w:rsidRPr="00C0477E">
        <w:rPr>
          <w:rFonts w:cstheme="minorHAnsi"/>
        </w:rPr>
        <w:t xml:space="preserve">develop more coherent and coordinated approaches across Secretariat teams to achieve </w:t>
      </w:r>
      <w:r w:rsidR="00927CF5" w:rsidRPr="00C0477E">
        <w:rPr>
          <w:rFonts w:cstheme="minorHAnsi"/>
        </w:rPr>
        <w:t xml:space="preserve">enhanced </w:t>
      </w:r>
      <w:r w:rsidR="002D0906" w:rsidRPr="00C0477E">
        <w:rPr>
          <w:rFonts w:cstheme="minorHAnsi"/>
        </w:rPr>
        <w:t>efficiencies and better serve Contracting Parties across all regions; balanc</w:t>
      </w:r>
      <w:r w:rsidR="00927CF5" w:rsidRPr="00C0477E">
        <w:rPr>
          <w:rFonts w:cstheme="minorHAnsi"/>
        </w:rPr>
        <w:t xml:space="preserve">ing </w:t>
      </w:r>
      <w:r w:rsidR="002D0906" w:rsidRPr="00C0477E">
        <w:rPr>
          <w:rFonts w:cstheme="minorHAnsi"/>
        </w:rPr>
        <w:t>enhanced accountability for implementation of the decisions taken by the COP and Standing Committee with the service provided to Contracting Parties in each region; balancing thematic and regional approaches; and continuing to build the needed capabilities, capacities and skills in core functional areas of the Secretariat’s work.</w:t>
      </w:r>
    </w:p>
    <w:sectPr w:rsidR="3B9DE253" w:rsidRPr="0045725C" w:rsidSect="00570F8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D771A" w14:textId="77777777" w:rsidR="002B44CA" w:rsidRDefault="002B44CA" w:rsidP="00FC5A0A">
      <w:r>
        <w:separator/>
      </w:r>
    </w:p>
  </w:endnote>
  <w:endnote w:type="continuationSeparator" w:id="0">
    <w:p w14:paraId="7F4DB02E" w14:textId="77777777" w:rsidR="002B44CA" w:rsidRDefault="002B44CA" w:rsidP="00FC5A0A">
      <w:r>
        <w:continuationSeparator/>
      </w:r>
    </w:p>
  </w:endnote>
  <w:endnote w:type="continuationNotice" w:id="1">
    <w:p w14:paraId="0239DD51" w14:textId="77777777" w:rsidR="002B44CA" w:rsidRDefault="002B44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D134B" w14:textId="77777777" w:rsidR="00950541" w:rsidRDefault="009505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607A8" w14:textId="16EE68EF" w:rsidR="007E5935" w:rsidRDefault="007E5935" w:rsidP="00B1621D">
    <w:pPr>
      <w:pStyle w:val="Footer"/>
      <w:tabs>
        <w:tab w:val="right" w:pos="9000"/>
      </w:tabs>
    </w:pPr>
    <w:r w:rsidRPr="00870418">
      <w:rPr>
        <w:sz w:val="20"/>
      </w:rPr>
      <w:t>COP1</w:t>
    </w:r>
    <w:r>
      <w:rPr>
        <w:sz w:val="20"/>
      </w:rPr>
      <w:t>4</w:t>
    </w:r>
    <w:r w:rsidRPr="00870418">
      <w:rPr>
        <w:sz w:val="20"/>
      </w:rPr>
      <w:t xml:space="preserve"> Doc.</w:t>
    </w:r>
    <w:r>
      <w:rPr>
        <w:sz w:val="20"/>
      </w:rPr>
      <w:t>9.</w:t>
    </w:r>
    <w:r w:rsidR="00950541">
      <w:rPr>
        <w:sz w:val="20"/>
      </w:rPr>
      <w:t>2</w:t>
    </w:r>
    <w:r w:rsidRPr="00870418">
      <w:rPr>
        <w:sz w:val="20"/>
      </w:rPr>
      <w:tab/>
    </w:r>
    <w:r w:rsidRPr="00870418">
      <w:rPr>
        <w:sz w:val="20"/>
      </w:rPr>
      <w:tab/>
    </w:r>
    <w:r w:rsidRPr="00870418">
      <w:rPr>
        <w:sz w:val="20"/>
      </w:rPr>
      <w:fldChar w:fldCharType="begin"/>
    </w:r>
    <w:r w:rsidRPr="00870418">
      <w:rPr>
        <w:sz w:val="20"/>
      </w:rPr>
      <w:instrText xml:space="preserve"> PAGE   \* MERGEFORMAT </w:instrText>
    </w:r>
    <w:r w:rsidRPr="00870418">
      <w:rPr>
        <w:sz w:val="20"/>
      </w:rPr>
      <w:fldChar w:fldCharType="separate"/>
    </w:r>
    <w:r w:rsidR="00460039">
      <w:rPr>
        <w:noProof/>
        <w:sz w:val="20"/>
      </w:rPr>
      <w:t>18</w:t>
    </w:r>
    <w:r w:rsidRPr="00870418">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FBB23" w14:textId="77777777" w:rsidR="00950541" w:rsidRDefault="00950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88CFF" w14:textId="77777777" w:rsidR="002B44CA" w:rsidRDefault="002B44CA" w:rsidP="00FC5A0A">
      <w:r>
        <w:separator/>
      </w:r>
    </w:p>
  </w:footnote>
  <w:footnote w:type="continuationSeparator" w:id="0">
    <w:p w14:paraId="52DBB8F7" w14:textId="77777777" w:rsidR="002B44CA" w:rsidRDefault="002B44CA" w:rsidP="00FC5A0A">
      <w:r>
        <w:continuationSeparator/>
      </w:r>
    </w:p>
  </w:footnote>
  <w:footnote w:type="continuationNotice" w:id="1">
    <w:p w14:paraId="730CF551" w14:textId="77777777" w:rsidR="002B44CA" w:rsidRDefault="002B44CA"/>
  </w:footnote>
  <w:footnote w:id="2">
    <w:p w14:paraId="6E805F94" w14:textId="374D86AD" w:rsidR="007E5935" w:rsidRDefault="007E5935">
      <w:pPr>
        <w:pStyle w:val="FootnoteText"/>
      </w:pPr>
      <w:r w:rsidRPr="00F6224A">
        <w:rPr>
          <w:rStyle w:val="FootnoteReference"/>
        </w:rPr>
        <w:footnoteRef/>
      </w:r>
      <w:r w:rsidRPr="00F6224A">
        <w:t xml:space="preserve"> </w:t>
      </w:r>
      <w:r w:rsidR="00F6224A">
        <w:t xml:space="preserve">See </w:t>
      </w:r>
      <w:hyperlink r:id="rId1" w:history="1">
        <w:r w:rsidR="00F6224A" w:rsidRPr="00F6224A">
          <w:rPr>
            <w:rStyle w:val="Hyperlink"/>
          </w:rPr>
          <w:t>https://www.ramsar.org/document/sc57-doc5-report-of-the-secretary-general</w:t>
        </w:r>
      </w:hyperlink>
      <w:r w:rsidR="00F6224A" w:rsidRPr="00F6224A">
        <w:t xml:space="preserve">; </w:t>
      </w:r>
      <w:hyperlink r:id="rId2" w:history="1">
        <w:r w:rsidR="00F6224A" w:rsidRPr="00F6224A">
          <w:rPr>
            <w:rStyle w:val="Hyperlink"/>
          </w:rPr>
          <w:t>https://www.ramsar.org/document/sc58-doc6-report-of-the-secretary-general</w:t>
        </w:r>
      </w:hyperlink>
      <w:r w:rsidR="00F6224A" w:rsidRPr="00F6224A">
        <w:t xml:space="preserve">; </w:t>
      </w:r>
      <w:hyperlink r:id="rId3" w:history="1">
        <w:r w:rsidR="00F6224A" w:rsidRPr="00F6224A">
          <w:rPr>
            <w:rStyle w:val="Hyperlink"/>
          </w:rPr>
          <w:t>https://www.ramsar.org/document/sc59-doc6-report-of-the-secretary-general</w:t>
        </w:r>
      </w:hyperlink>
      <w:r w:rsidR="00F6224A" w:rsidRPr="00F6224A">
        <w:t xml:space="preserve">; </w:t>
      </w:r>
      <w:r w:rsidR="00F6224A">
        <w:t xml:space="preserve">and </w:t>
      </w:r>
      <w:hyperlink r:id="rId4" w:history="1">
        <w:r w:rsidR="00F6224A" w:rsidRPr="00F6224A">
          <w:rPr>
            <w:rStyle w:val="Hyperlink"/>
          </w:rPr>
          <w:t>https://www.ramsar.org/document/sc592022-doc6-report-of-the-secretary-general</w:t>
        </w:r>
      </w:hyperlink>
      <w:r w:rsidR="00F6224A" w:rsidRPr="00F6224A">
        <w:t xml:space="preserve"> </w:t>
      </w:r>
      <w:r w:rsidRPr="00F6224A">
        <w:t>.</w:t>
      </w:r>
    </w:p>
  </w:footnote>
  <w:footnote w:id="3">
    <w:p w14:paraId="6231D36E" w14:textId="5B9209DF" w:rsidR="007E5935" w:rsidRPr="001D2365" w:rsidRDefault="007E5935" w:rsidP="001D2365">
      <w:pPr>
        <w:ind w:left="0" w:firstLine="0"/>
        <w:rPr>
          <w:sz w:val="20"/>
          <w:szCs w:val="20"/>
        </w:rPr>
      </w:pPr>
      <w:r w:rsidRPr="001D2365">
        <w:rPr>
          <w:rStyle w:val="FootnoteReference"/>
          <w:sz w:val="20"/>
          <w:szCs w:val="20"/>
        </w:rPr>
        <w:footnoteRef/>
      </w:r>
      <w:r w:rsidRPr="001D2365">
        <w:rPr>
          <w:sz w:val="20"/>
          <w:szCs w:val="20"/>
        </w:rPr>
        <w:t xml:space="preserve"> See </w:t>
      </w:r>
      <w:hyperlink r:id="rId5" w:history="1">
        <w:r w:rsidRPr="001A7374">
          <w:rPr>
            <w:rStyle w:val="Hyperlink"/>
            <w:rFonts w:cstheme="minorHAnsi"/>
            <w:sz w:val="20"/>
            <w:szCs w:val="20"/>
          </w:rPr>
          <w:t>www.ramsar.org/document/sc58-doc5-report-of-the-executive-team-and-chair-of-the-standing-committee</w:t>
        </w:r>
      </w:hyperlink>
      <w:r w:rsidRPr="001D2365">
        <w:rPr>
          <w:sz w:val="20"/>
          <w:szCs w:val="20"/>
        </w:rPr>
        <w:t xml:space="preserve">; </w:t>
      </w:r>
      <w:hyperlink r:id="rId6" w:history="1">
        <w:r w:rsidRPr="001A7374">
          <w:rPr>
            <w:rStyle w:val="Hyperlink"/>
            <w:rFonts w:cstheme="minorHAnsi"/>
            <w:sz w:val="20"/>
            <w:szCs w:val="20"/>
          </w:rPr>
          <w:t>www.ramsar.org/document/sc59-doc5-report-of-the-executive-team-and-chair-of-the-standing-committee</w:t>
        </w:r>
      </w:hyperlink>
      <w:r w:rsidRPr="001D2365">
        <w:rPr>
          <w:sz w:val="20"/>
          <w:szCs w:val="20"/>
        </w:rPr>
        <w:t>;</w:t>
      </w:r>
      <w:r w:rsidR="00EB2B5D">
        <w:rPr>
          <w:rStyle w:val="Hyperlink"/>
          <w:rFonts w:cstheme="minorHAnsi"/>
          <w:sz w:val="20"/>
          <w:szCs w:val="20"/>
        </w:rPr>
        <w:t xml:space="preserve"> </w:t>
      </w:r>
      <w:hyperlink r:id="rId7" w:history="1">
        <w:r w:rsidR="00EB2B5D" w:rsidRPr="000F542C">
          <w:rPr>
            <w:rStyle w:val="Hyperlink"/>
            <w:rFonts w:cstheme="minorHAnsi"/>
            <w:sz w:val="20"/>
            <w:szCs w:val="20"/>
          </w:rPr>
          <w:t>https://www.ramsar.org/document/sc592022-doc5-report-of-the-executive-team-and-chair-of-the-standing-committee</w:t>
        </w:r>
      </w:hyperlink>
      <w:r w:rsidRPr="001D2365">
        <w:rPr>
          <w:sz w:val="20"/>
          <w:szCs w:val="20"/>
        </w:rPr>
        <w:t>.</w:t>
      </w:r>
    </w:p>
  </w:footnote>
  <w:footnote w:id="4">
    <w:p w14:paraId="157B2DB7" w14:textId="41D5D4CB" w:rsidR="007E5935" w:rsidRDefault="007E5935">
      <w:pPr>
        <w:pStyle w:val="FootnoteText"/>
      </w:pPr>
      <w:r>
        <w:rPr>
          <w:rStyle w:val="FootnoteReference"/>
        </w:rPr>
        <w:footnoteRef/>
      </w:r>
      <w:r>
        <w:t xml:space="preserve"> See </w:t>
      </w:r>
      <w:hyperlink r:id="rId8" w:history="1">
        <w:r w:rsidRPr="001A7374">
          <w:rPr>
            <w:rStyle w:val="Hyperlink"/>
          </w:rPr>
          <w:t>https://www.ramsar.org/news/wetlands-restoration-as-part-of-the-un-decade-of-ecosystem-restoration-unlocking-the-untapped</w:t>
        </w:r>
      </w:hyperlink>
      <w:r>
        <w:t>.</w:t>
      </w:r>
    </w:p>
  </w:footnote>
  <w:footnote w:id="5">
    <w:p w14:paraId="4DDFA128" w14:textId="54C3A98E" w:rsidR="007E5935" w:rsidRDefault="007E5935">
      <w:pPr>
        <w:pStyle w:val="FootnoteText"/>
      </w:pPr>
      <w:r>
        <w:rPr>
          <w:rStyle w:val="FootnoteReference"/>
        </w:rPr>
        <w:footnoteRef/>
      </w:r>
      <w:r>
        <w:t xml:space="preserve"> </w:t>
      </w:r>
      <w:hyperlink r:id="rId9" w:history="1">
        <w:r w:rsidRPr="00BB2333">
          <w:rPr>
            <w:rStyle w:val="Hyperlink"/>
          </w:rPr>
          <w:t>https://www.ramsar.org/document/guidance-on-mainstreaming-gender-under-the-ramsar-convention-on-wetlands-0</w:t>
        </w:r>
      </w:hyperlink>
      <w:r w:rsidR="00460039">
        <w:t>.</w:t>
      </w:r>
    </w:p>
  </w:footnote>
  <w:footnote w:id="6">
    <w:p w14:paraId="1736670E" w14:textId="33B5162D" w:rsidR="007E5935" w:rsidRDefault="007E5935" w:rsidP="00A9782D">
      <w:pPr>
        <w:pStyle w:val="FootnoteText"/>
      </w:pPr>
      <w:r>
        <w:rPr>
          <w:rStyle w:val="FootnoteReference"/>
        </w:rPr>
        <w:footnoteRef/>
      </w:r>
      <w:r>
        <w:t xml:space="preserve"> </w:t>
      </w:r>
      <w:hyperlink r:id="rId10" w:history="1">
        <w:r w:rsidRPr="00BB2333">
          <w:rPr>
            <w:rStyle w:val="Hyperlink"/>
          </w:rPr>
          <w:t>https://www.ramsar.org/resources/training-webinar-mainstreaming-gender-under-the-convention-on-wetlands</w:t>
        </w:r>
      </w:hyperlink>
      <w:bookmarkStart w:id="0" w:name="_GoBack"/>
      <w:bookmarkEnd w:id="0"/>
      <w:r w:rsidR="00460039">
        <w:t>.</w:t>
      </w:r>
    </w:p>
  </w:footnote>
  <w:footnote w:id="7">
    <w:p w14:paraId="0F51C9EB" w14:textId="62BEC82B" w:rsidR="007E5935" w:rsidRDefault="007E5935">
      <w:pPr>
        <w:pStyle w:val="FootnoteText"/>
      </w:pPr>
      <w:r>
        <w:rPr>
          <w:rStyle w:val="FootnoteReference"/>
        </w:rPr>
        <w:footnoteRef/>
      </w:r>
      <w:r>
        <w:t xml:space="preserve"> </w:t>
      </w:r>
      <w:hyperlink r:id="rId11" w:history="1">
        <w:r w:rsidRPr="007A4ED0">
          <w:rPr>
            <w:rStyle w:val="Hyperlink"/>
          </w:rPr>
          <w:t>https://www.global-wetland-outlook.ramsar.org</w:t>
        </w:r>
      </w:hyperlink>
      <w:r>
        <w:t xml:space="preserve">. </w:t>
      </w:r>
    </w:p>
  </w:footnote>
  <w:footnote w:id="8">
    <w:p w14:paraId="206A39C2" w14:textId="29B32C6D" w:rsidR="007E5935" w:rsidRDefault="007E5935">
      <w:pPr>
        <w:pStyle w:val="FootnoteText"/>
      </w:pPr>
      <w:r>
        <w:rPr>
          <w:rStyle w:val="FootnoteReference"/>
        </w:rPr>
        <w:footnoteRef/>
      </w:r>
      <w:r>
        <w:t xml:space="preserve"> See </w:t>
      </w:r>
      <w:hyperlink r:id="rId12" w:history="1">
        <w:r w:rsidRPr="007A4ED0">
          <w:rPr>
            <w:rStyle w:val="Hyperlink"/>
          </w:rPr>
          <w:t>https://www.un.org/en/observances/world-wetlands-day</w:t>
        </w:r>
      </w:hyperlink>
      <w:r>
        <w:t>.</w:t>
      </w:r>
    </w:p>
  </w:footnote>
  <w:footnote w:id="9">
    <w:p w14:paraId="4E0CE025" w14:textId="586E503E" w:rsidR="007E5935" w:rsidRDefault="007E5935">
      <w:pPr>
        <w:pStyle w:val="FootnoteText"/>
      </w:pPr>
      <w:r>
        <w:rPr>
          <w:rStyle w:val="FootnoteReference"/>
        </w:rPr>
        <w:footnoteRef/>
      </w:r>
      <w:r>
        <w:t xml:space="preserve"> See </w:t>
      </w:r>
      <w:hyperlink r:id="rId13" w:history="1">
        <w:r w:rsidRPr="007A4ED0">
          <w:rPr>
            <w:rStyle w:val="Hyperlink"/>
          </w:rPr>
          <w:t>https://www.ramsar.org/event/acting-for-wetlands-challenges-and-opportunities</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2A614" w14:textId="77777777" w:rsidR="00950541" w:rsidRDefault="009505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E0975" w14:textId="77777777" w:rsidR="00950541" w:rsidRDefault="009505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3A810" w14:textId="77777777" w:rsidR="00950541" w:rsidRDefault="00950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42AFA"/>
    <w:multiLevelType w:val="hybridMultilevel"/>
    <w:tmpl w:val="5562FF6E"/>
    <w:lvl w:ilvl="0" w:tplc="E0247FB2">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0965209E"/>
    <w:multiLevelType w:val="hybridMultilevel"/>
    <w:tmpl w:val="1F6E29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B74B4EA">
      <w:start w:val="1"/>
      <w:numFmt w:val="bullet"/>
      <w:lvlText w:val="­"/>
      <w:lvlJc w:val="left"/>
      <w:pPr>
        <w:ind w:left="2520" w:hanging="360"/>
      </w:pPr>
      <w:rPr>
        <w:rFonts w:ascii="Courier New" w:hAnsi="Courier New"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7B1FBC"/>
    <w:multiLevelType w:val="hybridMultilevel"/>
    <w:tmpl w:val="925097DC"/>
    <w:lvl w:ilvl="0" w:tplc="2AB26300">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0DA51EE2"/>
    <w:multiLevelType w:val="hybridMultilevel"/>
    <w:tmpl w:val="F27049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8D1A2F"/>
    <w:multiLevelType w:val="hybridMultilevel"/>
    <w:tmpl w:val="6B1EFEF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15:restartNumberingAfterBreak="0">
    <w:nsid w:val="17780850"/>
    <w:multiLevelType w:val="hybridMultilevel"/>
    <w:tmpl w:val="2A1A8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9E3D0D"/>
    <w:multiLevelType w:val="hybridMultilevel"/>
    <w:tmpl w:val="CE14763A"/>
    <w:lvl w:ilvl="0" w:tplc="168EA184">
      <w:start w:val="1"/>
      <w:numFmt w:val="bullet"/>
      <w:lvlText w:val="·"/>
      <w:lvlJc w:val="left"/>
      <w:pPr>
        <w:ind w:left="720" w:hanging="360"/>
      </w:pPr>
      <w:rPr>
        <w:rFonts w:ascii="Symbol" w:hAnsi="Symbol" w:hint="default"/>
      </w:rPr>
    </w:lvl>
    <w:lvl w:ilvl="1" w:tplc="CD083844">
      <w:start w:val="1"/>
      <w:numFmt w:val="bullet"/>
      <w:lvlText w:val="o"/>
      <w:lvlJc w:val="left"/>
      <w:pPr>
        <w:ind w:left="1440" w:hanging="360"/>
      </w:pPr>
      <w:rPr>
        <w:rFonts w:ascii="Courier New" w:hAnsi="Courier New" w:hint="default"/>
      </w:rPr>
    </w:lvl>
    <w:lvl w:ilvl="2" w:tplc="E94470F0">
      <w:start w:val="1"/>
      <w:numFmt w:val="bullet"/>
      <w:lvlText w:val=""/>
      <w:lvlJc w:val="left"/>
      <w:pPr>
        <w:ind w:left="2160" w:hanging="360"/>
      </w:pPr>
      <w:rPr>
        <w:rFonts w:ascii="Wingdings" w:hAnsi="Wingdings" w:hint="default"/>
      </w:rPr>
    </w:lvl>
    <w:lvl w:ilvl="3" w:tplc="2E167E04">
      <w:start w:val="1"/>
      <w:numFmt w:val="bullet"/>
      <w:lvlText w:val=""/>
      <w:lvlJc w:val="left"/>
      <w:pPr>
        <w:ind w:left="2880" w:hanging="360"/>
      </w:pPr>
      <w:rPr>
        <w:rFonts w:ascii="Symbol" w:hAnsi="Symbol" w:hint="default"/>
      </w:rPr>
    </w:lvl>
    <w:lvl w:ilvl="4" w:tplc="D2A4702A">
      <w:start w:val="1"/>
      <w:numFmt w:val="bullet"/>
      <w:lvlText w:val="o"/>
      <w:lvlJc w:val="left"/>
      <w:pPr>
        <w:ind w:left="3600" w:hanging="360"/>
      </w:pPr>
      <w:rPr>
        <w:rFonts w:ascii="Courier New" w:hAnsi="Courier New" w:hint="default"/>
      </w:rPr>
    </w:lvl>
    <w:lvl w:ilvl="5" w:tplc="68F893EC">
      <w:start w:val="1"/>
      <w:numFmt w:val="bullet"/>
      <w:lvlText w:val=""/>
      <w:lvlJc w:val="left"/>
      <w:pPr>
        <w:ind w:left="4320" w:hanging="360"/>
      </w:pPr>
      <w:rPr>
        <w:rFonts w:ascii="Wingdings" w:hAnsi="Wingdings" w:hint="default"/>
      </w:rPr>
    </w:lvl>
    <w:lvl w:ilvl="6" w:tplc="4BC09478">
      <w:start w:val="1"/>
      <w:numFmt w:val="bullet"/>
      <w:lvlText w:val=""/>
      <w:lvlJc w:val="left"/>
      <w:pPr>
        <w:ind w:left="5040" w:hanging="360"/>
      </w:pPr>
      <w:rPr>
        <w:rFonts w:ascii="Symbol" w:hAnsi="Symbol" w:hint="default"/>
      </w:rPr>
    </w:lvl>
    <w:lvl w:ilvl="7" w:tplc="2C6C7D4A">
      <w:start w:val="1"/>
      <w:numFmt w:val="bullet"/>
      <w:lvlText w:val="o"/>
      <w:lvlJc w:val="left"/>
      <w:pPr>
        <w:ind w:left="5760" w:hanging="360"/>
      </w:pPr>
      <w:rPr>
        <w:rFonts w:ascii="Courier New" w:hAnsi="Courier New" w:hint="default"/>
      </w:rPr>
    </w:lvl>
    <w:lvl w:ilvl="8" w:tplc="20604AE0">
      <w:start w:val="1"/>
      <w:numFmt w:val="bullet"/>
      <w:lvlText w:val=""/>
      <w:lvlJc w:val="left"/>
      <w:pPr>
        <w:ind w:left="6480" w:hanging="360"/>
      </w:pPr>
      <w:rPr>
        <w:rFonts w:ascii="Wingdings" w:hAnsi="Wingdings" w:hint="default"/>
      </w:rPr>
    </w:lvl>
  </w:abstractNum>
  <w:abstractNum w:abstractNumId="7" w15:restartNumberingAfterBreak="0">
    <w:nsid w:val="1C7622B9"/>
    <w:multiLevelType w:val="hybridMultilevel"/>
    <w:tmpl w:val="A8100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644F2F"/>
    <w:multiLevelType w:val="hybridMultilevel"/>
    <w:tmpl w:val="17789CC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B74B4EA">
      <w:start w:val="1"/>
      <w:numFmt w:val="bullet"/>
      <w:lvlText w:val="­"/>
      <w:lvlJc w:val="left"/>
      <w:pPr>
        <w:ind w:left="2520" w:hanging="360"/>
      </w:pPr>
      <w:rPr>
        <w:rFonts w:ascii="Courier New" w:hAnsi="Courier New"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DD1135D"/>
    <w:multiLevelType w:val="hybridMultilevel"/>
    <w:tmpl w:val="13FACC90"/>
    <w:lvl w:ilvl="0" w:tplc="0B74B4EA">
      <w:start w:val="1"/>
      <w:numFmt w:val="bullet"/>
      <w:lvlText w:val="­"/>
      <w:lvlJc w:val="left"/>
      <w:pPr>
        <w:ind w:left="1854" w:hanging="360"/>
      </w:pPr>
      <w:rPr>
        <w:rFonts w:ascii="Courier New" w:hAnsi="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1E2776E3"/>
    <w:multiLevelType w:val="hybridMultilevel"/>
    <w:tmpl w:val="32CE5030"/>
    <w:lvl w:ilvl="0" w:tplc="0268AE06">
      <w:start w:val="1"/>
      <w:numFmt w:val="lowerRoman"/>
      <w:lvlText w:val="%1."/>
      <w:lvlJc w:val="left"/>
      <w:pPr>
        <w:ind w:left="1080" w:hanging="360"/>
      </w:pPr>
      <w:rPr>
        <w:rFonts w:asciiTheme="minorHAnsi" w:eastAsiaTheme="minorHAnsi" w:hAnsiTheme="minorHAnsi" w:cstheme="minorHAnsi"/>
      </w:rPr>
    </w:lvl>
    <w:lvl w:ilvl="1" w:tplc="0B74B4EA">
      <w:start w:val="1"/>
      <w:numFmt w:val="bullet"/>
      <w:lvlText w:val="­"/>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C38C73C4">
      <w:start w:val="61"/>
      <w:numFmt w:val="decimal"/>
      <w:lvlText w:val="%4."/>
      <w:lvlJc w:val="left"/>
      <w:pPr>
        <w:ind w:left="3240" w:hanging="360"/>
      </w:pPr>
      <w:rPr>
        <w:rFonts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E961E83"/>
    <w:multiLevelType w:val="hybridMultilevel"/>
    <w:tmpl w:val="5B100BCA"/>
    <w:lvl w:ilvl="0" w:tplc="8C68EA72">
      <w:start w:val="1"/>
      <w:numFmt w:val="bullet"/>
      <w:lvlText w:val="-"/>
      <w:lvlJc w:val="left"/>
      <w:pPr>
        <w:ind w:left="720" w:hanging="360"/>
      </w:pPr>
      <w:rPr>
        <w:rFonts w:ascii="Calibri" w:hAnsi="Calibri" w:hint="default"/>
      </w:rPr>
    </w:lvl>
    <w:lvl w:ilvl="1" w:tplc="B1CA454C">
      <w:start w:val="1"/>
      <w:numFmt w:val="bullet"/>
      <w:lvlText w:val="o"/>
      <w:lvlJc w:val="left"/>
      <w:pPr>
        <w:ind w:left="1440" w:hanging="360"/>
      </w:pPr>
      <w:rPr>
        <w:rFonts w:ascii="Courier New" w:hAnsi="Courier New" w:hint="default"/>
      </w:rPr>
    </w:lvl>
    <w:lvl w:ilvl="2" w:tplc="F9BC6416">
      <w:start w:val="1"/>
      <w:numFmt w:val="bullet"/>
      <w:lvlText w:val=""/>
      <w:lvlJc w:val="left"/>
      <w:pPr>
        <w:ind w:left="2160" w:hanging="360"/>
      </w:pPr>
      <w:rPr>
        <w:rFonts w:ascii="Wingdings" w:hAnsi="Wingdings" w:hint="default"/>
      </w:rPr>
    </w:lvl>
    <w:lvl w:ilvl="3" w:tplc="2CD06C24">
      <w:start w:val="1"/>
      <w:numFmt w:val="bullet"/>
      <w:lvlText w:val=""/>
      <w:lvlJc w:val="left"/>
      <w:pPr>
        <w:ind w:left="2880" w:hanging="360"/>
      </w:pPr>
      <w:rPr>
        <w:rFonts w:ascii="Symbol" w:hAnsi="Symbol" w:hint="default"/>
      </w:rPr>
    </w:lvl>
    <w:lvl w:ilvl="4" w:tplc="FCB2FE90">
      <w:start w:val="1"/>
      <w:numFmt w:val="bullet"/>
      <w:lvlText w:val="o"/>
      <w:lvlJc w:val="left"/>
      <w:pPr>
        <w:ind w:left="3600" w:hanging="360"/>
      </w:pPr>
      <w:rPr>
        <w:rFonts w:ascii="Courier New" w:hAnsi="Courier New" w:hint="default"/>
      </w:rPr>
    </w:lvl>
    <w:lvl w:ilvl="5" w:tplc="8EE0BB5C">
      <w:start w:val="1"/>
      <w:numFmt w:val="bullet"/>
      <w:lvlText w:val=""/>
      <w:lvlJc w:val="left"/>
      <w:pPr>
        <w:ind w:left="4320" w:hanging="360"/>
      </w:pPr>
      <w:rPr>
        <w:rFonts w:ascii="Wingdings" w:hAnsi="Wingdings" w:hint="default"/>
      </w:rPr>
    </w:lvl>
    <w:lvl w:ilvl="6" w:tplc="2D0C7BBA">
      <w:start w:val="1"/>
      <w:numFmt w:val="bullet"/>
      <w:lvlText w:val=""/>
      <w:lvlJc w:val="left"/>
      <w:pPr>
        <w:ind w:left="5040" w:hanging="360"/>
      </w:pPr>
      <w:rPr>
        <w:rFonts w:ascii="Symbol" w:hAnsi="Symbol" w:hint="default"/>
      </w:rPr>
    </w:lvl>
    <w:lvl w:ilvl="7" w:tplc="0786225E">
      <w:start w:val="1"/>
      <w:numFmt w:val="bullet"/>
      <w:lvlText w:val="o"/>
      <w:lvlJc w:val="left"/>
      <w:pPr>
        <w:ind w:left="5760" w:hanging="360"/>
      </w:pPr>
      <w:rPr>
        <w:rFonts w:ascii="Courier New" w:hAnsi="Courier New" w:hint="default"/>
      </w:rPr>
    </w:lvl>
    <w:lvl w:ilvl="8" w:tplc="C6B4666C">
      <w:start w:val="1"/>
      <w:numFmt w:val="bullet"/>
      <w:lvlText w:val=""/>
      <w:lvlJc w:val="left"/>
      <w:pPr>
        <w:ind w:left="6480" w:hanging="360"/>
      </w:pPr>
      <w:rPr>
        <w:rFonts w:ascii="Wingdings" w:hAnsi="Wingdings" w:hint="default"/>
      </w:rPr>
    </w:lvl>
  </w:abstractNum>
  <w:abstractNum w:abstractNumId="12" w15:restartNumberingAfterBreak="0">
    <w:nsid w:val="23570BCE"/>
    <w:multiLevelType w:val="hybridMultilevel"/>
    <w:tmpl w:val="0AA0F746"/>
    <w:lvl w:ilvl="0" w:tplc="2D64C26A">
      <w:start w:val="1"/>
      <w:numFmt w:val="lowerRoman"/>
      <w:lvlText w:val="%1."/>
      <w:lvlJc w:val="left"/>
      <w:pPr>
        <w:ind w:left="1080" w:hanging="72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C15F13"/>
    <w:multiLevelType w:val="hybridMultilevel"/>
    <w:tmpl w:val="5A96A4EC"/>
    <w:lvl w:ilvl="0" w:tplc="0B74B4EA">
      <w:start w:val="1"/>
      <w:numFmt w:val="bullet"/>
      <w:lvlText w:val="­"/>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cs="Courier New" w:hint="default"/>
      </w:rPr>
    </w:lvl>
    <w:lvl w:ilvl="2" w:tplc="0B74B4EA">
      <w:start w:val="1"/>
      <w:numFmt w:val="bullet"/>
      <w:lvlText w:val="­"/>
      <w:lvlJc w:val="left"/>
      <w:pPr>
        <w:ind w:left="2520" w:hanging="360"/>
      </w:pPr>
      <w:rPr>
        <w:rFonts w:ascii="Courier New" w:hAnsi="Courier New"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E8B425D"/>
    <w:multiLevelType w:val="hybridMultilevel"/>
    <w:tmpl w:val="8E6EB9C0"/>
    <w:lvl w:ilvl="0" w:tplc="FFFFFFFF">
      <w:start w:val="1"/>
      <w:numFmt w:val="lowerRoman"/>
      <w:lvlText w:val="%1."/>
      <w:lvlJc w:val="left"/>
      <w:pPr>
        <w:ind w:left="108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D5D13"/>
    <w:multiLevelType w:val="hybridMultilevel"/>
    <w:tmpl w:val="ED626832"/>
    <w:lvl w:ilvl="0" w:tplc="D6A05EAA">
      <w:start w:val="1"/>
      <w:numFmt w:val="bullet"/>
      <w:lvlText w:val="·"/>
      <w:lvlJc w:val="left"/>
      <w:pPr>
        <w:ind w:left="720" w:hanging="360"/>
      </w:pPr>
      <w:rPr>
        <w:rFonts w:ascii="Symbol" w:hAnsi="Symbol" w:hint="default"/>
      </w:rPr>
    </w:lvl>
    <w:lvl w:ilvl="1" w:tplc="0D389DBC">
      <w:start w:val="1"/>
      <w:numFmt w:val="bullet"/>
      <w:lvlText w:val="o"/>
      <w:lvlJc w:val="left"/>
      <w:pPr>
        <w:ind w:left="1440" w:hanging="360"/>
      </w:pPr>
      <w:rPr>
        <w:rFonts w:ascii="Courier New" w:hAnsi="Courier New" w:hint="default"/>
      </w:rPr>
    </w:lvl>
    <w:lvl w:ilvl="2" w:tplc="E1725C5A">
      <w:start w:val="1"/>
      <w:numFmt w:val="bullet"/>
      <w:lvlText w:val=""/>
      <w:lvlJc w:val="left"/>
      <w:pPr>
        <w:ind w:left="2160" w:hanging="360"/>
      </w:pPr>
      <w:rPr>
        <w:rFonts w:ascii="Wingdings" w:hAnsi="Wingdings" w:hint="default"/>
      </w:rPr>
    </w:lvl>
    <w:lvl w:ilvl="3" w:tplc="538CAFD4">
      <w:start w:val="1"/>
      <w:numFmt w:val="bullet"/>
      <w:lvlText w:val=""/>
      <w:lvlJc w:val="left"/>
      <w:pPr>
        <w:ind w:left="2880" w:hanging="360"/>
      </w:pPr>
      <w:rPr>
        <w:rFonts w:ascii="Symbol" w:hAnsi="Symbol" w:hint="default"/>
      </w:rPr>
    </w:lvl>
    <w:lvl w:ilvl="4" w:tplc="EB62ADD4">
      <w:start w:val="1"/>
      <w:numFmt w:val="bullet"/>
      <w:lvlText w:val="o"/>
      <w:lvlJc w:val="left"/>
      <w:pPr>
        <w:ind w:left="3600" w:hanging="360"/>
      </w:pPr>
      <w:rPr>
        <w:rFonts w:ascii="Courier New" w:hAnsi="Courier New" w:hint="default"/>
      </w:rPr>
    </w:lvl>
    <w:lvl w:ilvl="5" w:tplc="4C3E596C">
      <w:start w:val="1"/>
      <w:numFmt w:val="bullet"/>
      <w:lvlText w:val=""/>
      <w:lvlJc w:val="left"/>
      <w:pPr>
        <w:ind w:left="4320" w:hanging="360"/>
      </w:pPr>
      <w:rPr>
        <w:rFonts w:ascii="Wingdings" w:hAnsi="Wingdings" w:hint="default"/>
      </w:rPr>
    </w:lvl>
    <w:lvl w:ilvl="6" w:tplc="213AF5A2">
      <w:start w:val="1"/>
      <w:numFmt w:val="bullet"/>
      <w:lvlText w:val=""/>
      <w:lvlJc w:val="left"/>
      <w:pPr>
        <w:ind w:left="5040" w:hanging="360"/>
      </w:pPr>
      <w:rPr>
        <w:rFonts w:ascii="Symbol" w:hAnsi="Symbol" w:hint="default"/>
      </w:rPr>
    </w:lvl>
    <w:lvl w:ilvl="7" w:tplc="F996A0E0">
      <w:start w:val="1"/>
      <w:numFmt w:val="bullet"/>
      <w:lvlText w:val="o"/>
      <w:lvlJc w:val="left"/>
      <w:pPr>
        <w:ind w:left="5760" w:hanging="360"/>
      </w:pPr>
      <w:rPr>
        <w:rFonts w:ascii="Courier New" w:hAnsi="Courier New" w:hint="default"/>
      </w:rPr>
    </w:lvl>
    <w:lvl w:ilvl="8" w:tplc="57C80D52">
      <w:start w:val="1"/>
      <w:numFmt w:val="bullet"/>
      <w:lvlText w:val=""/>
      <w:lvlJc w:val="left"/>
      <w:pPr>
        <w:ind w:left="6480" w:hanging="360"/>
      </w:pPr>
      <w:rPr>
        <w:rFonts w:ascii="Wingdings" w:hAnsi="Wingdings" w:hint="default"/>
      </w:rPr>
    </w:lvl>
  </w:abstractNum>
  <w:abstractNum w:abstractNumId="16" w15:restartNumberingAfterBreak="0">
    <w:nsid w:val="3930322C"/>
    <w:multiLevelType w:val="hybridMultilevel"/>
    <w:tmpl w:val="E400674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7" w15:restartNumberingAfterBreak="0">
    <w:nsid w:val="393C7B29"/>
    <w:multiLevelType w:val="hybridMultilevel"/>
    <w:tmpl w:val="A55AF12C"/>
    <w:lvl w:ilvl="0" w:tplc="A7BED0C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00A1034"/>
    <w:multiLevelType w:val="hybridMultilevel"/>
    <w:tmpl w:val="142C21E4"/>
    <w:lvl w:ilvl="0" w:tplc="C4DCE602">
      <w:start w:val="20"/>
      <w:numFmt w:val="decimal"/>
      <w:lvlText w:val="%1."/>
      <w:lvlJc w:val="left"/>
      <w:pPr>
        <w:ind w:left="36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640F06"/>
    <w:multiLevelType w:val="hybridMultilevel"/>
    <w:tmpl w:val="20C4445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4F0A9A"/>
    <w:multiLevelType w:val="hybridMultilevel"/>
    <w:tmpl w:val="C3460C04"/>
    <w:lvl w:ilvl="0" w:tplc="0268AE06">
      <w:start w:val="1"/>
      <w:numFmt w:val="lowerRoman"/>
      <w:lvlText w:val="%1."/>
      <w:lvlJc w:val="left"/>
      <w:pPr>
        <w:ind w:left="1080" w:hanging="360"/>
      </w:pPr>
      <w:rPr>
        <w:rFonts w:asciiTheme="minorHAnsi" w:eastAsiaTheme="minorHAnsi" w:hAnsiTheme="minorHAnsi" w:cstheme="minorHAnsi"/>
      </w:rPr>
    </w:lvl>
    <w:lvl w:ilvl="1" w:tplc="0B74B4EA">
      <w:start w:val="1"/>
      <w:numFmt w:val="bullet"/>
      <w:lvlText w:val="­"/>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E1B1747"/>
    <w:multiLevelType w:val="hybridMultilevel"/>
    <w:tmpl w:val="F148F85A"/>
    <w:lvl w:ilvl="0" w:tplc="B2D41EAC">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2" w15:restartNumberingAfterBreak="0">
    <w:nsid w:val="528872C3"/>
    <w:multiLevelType w:val="hybridMultilevel"/>
    <w:tmpl w:val="E06E738C"/>
    <w:lvl w:ilvl="0" w:tplc="A1ACE9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1E5278"/>
    <w:multiLevelType w:val="hybridMultilevel"/>
    <w:tmpl w:val="5CDCC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D370DB"/>
    <w:multiLevelType w:val="hybridMultilevel"/>
    <w:tmpl w:val="B38CADA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5" w15:restartNumberingAfterBreak="0">
    <w:nsid w:val="58D7699D"/>
    <w:multiLevelType w:val="hybridMultilevel"/>
    <w:tmpl w:val="E84C54C6"/>
    <w:lvl w:ilvl="0" w:tplc="B7EA39F2">
      <w:start w:val="1"/>
      <w:numFmt w:val="bullet"/>
      <w:lvlText w:val="-"/>
      <w:lvlJc w:val="left"/>
      <w:pPr>
        <w:ind w:left="720" w:hanging="360"/>
      </w:pPr>
      <w:rPr>
        <w:rFonts w:ascii="Calibri" w:hAnsi="Calibri" w:hint="default"/>
      </w:rPr>
    </w:lvl>
    <w:lvl w:ilvl="1" w:tplc="562677A2">
      <w:start w:val="1"/>
      <w:numFmt w:val="bullet"/>
      <w:lvlText w:val="o"/>
      <w:lvlJc w:val="left"/>
      <w:pPr>
        <w:ind w:left="1440" w:hanging="360"/>
      </w:pPr>
      <w:rPr>
        <w:rFonts w:ascii="Courier New" w:hAnsi="Courier New" w:hint="default"/>
      </w:rPr>
    </w:lvl>
    <w:lvl w:ilvl="2" w:tplc="F28A5702">
      <w:start w:val="1"/>
      <w:numFmt w:val="bullet"/>
      <w:lvlText w:val=""/>
      <w:lvlJc w:val="left"/>
      <w:pPr>
        <w:ind w:left="2160" w:hanging="360"/>
      </w:pPr>
      <w:rPr>
        <w:rFonts w:ascii="Wingdings" w:hAnsi="Wingdings" w:hint="default"/>
      </w:rPr>
    </w:lvl>
    <w:lvl w:ilvl="3" w:tplc="47CE09A2">
      <w:start w:val="1"/>
      <w:numFmt w:val="bullet"/>
      <w:lvlText w:val=""/>
      <w:lvlJc w:val="left"/>
      <w:pPr>
        <w:ind w:left="2880" w:hanging="360"/>
      </w:pPr>
      <w:rPr>
        <w:rFonts w:ascii="Symbol" w:hAnsi="Symbol" w:hint="default"/>
      </w:rPr>
    </w:lvl>
    <w:lvl w:ilvl="4" w:tplc="0728C302">
      <w:start w:val="1"/>
      <w:numFmt w:val="bullet"/>
      <w:lvlText w:val="o"/>
      <w:lvlJc w:val="left"/>
      <w:pPr>
        <w:ind w:left="3600" w:hanging="360"/>
      </w:pPr>
      <w:rPr>
        <w:rFonts w:ascii="Courier New" w:hAnsi="Courier New" w:hint="default"/>
      </w:rPr>
    </w:lvl>
    <w:lvl w:ilvl="5" w:tplc="C6CAAF0A">
      <w:start w:val="1"/>
      <w:numFmt w:val="bullet"/>
      <w:lvlText w:val=""/>
      <w:lvlJc w:val="left"/>
      <w:pPr>
        <w:ind w:left="4320" w:hanging="360"/>
      </w:pPr>
      <w:rPr>
        <w:rFonts w:ascii="Wingdings" w:hAnsi="Wingdings" w:hint="default"/>
      </w:rPr>
    </w:lvl>
    <w:lvl w:ilvl="6" w:tplc="9C76F614">
      <w:start w:val="1"/>
      <w:numFmt w:val="bullet"/>
      <w:lvlText w:val=""/>
      <w:lvlJc w:val="left"/>
      <w:pPr>
        <w:ind w:left="5040" w:hanging="360"/>
      </w:pPr>
      <w:rPr>
        <w:rFonts w:ascii="Symbol" w:hAnsi="Symbol" w:hint="default"/>
      </w:rPr>
    </w:lvl>
    <w:lvl w:ilvl="7" w:tplc="E77AF0C4">
      <w:start w:val="1"/>
      <w:numFmt w:val="bullet"/>
      <w:lvlText w:val="o"/>
      <w:lvlJc w:val="left"/>
      <w:pPr>
        <w:ind w:left="5760" w:hanging="360"/>
      </w:pPr>
      <w:rPr>
        <w:rFonts w:ascii="Courier New" w:hAnsi="Courier New" w:hint="default"/>
      </w:rPr>
    </w:lvl>
    <w:lvl w:ilvl="8" w:tplc="389ABEEE">
      <w:start w:val="1"/>
      <w:numFmt w:val="bullet"/>
      <w:lvlText w:val=""/>
      <w:lvlJc w:val="left"/>
      <w:pPr>
        <w:ind w:left="6480" w:hanging="360"/>
      </w:pPr>
      <w:rPr>
        <w:rFonts w:ascii="Wingdings" w:hAnsi="Wingdings" w:hint="default"/>
      </w:rPr>
    </w:lvl>
  </w:abstractNum>
  <w:abstractNum w:abstractNumId="26" w15:restartNumberingAfterBreak="0">
    <w:nsid w:val="5FDB24E5"/>
    <w:multiLevelType w:val="hybridMultilevel"/>
    <w:tmpl w:val="EA7A0A78"/>
    <w:lvl w:ilvl="0" w:tplc="89CCBCAE">
      <w:start w:val="1"/>
      <w:numFmt w:val="lowerRoman"/>
      <w:lvlText w:val="%1."/>
      <w:lvlJc w:val="left"/>
      <w:pPr>
        <w:ind w:left="1193" w:hanging="360"/>
      </w:pPr>
      <w:rPr>
        <w:rFonts w:hint="default"/>
      </w:rPr>
    </w:lvl>
    <w:lvl w:ilvl="1" w:tplc="08090019" w:tentative="1">
      <w:start w:val="1"/>
      <w:numFmt w:val="lowerLetter"/>
      <w:lvlText w:val="%2."/>
      <w:lvlJc w:val="left"/>
      <w:pPr>
        <w:ind w:left="1913" w:hanging="360"/>
      </w:pPr>
    </w:lvl>
    <w:lvl w:ilvl="2" w:tplc="0809001B" w:tentative="1">
      <w:start w:val="1"/>
      <w:numFmt w:val="lowerRoman"/>
      <w:lvlText w:val="%3."/>
      <w:lvlJc w:val="right"/>
      <w:pPr>
        <w:ind w:left="2633" w:hanging="180"/>
      </w:pPr>
    </w:lvl>
    <w:lvl w:ilvl="3" w:tplc="0809000F" w:tentative="1">
      <w:start w:val="1"/>
      <w:numFmt w:val="decimal"/>
      <w:lvlText w:val="%4."/>
      <w:lvlJc w:val="left"/>
      <w:pPr>
        <w:ind w:left="3353" w:hanging="360"/>
      </w:pPr>
    </w:lvl>
    <w:lvl w:ilvl="4" w:tplc="08090019" w:tentative="1">
      <w:start w:val="1"/>
      <w:numFmt w:val="lowerLetter"/>
      <w:lvlText w:val="%5."/>
      <w:lvlJc w:val="left"/>
      <w:pPr>
        <w:ind w:left="4073" w:hanging="360"/>
      </w:pPr>
    </w:lvl>
    <w:lvl w:ilvl="5" w:tplc="0809001B" w:tentative="1">
      <w:start w:val="1"/>
      <w:numFmt w:val="lowerRoman"/>
      <w:lvlText w:val="%6."/>
      <w:lvlJc w:val="right"/>
      <w:pPr>
        <w:ind w:left="4793" w:hanging="180"/>
      </w:pPr>
    </w:lvl>
    <w:lvl w:ilvl="6" w:tplc="0809000F" w:tentative="1">
      <w:start w:val="1"/>
      <w:numFmt w:val="decimal"/>
      <w:lvlText w:val="%7."/>
      <w:lvlJc w:val="left"/>
      <w:pPr>
        <w:ind w:left="5513" w:hanging="360"/>
      </w:pPr>
    </w:lvl>
    <w:lvl w:ilvl="7" w:tplc="08090019" w:tentative="1">
      <w:start w:val="1"/>
      <w:numFmt w:val="lowerLetter"/>
      <w:lvlText w:val="%8."/>
      <w:lvlJc w:val="left"/>
      <w:pPr>
        <w:ind w:left="6233" w:hanging="360"/>
      </w:pPr>
    </w:lvl>
    <w:lvl w:ilvl="8" w:tplc="0809001B" w:tentative="1">
      <w:start w:val="1"/>
      <w:numFmt w:val="lowerRoman"/>
      <w:lvlText w:val="%9."/>
      <w:lvlJc w:val="right"/>
      <w:pPr>
        <w:ind w:left="6953" w:hanging="180"/>
      </w:pPr>
    </w:lvl>
  </w:abstractNum>
  <w:abstractNum w:abstractNumId="27" w15:restartNumberingAfterBreak="0">
    <w:nsid w:val="6008534C"/>
    <w:multiLevelType w:val="hybridMultilevel"/>
    <w:tmpl w:val="AF38A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203A36"/>
    <w:multiLevelType w:val="hybridMultilevel"/>
    <w:tmpl w:val="6F2440C4"/>
    <w:lvl w:ilvl="0" w:tplc="0809001B">
      <w:start w:val="1"/>
      <w:numFmt w:val="lowerRoman"/>
      <w:lvlText w:val="%1."/>
      <w:lvlJc w:val="righ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9" w15:restartNumberingAfterBreak="0">
    <w:nsid w:val="684D3224"/>
    <w:multiLevelType w:val="hybridMultilevel"/>
    <w:tmpl w:val="9648D06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0" w15:restartNumberingAfterBreak="0">
    <w:nsid w:val="6D8B37E6"/>
    <w:multiLevelType w:val="hybridMultilevel"/>
    <w:tmpl w:val="470C060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CF54FA"/>
    <w:multiLevelType w:val="hybridMultilevel"/>
    <w:tmpl w:val="6F323B7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2" w15:restartNumberingAfterBreak="0">
    <w:nsid w:val="765D2E21"/>
    <w:multiLevelType w:val="hybridMultilevel"/>
    <w:tmpl w:val="8DEC311E"/>
    <w:lvl w:ilvl="0" w:tplc="08090001">
      <w:start w:val="1"/>
      <w:numFmt w:val="bullet"/>
      <w:lvlText w:val=""/>
      <w:lvlJc w:val="left"/>
      <w:pPr>
        <w:ind w:left="1210" w:hanging="360"/>
      </w:pPr>
      <w:rPr>
        <w:rFonts w:ascii="Symbol" w:hAnsi="Symbol" w:hint="default"/>
      </w:rPr>
    </w:lvl>
    <w:lvl w:ilvl="1" w:tplc="0B74B4EA">
      <w:start w:val="1"/>
      <w:numFmt w:val="bullet"/>
      <w:lvlText w:val="­"/>
      <w:lvlJc w:val="left"/>
      <w:pPr>
        <w:ind w:left="1800" w:hanging="360"/>
      </w:pPr>
      <w:rPr>
        <w:rFonts w:ascii="Courier New" w:hAnsi="Courier New" w:hint="default"/>
      </w:rPr>
    </w:lvl>
    <w:lvl w:ilvl="2" w:tplc="AFC6C55A">
      <w:start w:val="1"/>
      <w:numFmt w:val="bullet"/>
      <w:lvlText w:val="-"/>
      <w:lvlJc w:val="left"/>
      <w:pPr>
        <w:ind w:left="2520" w:hanging="360"/>
      </w:pPr>
      <w:rPr>
        <w:rFonts w:ascii="Calibri" w:eastAsiaTheme="minorHAnsi" w:hAnsi="Calibri" w:cs="Calibri"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11"/>
  </w:num>
  <w:num w:numId="3">
    <w:abstractNumId w:val="25"/>
  </w:num>
  <w:num w:numId="4">
    <w:abstractNumId w:val="15"/>
  </w:num>
  <w:num w:numId="5">
    <w:abstractNumId w:val="18"/>
  </w:num>
  <w:num w:numId="6">
    <w:abstractNumId w:val="13"/>
  </w:num>
  <w:num w:numId="7">
    <w:abstractNumId w:val="32"/>
  </w:num>
  <w:num w:numId="8">
    <w:abstractNumId w:val="3"/>
  </w:num>
  <w:num w:numId="9">
    <w:abstractNumId w:val="7"/>
  </w:num>
  <w:num w:numId="10">
    <w:abstractNumId w:val="16"/>
  </w:num>
  <w:num w:numId="11">
    <w:abstractNumId w:val="0"/>
  </w:num>
  <w:num w:numId="12">
    <w:abstractNumId w:val="22"/>
  </w:num>
  <w:num w:numId="13">
    <w:abstractNumId w:val="27"/>
  </w:num>
  <w:num w:numId="14">
    <w:abstractNumId w:val="4"/>
  </w:num>
  <w:num w:numId="15">
    <w:abstractNumId w:val="24"/>
  </w:num>
  <w:num w:numId="16">
    <w:abstractNumId w:val="2"/>
  </w:num>
  <w:num w:numId="17">
    <w:abstractNumId w:val="5"/>
  </w:num>
  <w:num w:numId="18">
    <w:abstractNumId w:val="23"/>
  </w:num>
  <w:num w:numId="19">
    <w:abstractNumId w:val="9"/>
  </w:num>
  <w:num w:numId="20">
    <w:abstractNumId w:val="14"/>
  </w:num>
  <w:num w:numId="21">
    <w:abstractNumId w:val="28"/>
  </w:num>
  <w:num w:numId="22">
    <w:abstractNumId w:val="20"/>
  </w:num>
  <w:num w:numId="23">
    <w:abstractNumId w:val="10"/>
  </w:num>
  <w:num w:numId="24">
    <w:abstractNumId w:val="30"/>
  </w:num>
  <w:num w:numId="25">
    <w:abstractNumId w:val="12"/>
  </w:num>
  <w:num w:numId="26">
    <w:abstractNumId w:val="19"/>
  </w:num>
  <w:num w:numId="27">
    <w:abstractNumId w:val="26"/>
  </w:num>
  <w:num w:numId="28">
    <w:abstractNumId w:val="29"/>
  </w:num>
  <w:num w:numId="29">
    <w:abstractNumId w:val="17"/>
  </w:num>
  <w:num w:numId="30">
    <w:abstractNumId w:val="21"/>
  </w:num>
  <w:num w:numId="31">
    <w:abstractNumId w:val="1"/>
  </w:num>
  <w:num w:numId="32">
    <w:abstractNumId w:val="8"/>
  </w:num>
  <w:num w:numId="33">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56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FB8"/>
    <w:rsid w:val="0000043C"/>
    <w:rsid w:val="00000A4A"/>
    <w:rsid w:val="00001C7D"/>
    <w:rsid w:val="00002720"/>
    <w:rsid w:val="00002F9C"/>
    <w:rsid w:val="00002FA3"/>
    <w:rsid w:val="0000494D"/>
    <w:rsid w:val="00007A6D"/>
    <w:rsid w:val="000109BE"/>
    <w:rsid w:val="00010F0F"/>
    <w:rsid w:val="0001102B"/>
    <w:rsid w:val="00012827"/>
    <w:rsid w:val="00012D16"/>
    <w:rsid w:val="0001379C"/>
    <w:rsid w:val="000145B1"/>
    <w:rsid w:val="00015778"/>
    <w:rsid w:val="00016A88"/>
    <w:rsid w:val="00020EE5"/>
    <w:rsid w:val="00021977"/>
    <w:rsid w:val="00021D66"/>
    <w:rsid w:val="00022FE4"/>
    <w:rsid w:val="00023D93"/>
    <w:rsid w:val="000241B8"/>
    <w:rsid w:val="00027C74"/>
    <w:rsid w:val="00031F37"/>
    <w:rsid w:val="0003353D"/>
    <w:rsid w:val="00034027"/>
    <w:rsid w:val="00034429"/>
    <w:rsid w:val="00034773"/>
    <w:rsid w:val="00034996"/>
    <w:rsid w:val="00041009"/>
    <w:rsid w:val="000425B8"/>
    <w:rsid w:val="00042694"/>
    <w:rsid w:val="00045C23"/>
    <w:rsid w:val="00046BA6"/>
    <w:rsid w:val="00047005"/>
    <w:rsid w:val="000479F0"/>
    <w:rsid w:val="00047DA8"/>
    <w:rsid w:val="00051817"/>
    <w:rsid w:val="00053BB0"/>
    <w:rsid w:val="00054DFC"/>
    <w:rsid w:val="000572DF"/>
    <w:rsid w:val="00060D65"/>
    <w:rsid w:val="00062F3B"/>
    <w:rsid w:val="00063060"/>
    <w:rsid w:val="0006492B"/>
    <w:rsid w:val="00064A2F"/>
    <w:rsid w:val="00066382"/>
    <w:rsid w:val="00067C61"/>
    <w:rsid w:val="000747A5"/>
    <w:rsid w:val="00074DC9"/>
    <w:rsid w:val="00077436"/>
    <w:rsid w:val="00077D72"/>
    <w:rsid w:val="00081887"/>
    <w:rsid w:val="00081C49"/>
    <w:rsid w:val="00081E33"/>
    <w:rsid w:val="00081FC0"/>
    <w:rsid w:val="00082A98"/>
    <w:rsid w:val="000844A6"/>
    <w:rsid w:val="00086126"/>
    <w:rsid w:val="00086DDE"/>
    <w:rsid w:val="00087EC5"/>
    <w:rsid w:val="000912DE"/>
    <w:rsid w:val="0009159B"/>
    <w:rsid w:val="000919BA"/>
    <w:rsid w:val="00091C8F"/>
    <w:rsid w:val="00092293"/>
    <w:rsid w:val="00092368"/>
    <w:rsid w:val="00093104"/>
    <w:rsid w:val="000932CA"/>
    <w:rsid w:val="000935BE"/>
    <w:rsid w:val="00093658"/>
    <w:rsid w:val="00093AC6"/>
    <w:rsid w:val="00093BB1"/>
    <w:rsid w:val="000A16A6"/>
    <w:rsid w:val="000A195C"/>
    <w:rsid w:val="000A293B"/>
    <w:rsid w:val="000A5C4C"/>
    <w:rsid w:val="000A66FE"/>
    <w:rsid w:val="000A75C5"/>
    <w:rsid w:val="000A7AF1"/>
    <w:rsid w:val="000B1694"/>
    <w:rsid w:val="000B1F99"/>
    <w:rsid w:val="000B4682"/>
    <w:rsid w:val="000B56C5"/>
    <w:rsid w:val="000B5B21"/>
    <w:rsid w:val="000B5E2E"/>
    <w:rsid w:val="000C3188"/>
    <w:rsid w:val="000C3354"/>
    <w:rsid w:val="000C3B92"/>
    <w:rsid w:val="000C6177"/>
    <w:rsid w:val="000C6AC6"/>
    <w:rsid w:val="000C71B6"/>
    <w:rsid w:val="000D395B"/>
    <w:rsid w:val="000D54A1"/>
    <w:rsid w:val="000D54E1"/>
    <w:rsid w:val="000D5902"/>
    <w:rsid w:val="000D594F"/>
    <w:rsid w:val="000D5A1C"/>
    <w:rsid w:val="000D63DF"/>
    <w:rsid w:val="000D7F50"/>
    <w:rsid w:val="000E02EF"/>
    <w:rsid w:val="000E1304"/>
    <w:rsid w:val="000E158F"/>
    <w:rsid w:val="000E2AF4"/>
    <w:rsid w:val="000E305C"/>
    <w:rsid w:val="000E59A3"/>
    <w:rsid w:val="000E6E70"/>
    <w:rsid w:val="000F25EF"/>
    <w:rsid w:val="000F4D36"/>
    <w:rsid w:val="000F61E2"/>
    <w:rsid w:val="001008B4"/>
    <w:rsid w:val="00101D13"/>
    <w:rsid w:val="00102067"/>
    <w:rsid w:val="00104BE2"/>
    <w:rsid w:val="001061F5"/>
    <w:rsid w:val="00106F90"/>
    <w:rsid w:val="00107EF9"/>
    <w:rsid w:val="00110E53"/>
    <w:rsid w:val="001137F8"/>
    <w:rsid w:val="001137FD"/>
    <w:rsid w:val="00114773"/>
    <w:rsid w:val="0011590B"/>
    <w:rsid w:val="00115EB2"/>
    <w:rsid w:val="00116BF8"/>
    <w:rsid w:val="00120FFC"/>
    <w:rsid w:val="001234DF"/>
    <w:rsid w:val="001237B9"/>
    <w:rsid w:val="0012402F"/>
    <w:rsid w:val="00125486"/>
    <w:rsid w:val="001258C5"/>
    <w:rsid w:val="00127E63"/>
    <w:rsid w:val="00131ADA"/>
    <w:rsid w:val="00131FD7"/>
    <w:rsid w:val="00134BA0"/>
    <w:rsid w:val="00135192"/>
    <w:rsid w:val="0014100E"/>
    <w:rsid w:val="00141530"/>
    <w:rsid w:val="0014157C"/>
    <w:rsid w:val="00141D11"/>
    <w:rsid w:val="00142557"/>
    <w:rsid w:val="001428A3"/>
    <w:rsid w:val="00143602"/>
    <w:rsid w:val="00143A67"/>
    <w:rsid w:val="00144197"/>
    <w:rsid w:val="00144CE0"/>
    <w:rsid w:val="00146DC5"/>
    <w:rsid w:val="00150B2A"/>
    <w:rsid w:val="00151039"/>
    <w:rsid w:val="001522DA"/>
    <w:rsid w:val="001525AC"/>
    <w:rsid w:val="00154178"/>
    <w:rsid w:val="001543EA"/>
    <w:rsid w:val="001564C6"/>
    <w:rsid w:val="001604B5"/>
    <w:rsid w:val="001615EE"/>
    <w:rsid w:val="00161960"/>
    <w:rsid w:val="0016320F"/>
    <w:rsid w:val="00166112"/>
    <w:rsid w:val="00167E01"/>
    <w:rsid w:val="00167F5F"/>
    <w:rsid w:val="00170EB9"/>
    <w:rsid w:val="00172066"/>
    <w:rsid w:val="00172D6E"/>
    <w:rsid w:val="00173630"/>
    <w:rsid w:val="00173CE7"/>
    <w:rsid w:val="00176BDF"/>
    <w:rsid w:val="001771D7"/>
    <w:rsid w:val="0017753E"/>
    <w:rsid w:val="00186C88"/>
    <w:rsid w:val="00191B74"/>
    <w:rsid w:val="001A0ACF"/>
    <w:rsid w:val="001A0BC7"/>
    <w:rsid w:val="001A19C4"/>
    <w:rsid w:val="001A4407"/>
    <w:rsid w:val="001A663F"/>
    <w:rsid w:val="001A6BCA"/>
    <w:rsid w:val="001B0AE2"/>
    <w:rsid w:val="001B0D72"/>
    <w:rsid w:val="001B29E7"/>
    <w:rsid w:val="001B2ED9"/>
    <w:rsid w:val="001B3FF2"/>
    <w:rsid w:val="001B44E6"/>
    <w:rsid w:val="001B4C65"/>
    <w:rsid w:val="001B53BE"/>
    <w:rsid w:val="001B5D21"/>
    <w:rsid w:val="001B7657"/>
    <w:rsid w:val="001B7858"/>
    <w:rsid w:val="001B7E1A"/>
    <w:rsid w:val="001C006F"/>
    <w:rsid w:val="001C05E7"/>
    <w:rsid w:val="001C07A4"/>
    <w:rsid w:val="001C19A1"/>
    <w:rsid w:val="001C43E8"/>
    <w:rsid w:val="001C64B2"/>
    <w:rsid w:val="001D0413"/>
    <w:rsid w:val="001D2365"/>
    <w:rsid w:val="001D3733"/>
    <w:rsid w:val="001D394F"/>
    <w:rsid w:val="001D3E01"/>
    <w:rsid w:val="001D4ED5"/>
    <w:rsid w:val="001D56E3"/>
    <w:rsid w:val="001D5CA2"/>
    <w:rsid w:val="001D7C77"/>
    <w:rsid w:val="001E30B2"/>
    <w:rsid w:val="001E50EA"/>
    <w:rsid w:val="001E6622"/>
    <w:rsid w:val="001E691D"/>
    <w:rsid w:val="001E7323"/>
    <w:rsid w:val="001E7681"/>
    <w:rsid w:val="001F04E0"/>
    <w:rsid w:val="001F11EC"/>
    <w:rsid w:val="001F33A0"/>
    <w:rsid w:val="001F3C75"/>
    <w:rsid w:val="001F531E"/>
    <w:rsid w:val="001F6AD3"/>
    <w:rsid w:val="001F7678"/>
    <w:rsid w:val="001F7875"/>
    <w:rsid w:val="001F7AAA"/>
    <w:rsid w:val="001F7F26"/>
    <w:rsid w:val="00202B07"/>
    <w:rsid w:val="0020311D"/>
    <w:rsid w:val="0020317B"/>
    <w:rsid w:val="00203D52"/>
    <w:rsid w:val="00204BCB"/>
    <w:rsid w:val="00204CC9"/>
    <w:rsid w:val="00204E02"/>
    <w:rsid w:val="00205F78"/>
    <w:rsid w:val="002061F9"/>
    <w:rsid w:val="00206585"/>
    <w:rsid w:val="00206EBE"/>
    <w:rsid w:val="0020720F"/>
    <w:rsid w:val="00210935"/>
    <w:rsid w:val="00211332"/>
    <w:rsid w:val="002128FF"/>
    <w:rsid w:val="00212C9A"/>
    <w:rsid w:val="002142D3"/>
    <w:rsid w:val="0021456A"/>
    <w:rsid w:val="002164CE"/>
    <w:rsid w:val="0021784D"/>
    <w:rsid w:val="00220745"/>
    <w:rsid w:val="002214B8"/>
    <w:rsid w:val="00221D09"/>
    <w:rsid w:val="00223A43"/>
    <w:rsid w:val="00226070"/>
    <w:rsid w:val="00230C7A"/>
    <w:rsid w:val="00231248"/>
    <w:rsid w:val="00233E58"/>
    <w:rsid w:val="00235ADB"/>
    <w:rsid w:val="002362AE"/>
    <w:rsid w:val="002410F4"/>
    <w:rsid w:val="00241393"/>
    <w:rsid w:val="00241F5F"/>
    <w:rsid w:val="00243BD9"/>
    <w:rsid w:val="00244096"/>
    <w:rsid w:val="00244ACB"/>
    <w:rsid w:val="002456B0"/>
    <w:rsid w:val="00246476"/>
    <w:rsid w:val="00246BF9"/>
    <w:rsid w:val="00250611"/>
    <w:rsid w:val="00250ACC"/>
    <w:rsid w:val="00251660"/>
    <w:rsid w:val="0025270A"/>
    <w:rsid w:val="00253288"/>
    <w:rsid w:val="002534A3"/>
    <w:rsid w:val="00253AA0"/>
    <w:rsid w:val="00253D47"/>
    <w:rsid w:val="0025450B"/>
    <w:rsid w:val="002549F0"/>
    <w:rsid w:val="00254AF9"/>
    <w:rsid w:val="00256A30"/>
    <w:rsid w:val="00260669"/>
    <w:rsid w:val="00261BAE"/>
    <w:rsid w:val="00261BD8"/>
    <w:rsid w:val="002625F5"/>
    <w:rsid w:val="002645C7"/>
    <w:rsid w:val="00266AF0"/>
    <w:rsid w:val="0026753C"/>
    <w:rsid w:val="0026766A"/>
    <w:rsid w:val="00267B3F"/>
    <w:rsid w:val="00270D56"/>
    <w:rsid w:val="0027133B"/>
    <w:rsid w:val="00272E3C"/>
    <w:rsid w:val="00275CED"/>
    <w:rsid w:val="00276784"/>
    <w:rsid w:val="002772FF"/>
    <w:rsid w:val="00277489"/>
    <w:rsid w:val="00277D40"/>
    <w:rsid w:val="0028031F"/>
    <w:rsid w:val="00281695"/>
    <w:rsid w:val="00281937"/>
    <w:rsid w:val="00281996"/>
    <w:rsid w:val="002823C8"/>
    <w:rsid w:val="0028246D"/>
    <w:rsid w:val="00282D13"/>
    <w:rsid w:val="00282EBB"/>
    <w:rsid w:val="00284D92"/>
    <w:rsid w:val="00285456"/>
    <w:rsid w:val="00286E14"/>
    <w:rsid w:val="002917E5"/>
    <w:rsid w:val="00292879"/>
    <w:rsid w:val="00292A1B"/>
    <w:rsid w:val="00293AB8"/>
    <w:rsid w:val="00293B5C"/>
    <w:rsid w:val="00294963"/>
    <w:rsid w:val="00296B78"/>
    <w:rsid w:val="002A0C31"/>
    <w:rsid w:val="002A1915"/>
    <w:rsid w:val="002A1DA5"/>
    <w:rsid w:val="002A31AF"/>
    <w:rsid w:val="002A3B50"/>
    <w:rsid w:val="002A41EF"/>
    <w:rsid w:val="002A5D56"/>
    <w:rsid w:val="002A6B8F"/>
    <w:rsid w:val="002A6FEF"/>
    <w:rsid w:val="002B2FDD"/>
    <w:rsid w:val="002B32E9"/>
    <w:rsid w:val="002B44CA"/>
    <w:rsid w:val="002B5E1C"/>
    <w:rsid w:val="002C029B"/>
    <w:rsid w:val="002C0C40"/>
    <w:rsid w:val="002C1A7F"/>
    <w:rsid w:val="002C24AF"/>
    <w:rsid w:val="002C2C09"/>
    <w:rsid w:val="002C3699"/>
    <w:rsid w:val="002C5B63"/>
    <w:rsid w:val="002C7598"/>
    <w:rsid w:val="002C7FA2"/>
    <w:rsid w:val="002D0906"/>
    <w:rsid w:val="002D0A62"/>
    <w:rsid w:val="002D21F7"/>
    <w:rsid w:val="002D2249"/>
    <w:rsid w:val="002D2F12"/>
    <w:rsid w:val="002D4C75"/>
    <w:rsid w:val="002D5A9B"/>
    <w:rsid w:val="002D5BAB"/>
    <w:rsid w:val="002D65FF"/>
    <w:rsid w:val="002E05B7"/>
    <w:rsid w:val="002E140A"/>
    <w:rsid w:val="002E253C"/>
    <w:rsid w:val="002E6747"/>
    <w:rsid w:val="002E6C7C"/>
    <w:rsid w:val="002E78EF"/>
    <w:rsid w:val="002F0AD3"/>
    <w:rsid w:val="002F1527"/>
    <w:rsid w:val="002F22AA"/>
    <w:rsid w:val="002F332A"/>
    <w:rsid w:val="002F502D"/>
    <w:rsid w:val="002F58F8"/>
    <w:rsid w:val="002F662B"/>
    <w:rsid w:val="002F676B"/>
    <w:rsid w:val="002F73E9"/>
    <w:rsid w:val="00300649"/>
    <w:rsid w:val="003007F4"/>
    <w:rsid w:val="00302130"/>
    <w:rsid w:val="00302FB5"/>
    <w:rsid w:val="003032DA"/>
    <w:rsid w:val="00304A50"/>
    <w:rsid w:val="003072A6"/>
    <w:rsid w:val="0031096B"/>
    <w:rsid w:val="003109BF"/>
    <w:rsid w:val="00312202"/>
    <w:rsid w:val="003128B2"/>
    <w:rsid w:val="00313EE7"/>
    <w:rsid w:val="00316581"/>
    <w:rsid w:val="0031686B"/>
    <w:rsid w:val="00320BF9"/>
    <w:rsid w:val="00320C4D"/>
    <w:rsid w:val="003218C1"/>
    <w:rsid w:val="0032482F"/>
    <w:rsid w:val="00324A30"/>
    <w:rsid w:val="00327A95"/>
    <w:rsid w:val="003304D6"/>
    <w:rsid w:val="00331743"/>
    <w:rsid w:val="00332D51"/>
    <w:rsid w:val="00335B27"/>
    <w:rsid w:val="00336004"/>
    <w:rsid w:val="00336134"/>
    <w:rsid w:val="0033708A"/>
    <w:rsid w:val="00340D2B"/>
    <w:rsid w:val="00340DC8"/>
    <w:rsid w:val="0034177B"/>
    <w:rsid w:val="00342850"/>
    <w:rsid w:val="00343401"/>
    <w:rsid w:val="003463C0"/>
    <w:rsid w:val="00347037"/>
    <w:rsid w:val="00347050"/>
    <w:rsid w:val="003500B6"/>
    <w:rsid w:val="0035234F"/>
    <w:rsid w:val="00357A91"/>
    <w:rsid w:val="0036170A"/>
    <w:rsid w:val="00362BBD"/>
    <w:rsid w:val="00365631"/>
    <w:rsid w:val="00366992"/>
    <w:rsid w:val="00366A46"/>
    <w:rsid w:val="0036745D"/>
    <w:rsid w:val="0036756E"/>
    <w:rsid w:val="00370328"/>
    <w:rsid w:val="003709D4"/>
    <w:rsid w:val="00370F29"/>
    <w:rsid w:val="00373365"/>
    <w:rsid w:val="003748FD"/>
    <w:rsid w:val="0038296F"/>
    <w:rsid w:val="00382C8C"/>
    <w:rsid w:val="00383294"/>
    <w:rsid w:val="00383B6A"/>
    <w:rsid w:val="00384D85"/>
    <w:rsid w:val="00385747"/>
    <w:rsid w:val="003910BE"/>
    <w:rsid w:val="00391A45"/>
    <w:rsid w:val="00393E37"/>
    <w:rsid w:val="00394574"/>
    <w:rsid w:val="00395490"/>
    <w:rsid w:val="00395806"/>
    <w:rsid w:val="00397A97"/>
    <w:rsid w:val="003A13CF"/>
    <w:rsid w:val="003A210E"/>
    <w:rsid w:val="003A2B02"/>
    <w:rsid w:val="003A2DCD"/>
    <w:rsid w:val="003A6D2A"/>
    <w:rsid w:val="003A7765"/>
    <w:rsid w:val="003A7E2F"/>
    <w:rsid w:val="003B0761"/>
    <w:rsid w:val="003B18F4"/>
    <w:rsid w:val="003B4E58"/>
    <w:rsid w:val="003B50AF"/>
    <w:rsid w:val="003B58AB"/>
    <w:rsid w:val="003B649D"/>
    <w:rsid w:val="003B71DC"/>
    <w:rsid w:val="003B77B3"/>
    <w:rsid w:val="003B79F0"/>
    <w:rsid w:val="003C1D3E"/>
    <w:rsid w:val="003C390B"/>
    <w:rsid w:val="003C3F49"/>
    <w:rsid w:val="003C414E"/>
    <w:rsid w:val="003C427C"/>
    <w:rsid w:val="003C52A2"/>
    <w:rsid w:val="003C64E9"/>
    <w:rsid w:val="003D0F18"/>
    <w:rsid w:val="003D13D5"/>
    <w:rsid w:val="003D1AF2"/>
    <w:rsid w:val="003D1BD5"/>
    <w:rsid w:val="003D35F2"/>
    <w:rsid w:val="003D4C69"/>
    <w:rsid w:val="003D541C"/>
    <w:rsid w:val="003E2322"/>
    <w:rsid w:val="003E2E63"/>
    <w:rsid w:val="003E325C"/>
    <w:rsid w:val="003E4230"/>
    <w:rsid w:val="003E4686"/>
    <w:rsid w:val="003E6853"/>
    <w:rsid w:val="003F12EC"/>
    <w:rsid w:val="003F1A30"/>
    <w:rsid w:val="003F4AEB"/>
    <w:rsid w:val="003F55C6"/>
    <w:rsid w:val="003F56EF"/>
    <w:rsid w:val="003F7361"/>
    <w:rsid w:val="003F7BA1"/>
    <w:rsid w:val="003F7C2E"/>
    <w:rsid w:val="004008E0"/>
    <w:rsid w:val="00401482"/>
    <w:rsid w:val="00402576"/>
    <w:rsid w:val="00402B85"/>
    <w:rsid w:val="0040360E"/>
    <w:rsid w:val="00403C46"/>
    <w:rsid w:val="00403F48"/>
    <w:rsid w:val="00403F54"/>
    <w:rsid w:val="004040E3"/>
    <w:rsid w:val="00404AA4"/>
    <w:rsid w:val="00405547"/>
    <w:rsid w:val="004055EA"/>
    <w:rsid w:val="00405735"/>
    <w:rsid w:val="00405CBD"/>
    <w:rsid w:val="004079F7"/>
    <w:rsid w:val="00410C6A"/>
    <w:rsid w:val="00410DC5"/>
    <w:rsid w:val="00411BD9"/>
    <w:rsid w:val="00412590"/>
    <w:rsid w:val="004141B3"/>
    <w:rsid w:val="00416877"/>
    <w:rsid w:val="00422270"/>
    <w:rsid w:val="00423588"/>
    <w:rsid w:val="00423F68"/>
    <w:rsid w:val="00425CCE"/>
    <w:rsid w:val="00425DBE"/>
    <w:rsid w:val="0042782C"/>
    <w:rsid w:val="00430CC1"/>
    <w:rsid w:val="00431E5C"/>
    <w:rsid w:val="004354FD"/>
    <w:rsid w:val="00443191"/>
    <w:rsid w:val="00443490"/>
    <w:rsid w:val="00443B2A"/>
    <w:rsid w:val="0044428D"/>
    <w:rsid w:val="00444C4A"/>
    <w:rsid w:val="00445093"/>
    <w:rsid w:val="00445FFD"/>
    <w:rsid w:val="00446D1C"/>
    <w:rsid w:val="00447092"/>
    <w:rsid w:val="00450A40"/>
    <w:rsid w:val="0045226A"/>
    <w:rsid w:val="00452CB9"/>
    <w:rsid w:val="00452D98"/>
    <w:rsid w:val="0045434D"/>
    <w:rsid w:val="00454CBD"/>
    <w:rsid w:val="0045585D"/>
    <w:rsid w:val="00456438"/>
    <w:rsid w:val="00456BCF"/>
    <w:rsid w:val="0045725C"/>
    <w:rsid w:val="004578EC"/>
    <w:rsid w:val="00460039"/>
    <w:rsid w:val="004603B4"/>
    <w:rsid w:val="00460ED2"/>
    <w:rsid w:val="0046120A"/>
    <w:rsid w:val="00461771"/>
    <w:rsid w:val="00462756"/>
    <w:rsid w:val="004664A2"/>
    <w:rsid w:val="004715D0"/>
    <w:rsid w:val="004738DB"/>
    <w:rsid w:val="00473E28"/>
    <w:rsid w:val="0047660F"/>
    <w:rsid w:val="00477FB0"/>
    <w:rsid w:val="004812A3"/>
    <w:rsid w:val="004823C2"/>
    <w:rsid w:val="0048302A"/>
    <w:rsid w:val="00483E5C"/>
    <w:rsid w:val="00490BE5"/>
    <w:rsid w:val="004948B5"/>
    <w:rsid w:val="0049686B"/>
    <w:rsid w:val="004969F3"/>
    <w:rsid w:val="00496CF9"/>
    <w:rsid w:val="004A2378"/>
    <w:rsid w:val="004A37C4"/>
    <w:rsid w:val="004A40BF"/>
    <w:rsid w:val="004A476E"/>
    <w:rsid w:val="004A626E"/>
    <w:rsid w:val="004A6874"/>
    <w:rsid w:val="004A6CC9"/>
    <w:rsid w:val="004B01AA"/>
    <w:rsid w:val="004B03BD"/>
    <w:rsid w:val="004B0950"/>
    <w:rsid w:val="004B09AD"/>
    <w:rsid w:val="004B09E6"/>
    <w:rsid w:val="004B28D3"/>
    <w:rsid w:val="004B3CB6"/>
    <w:rsid w:val="004B4E30"/>
    <w:rsid w:val="004B5A95"/>
    <w:rsid w:val="004B762C"/>
    <w:rsid w:val="004B7647"/>
    <w:rsid w:val="004C05E1"/>
    <w:rsid w:val="004C0629"/>
    <w:rsid w:val="004C1037"/>
    <w:rsid w:val="004C2ED1"/>
    <w:rsid w:val="004C4066"/>
    <w:rsid w:val="004C44CE"/>
    <w:rsid w:val="004C6067"/>
    <w:rsid w:val="004C7D32"/>
    <w:rsid w:val="004D0585"/>
    <w:rsid w:val="004D2127"/>
    <w:rsid w:val="004D35A3"/>
    <w:rsid w:val="004D3756"/>
    <w:rsid w:val="004D3C32"/>
    <w:rsid w:val="004D4C77"/>
    <w:rsid w:val="004D71F6"/>
    <w:rsid w:val="004D7A6C"/>
    <w:rsid w:val="004D7FA3"/>
    <w:rsid w:val="004E0655"/>
    <w:rsid w:val="004E14B1"/>
    <w:rsid w:val="004E352A"/>
    <w:rsid w:val="004E3B81"/>
    <w:rsid w:val="004E4283"/>
    <w:rsid w:val="004E5EF4"/>
    <w:rsid w:val="004E6CA7"/>
    <w:rsid w:val="004E737E"/>
    <w:rsid w:val="004E7E51"/>
    <w:rsid w:val="004F0BC4"/>
    <w:rsid w:val="004F0CF6"/>
    <w:rsid w:val="004F66B6"/>
    <w:rsid w:val="004F701D"/>
    <w:rsid w:val="005011F1"/>
    <w:rsid w:val="0050249F"/>
    <w:rsid w:val="0050301F"/>
    <w:rsid w:val="005045B7"/>
    <w:rsid w:val="005048DB"/>
    <w:rsid w:val="005051ED"/>
    <w:rsid w:val="00506E65"/>
    <w:rsid w:val="00510A44"/>
    <w:rsid w:val="00511DEE"/>
    <w:rsid w:val="00511E13"/>
    <w:rsid w:val="00513085"/>
    <w:rsid w:val="00515614"/>
    <w:rsid w:val="005156F5"/>
    <w:rsid w:val="00515E5B"/>
    <w:rsid w:val="00516BA5"/>
    <w:rsid w:val="00516CE6"/>
    <w:rsid w:val="00517125"/>
    <w:rsid w:val="005173FE"/>
    <w:rsid w:val="005175BB"/>
    <w:rsid w:val="00520772"/>
    <w:rsid w:val="00520F06"/>
    <w:rsid w:val="00521589"/>
    <w:rsid w:val="0052182C"/>
    <w:rsid w:val="005220F3"/>
    <w:rsid w:val="005260D7"/>
    <w:rsid w:val="005276A9"/>
    <w:rsid w:val="0053235A"/>
    <w:rsid w:val="00532BFA"/>
    <w:rsid w:val="0053332C"/>
    <w:rsid w:val="00533501"/>
    <w:rsid w:val="00535AEB"/>
    <w:rsid w:val="00535FA7"/>
    <w:rsid w:val="00536B32"/>
    <w:rsid w:val="0053732E"/>
    <w:rsid w:val="005400CC"/>
    <w:rsid w:val="00540519"/>
    <w:rsid w:val="00540CE0"/>
    <w:rsid w:val="00541447"/>
    <w:rsid w:val="005419EA"/>
    <w:rsid w:val="0054298A"/>
    <w:rsid w:val="005439B6"/>
    <w:rsid w:val="00543BCB"/>
    <w:rsid w:val="005450A8"/>
    <w:rsid w:val="00547386"/>
    <w:rsid w:val="005476BF"/>
    <w:rsid w:val="00547DE4"/>
    <w:rsid w:val="00550B71"/>
    <w:rsid w:val="00550E9B"/>
    <w:rsid w:val="005574C7"/>
    <w:rsid w:val="00560711"/>
    <w:rsid w:val="00560E20"/>
    <w:rsid w:val="00560ED9"/>
    <w:rsid w:val="00561D51"/>
    <w:rsid w:val="00563B03"/>
    <w:rsid w:val="0056481C"/>
    <w:rsid w:val="00565EB7"/>
    <w:rsid w:val="00567737"/>
    <w:rsid w:val="00570621"/>
    <w:rsid w:val="00570882"/>
    <w:rsid w:val="00570F86"/>
    <w:rsid w:val="005714A0"/>
    <w:rsid w:val="0057213E"/>
    <w:rsid w:val="0057283A"/>
    <w:rsid w:val="0057402E"/>
    <w:rsid w:val="00574733"/>
    <w:rsid w:val="00575842"/>
    <w:rsid w:val="00576531"/>
    <w:rsid w:val="00577759"/>
    <w:rsid w:val="00577C24"/>
    <w:rsid w:val="00580079"/>
    <w:rsid w:val="00581249"/>
    <w:rsid w:val="0058201C"/>
    <w:rsid w:val="00585477"/>
    <w:rsid w:val="00585694"/>
    <w:rsid w:val="0058733D"/>
    <w:rsid w:val="005875D1"/>
    <w:rsid w:val="0058770D"/>
    <w:rsid w:val="00590D44"/>
    <w:rsid w:val="005910E4"/>
    <w:rsid w:val="005911A2"/>
    <w:rsid w:val="005918F1"/>
    <w:rsid w:val="00591B61"/>
    <w:rsid w:val="00591C25"/>
    <w:rsid w:val="0059239E"/>
    <w:rsid w:val="005926DF"/>
    <w:rsid w:val="0059345B"/>
    <w:rsid w:val="005948F3"/>
    <w:rsid w:val="00595FC4"/>
    <w:rsid w:val="00596B4A"/>
    <w:rsid w:val="00597507"/>
    <w:rsid w:val="005A0FDA"/>
    <w:rsid w:val="005A13BA"/>
    <w:rsid w:val="005A2468"/>
    <w:rsid w:val="005A3333"/>
    <w:rsid w:val="005A37B8"/>
    <w:rsid w:val="005A3BAD"/>
    <w:rsid w:val="005A5780"/>
    <w:rsid w:val="005A63B1"/>
    <w:rsid w:val="005B03D6"/>
    <w:rsid w:val="005B04BF"/>
    <w:rsid w:val="005B0649"/>
    <w:rsid w:val="005B2D10"/>
    <w:rsid w:val="005B5E53"/>
    <w:rsid w:val="005B63AF"/>
    <w:rsid w:val="005C1906"/>
    <w:rsid w:val="005C1A8F"/>
    <w:rsid w:val="005C28FB"/>
    <w:rsid w:val="005C312F"/>
    <w:rsid w:val="005C3966"/>
    <w:rsid w:val="005C3A8A"/>
    <w:rsid w:val="005C57C8"/>
    <w:rsid w:val="005C667D"/>
    <w:rsid w:val="005C682A"/>
    <w:rsid w:val="005D043B"/>
    <w:rsid w:val="005D05E1"/>
    <w:rsid w:val="005D7408"/>
    <w:rsid w:val="005E0C03"/>
    <w:rsid w:val="005E1D86"/>
    <w:rsid w:val="005E2146"/>
    <w:rsid w:val="005E22F2"/>
    <w:rsid w:val="005E2F3C"/>
    <w:rsid w:val="005E3B2F"/>
    <w:rsid w:val="005E5AD4"/>
    <w:rsid w:val="005E692C"/>
    <w:rsid w:val="005E73D9"/>
    <w:rsid w:val="005E7461"/>
    <w:rsid w:val="005F155D"/>
    <w:rsid w:val="005F2999"/>
    <w:rsid w:val="005F2ECA"/>
    <w:rsid w:val="005F4507"/>
    <w:rsid w:val="005F5926"/>
    <w:rsid w:val="0060101F"/>
    <w:rsid w:val="00601A03"/>
    <w:rsid w:val="00601D32"/>
    <w:rsid w:val="00602A6A"/>
    <w:rsid w:val="00603B06"/>
    <w:rsid w:val="00604B8F"/>
    <w:rsid w:val="00604D41"/>
    <w:rsid w:val="006074A0"/>
    <w:rsid w:val="00607D34"/>
    <w:rsid w:val="006105BD"/>
    <w:rsid w:val="006121C0"/>
    <w:rsid w:val="00613C68"/>
    <w:rsid w:val="00616183"/>
    <w:rsid w:val="006163C0"/>
    <w:rsid w:val="00620259"/>
    <w:rsid w:val="00621277"/>
    <w:rsid w:val="0062241F"/>
    <w:rsid w:val="00622EE0"/>
    <w:rsid w:val="00622FAB"/>
    <w:rsid w:val="006246BB"/>
    <w:rsid w:val="00624AB0"/>
    <w:rsid w:val="00626786"/>
    <w:rsid w:val="00626FDB"/>
    <w:rsid w:val="00630957"/>
    <w:rsid w:val="006311D7"/>
    <w:rsid w:val="0063165E"/>
    <w:rsid w:val="00631E32"/>
    <w:rsid w:val="006339BC"/>
    <w:rsid w:val="00636522"/>
    <w:rsid w:val="00640A50"/>
    <w:rsid w:val="00642F88"/>
    <w:rsid w:val="006441D6"/>
    <w:rsid w:val="00646AAE"/>
    <w:rsid w:val="00651B32"/>
    <w:rsid w:val="006525B7"/>
    <w:rsid w:val="00652DF0"/>
    <w:rsid w:val="00652E6C"/>
    <w:rsid w:val="006535A3"/>
    <w:rsid w:val="00656F3D"/>
    <w:rsid w:val="006602B8"/>
    <w:rsid w:val="00661990"/>
    <w:rsid w:val="00661F92"/>
    <w:rsid w:val="00662A2C"/>
    <w:rsid w:val="00662E32"/>
    <w:rsid w:val="00663612"/>
    <w:rsid w:val="00665625"/>
    <w:rsid w:val="00665B64"/>
    <w:rsid w:val="00666665"/>
    <w:rsid w:val="00666DC5"/>
    <w:rsid w:val="00667680"/>
    <w:rsid w:val="00670185"/>
    <w:rsid w:val="0067109A"/>
    <w:rsid w:val="006722D1"/>
    <w:rsid w:val="00675A4C"/>
    <w:rsid w:val="006760B6"/>
    <w:rsid w:val="00677A29"/>
    <w:rsid w:val="00680202"/>
    <w:rsid w:val="00681058"/>
    <w:rsid w:val="006827DA"/>
    <w:rsid w:val="00684351"/>
    <w:rsid w:val="00685173"/>
    <w:rsid w:val="006862D5"/>
    <w:rsid w:val="006864B6"/>
    <w:rsid w:val="00686EBE"/>
    <w:rsid w:val="006903A7"/>
    <w:rsid w:val="006910E3"/>
    <w:rsid w:val="00692275"/>
    <w:rsid w:val="00692366"/>
    <w:rsid w:val="006924FE"/>
    <w:rsid w:val="006A18C8"/>
    <w:rsid w:val="006A1D73"/>
    <w:rsid w:val="006A31A9"/>
    <w:rsid w:val="006A3761"/>
    <w:rsid w:val="006A4B0E"/>
    <w:rsid w:val="006A4D06"/>
    <w:rsid w:val="006A5AEA"/>
    <w:rsid w:val="006A5D2E"/>
    <w:rsid w:val="006A6FDB"/>
    <w:rsid w:val="006B0AC1"/>
    <w:rsid w:val="006B0BD2"/>
    <w:rsid w:val="006B22F0"/>
    <w:rsid w:val="006B2DE7"/>
    <w:rsid w:val="006B5142"/>
    <w:rsid w:val="006B5596"/>
    <w:rsid w:val="006B5736"/>
    <w:rsid w:val="006B70AE"/>
    <w:rsid w:val="006C12CF"/>
    <w:rsid w:val="006C34AF"/>
    <w:rsid w:val="006C3BE4"/>
    <w:rsid w:val="006C502A"/>
    <w:rsid w:val="006C69D3"/>
    <w:rsid w:val="006C6DC5"/>
    <w:rsid w:val="006D0E35"/>
    <w:rsid w:val="006D14EF"/>
    <w:rsid w:val="006D15C9"/>
    <w:rsid w:val="006D32CD"/>
    <w:rsid w:val="006D3E70"/>
    <w:rsid w:val="006D46B7"/>
    <w:rsid w:val="006D50FA"/>
    <w:rsid w:val="006D52A5"/>
    <w:rsid w:val="006D5B04"/>
    <w:rsid w:val="006D6655"/>
    <w:rsid w:val="006D6992"/>
    <w:rsid w:val="006E1A57"/>
    <w:rsid w:val="006E3318"/>
    <w:rsid w:val="006E53B7"/>
    <w:rsid w:val="006E620E"/>
    <w:rsid w:val="006E64ED"/>
    <w:rsid w:val="006E66CA"/>
    <w:rsid w:val="006F08F5"/>
    <w:rsid w:val="006F12C0"/>
    <w:rsid w:val="006F1F19"/>
    <w:rsid w:val="006F23EF"/>
    <w:rsid w:val="006F283E"/>
    <w:rsid w:val="006F2FF2"/>
    <w:rsid w:val="006F3283"/>
    <w:rsid w:val="006F48E8"/>
    <w:rsid w:val="006F4A50"/>
    <w:rsid w:val="006F790F"/>
    <w:rsid w:val="0070027E"/>
    <w:rsid w:val="00700762"/>
    <w:rsid w:val="00701D82"/>
    <w:rsid w:val="00701E8A"/>
    <w:rsid w:val="00703FA8"/>
    <w:rsid w:val="0070463B"/>
    <w:rsid w:val="00705749"/>
    <w:rsid w:val="00707D6F"/>
    <w:rsid w:val="00707E83"/>
    <w:rsid w:val="00710932"/>
    <w:rsid w:val="0071220F"/>
    <w:rsid w:val="0071334E"/>
    <w:rsid w:val="00713782"/>
    <w:rsid w:val="0071474A"/>
    <w:rsid w:val="00715A00"/>
    <w:rsid w:val="00715D09"/>
    <w:rsid w:val="00720F05"/>
    <w:rsid w:val="00722335"/>
    <w:rsid w:val="007228D7"/>
    <w:rsid w:val="00723163"/>
    <w:rsid w:val="00724729"/>
    <w:rsid w:val="00724804"/>
    <w:rsid w:val="00724F0A"/>
    <w:rsid w:val="00725DFF"/>
    <w:rsid w:val="00726642"/>
    <w:rsid w:val="007276F3"/>
    <w:rsid w:val="00727A12"/>
    <w:rsid w:val="00727EB3"/>
    <w:rsid w:val="007306A5"/>
    <w:rsid w:val="00731FBA"/>
    <w:rsid w:val="0073245F"/>
    <w:rsid w:val="007324EE"/>
    <w:rsid w:val="00736ED5"/>
    <w:rsid w:val="007376F7"/>
    <w:rsid w:val="0074193F"/>
    <w:rsid w:val="00742625"/>
    <w:rsid w:val="00744E0B"/>
    <w:rsid w:val="00745AC8"/>
    <w:rsid w:val="007462F5"/>
    <w:rsid w:val="0075099D"/>
    <w:rsid w:val="007551D0"/>
    <w:rsid w:val="00755630"/>
    <w:rsid w:val="00755739"/>
    <w:rsid w:val="00756ADA"/>
    <w:rsid w:val="00760D25"/>
    <w:rsid w:val="007625DC"/>
    <w:rsid w:val="00762AE9"/>
    <w:rsid w:val="00762DD8"/>
    <w:rsid w:val="00763356"/>
    <w:rsid w:val="00763CD6"/>
    <w:rsid w:val="00764195"/>
    <w:rsid w:val="00765570"/>
    <w:rsid w:val="00766FB5"/>
    <w:rsid w:val="0077084C"/>
    <w:rsid w:val="00770EB7"/>
    <w:rsid w:val="007717C8"/>
    <w:rsid w:val="007722DE"/>
    <w:rsid w:val="00772F85"/>
    <w:rsid w:val="007734DC"/>
    <w:rsid w:val="00773A5C"/>
    <w:rsid w:val="00775659"/>
    <w:rsid w:val="007807E5"/>
    <w:rsid w:val="00780C64"/>
    <w:rsid w:val="0078142B"/>
    <w:rsid w:val="007815AF"/>
    <w:rsid w:val="00781F40"/>
    <w:rsid w:val="00782921"/>
    <w:rsid w:val="0078436C"/>
    <w:rsid w:val="00785F30"/>
    <w:rsid w:val="00786102"/>
    <w:rsid w:val="00786EBA"/>
    <w:rsid w:val="00790BDB"/>
    <w:rsid w:val="00791678"/>
    <w:rsid w:val="00791B56"/>
    <w:rsid w:val="00793C89"/>
    <w:rsid w:val="00794162"/>
    <w:rsid w:val="00795384"/>
    <w:rsid w:val="00796618"/>
    <w:rsid w:val="007A0EF5"/>
    <w:rsid w:val="007A1C47"/>
    <w:rsid w:val="007A3401"/>
    <w:rsid w:val="007A39B9"/>
    <w:rsid w:val="007A486B"/>
    <w:rsid w:val="007A4EF3"/>
    <w:rsid w:val="007A5818"/>
    <w:rsid w:val="007A727C"/>
    <w:rsid w:val="007B0092"/>
    <w:rsid w:val="007B010B"/>
    <w:rsid w:val="007B1343"/>
    <w:rsid w:val="007B30DC"/>
    <w:rsid w:val="007B40FA"/>
    <w:rsid w:val="007B4132"/>
    <w:rsid w:val="007B507D"/>
    <w:rsid w:val="007B579F"/>
    <w:rsid w:val="007B5B74"/>
    <w:rsid w:val="007B5D96"/>
    <w:rsid w:val="007C06CF"/>
    <w:rsid w:val="007C07CF"/>
    <w:rsid w:val="007C090F"/>
    <w:rsid w:val="007C1963"/>
    <w:rsid w:val="007C2446"/>
    <w:rsid w:val="007C3DF0"/>
    <w:rsid w:val="007C542E"/>
    <w:rsid w:val="007C5A85"/>
    <w:rsid w:val="007C7033"/>
    <w:rsid w:val="007C79A0"/>
    <w:rsid w:val="007C7CD9"/>
    <w:rsid w:val="007D063F"/>
    <w:rsid w:val="007D133B"/>
    <w:rsid w:val="007D1972"/>
    <w:rsid w:val="007D2348"/>
    <w:rsid w:val="007D2D84"/>
    <w:rsid w:val="007D30C5"/>
    <w:rsid w:val="007D30D1"/>
    <w:rsid w:val="007D3FE1"/>
    <w:rsid w:val="007D4509"/>
    <w:rsid w:val="007D518B"/>
    <w:rsid w:val="007D664F"/>
    <w:rsid w:val="007D70B3"/>
    <w:rsid w:val="007D79A3"/>
    <w:rsid w:val="007D7FB3"/>
    <w:rsid w:val="007E06B3"/>
    <w:rsid w:val="007E265E"/>
    <w:rsid w:val="007E2FA5"/>
    <w:rsid w:val="007E4B35"/>
    <w:rsid w:val="007E5935"/>
    <w:rsid w:val="007E74EA"/>
    <w:rsid w:val="007F04DC"/>
    <w:rsid w:val="007F120A"/>
    <w:rsid w:val="007F1266"/>
    <w:rsid w:val="007F18A5"/>
    <w:rsid w:val="007F3694"/>
    <w:rsid w:val="007F3A0A"/>
    <w:rsid w:val="007F4920"/>
    <w:rsid w:val="007F52A5"/>
    <w:rsid w:val="007F61F4"/>
    <w:rsid w:val="0080003B"/>
    <w:rsid w:val="008013F2"/>
    <w:rsid w:val="00801ABF"/>
    <w:rsid w:val="00802532"/>
    <w:rsid w:val="00804AAD"/>
    <w:rsid w:val="00804C64"/>
    <w:rsid w:val="00806D2B"/>
    <w:rsid w:val="00807A44"/>
    <w:rsid w:val="00807F6A"/>
    <w:rsid w:val="00811B0C"/>
    <w:rsid w:val="00812876"/>
    <w:rsid w:val="008133BA"/>
    <w:rsid w:val="008134D3"/>
    <w:rsid w:val="00813846"/>
    <w:rsid w:val="00815817"/>
    <w:rsid w:val="00816CE0"/>
    <w:rsid w:val="0082111B"/>
    <w:rsid w:val="00823F3B"/>
    <w:rsid w:val="008249A2"/>
    <w:rsid w:val="00824CB1"/>
    <w:rsid w:val="00830690"/>
    <w:rsid w:val="00833965"/>
    <w:rsid w:val="00833AAB"/>
    <w:rsid w:val="00833C68"/>
    <w:rsid w:val="00833CA7"/>
    <w:rsid w:val="00834F04"/>
    <w:rsid w:val="00836030"/>
    <w:rsid w:val="008365FC"/>
    <w:rsid w:val="0083662F"/>
    <w:rsid w:val="008379D6"/>
    <w:rsid w:val="00843C09"/>
    <w:rsid w:val="00843F44"/>
    <w:rsid w:val="00845F04"/>
    <w:rsid w:val="008469AB"/>
    <w:rsid w:val="0084750E"/>
    <w:rsid w:val="00847DEA"/>
    <w:rsid w:val="00851CFF"/>
    <w:rsid w:val="0085331D"/>
    <w:rsid w:val="00853CF2"/>
    <w:rsid w:val="00853EF2"/>
    <w:rsid w:val="00856F95"/>
    <w:rsid w:val="00861078"/>
    <w:rsid w:val="008610FE"/>
    <w:rsid w:val="00862841"/>
    <w:rsid w:val="00863509"/>
    <w:rsid w:val="00863967"/>
    <w:rsid w:val="00865D7F"/>
    <w:rsid w:val="00865ED5"/>
    <w:rsid w:val="00867EA3"/>
    <w:rsid w:val="00867F0E"/>
    <w:rsid w:val="008701DE"/>
    <w:rsid w:val="00870959"/>
    <w:rsid w:val="00870982"/>
    <w:rsid w:val="00870DBF"/>
    <w:rsid w:val="008711CC"/>
    <w:rsid w:val="0087137A"/>
    <w:rsid w:val="0087248A"/>
    <w:rsid w:val="00872917"/>
    <w:rsid w:val="00873506"/>
    <w:rsid w:val="008737ED"/>
    <w:rsid w:val="008748CA"/>
    <w:rsid w:val="00874BCF"/>
    <w:rsid w:val="0087525E"/>
    <w:rsid w:val="00876F6D"/>
    <w:rsid w:val="00880264"/>
    <w:rsid w:val="00881872"/>
    <w:rsid w:val="008818E6"/>
    <w:rsid w:val="00882735"/>
    <w:rsid w:val="00884BDE"/>
    <w:rsid w:val="00884C89"/>
    <w:rsid w:val="00887511"/>
    <w:rsid w:val="00887A02"/>
    <w:rsid w:val="00890EB7"/>
    <w:rsid w:val="00891C40"/>
    <w:rsid w:val="00893582"/>
    <w:rsid w:val="0089488A"/>
    <w:rsid w:val="00894B78"/>
    <w:rsid w:val="00894C58"/>
    <w:rsid w:val="00897D8E"/>
    <w:rsid w:val="008A0417"/>
    <w:rsid w:val="008A1A71"/>
    <w:rsid w:val="008A1B52"/>
    <w:rsid w:val="008A35E8"/>
    <w:rsid w:val="008A384C"/>
    <w:rsid w:val="008A4BFF"/>
    <w:rsid w:val="008A4D61"/>
    <w:rsid w:val="008A6B45"/>
    <w:rsid w:val="008A771B"/>
    <w:rsid w:val="008B0758"/>
    <w:rsid w:val="008B0A6C"/>
    <w:rsid w:val="008B18E1"/>
    <w:rsid w:val="008B1B1D"/>
    <w:rsid w:val="008B257B"/>
    <w:rsid w:val="008B2634"/>
    <w:rsid w:val="008B27E4"/>
    <w:rsid w:val="008B33FC"/>
    <w:rsid w:val="008B3CE5"/>
    <w:rsid w:val="008B4543"/>
    <w:rsid w:val="008C1959"/>
    <w:rsid w:val="008C1E60"/>
    <w:rsid w:val="008C2FCA"/>
    <w:rsid w:val="008C6528"/>
    <w:rsid w:val="008D32F3"/>
    <w:rsid w:val="008D5A35"/>
    <w:rsid w:val="008D6ABA"/>
    <w:rsid w:val="008D7814"/>
    <w:rsid w:val="008D7E7D"/>
    <w:rsid w:val="008E0EC4"/>
    <w:rsid w:val="008E10EC"/>
    <w:rsid w:val="008E1ADA"/>
    <w:rsid w:val="008E231B"/>
    <w:rsid w:val="008E27C7"/>
    <w:rsid w:val="008E6513"/>
    <w:rsid w:val="008E7CCB"/>
    <w:rsid w:val="008F0A66"/>
    <w:rsid w:val="008F13EC"/>
    <w:rsid w:val="008F20F3"/>
    <w:rsid w:val="008F3F88"/>
    <w:rsid w:val="008F4F95"/>
    <w:rsid w:val="009028AB"/>
    <w:rsid w:val="00904357"/>
    <w:rsid w:val="0090472F"/>
    <w:rsid w:val="00907A83"/>
    <w:rsid w:val="00910A91"/>
    <w:rsid w:val="00910C7F"/>
    <w:rsid w:val="00911085"/>
    <w:rsid w:val="009116C0"/>
    <w:rsid w:val="00911B74"/>
    <w:rsid w:val="0091277C"/>
    <w:rsid w:val="00912A46"/>
    <w:rsid w:val="0091414E"/>
    <w:rsid w:val="00914395"/>
    <w:rsid w:val="009149CC"/>
    <w:rsid w:val="009154BD"/>
    <w:rsid w:val="00915990"/>
    <w:rsid w:val="00916B18"/>
    <w:rsid w:val="00920DAA"/>
    <w:rsid w:val="00922332"/>
    <w:rsid w:val="00922DCB"/>
    <w:rsid w:val="00923E18"/>
    <w:rsid w:val="009242D5"/>
    <w:rsid w:val="00925CC3"/>
    <w:rsid w:val="0092615B"/>
    <w:rsid w:val="00926446"/>
    <w:rsid w:val="0092718C"/>
    <w:rsid w:val="00927CF5"/>
    <w:rsid w:val="00931C2C"/>
    <w:rsid w:val="00931ED6"/>
    <w:rsid w:val="00932639"/>
    <w:rsid w:val="00934B78"/>
    <w:rsid w:val="00943E61"/>
    <w:rsid w:val="00944F55"/>
    <w:rsid w:val="00945AD4"/>
    <w:rsid w:val="009461BB"/>
    <w:rsid w:val="0094745A"/>
    <w:rsid w:val="009477C7"/>
    <w:rsid w:val="00947A90"/>
    <w:rsid w:val="00950541"/>
    <w:rsid w:val="009505E9"/>
    <w:rsid w:val="009506E9"/>
    <w:rsid w:val="00950C34"/>
    <w:rsid w:val="00951676"/>
    <w:rsid w:val="009517D6"/>
    <w:rsid w:val="00952440"/>
    <w:rsid w:val="00952D1A"/>
    <w:rsid w:val="0095458A"/>
    <w:rsid w:val="0095529C"/>
    <w:rsid w:val="009555E9"/>
    <w:rsid w:val="0095571F"/>
    <w:rsid w:val="00955B54"/>
    <w:rsid w:val="0095703B"/>
    <w:rsid w:val="0095750A"/>
    <w:rsid w:val="00960190"/>
    <w:rsid w:val="00960836"/>
    <w:rsid w:val="00963220"/>
    <w:rsid w:val="00963517"/>
    <w:rsid w:val="009655A4"/>
    <w:rsid w:val="00965A27"/>
    <w:rsid w:val="009664EE"/>
    <w:rsid w:val="009665A3"/>
    <w:rsid w:val="0096673C"/>
    <w:rsid w:val="00966B11"/>
    <w:rsid w:val="00971B72"/>
    <w:rsid w:val="00971BA0"/>
    <w:rsid w:val="00971CF5"/>
    <w:rsid w:val="0097384C"/>
    <w:rsid w:val="00977964"/>
    <w:rsid w:val="00977ED0"/>
    <w:rsid w:val="0098136A"/>
    <w:rsid w:val="00984478"/>
    <w:rsid w:val="009861A7"/>
    <w:rsid w:val="00987D0D"/>
    <w:rsid w:val="0099290A"/>
    <w:rsid w:val="0099388C"/>
    <w:rsid w:val="00995023"/>
    <w:rsid w:val="00995CF1"/>
    <w:rsid w:val="00997419"/>
    <w:rsid w:val="0099762A"/>
    <w:rsid w:val="00997A6E"/>
    <w:rsid w:val="009A0FD2"/>
    <w:rsid w:val="009A1A7C"/>
    <w:rsid w:val="009A244E"/>
    <w:rsid w:val="009A3968"/>
    <w:rsid w:val="009A58EE"/>
    <w:rsid w:val="009A5B90"/>
    <w:rsid w:val="009A6466"/>
    <w:rsid w:val="009A65D5"/>
    <w:rsid w:val="009A66C9"/>
    <w:rsid w:val="009B0849"/>
    <w:rsid w:val="009B1AA7"/>
    <w:rsid w:val="009B221E"/>
    <w:rsid w:val="009B22BD"/>
    <w:rsid w:val="009B264C"/>
    <w:rsid w:val="009B2C4B"/>
    <w:rsid w:val="009B491F"/>
    <w:rsid w:val="009B6670"/>
    <w:rsid w:val="009B694E"/>
    <w:rsid w:val="009B7564"/>
    <w:rsid w:val="009B78A8"/>
    <w:rsid w:val="009B7A0D"/>
    <w:rsid w:val="009B7F61"/>
    <w:rsid w:val="009C1FBB"/>
    <w:rsid w:val="009C241D"/>
    <w:rsid w:val="009C27DB"/>
    <w:rsid w:val="009C2C83"/>
    <w:rsid w:val="009C3352"/>
    <w:rsid w:val="009C3C87"/>
    <w:rsid w:val="009C3D62"/>
    <w:rsid w:val="009C682A"/>
    <w:rsid w:val="009C689E"/>
    <w:rsid w:val="009D077A"/>
    <w:rsid w:val="009D190C"/>
    <w:rsid w:val="009D1E97"/>
    <w:rsid w:val="009D26E5"/>
    <w:rsid w:val="009D32B0"/>
    <w:rsid w:val="009D4535"/>
    <w:rsid w:val="009D5F75"/>
    <w:rsid w:val="009D650F"/>
    <w:rsid w:val="009D7184"/>
    <w:rsid w:val="009D7CD5"/>
    <w:rsid w:val="009E0798"/>
    <w:rsid w:val="009E096A"/>
    <w:rsid w:val="009E0A81"/>
    <w:rsid w:val="009E21AD"/>
    <w:rsid w:val="009E3419"/>
    <w:rsid w:val="009E3635"/>
    <w:rsid w:val="009E3B82"/>
    <w:rsid w:val="009E441E"/>
    <w:rsid w:val="009E4BFE"/>
    <w:rsid w:val="009E5404"/>
    <w:rsid w:val="009E60E2"/>
    <w:rsid w:val="009E617A"/>
    <w:rsid w:val="009E6357"/>
    <w:rsid w:val="009E6945"/>
    <w:rsid w:val="009E7296"/>
    <w:rsid w:val="009E7416"/>
    <w:rsid w:val="009E795D"/>
    <w:rsid w:val="009E7D62"/>
    <w:rsid w:val="009F1756"/>
    <w:rsid w:val="009F1CF3"/>
    <w:rsid w:val="009F46D9"/>
    <w:rsid w:val="009F5565"/>
    <w:rsid w:val="009F6172"/>
    <w:rsid w:val="009F6175"/>
    <w:rsid w:val="009F6C11"/>
    <w:rsid w:val="009F7D40"/>
    <w:rsid w:val="00A002CB"/>
    <w:rsid w:val="00A008B7"/>
    <w:rsid w:val="00A0167B"/>
    <w:rsid w:val="00A02A36"/>
    <w:rsid w:val="00A03316"/>
    <w:rsid w:val="00A0365B"/>
    <w:rsid w:val="00A10071"/>
    <w:rsid w:val="00A11CCC"/>
    <w:rsid w:val="00A13A5E"/>
    <w:rsid w:val="00A13E2D"/>
    <w:rsid w:val="00A1416D"/>
    <w:rsid w:val="00A14667"/>
    <w:rsid w:val="00A1466F"/>
    <w:rsid w:val="00A161AC"/>
    <w:rsid w:val="00A1726E"/>
    <w:rsid w:val="00A17743"/>
    <w:rsid w:val="00A2116E"/>
    <w:rsid w:val="00A2346E"/>
    <w:rsid w:val="00A23AE0"/>
    <w:rsid w:val="00A241D0"/>
    <w:rsid w:val="00A2448D"/>
    <w:rsid w:val="00A25160"/>
    <w:rsid w:val="00A27753"/>
    <w:rsid w:val="00A27A04"/>
    <w:rsid w:val="00A31959"/>
    <w:rsid w:val="00A32B48"/>
    <w:rsid w:val="00A334B5"/>
    <w:rsid w:val="00A34358"/>
    <w:rsid w:val="00A37017"/>
    <w:rsid w:val="00A37B03"/>
    <w:rsid w:val="00A40586"/>
    <w:rsid w:val="00A411CF"/>
    <w:rsid w:val="00A4194C"/>
    <w:rsid w:val="00A419DB"/>
    <w:rsid w:val="00A457C5"/>
    <w:rsid w:val="00A461C9"/>
    <w:rsid w:val="00A4766F"/>
    <w:rsid w:val="00A47DFB"/>
    <w:rsid w:val="00A508C9"/>
    <w:rsid w:val="00A5165D"/>
    <w:rsid w:val="00A52454"/>
    <w:rsid w:val="00A53B42"/>
    <w:rsid w:val="00A572FA"/>
    <w:rsid w:val="00A574C3"/>
    <w:rsid w:val="00A57542"/>
    <w:rsid w:val="00A61150"/>
    <w:rsid w:val="00A61D41"/>
    <w:rsid w:val="00A61F2F"/>
    <w:rsid w:val="00A62E39"/>
    <w:rsid w:val="00A65799"/>
    <w:rsid w:val="00A65ECC"/>
    <w:rsid w:val="00A6662C"/>
    <w:rsid w:val="00A6689A"/>
    <w:rsid w:val="00A66EE4"/>
    <w:rsid w:val="00A74603"/>
    <w:rsid w:val="00A74AE3"/>
    <w:rsid w:val="00A77BB9"/>
    <w:rsid w:val="00A8127E"/>
    <w:rsid w:val="00A81B3A"/>
    <w:rsid w:val="00A82791"/>
    <w:rsid w:val="00A82ECB"/>
    <w:rsid w:val="00A8463A"/>
    <w:rsid w:val="00A85428"/>
    <w:rsid w:val="00A90142"/>
    <w:rsid w:val="00A92281"/>
    <w:rsid w:val="00A9288B"/>
    <w:rsid w:val="00A93405"/>
    <w:rsid w:val="00A95519"/>
    <w:rsid w:val="00A9770C"/>
    <w:rsid w:val="00A9782D"/>
    <w:rsid w:val="00AA25C1"/>
    <w:rsid w:val="00AA25F9"/>
    <w:rsid w:val="00AA33C8"/>
    <w:rsid w:val="00AA3D2E"/>
    <w:rsid w:val="00AA4F16"/>
    <w:rsid w:val="00AA57CE"/>
    <w:rsid w:val="00AA58E0"/>
    <w:rsid w:val="00AA7B51"/>
    <w:rsid w:val="00AB1869"/>
    <w:rsid w:val="00AB1A80"/>
    <w:rsid w:val="00AB25BC"/>
    <w:rsid w:val="00AB283F"/>
    <w:rsid w:val="00AB39AC"/>
    <w:rsid w:val="00AB39AE"/>
    <w:rsid w:val="00AB675D"/>
    <w:rsid w:val="00AB7BEA"/>
    <w:rsid w:val="00AB7EF1"/>
    <w:rsid w:val="00AC0130"/>
    <w:rsid w:val="00AC0ECC"/>
    <w:rsid w:val="00AC1F50"/>
    <w:rsid w:val="00AC3442"/>
    <w:rsid w:val="00AC3549"/>
    <w:rsid w:val="00AC388E"/>
    <w:rsid w:val="00AC44AD"/>
    <w:rsid w:val="00AC45DA"/>
    <w:rsid w:val="00AC4769"/>
    <w:rsid w:val="00AC6085"/>
    <w:rsid w:val="00AC7401"/>
    <w:rsid w:val="00AC7539"/>
    <w:rsid w:val="00AC7A5E"/>
    <w:rsid w:val="00AD17C8"/>
    <w:rsid w:val="00AD294A"/>
    <w:rsid w:val="00AD329A"/>
    <w:rsid w:val="00AD3779"/>
    <w:rsid w:val="00AD59FC"/>
    <w:rsid w:val="00AD5E77"/>
    <w:rsid w:val="00AE0381"/>
    <w:rsid w:val="00AE05A1"/>
    <w:rsid w:val="00AE0EC0"/>
    <w:rsid w:val="00AE4D21"/>
    <w:rsid w:val="00AE4FAD"/>
    <w:rsid w:val="00AE5646"/>
    <w:rsid w:val="00AE5BE9"/>
    <w:rsid w:val="00AF1131"/>
    <w:rsid w:val="00AF1376"/>
    <w:rsid w:val="00AF1426"/>
    <w:rsid w:val="00AF16C4"/>
    <w:rsid w:val="00AF47E2"/>
    <w:rsid w:val="00AF5A87"/>
    <w:rsid w:val="00B029D9"/>
    <w:rsid w:val="00B02C5C"/>
    <w:rsid w:val="00B02D0F"/>
    <w:rsid w:val="00B052BF"/>
    <w:rsid w:val="00B05AA9"/>
    <w:rsid w:val="00B06CCA"/>
    <w:rsid w:val="00B06E7B"/>
    <w:rsid w:val="00B0761E"/>
    <w:rsid w:val="00B1006A"/>
    <w:rsid w:val="00B10AF4"/>
    <w:rsid w:val="00B10E29"/>
    <w:rsid w:val="00B140D6"/>
    <w:rsid w:val="00B14753"/>
    <w:rsid w:val="00B14C9A"/>
    <w:rsid w:val="00B150BD"/>
    <w:rsid w:val="00B1621D"/>
    <w:rsid w:val="00B16A4A"/>
    <w:rsid w:val="00B176C6"/>
    <w:rsid w:val="00B177E0"/>
    <w:rsid w:val="00B2258D"/>
    <w:rsid w:val="00B22C05"/>
    <w:rsid w:val="00B24A46"/>
    <w:rsid w:val="00B259B8"/>
    <w:rsid w:val="00B25AA5"/>
    <w:rsid w:val="00B3062A"/>
    <w:rsid w:val="00B30B42"/>
    <w:rsid w:val="00B3125E"/>
    <w:rsid w:val="00B315E2"/>
    <w:rsid w:val="00B31A2B"/>
    <w:rsid w:val="00B322D9"/>
    <w:rsid w:val="00B32ACE"/>
    <w:rsid w:val="00B332E9"/>
    <w:rsid w:val="00B3389A"/>
    <w:rsid w:val="00B34DCF"/>
    <w:rsid w:val="00B34F97"/>
    <w:rsid w:val="00B350DC"/>
    <w:rsid w:val="00B35207"/>
    <w:rsid w:val="00B352BA"/>
    <w:rsid w:val="00B3576E"/>
    <w:rsid w:val="00B35F7E"/>
    <w:rsid w:val="00B362D5"/>
    <w:rsid w:val="00B3660E"/>
    <w:rsid w:val="00B373B9"/>
    <w:rsid w:val="00B37D16"/>
    <w:rsid w:val="00B42FB6"/>
    <w:rsid w:val="00B443F0"/>
    <w:rsid w:val="00B450F3"/>
    <w:rsid w:val="00B4578B"/>
    <w:rsid w:val="00B46CE4"/>
    <w:rsid w:val="00B5090A"/>
    <w:rsid w:val="00B50CEE"/>
    <w:rsid w:val="00B51626"/>
    <w:rsid w:val="00B5291C"/>
    <w:rsid w:val="00B52BD9"/>
    <w:rsid w:val="00B5326D"/>
    <w:rsid w:val="00B55558"/>
    <w:rsid w:val="00B56818"/>
    <w:rsid w:val="00B5779D"/>
    <w:rsid w:val="00B57B61"/>
    <w:rsid w:val="00B60F74"/>
    <w:rsid w:val="00B6471B"/>
    <w:rsid w:val="00B64722"/>
    <w:rsid w:val="00B65BBC"/>
    <w:rsid w:val="00B700A4"/>
    <w:rsid w:val="00B716EF"/>
    <w:rsid w:val="00B71BEF"/>
    <w:rsid w:val="00B730A3"/>
    <w:rsid w:val="00B75BC6"/>
    <w:rsid w:val="00B7653E"/>
    <w:rsid w:val="00B76FB8"/>
    <w:rsid w:val="00B82CF1"/>
    <w:rsid w:val="00B82E51"/>
    <w:rsid w:val="00B83ADF"/>
    <w:rsid w:val="00B85491"/>
    <w:rsid w:val="00B8661F"/>
    <w:rsid w:val="00B879AC"/>
    <w:rsid w:val="00B87ABF"/>
    <w:rsid w:val="00B90A51"/>
    <w:rsid w:val="00B91EEF"/>
    <w:rsid w:val="00B92B90"/>
    <w:rsid w:val="00B93F61"/>
    <w:rsid w:val="00B94A86"/>
    <w:rsid w:val="00B9501D"/>
    <w:rsid w:val="00B96641"/>
    <w:rsid w:val="00B97684"/>
    <w:rsid w:val="00B9780B"/>
    <w:rsid w:val="00B97E87"/>
    <w:rsid w:val="00BA01E4"/>
    <w:rsid w:val="00BA020A"/>
    <w:rsid w:val="00BA05BD"/>
    <w:rsid w:val="00BA087F"/>
    <w:rsid w:val="00BA0AEC"/>
    <w:rsid w:val="00BA1A93"/>
    <w:rsid w:val="00BA22A2"/>
    <w:rsid w:val="00BA4182"/>
    <w:rsid w:val="00BA52DB"/>
    <w:rsid w:val="00BA549C"/>
    <w:rsid w:val="00BA61DA"/>
    <w:rsid w:val="00BA6D48"/>
    <w:rsid w:val="00BA74D8"/>
    <w:rsid w:val="00BA7A5D"/>
    <w:rsid w:val="00BA7AE5"/>
    <w:rsid w:val="00BB05EE"/>
    <w:rsid w:val="00BB0CEB"/>
    <w:rsid w:val="00BB1EC4"/>
    <w:rsid w:val="00BB231D"/>
    <w:rsid w:val="00BB2402"/>
    <w:rsid w:val="00BB24FB"/>
    <w:rsid w:val="00BB2C15"/>
    <w:rsid w:val="00BB2F77"/>
    <w:rsid w:val="00BB3388"/>
    <w:rsid w:val="00BB48D1"/>
    <w:rsid w:val="00BB5914"/>
    <w:rsid w:val="00BB5F70"/>
    <w:rsid w:val="00BB75FE"/>
    <w:rsid w:val="00BB773D"/>
    <w:rsid w:val="00BC0CB8"/>
    <w:rsid w:val="00BC38F8"/>
    <w:rsid w:val="00BC44B5"/>
    <w:rsid w:val="00BC49A2"/>
    <w:rsid w:val="00BC50B6"/>
    <w:rsid w:val="00BC63E9"/>
    <w:rsid w:val="00BC6BD8"/>
    <w:rsid w:val="00BC7B06"/>
    <w:rsid w:val="00BC7BFB"/>
    <w:rsid w:val="00BC7CAC"/>
    <w:rsid w:val="00BD055B"/>
    <w:rsid w:val="00BD1137"/>
    <w:rsid w:val="00BD120B"/>
    <w:rsid w:val="00BD17DD"/>
    <w:rsid w:val="00BD2553"/>
    <w:rsid w:val="00BD434F"/>
    <w:rsid w:val="00BD4E3B"/>
    <w:rsid w:val="00BD53B2"/>
    <w:rsid w:val="00BD7E33"/>
    <w:rsid w:val="00BE086F"/>
    <w:rsid w:val="00BE141E"/>
    <w:rsid w:val="00BE30B9"/>
    <w:rsid w:val="00BE44AE"/>
    <w:rsid w:val="00BE4732"/>
    <w:rsid w:val="00BE602B"/>
    <w:rsid w:val="00BE6317"/>
    <w:rsid w:val="00BE79C0"/>
    <w:rsid w:val="00BF08EE"/>
    <w:rsid w:val="00BF0E95"/>
    <w:rsid w:val="00BF1559"/>
    <w:rsid w:val="00BF1E67"/>
    <w:rsid w:val="00BF1F65"/>
    <w:rsid w:val="00BF248E"/>
    <w:rsid w:val="00BF28CE"/>
    <w:rsid w:val="00BF4CE2"/>
    <w:rsid w:val="00BF5913"/>
    <w:rsid w:val="00C01089"/>
    <w:rsid w:val="00C01BD4"/>
    <w:rsid w:val="00C0307B"/>
    <w:rsid w:val="00C0424B"/>
    <w:rsid w:val="00C0477E"/>
    <w:rsid w:val="00C0559D"/>
    <w:rsid w:val="00C07B2E"/>
    <w:rsid w:val="00C07BE9"/>
    <w:rsid w:val="00C07EAD"/>
    <w:rsid w:val="00C11A77"/>
    <w:rsid w:val="00C14B75"/>
    <w:rsid w:val="00C14D58"/>
    <w:rsid w:val="00C15447"/>
    <w:rsid w:val="00C15ED2"/>
    <w:rsid w:val="00C1601D"/>
    <w:rsid w:val="00C16108"/>
    <w:rsid w:val="00C17218"/>
    <w:rsid w:val="00C2012F"/>
    <w:rsid w:val="00C2098B"/>
    <w:rsid w:val="00C20EF5"/>
    <w:rsid w:val="00C214DF"/>
    <w:rsid w:val="00C22290"/>
    <w:rsid w:val="00C224A3"/>
    <w:rsid w:val="00C236B4"/>
    <w:rsid w:val="00C23989"/>
    <w:rsid w:val="00C24D86"/>
    <w:rsid w:val="00C24E55"/>
    <w:rsid w:val="00C2584E"/>
    <w:rsid w:val="00C25877"/>
    <w:rsid w:val="00C258BC"/>
    <w:rsid w:val="00C25A09"/>
    <w:rsid w:val="00C26850"/>
    <w:rsid w:val="00C26E4A"/>
    <w:rsid w:val="00C27F11"/>
    <w:rsid w:val="00C316A8"/>
    <w:rsid w:val="00C32C13"/>
    <w:rsid w:val="00C35707"/>
    <w:rsid w:val="00C36413"/>
    <w:rsid w:val="00C3773D"/>
    <w:rsid w:val="00C3788D"/>
    <w:rsid w:val="00C40701"/>
    <w:rsid w:val="00C417BB"/>
    <w:rsid w:val="00C431B2"/>
    <w:rsid w:val="00C45C1E"/>
    <w:rsid w:val="00C45C51"/>
    <w:rsid w:val="00C46385"/>
    <w:rsid w:val="00C463D0"/>
    <w:rsid w:val="00C466EA"/>
    <w:rsid w:val="00C51666"/>
    <w:rsid w:val="00C5459F"/>
    <w:rsid w:val="00C5511E"/>
    <w:rsid w:val="00C55B18"/>
    <w:rsid w:val="00C55C49"/>
    <w:rsid w:val="00C56FB7"/>
    <w:rsid w:val="00C57069"/>
    <w:rsid w:val="00C572FD"/>
    <w:rsid w:val="00C60600"/>
    <w:rsid w:val="00C617C5"/>
    <w:rsid w:val="00C63CC9"/>
    <w:rsid w:val="00C644E2"/>
    <w:rsid w:val="00C64C6E"/>
    <w:rsid w:val="00C6640F"/>
    <w:rsid w:val="00C6657B"/>
    <w:rsid w:val="00C66901"/>
    <w:rsid w:val="00C66BD7"/>
    <w:rsid w:val="00C677D4"/>
    <w:rsid w:val="00C72D5E"/>
    <w:rsid w:val="00C73C63"/>
    <w:rsid w:val="00C76C6B"/>
    <w:rsid w:val="00C7723F"/>
    <w:rsid w:val="00C81B75"/>
    <w:rsid w:val="00C821B0"/>
    <w:rsid w:val="00C84478"/>
    <w:rsid w:val="00C93CC2"/>
    <w:rsid w:val="00C951B6"/>
    <w:rsid w:val="00C9561C"/>
    <w:rsid w:val="00C958E8"/>
    <w:rsid w:val="00C967E7"/>
    <w:rsid w:val="00C970AE"/>
    <w:rsid w:val="00CA0E9C"/>
    <w:rsid w:val="00CA5A61"/>
    <w:rsid w:val="00CA6453"/>
    <w:rsid w:val="00CA6983"/>
    <w:rsid w:val="00CA76AF"/>
    <w:rsid w:val="00CB216E"/>
    <w:rsid w:val="00CB2375"/>
    <w:rsid w:val="00CB265D"/>
    <w:rsid w:val="00CB3D97"/>
    <w:rsid w:val="00CB439D"/>
    <w:rsid w:val="00CB441C"/>
    <w:rsid w:val="00CB4DD6"/>
    <w:rsid w:val="00CB6225"/>
    <w:rsid w:val="00CB68A2"/>
    <w:rsid w:val="00CB72B7"/>
    <w:rsid w:val="00CB7355"/>
    <w:rsid w:val="00CC1973"/>
    <w:rsid w:val="00CC19E0"/>
    <w:rsid w:val="00CC2E71"/>
    <w:rsid w:val="00CC3412"/>
    <w:rsid w:val="00CC36D9"/>
    <w:rsid w:val="00CC46F0"/>
    <w:rsid w:val="00CC5252"/>
    <w:rsid w:val="00CC55B3"/>
    <w:rsid w:val="00CC5962"/>
    <w:rsid w:val="00CC6FDF"/>
    <w:rsid w:val="00CD0CB6"/>
    <w:rsid w:val="00CD0D3C"/>
    <w:rsid w:val="00CD2DB3"/>
    <w:rsid w:val="00CD349E"/>
    <w:rsid w:val="00CD3F49"/>
    <w:rsid w:val="00CD75C3"/>
    <w:rsid w:val="00CD7EF2"/>
    <w:rsid w:val="00CE0116"/>
    <w:rsid w:val="00CE0963"/>
    <w:rsid w:val="00CE16A2"/>
    <w:rsid w:val="00CE1AF2"/>
    <w:rsid w:val="00CE3ED8"/>
    <w:rsid w:val="00CE4D76"/>
    <w:rsid w:val="00CE52AC"/>
    <w:rsid w:val="00CE5866"/>
    <w:rsid w:val="00CE736F"/>
    <w:rsid w:val="00CE74BD"/>
    <w:rsid w:val="00CF3082"/>
    <w:rsid w:val="00CF448B"/>
    <w:rsid w:val="00CF7C18"/>
    <w:rsid w:val="00D03FA1"/>
    <w:rsid w:val="00D04177"/>
    <w:rsid w:val="00D04B97"/>
    <w:rsid w:val="00D05243"/>
    <w:rsid w:val="00D05876"/>
    <w:rsid w:val="00D068F6"/>
    <w:rsid w:val="00D06BF9"/>
    <w:rsid w:val="00D100BC"/>
    <w:rsid w:val="00D153CC"/>
    <w:rsid w:val="00D161F9"/>
    <w:rsid w:val="00D165A7"/>
    <w:rsid w:val="00D165F1"/>
    <w:rsid w:val="00D168B2"/>
    <w:rsid w:val="00D21D8C"/>
    <w:rsid w:val="00D227DE"/>
    <w:rsid w:val="00D2615D"/>
    <w:rsid w:val="00D26386"/>
    <w:rsid w:val="00D27E87"/>
    <w:rsid w:val="00D31EAD"/>
    <w:rsid w:val="00D32985"/>
    <w:rsid w:val="00D3469B"/>
    <w:rsid w:val="00D352B8"/>
    <w:rsid w:val="00D35BDA"/>
    <w:rsid w:val="00D35CD7"/>
    <w:rsid w:val="00D36B07"/>
    <w:rsid w:val="00D36B80"/>
    <w:rsid w:val="00D402CF"/>
    <w:rsid w:val="00D404F6"/>
    <w:rsid w:val="00D4082A"/>
    <w:rsid w:val="00D41243"/>
    <w:rsid w:val="00D424C9"/>
    <w:rsid w:val="00D43075"/>
    <w:rsid w:val="00D453C5"/>
    <w:rsid w:val="00D462A5"/>
    <w:rsid w:val="00D47137"/>
    <w:rsid w:val="00D47610"/>
    <w:rsid w:val="00D47B65"/>
    <w:rsid w:val="00D52EDF"/>
    <w:rsid w:val="00D538BC"/>
    <w:rsid w:val="00D546F1"/>
    <w:rsid w:val="00D547DD"/>
    <w:rsid w:val="00D60DCB"/>
    <w:rsid w:val="00D6214F"/>
    <w:rsid w:val="00D63A50"/>
    <w:rsid w:val="00D63D01"/>
    <w:rsid w:val="00D6685C"/>
    <w:rsid w:val="00D677B5"/>
    <w:rsid w:val="00D67DF6"/>
    <w:rsid w:val="00D70585"/>
    <w:rsid w:val="00D714AC"/>
    <w:rsid w:val="00D73FBE"/>
    <w:rsid w:val="00D74260"/>
    <w:rsid w:val="00D742E9"/>
    <w:rsid w:val="00D74A26"/>
    <w:rsid w:val="00D7624A"/>
    <w:rsid w:val="00D82321"/>
    <w:rsid w:val="00D825EB"/>
    <w:rsid w:val="00D83BDE"/>
    <w:rsid w:val="00D853CB"/>
    <w:rsid w:val="00D85666"/>
    <w:rsid w:val="00D868DB"/>
    <w:rsid w:val="00D86A0C"/>
    <w:rsid w:val="00D86D54"/>
    <w:rsid w:val="00D90165"/>
    <w:rsid w:val="00D92310"/>
    <w:rsid w:val="00D93256"/>
    <w:rsid w:val="00D9510A"/>
    <w:rsid w:val="00D9536C"/>
    <w:rsid w:val="00D97E58"/>
    <w:rsid w:val="00DA01B9"/>
    <w:rsid w:val="00DA2FC0"/>
    <w:rsid w:val="00DA3A99"/>
    <w:rsid w:val="00DA4C9B"/>
    <w:rsid w:val="00DA741F"/>
    <w:rsid w:val="00DB097E"/>
    <w:rsid w:val="00DB1663"/>
    <w:rsid w:val="00DB187E"/>
    <w:rsid w:val="00DB29AF"/>
    <w:rsid w:val="00DB2C37"/>
    <w:rsid w:val="00DB2C79"/>
    <w:rsid w:val="00DB3946"/>
    <w:rsid w:val="00DB3DE6"/>
    <w:rsid w:val="00DB455E"/>
    <w:rsid w:val="00DB4D1F"/>
    <w:rsid w:val="00DC06C5"/>
    <w:rsid w:val="00DC0E53"/>
    <w:rsid w:val="00DC0F7E"/>
    <w:rsid w:val="00DC1987"/>
    <w:rsid w:val="00DC2341"/>
    <w:rsid w:val="00DC3075"/>
    <w:rsid w:val="00DC332E"/>
    <w:rsid w:val="00DC4BA3"/>
    <w:rsid w:val="00DC5693"/>
    <w:rsid w:val="00DC58E2"/>
    <w:rsid w:val="00DC6C1D"/>
    <w:rsid w:val="00DC7089"/>
    <w:rsid w:val="00DD19CA"/>
    <w:rsid w:val="00DD3FF4"/>
    <w:rsid w:val="00DD4B87"/>
    <w:rsid w:val="00DE0A31"/>
    <w:rsid w:val="00DE1AB2"/>
    <w:rsid w:val="00DE1CA1"/>
    <w:rsid w:val="00DE2E01"/>
    <w:rsid w:val="00DE31D0"/>
    <w:rsid w:val="00DE4A22"/>
    <w:rsid w:val="00DE59C0"/>
    <w:rsid w:val="00DE62D5"/>
    <w:rsid w:val="00DF1A68"/>
    <w:rsid w:val="00DF1C8C"/>
    <w:rsid w:val="00DF1D26"/>
    <w:rsid w:val="00DF2122"/>
    <w:rsid w:val="00DF26BE"/>
    <w:rsid w:val="00DF2C21"/>
    <w:rsid w:val="00DF331B"/>
    <w:rsid w:val="00DF3469"/>
    <w:rsid w:val="00DF6015"/>
    <w:rsid w:val="00DF7A57"/>
    <w:rsid w:val="00E00F03"/>
    <w:rsid w:val="00E036FC"/>
    <w:rsid w:val="00E03A75"/>
    <w:rsid w:val="00E0489A"/>
    <w:rsid w:val="00E04F98"/>
    <w:rsid w:val="00E05235"/>
    <w:rsid w:val="00E05719"/>
    <w:rsid w:val="00E05E95"/>
    <w:rsid w:val="00E07BEE"/>
    <w:rsid w:val="00E10017"/>
    <w:rsid w:val="00E110C0"/>
    <w:rsid w:val="00E11A34"/>
    <w:rsid w:val="00E11B95"/>
    <w:rsid w:val="00E13EC4"/>
    <w:rsid w:val="00E14881"/>
    <w:rsid w:val="00E17118"/>
    <w:rsid w:val="00E20A1F"/>
    <w:rsid w:val="00E21B43"/>
    <w:rsid w:val="00E22989"/>
    <w:rsid w:val="00E230C2"/>
    <w:rsid w:val="00E232AF"/>
    <w:rsid w:val="00E24324"/>
    <w:rsid w:val="00E25439"/>
    <w:rsid w:val="00E25E60"/>
    <w:rsid w:val="00E26639"/>
    <w:rsid w:val="00E268BF"/>
    <w:rsid w:val="00E26FCB"/>
    <w:rsid w:val="00E3044C"/>
    <w:rsid w:val="00E30FA3"/>
    <w:rsid w:val="00E32679"/>
    <w:rsid w:val="00E328CD"/>
    <w:rsid w:val="00E32BF3"/>
    <w:rsid w:val="00E32FAA"/>
    <w:rsid w:val="00E35070"/>
    <w:rsid w:val="00E4015D"/>
    <w:rsid w:val="00E4253B"/>
    <w:rsid w:val="00E42B04"/>
    <w:rsid w:val="00E44D71"/>
    <w:rsid w:val="00E468BD"/>
    <w:rsid w:val="00E46A53"/>
    <w:rsid w:val="00E4717E"/>
    <w:rsid w:val="00E472A4"/>
    <w:rsid w:val="00E5067A"/>
    <w:rsid w:val="00E534BB"/>
    <w:rsid w:val="00E55497"/>
    <w:rsid w:val="00E5579C"/>
    <w:rsid w:val="00E574FB"/>
    <w:rsid w:val="00E57EA8"/>
    <w:rsid w:val="00E62CBF"/>
    <w:rsid w:val="00E6304F"/>
    <w:rsid w:val="00E63234"/>
    <w:rsid w:val="00E6324A"/>
    <w:rsid w:val="00E63A8E"/>
    <w:rsid w:val="00E63E0E"/>
    <w:rsid w:val="00E63F2B"/>
    <w:rsid w:val="00E65A27"/>
    <w:rsid w:val="00E65BE2"/>
    <w:rsid w:val="00E67053"/>
    <w:rsid w:val="00E67C02"/>
    <w:rsid w:val="00E716B5"/>
    <w:rsid w:val="00E718D5"/>
    <w:rsid w:val="00E71A03"/>
    <w:rsid w:val="00E723F3"/>
    <w:rsid w:val="00E7254B"/>
    <w:rsid w:val="00E72BF8"/>
    <w:rsid w:val="00E72CD7"/>
    <w:rsid w:val="00E7314F"/>
    <w:rsid w:val="00E7322F"/>
    <w:rsid w:val="00E749E5"/>
    <w:rsid w:val="00E753E6"/>
    <w:rsid w:val="00E75F51"/>
    <w:rsid w:val="00E77F8B"/>
    <w:rsid w:val="00E8067E"/>
    <w:rsid w:val="00E82F32"/>
    <w:rsid w:val="00E84459"/>
    <w:rsid w:val="00E84D11"/>
    <w:rsid w:val="00E84E79"/>
    <w:rsid w:val="00E84EBD"/>
    <w:rsid w:val="00E873FE"/>
    <w:rsid w:val="00E9284C"/>
    <w:rsid w:val="00E92B02"/>
    <w:rsid w:val="00E936C4"/>
    <w:rsid w:val="00E93E00"/>
    <w:rsid w:val="00E94627"/>
    <w:rsid w:val="00E94C2E"/>
    <w:rsid w:val="00E96398"/>
    <w:rsid w:val="00E96446"/>
    <w:rsid w:val="00EA221D"/>
    <w:rsid w:val="00EA2B27"/>
    <w:rsid w:val="00EA3B95"/>
    <w:rsid w:val="00EA3C55"/>
    <w:rsid w:val="00EA66AB"/>
    <w:rsid w:val="00EA7868"/>
    <w:rsid w:val="00EB00F2"/>
    <w:rsid w:val="00EB01EC"/>
    <w:rsid w:val="00EB0862"/>
    <w:rsid w:val="00EB22D7"/>
    <w:rsid w:val="00EB263A"/>
    <w:rsid w:val="00EB2B5D"/>
    <w:rsid w:val="00EB40A7"/>
    <w:rsid w:val="00EB46E5"/>
    <w:rsid w:val="00EB6F6B"/>
    <w:rsid w:val="00EB7DCF"/>
    <w:rsid w:val="00EC1C3D"/>
    <w:rsid w:val="00EC1D6D"/>
    <w:rsid w:val="00EC1F95"/>
    <w:rsid w:val="00EC207C"/>
    <w:rsid w:val="00EC2825"/>
    <w:rsid w:val="00EC2F62"/>
    <w:rsid w:val="00EC35B5"/>
    <w:rsid w:val="00EC45A4"/>
    <w:rsid w:val="00EC64CE"/>
    <w:rsid w:val="00EC7B76"/>
    <w:rsid w:val="00ED0727"/>
    <w:rsid w:val="00ED0DBB"/>
    <w:rsid w:val="00ED101E"/>
    <w:rsid w:val="00ED1BC8"/>
    <w:rsid w:val="00ED1D30"/>
    <w:rsid w:val="00ED35C9"/>
    <w:rsid w:val="00ED3A2E"/>
    <w:rsid w:val="00ED43B4"/>
    <w:rsid w:val="00ED5099"/>
    <w:rsid w:val="00ED5980"/>
    <w:rsid w:val="00ED6271"/>
    <w:rsid w:val="00ED6D0A"/>
    <w:rsid w:val="00ED70EA"/>
    <w:rsid w:val="00ED779A"/>
    <w:rsid w:val="00EE1495"/>
    <w:rsid w:val="00EE489C"/>
    <w:rsid w:val="00EE515A"/>
    <w:rsid w:val="00EE53D6"/>
    <w:rsid w:val="00EE5E99"/>
    <w:rsid w:val="00EF0EC0"/>
    <w:rsid w:val="00EF1C9E"/>
    <w:rsid w:val="00EF2CF5"/>
    <w:rsid w:val="00EF38D6"/>
    <w:rsid w:val="00EF4267"/>
    <w:rsid w:val="00EF7857"/>
    <w:rsid w:val="00F01675"/>
    <w:rsid w:val="00F0358D"/>
    <w:rsid w:val="00F04B42"/>
    <w:rsid w:val="00F04BAD"/>
    <w:rsid w:val="00F055FE"/>
    <w:rsid w:val="00F065F1"/>
    <w:rsid w:val="00F072B4"/>
    <w:rsid w:val="00F100BB"/>
    <w:rsid w:val="00F10595"/>
    <w:rsid w:val="00F10749"/>
    <w:rsid w:val="00F10C19"/>
    <w:rsid w:val="00F12056"/>
    <w:rsid w:val="00F12B83"/>
    <w:rsid w:val="00F12CE9"/>
    <w:rsid w:val="00F13E7F"/>
    <w:rsid w:val="00F14653"/>
    <w:rsid w:val="00F1533D"/>
    <w:rsid w:val="00F1554F"/>
    <w:rsid w:val="00F15C23"/>
    <w:rsid w:val="00F1665B"/>
    <w:rsid w:val="00F1771C"/>
    <w:rsid w:val="00F21300"/>
    <w:rsid w:val="00F21FA5"/>
    <w:rsid w:val="00F223F4"/>
    <w:rsid w:val="00F252F7"/>
    <w:rsid w:val="00F261F0"/>
    <w:rsid w:val="00F26275"/>
    <w:rsid w:val="00F2690E"/>
    <w:rsid w:val="00F26A4A"/>
    <w:rsid w:val="00F3047B"/>
    <w:rsid w:val="00F30C1D"/>
    <w:rsid w:val="00F315D9"/>
    <w:rsid w:val="00F31A77"/>
    <w:rsid w:val="00F3249C"/>
    <w:rsid w:val="00F33D38"/>
    <w:rsid w:val="00F343B9"/>
    <w:rsid w:val="00F369FF"/>
    <w:rsid w:val="00F36D96"/>
    <w:rsid w:val="00F372A8"/>
    <w:rsid w:val="00F37DA3"/>
    <w:rsid w:val="00F4043D"/>
    <w:rsid w:val="00F412C0"/>
    <w:rsid w:val="00F4144F"/>
    <w:rsid w:val="00F41ACA"/>
    <w:rsid w:val="00F437C8"/>
    <w:rsid w:val="00F4446F"/>
    <w:rsid w:val="00F4464F"/>
    <w:rsid w:val="00F44F4E"/>
    <w:rsid w:val="00F45420"/>
    <w:rsid w:val="00F4659E"/>
    <w:rsid w:val="00F46B68"/>
    <w:rsid w:val="00F50221"/>
    <w:rsid w:val="00F5247B"/>
    <w:rsid w:val="00F548F7"/>
    <w:rsid w:val="00F55410"/>
    <w:rsid w:val="00F55441"/>
    <w:rsid w:val="00F55DD6"/>
    <w:rsid w:val="00F56172"/>
    <w:rsid w:val="00F56292"/>
    <w:rsid w:val="00F562D8"/>
    <w:rsid w:val="00F57B5B"/>
    <w:rsid w:val="00F6065D"/>
    <w:rsid w:val="00F6166C"/>
    <w:rsid w:val="00F61A2B"/>
    <w:rsid w:val="00F61ED3"/>
    <w:rsid w:val="00F6224A"/>
    <w:rsid w:val="00F67B16"/>
    <w:rsid w:val="00F70D1B"/>
    <w:rsid w:val="00F7156A"/>
    <w:rsid w:val="00F72B19"/>
    <w:rsid w:val="00F72E95"/>
    <w:rsid w:val="00F75A8F"/>
    <w:rsid w:val="00F75BD5"/>
    <w:rsid w:val="00F75FD5"/>
    <w:rsid w:val="00F848F0"/>
    <w:rsid w:val="00F86CA5"/>
    <w:rsid w:val="00F8728F"/>
    <w:rsid w:val="00F8750E"/>
    <w:rsid w:val="00F87A7F"/>
    <w:rsid w:val="00F87A8F"/>
    <w:rsid w:val="00F9043A"/>
    <w:rsid w:val="00F9099E"/>
    <w:rsid w:val="00F94747"/>
    <w:rsid w:val="00F95797"/>
    <w:rsid w:val="00F960C6"/>
    <w:rsid w:val="00F97DDE"/>
    <w:rsid w:val="00FA01DE"/>
    <w:rsid w:val="00FA0CD9"/>
    <w:rsid w:val="00FA12DB"/>
    <w:rsid w:val="00FA12EF"/>
    <w:rsid w:val="00FA3EF2"/>
    <w:rsid w:val="00FA447E"/>
    <w:rsid w:val="00FA74A9"/>
    <w:rsid w:val="00FB07E7"/>
    <w:rsid w:val="00FB4FEE"/>
    <w:rsid w:val="00FB65BD"/>
    <w:rsid w:val="00FB6686"/>
    <w:rsid w:val="00FC0B61"/>
    <w:rsid w:val="00FC1450"/>
    <w:rsid w:val="00FC1D55"/>
    <w:rsid w:val="00FC3EF4"/>
    <w:rsid w:val="00FC5353"/>
    <w:rsid w:val="00FC5A0A"/>
    <w:rsid w:val="00FC5ADE"/>
    <w:rsid w:val="00FC5CA4"/>
    <w:rsid w:val="00FC5FD9"/>
    <w:rsid w:val="00FD211E"/>
    <w:rsid w:val="00FD741F"/>
    <w:rsid w:val="00FD776E"/>
    <w:rsid w:val="00FD7DE3"/>
    <w:rsid w:val="00FE3643"/>
    <w:rsid w:val="00FE3E42"/>
    <w:rsid w:val="00FE3FAE"/>
    <w:rsid w:val="00FE4133"/>
    <w:rsid w:val="00FE44F7"/>
    <w:rsid w:val="00FE4B4E"/>
    <w:rsid w:val="00FE5922"/>
    <w:rsid w:val="00FE7F0C"/>
    <w:rsid w:val="00FF0121"/>
    <w:rsid w:val="00FF0BA3"/>
    <w:rsid w:val="00FF1AC3"/>
    <w:rsid w:val="00FF20E2"/>
    <w:rsid w:val="01146BA0"/>
    <w:rsid w:val="083500E7"/>
    <w:rsid w:val="1C853387"/>
    <w:rsid w:val="1CBD05DD"/>
    <w:rsid w:val="1D881824"/>
    <w:rsid w:val="207F27EF"/>
    <w:rsid w:val="29E6AAA0"/>
    <w:rsid w:val="31B94901"/>
    <w:rsid w:val="3B9DE253"/>
    <w:rsid w:val="40F2EF6A"/>
    <w:rsid w:val="5A1328C8"/>
    <w:rsid w:val="637F26AC"/>
    <w:rsid w:val="6A1F65D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B222C"/>
  <w15:docId w15:val="{04A4423C-0DE9-486B-B8E0-7DC84B0E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254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D714A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A91"/>
    <w:rPr>
      <w:color w:val="0563C1" w:themeColor="hyperlink"/>
      <w:u w:val="single"/>
    </w:rPr>
  </w:style>
  <w:style w:type="character" w:styleId="CommentReference">
    <w:name w:val="annotation reference"/>
    <w:basedOn w:val="DefaultParagraphFont"/>
    <w:uiPriority w:val="99"/>
    <w:semiHidden/>
    <w:unhideWhenUsed/>
    <w:rsid w:val="006827DA"/>
    <w:rPr>
      <w:sz w:val="16"/>
      <w:szCs w:val="16"/>
    </w:rPr>
  </w:style>
  <w:style w:type="paragraph" w:styleId="CommentText">
    <w:name w:val="annotation text"/>
    <w:basedOn w:val="Normal"/>
    <w:link w:val="CommentTextChar"/>
    <w:uiPriority w:val="99"/>
    <w:unhideWhenUsed/>
    <w:rsid w:val="006827DA"/>
    <w:rPr>
      <w:sz w:val="20"/>
      <w:szCs w:val="20"/>
    </w:rPr>
  </w:style>
  <w:style w:type="character" w:customStyle="1" w:styleId="CommentTextChar">
    <w:name w:val="Comment Text Char"/>
    <w:basedOn w:val="DefaultParagraphFont"/>
    <w:link w:val="CommentText"/>
    <w:uiPriority w:val="99"/>
    <w:rsid w:val="006827DA"/>
    <w:rPr>
      <w:sz w:val="20"/>
      <w:szCs w:val="20"/>
    </w:rPr>
  </w:style>
  <w:style w:type="paragraph" w:styleId="CommentSubject">
    <w:name w:val="annotation subject"/>
    <w:basedOn w:val="CommentText"/>
    <w:next w:val="CommentText"/>
    <w:link w:val="CommentSubjectChar"/>
    <w:uiPriority w:val="99"/>
    <w:semiHidden/>
    <w:unhideWhenUsed/>
    <w:rsid w:val="006827DA"/>
    <w:rPr>
      <w:b/>
      <w:bCs/>
    </w:rPr>
  </w:style>
  <w:style w:type="character" w:customStyle="1" w:styleId="CommentSubjectChar">
    <w:name w:val="Comment Subject Char"/>
    <w:basedOn w:val="CommentTextChar"/>
    <w:link w:val="CommentSubject"/>
    <w:uiPriority w:val="99"/>
    <w:semiHidden/>
    <w:rsid w:val="006827DA"/>
    <w:rPr>
      <w:b/>
      <w:bCs/>
      <w:sz w:val="20"/>
      <w:szCs w:val="20"/>
    </w:rPr>
  </w:style>
  <w:style w:type="paragraph" w:styleId="BalloonText">
    <w:name w:val="Balloon Text"/>
    <w:basedOn w:val="Normal"/>
    <w:link w:val="BalloonTextChar"/>
    <w:uiPriority w:val="99"/>
    <w:semiHidden/>
    <w:unhideWhenUsed/>
    <w:rsid w:val="006827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7DA"/>
    <w:rPr>
      <w:rFonts w:ascii="Segoe UI" w:hAnsi="Segoe UI" w:cs="Segoe UI"/>
      <w:sz w:val="18"/>
      <w:szCs w:val="18"/>
    </w:rPr>
  </w:style>
  <w:style w:type="paragraph" w:styleId="ListParagraph">
    <w:name w:val="List Paragraph"/>
    <w:basedOn w:val="Normal"/>
    <w:link w:val="ListParagraphChar"/>
    <w:uiPriority w:val="34"/>
    <w:qFormat/>
    <w:rsid w:val="00A53B42"/>
    <w:pPr>
      <w:ind w:left="720"/>
      <w:contextualSpacing/>
    </w:pPr>
  </w:style>
  <w:style w:type="paragraph" w:styleId="Revision">
    <w:name w:val="Revision"/>
    <w:hidden/>
    <w:uiPriority w:val="99"/>
    <w:semiHidden/>
    <w:rsid w:val="004141B3"/>
  </w:style>
  <w:style w:type="character" w:customStyle="1" w:styleId="intro-resume2">
    <w:name w:val="intro-resume2"/>
    <w:basedOn w:val="DefaultParagraphFont"/>
    <w:rsid w:val="00BC50B6"/>
    <w:rPr>
      <w:sz w:val="29"/>
      <w:szCs w:val="29"/>
    </w:rPr>
  </w:style>
  <w:style w:type="paragraph" w:customStyle="1" w:styleId="ColorfulList-Accent11">
    <w:name w:val="Colorful List - Accent 11"/>
    <w:basedOn w:val="Normal"/>
    <w:uiPriority w:val="34"/>
    <w:qFormat/>
    <w:rsid w:val="00250611"/>
    <w:pPr>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E7254B"/>
    <w:rPr>
      <w:rFonts w:asciiTheme="majorHAnsi" w:eastAsiaTheme="majorEastAsia" w:hAnsiTheme="majorHAnsi" w:cstheme="majorBidi"/>
      <w:color w:val="2E74B5" w:themeColor="accent1" w:themeShade="BF"/>
      <w:sz w:val="32"/>
      <w:szCs w:val="32"/>
    </w:rPr>
  </w:style>
  <w:style w:type="paragraph" w:customStyle="1" w:styleId="NormalNonumber">
    <w:name w:val="Normal_No_number"/>
    <w:basedOn w:val="Normal"/>
    <w:rsid w:val="00CC6FDF"/>
    <w:pPr>
      <w:spacing w:after="120"/>
      <w:ind w:left="1247" w:firstLine="0"/>
    </w:pPr>
    <w:rPr>
      <w:rFonts w:ascii="Times New Roman" w:hAnsi="Times New Roman" w:cs="Times New Roman"/>
      <w:sz w:val="20"/>
      <w:szCs w:val="20"/>
    </w:rPr>
  </w:style>
  <w:style w:type="paragraph" w:customStyle="1" w:styleId="Default">
    <w:name w:val="Default"/>
    <w:basedOn w:val="Normal"/>
    <w:rsid w:val="004969F3"/>
    <w:pPr>
      <w:autoSpaceDE w:val="0"/>
      <w:autoSpaceDN w:val="0"/>
      <w:ind w:left="0" w:firstLine="0"/>
    </w:pPr>
    <w:rPr>
      <w:rFonts w:ascii="Arial" w:hAnsi="Arial" w:cs="Arial"/>
      <w:color w:val="000000"/>
      <w:sz w:val="24"/>
      <w:szCs w:val="24"/>
      <w:lang w:eastAsia="en-GB"/>
    </w:rPr>
  </w:style>
  <w:style w:type="paragraph" w:styleId="FootnoteText">
    <w:name w:val="footnote text"/>
    <w:basedOn w:val="Normal"/>
    <w:link w:val="FootnoteTextChar"/>
    <w:uiPriority w:val="99"/>
    <w:semiHidden/>
    <w:unhideWhenUsed/>
    <w:rsid w:val="00FC5A0A"/>
    <w:pPr>
      <w:ind w:left="0" w:firstLine="0"/>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FC5A0A"/>
    <w:rPr>
      <w:rFonts w:ascii="Calibri" w:hAnsi="Calibri" w:cs="Times New Roman"/>
      <w:sz w:val="20"/>
      <w:szCs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unhideWhenUsed/>
    <w:qFormat/>
    <w:rsid w:val="00FC5A0A"/>
    <w:rPr>
      <w:vertAlign w:val="superscript"/>
    </w:rPr>
  </w:style>
  <w:style w:type="paragraph" w:styleId="Header">
    <w:name w:val="header"/>
    <w:basedOn w:val="Normal"/>
    <w:link w:val="HeaderChar"/>
    <w:uiPriority w:val="99"/>
    <w:unhideWhenUsed/>
    <w:rsid w:val="00570F86"/>
    <w:pPr>
      <w:tabs>
        <w:tab w:val="center" w:pos="4513"/>
        <w:tab w:val="right" w:pos="9026"/>
      </w:tabs>
    </w:pPr>
  </w:style>
  <w:style w:type="character" w:customStyle="1" w:styleId="HeaderChar">
    <w:name w:val="Header Char"/>
    <w:basedOn w:val="DefaultParagraphFont"/>
    <w:link w:val="Header"/>
    <w:uiPriority w:val="99"/>
    <w:rsid w:val="00570F86"/>
  </w:style>
  <w:style w:type="paragraph" w:styleId="Footer">
    <w:name w:val="footer"/>
    <w:basedOn w:val="Normal"/>
    <w:link w:val="FooterChar"/>
    <w:uiPriority w:val="99"/>
    <w:unhideWhenUsed/>
    <w:rsid w:val="00570F86"/>
    <w:pPr>
      <w:tabs>
        <w:tab w:val="center" w:pos="4513"/>
        <w:tab w:val="right" w:pos="9026"/>
      </w:tabs>
    </w:pPr>
  </w:style>
  <w:style w:type="character" w:customStyle="1" w:styleId="FooterChar">
    <w:name w:val="Footer Char"/>
    <w:basedOn w:val="DefaultParagraphFont"/>
    <w:link w:val="Footer"/>
    <w:uiPriority w:val="99"/>
    <w:rsid w:val="00570F86"/>
  </w:style>
  <w:style w:type="paragraph" w:styleId="NormalWeb">
    <w:name w:val="Normal (Web)"/>
    <w:basedOn w:val="Normal"/>
    <w:uiPriority w:val="99"/>
    <w:unhideWhenUsed/>
    <w:rsid w:val="00B31A2B"/>
    <w:pPr>
      <w:spacing w:before="100" w:beforeAutospacing="1" w:after="100" w:afterAutospacing="1"/>
      <w:ind w:left="0" w:firstLine="0"/>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617C5"/>
    <w:rPr>
      <w:i/>
      <w:iCs/>
    </w:rPr>
  </w:style>
  <w:style w:type="character" w:customStyle="1" w:styleId="apple-converted-space">
    <w:name w:val="apple-converted-space"/>
    <w:basedOn w:val="DefaultParagraphFont"/>
    <w:rsid w:val="00E84D11"/>
  </w:style>
  <w:style w:type="character" w:customStyle="1" w:styleId="Heading3Char">
    <w:name w:val="Heading 3 Char"/>
    <w:basedOn w:val="DefaultParagraphFont"/>
    <w:link w:val="Heading3"/>
    <w:uiPriority w:val="9"/>
    <w:semiHidden/>
    <w:rsid w:val="00D714AC"/>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4664A2"/>
    <w:rPr>
      <w:color w:val="605E5C"/>
      <w:shd w:val="clear" w:color="auto" w:fill="E1DFDD"/>
    </w:rPr>
  </w:style>
  <w:style w:type="character" w:customStyle="1" w:styleId="ListParagraphChar">
    <w:name w:val="List Paragraph Char"/>
    <w:link w:val="ListParagraph"/>
    <w:uiPriority w:val="34"/>
    <w:locked/>
    <w:rsid w:val="00F2690E"/>
  </w:style>
  <w:style w:type="paragraph" w:styleId="NoSpacing">
    <w:name w:val="No Spacing"/>
    <w:uiPriority w:val="1"/>
    <w:qFormat/>
    <w:rsid w:val="00AC3442"/>
    <w:rPr>
      <w:rFonts w:ascii="Calibri" w:eastAsia="Calibri" w:hAnsi="Calibri" w:cs="Times New Roman"/>
    </w:rPr>
  </w:style>
  <w:style w:type="character" w:styleId="FollowedHyperlink">
    <w:name w:val="FollowedHyperlink"/>
    <w:basedOn w:val="DefaultParagraphFont"/>
    <w:uiPriority w:val="99"/>
    <w:semiHidden/>
    <w:unhideWhenUsed/>
    <w:rsid w:val="00F61A2B"/>
    <w:rPr>
      <w:color w:val="954F72" w:themeColor="followedHyperlink"/>
      <w:u w:val="single"/>
    </w:rPr>
  </w:style>
  <w:style w:type="table" w:styleId="TableGrid">
    <w:name w:val="Table Grid"/>
    <w:basedOn w:val="TableNormal"/>
    <w:uiPriority w:val="59"/>
    <w:rsid w:val="00016A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econdHeader">
    <w:name w:val="Second Header"/>
    <w:basedOn w:val="Normal"/>
    <w:next w:val="Normal"/>
    <w:rsid w:val="00B92B90"/>
    <w:pPr>
      <w:spacing w:before="120" w:after="120"/>
      <w:ind w:left="0" w:firstLine="0"/>
    </w:pPr>
    <w:rPr>
      <w:rFonts w:ascii="Roboto" w:hAnsi="Roboto"/>
      <w:color w:val="00B0F0"/>
      <w:sz w:val="3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7446">
      <w:bodyDiv w:val="1"/>
      <w:marLeft w:val="0"/>
      <w:marRight w:val="0"/>
      <w:marTop w:val="0"/>
      <w:marBottom w:val="0"/>
      <w:divBdr>
        <w:top w:val="none" w:sz="0" w:space="0" w:color="auto"/>
        <w:left w:val="none" w:sz="0" w:space="0" w:color="auto"/>
        <w:bottom w:val="none" w:sz="0" w:space="0" w:color="auto"/>
        <w:right w:val="none" w:sz="0" w:space="0" w:color="auto"/>
      </w:divBdr>
    </w:div>
    <w:div w:id="48774371">
      <w:bodyDiv w:val="1"/>
      <w:marLeft w:val="0"/>
      <w:marRight w:val="0"/>
      <w:marTop w:val="0"/>
      <w:marBottom w:val="0"/>
      <w:divBdr>
        <w:top w:val="none" w:sz="0" w:space="0" w:color="auto"/>
        <w:left w:val="none" w:sz="0" w:space="0" w:color="auto"/>
        <w:bottom w:val="none" w:sz="0" w:space="0" w:color="auto"/>
        <w:right w:val="none" w:sz="0" w:space="0" w:color="auto"/>
      </w:divBdr>
    </w:div>
    <w:div w:id="114639190">
      <w:bodyDiv w:val="1"/>
      <w:marLeft w:val="0"/>
      <w:marRight w:val="0"/>
      <w:marTop w:val="0"/>
      <w:marBottom w:val="0"/>
      <w:divBdr>
        <w:top w:val="none" w:sz="0" w:space="0" w:color="auto"/>
        <w:left w:val="none" w:sz="0" w:space="0" w:color="auto"/>
        <w:bottom w:val="none" w:sz="0" w:space="0" w:color="auto"/>
        <w:right w:val="none" w:sz="0" w:space="0" w:color="auto"/>
      </w:divBdr>
    </w:div>
    <w:div w:id="211501976">
      <w:bodyDiv w:val="1"/>
      <w:marLeft w:val="0"/>
      <w:marRight w:val="0"/>
      <w:marTop w:val="0"/>
      <w:marBottom w:val="0"/>
      <w:divBdr>
        <w:top w:val="none" w:sz="0" w:space="0" w:color="auto"/>
        <w:left w:val="none" w:sz="0" w:space="0" w:color="auto"/>
        <w:bottom w:val="none" w:sz="0" w:space="0" w:color="auto"/>
        <w:right w:val="none" w:sz="0" w:space="0" w:color="auto"/>
      </w:divBdr>
    </w:div>
    <w:div w:id="224412979">
      <w:bodyDiv w:val="1"/>
      <w:marLeft w:val="0"/>
      <w:marRight w:val="0"/>
      <w:marTop w:val="0"/>
      <w:marBottom w:val="0"/>
      <w:divBdr>
        <w:top w:val="none" w:sz="0" w:space="0" w:color="auto"/>
        <w:left w:val="none" w:sz="0" w:space="0" w:color="auto"/>
        <w:bottom w:val="none" w:sz="0" w:space="0" w:color="auto"/>
        <w:right w:val="none" w:sz="0" w:space="0" w:color="auto"/>
      </w:divBdr>
    </w:div>
    <w:div w:id="267976799">
      <w:bodyDiv w:val="1"/>
      <w:marLeft w:val="0"/>
      <w:marRight w:val="0"/>
      <w:marTop w:val="0"/>
      <w:marBottom w:val="0"/>
      <w:divBdr>
        <w:top w:val="none" w:sz="0" w:space="0" w:color="auto"/>
        <w:left w:val="none" w:sz="0" w:space="0" w:color="auto"/>
        <w:bottom w:val="none" w:sz="0" w:space="0" w:color="auto"/>
        <w:right w:val="none" w:sz="0" w:space="0" w:color="auto"/>
      </w:divBdr>
    </w:div>
    <w:div w:id="388773355">
      <w:bodyDiv w:val="1"/>
      <w:marLeft w:val="0"/>
      <w:marRight w:val="0"/>
      <w:marTop w:val="0"/>
      <w:marBottom w:val="0"/>
      <w:divBdr>
        <w:top w:val="none" w:sz="0" w:space="0" w:color="auto"/>
        <w:left w:val="none" w:sz="0" w:space="0" w:color="auto"/>
        <w:bottom w:val="none" w:sz="0" w:space="0" w:color="auto"/>
        <w:right w:val="none" w:sz="0" w:space="0" w:color="auto"/>
      </w:divBdr>
    </w:div>
    <w:div w:id="535123658">
      <w:bodyDiv w:val="1"/>
      <w:marLeft w:val="0"/>
      <w:marRight w:val="0"/>
      <w:marTop w:val="0"/>
      <w:marBottom w:val="0"/>
      <w:divBdr>
        <w:top w:val="none" w:sz="0" w:space="0" w:color="auto"/>
        <w:left w:val="none" w:sz="0" w:space="0" w:color="auto"/>
        <w:bottom w:val="none" w:sz="0" w:space="0" w:color="auto"/>
        <w:right w:val="none" w:sz="0" w:space="0" w:color="auto"/>
      </w:divBdr>
    </w:div>
    <w:div w:id="555165829">
      <w:bodyDiv w:val="1"/>
      <w:marLeft w:val="0"/>
      <w:marRight w:val="0"/>
      <w:marTop w:val="0"/>
      <w:marBottom w:val="0"/>
      <w:divBdr>
        <w:top w:val="none" w:sz="0" w:space="0" w:color="auto"/>
        <w:left w:val="none" w:sz="0" w:space="0" w:color="auto"/>
        <w:bottom w:val="none" w:sz="0" w:space="0" w:color="auto"/>
        <w:right w:val="none" w:sz="0" w:space="0" w:color="auto"/>
      </w:divBdr>
    </w:div>
    <w:div w:id="616910825">
      <w:bodyDiv w:val="1"/>
      <w:marLeft w:val="0"/>
      <w:marRight w:val="0"/>
      <w:marTop w:val="0"/>
      <w:marBottom w:val="0"/>
      <w:divBdr>
        <w:top w:val="none" w:sz="0" w:space="0" w:color="auto"/>
        <w:left w:val="none" w:sz="0" w:space="0" w:color="auto"/>
        <w:bottom w:val="none" w:sz="0" w:space="0" w:color="auto"/>
        <w:right w:val="none" w:sz="0" w:space="0" w:color="auto"/>
      </w:divBdr>
    </w:div>
    <w:div w:id="628166958">
      <w:bodyDiv w:val="1"/>
      <w:marLeft w:val="0"/>
      <w:marRight w:val="0"/>
      <w:marTop w:val="0"/>
      <w:marBottom w:val="0"/>
      <w:divBdr>
        <w:top w:val="none" w:sz="0" w:space="0" w:color="auto"/>
        <w:left w:val="none" w:sz="0" w:space="0" w:color="auto"/>
        <w:bottom w:val="none" w:sz="0" w:space="0" w:color="auto"/>
        <w:right w:val="none" w:sz="0" w:space="0" w:color="auto"/>
      </w:divBdr>
    </w:div>
    <w:div w:id="652760944">
      <w:bodyDiv w:val="1"/>
      <w:marLeft w:val="0"/>
      <w:marRight w:val="0"/>
      <w:marTop w:val="0"/>
      <w:marBottom w:val="0"/>
      <w:divBdr>
        <w:top w:val="none" w:sz="0" w:space="0" w:color="auto"/>
        <w:left w:val="none" w:sz="0" w:space="0" w:color="auto"/>
        <w:bottom w:val="none" w:sz="0" w:space="0" w:color="auto"/>
        <w:right w:val="none" w:sz="0" w:space="0" w:color="auto"/>
      </w:divBdr>
    </w:div>
    <w:div w:id="840970131">
      <w:bodyDiv w:val="1"/>
      <w:marLeft w:val="0"/>
      <w:marRight w:val="0"/>
      <w:marTop w:val="0"/>
      <w:marBottom w:val="0"/>
      <w:divBdr>
        <w:top w:val="none" w:sz="0" w:space="0" w:color="auto"/>
        <w:left w:val="none" w:sz="0" w:space="0" w:color="auto"/>
        <w:bottom w:val="none" w:sz="0" w:space="0" w:color="auto"/>
        <w:right w:val="none" w:sz="0" w:space="0" w:color="auto"/>
      </w:divBdr>
    </w:div>
    <w:div w:id="865099451">
      <w:bodyDiv w:val="1"/>
      <w:marLeft w:val="0"/>
      <w:marRight w:val="0"/>
      <w:marTop w:val="0"/>
      <w:marBottom w:val="0"/>
      <w:divBdr>
        <w:top w:val="none" w:sz="0" w:space="0" w:color="auto"/>
        <w:left w:val="none" w:sz="0" w:space="0" w:color="auto"/>
        <w:bottom w:val="none" w:sz="0" w:space="0" w:color="auto"/>
        <w:right w:val="none" w:sz="0" w:space="0" w:color="auto"/>
      </w:divBdr>
    </w:div>
    <w:div w:id="950473389">
      <w:bodyDiv w:val="1"/>
      <w:marLeft w:val="0"/>
      <w:marRight w:val="0"/>
      <w:marTop w:val="0"/>
      <w:marBottom w:val="0"/>
      <w:divBdr>
        <w:top w:val="none" w:sz="0" w:space="0" w:color="auto"/>
        <w:left w:val="none" w:sz="0" w:space="0" w:color="auto"/>
        <w:bottom w:val="none" w:sz="0" w:space="0" w:color="auto"/>
        <w:right w:val="none" w:sz="0" w:space="0" w:color="auto"/>
      </w:divBdr>
    </w:div>
    <w:div w:id="955218619">
      <w:bodyDiv w:val="1"/>
      <w:marLeft w:val="0"/>
      <w:marRight w:val="0"/>
      <w:marTop w:val="0"/>
      <w:marBottom w:val="0"/>
      <w:divBdr>
        <w:top w:val="none" w:sz="0" w:space="0" w:color="auto"/>
        <w:left w:val="none" w:sz="0" w:space="0" w:color="auto"/>
        <w:bottom w:val="none" w:sz="0" w:space="0" w:color="auto"/>
        <w:right w:val="none" w:sz="0" w:space="0" w:color="auto"/>
      </w:divBdr>
    </w:div>
    <w:div w:id="968364028">
      <w:bodyDiv w:val="1"/>
      <w:marLeft w:val="0"/>
      <w:marRight w:val="0"/>
      <w:marTop w:val="0"/>
      <w:marBottom w:val="0"/>
      <w:divBdr>
        <w:top w:val="none" w:sz="0" w:space="0" w:color="auto"/>
        <w:left w:val="none" w:sz="0" w:space="0" w:color="auto"/>
        <w:bottom w:val="none" w:sz="0" w:space="0" w:color="auto"/>
        <w:right w:val="none" w:sz="0" w:space="0" w:color="auto"/>
      </w:divBdr>
    </w:div>
    <w:div w:id="975182261">
      <w:bodyDiv w:val="1"/>
      <w:marLeft w:val="0"/>
      <w:marRight w:val="0"/>
      <w:marTop w:val="0"/>
      <w:marBottom w:val="0"/>
      <w:divBdr>
        <w:top w:val="none" w:sz="0" w:space="0" w:color="auto"/>
        <w:left w:val="none" w:sz="0" w:space="0" w:color="auto"/>
        <w:bottom w:val="none" w:sz="0" w:space="0" w:color="auto"/>
        <w:right w:val="none" w:sz="0" w:space="0" w:color="auto"/>
      </w:divBdr>
    </w:div>
    <w:div w:id="1008484320">
      <w:bodyDiv w:val="1"/>
      <w:marLeft w:val="0"/>
      <w:marRight w:val="0"/>
      <w:marTop w:val="0"/>
      <w:marBottom w:val="0"/>
      <w:divBdr>
        <w:top w:val="none" w:sz="0" w:space="0" w:color="auto"/>
        <w:left w:val="none" w:sz="0" w:space="0" w:color="auto"/>
        <w:bottom w:val="none" w:sz="0" w:space="0" w:color="auto"/>
        <w:right w:val="none" w:sz="0" w:space="0" w:color="auto"/>
      </w:divBdr>
    </w:div>
    <w:div w:id="1055011806">
      <w:bodyDiv w:val="1"/>
      <w:marLeft w:val="0"/>
      <w:marRight w:val="0"/>
      <w:marTop w:val="0"/>
      <w:marBottom w:val="0"/>
      <w:divBdr>
        <w:top w:val="none" w:sz="0" w:space="0" w:color="auto"/>
        <w:left w:val="none" w:sz="0" w:space="0" w:color="auto"/>
        <w:bottom w:val="none" w:sz="0" w:space="0" w:color="auto"/>
        <w:right w:val="none" w:sz="0" w:space="0" w:color="auto"/>
      </w:divBdr>
    </w:div>
    <w:div w:id="1267155315">
      <w:bodyDiv w:val="1"/>
      <w:marLeft w:val="0"/>
      <w:marRight w:val="0"/>
      <w:marTop w:val="0"/>
      <w:marBottom w:val="0"/>
      <w:divBdr>
        <w:top w:val="none" w:sz="0" w:space="0" w:color="auto"/>
        <w:left w:val="none" w:sz="0" w:space="0" w:color="auto"/>
        <w:bottom w:val="none" w:sz="0" w:space="0" w:color="auto"/>
        <w:right w:val="none" w:sz="0" w:space="0" w:color="auto"/>
      </w:divBdr>
    </w:div>
    <w:div w:id="1325428596">
      <w:bodyDiv w:val="1"/>
      <w:marLeft w:val="0"/>
      <w:marRight w:val="0"/>
      <w:marTop w:val="0"/>
      <w:marBottom w:val="0"/>
      <w:divBdr>
        <w:top w:val="none" w:sz="0" w:space="0" w:color="auto"/>
        <w:left w:val="none" w:sz="0" w:space="0" w:color="auto"/>
        <w:bottom w:val="none" w:sz="0" w:space="0" w:color="auto"/>
        <w:right w:val="none" w:sz="0" w:space="0" w:color="auto"/>
      </w:divBdr>
    </w:div>
    <w:div w:id="1436055236">
      <w:bodyDiv w:val="1"/>
      <w:marLeft w:val="0"/>
      <w:marRight w:val="0"/>
      <w:marTop w:val="0"/>
      <w:marBottom w:val="0"/>
      <w:divBdr>
        <w:top w:val="none" w:sz="0" w:space="0" w:color="auto"/>
        <w:left w:val="none" w:sz="0" w:space="0" w:color="auto"/>
        <w:bottom w:val="none" w:sz="0" w:space="0" w:color="auto"/>
        <w:right w:val="none" w:sz="0" w:space="0" w:color="auto"/>
      </w:divBdr>
    </w:div>
    <w:div w:id="1502544292">
      <w:bodyDiv w:val="1"/>
      <w:marLeft w:val="0"/>
      <w:marRight w:val="0"/>
      <w:marTop w:val="0"/>
      <w:marBottom w:val="0"/>
      <w:divBdr>
        <w:top w:val="none" w:sz="0" w:space="0" w:color="auto"/>
        <w:left w:val="none" w:sz="0" w:space="0" w:color="auto"/>
        <w:bottom w:val="none" w:sz="0" w:space="0" w:color="auto"/>
        <w:right w:val="none" w:sz="0" w:space="0" w:color="auto"/>
      </w:divBdr>
    </w:div>
    <w:div w:id="1542207724">
      <w:bodyDiv w:val="1"/>
      <w:marLeft w:val="0"/>
      <w:marRight w:val="0"/>
      <w:marTop w:val="0"/>
      <w:marBottom w:val="0"/>
      <w:divBdr>
        <w:top w:val="none" w:sz="0" w:space="0" w:color="auto"/>
        <w:left w:val="none" w:sz="0" w:space="0" w:color="auto"/>
        <w:bottom w:val="none" w:sz="0" w:space="0" w:color="auto"/>
        <w:right w:val="none" w:sz="0" w:space="0" w:color="auto"/>
      </w:divBdr>
    </w:div>
    <w:div w:id="1558392042">
      <w:bodyDiv w:val="1"/>
      <w:marLeft w:val="0"/>
      <w:marRight w:val="0"/>
      <w:marTop w:val="0"/>
      <w:marBottom w:val="0"/>
      <w:divBdr>
        <w:top w:val="none" w:sz="0" w:space="0" w:color="auto"/>
        <w:left w:val="none" w:sz="0" w:space="0" w:color="auto"/>
        <w:bottom w:val="none" w:sz="0" w:space="0" w:color="auto"/>
        <w:right w:val="none" w:sz="0" w:space="0" w:color="auto"/>
      </w:divBdr>
    </w:div>
    <w:div w:id="1627390294">
      <w:bodyDiv w:val="1"/>
      <w:marLeft w:val="0"/>
      <w:marRight w:val="0"/>
      <w:marTop w:val="0"/>
      <w:marBottom w:val="0"/>
      <w:divBdr>
        <w:top w:val="none" w:sz="0" w:space="0" w:color="auto"/>
        <w:left w:val="none" w:sz="0" w:space="0" w:color="auto"/>
        <w:bottom w:val="none" w:sz="0" w:space="0" w:color="auto"/>
        <w:right w:val="none" w:sz="0" w:space="0" w:color="auto"/>
      </w:divBdr>
    </w:div>
    <w:div w:id="1691758976">
      <w:bodyDiv w:val="1"/>
      <w:marLeft w:val="0"/>
      <w:marRight w:val="0"/>
      <w:marTop w:val="0"/>
      <w:marBottom w:val="0"/>
      <w:divBdr>
        <w:top w:val="none" w:sz="0" w:space="0" w:color="auto"/>
        <w:left w:val="none" w:sz="0" w:space="0" w:color="auto"/>
        <w:bottom w:val="none" w:sz="0" w:space="0" w:color="auto"/>
        <w:right w:val="none" w:sz="0" w:space="0" w:color="auto"/>
      </w:divBdr>
    </w:div>
    <w:div w:id="1706560343">
      <w:bodyDiv w:val="1"/>
      <w:marLeft w:val="0"/>
      <w:marRight w:val="0"/>
      <w:marTop w:val="0"/>
      <w:marBottom w:val="0"/>
      <w:divBdr>
        <w:top w:val="none" w:sz="0" w:space="0" w:color="auto"/>
        <w:left w:val="none" w:sz="0" w:space="0" w:color="auto"/>
        <w:bottom w:val="none" w:sz="0" w:space="0" w:color="auto"/>
        <w:right w:val="none" w:sz="0" w:space="0" w:color="auto"/>
      </w:divBdr>
    </w:div>
    <w:div w:id="1747679828">
      <w:bodyDiv w:val="1"/>
      <w:marLeft w:val="0"/>
      <w:marRight w:val="0"/>
      <w:marTop w:val="0"/>
      <w:marBottom w:val="0"/>
      <w:divBdr>
        <w:top w:val="none" w:sz="0" w:space="0" w:color="auto"/>
        <w:left w:val="none" w:sz="0" w:space="0" w:color="auto"/>
        <w:bottom w:val="none" w:sz="0" w:space="0" w:color="auto"/>
        <w:right w:val="none" w:sz="0" w:space="0" w:color="auto"/>
      </w:divBdr>
    </w:div>
    <w:div w:id="1834447212">
      <w:bodyDiv w:val="1"/>
      <w:marLeft w:val="0"/>
      <w:marRight w:val="0"/>
      <w:marTop w:val="0"/>
      <w:marBottom w:val="0"/>
      <w:divBdr>
        <w:top w:val="none" w:sz="0" w:space="0" w:color="auto"/>
        <w:left w:val="none" w:sz="0" w:space="0" w:color="auto"/>
        <w:bottom w:val="none" w:sz="0" w:space="0" w:color="auto"/>
        <w:right w:val="none" w:sz="0" w:space="0" w:color="auto"/>
      </w:divBdr>
    </w:div>
    <w:div w:id="1959331094">
      <w:bodyDiv w:val="1"/>
      <w:marLeft w:val="0"/>
      <w:marRight w:val="0"/>
      <w:marTop w:val="0"/>
      <w:marBottom w:val="0"/>
      <w:divBdr>
        <w:top w:val="none" w:sz="0" w:space="0" w:color="auto"/>
        <w:left w:val="none" w:sz="0" w:space="0" w:color="auto"/>
        <w:bottom w:val="none" w:sz="0" w:space="0" w:color="auto"/>
        <w:right w:val="none" w:sz="0" w:space="0" w:color="auto"/>
      </w:divBdr>
    </w:div>
    <w:div w:id="2015838101">
      <w:bodyDiv w:val="1"/>
      <w:marLeft w:val="0"/>
      <w:marRight w:val="0"/>
      <w:marTop w:val="0"/>
      <w:marBottom w:val="0"/>
      <w:divBdr>
        <w:top w:val="none" w:sz="0" w:space="0" w:color="auto"/>
        <w:left w:val="none" w:sz="0" w:space="0" w:color="auto"/>
        <w:bottom w:val="none" w:sz="0" w:space="0" w:color="auto"/>
        <w:right w:val="none" w:sz="0" w:space="0" w:color="auto"/>
      </w:divBdr>
    </w:div>
    <w:div w:id="211628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msar.org/document/introduction-to-planning-and-writing-conservation-project-proposal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activity/funding-organization-databas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ramsar.org/news/wetlands-restoration-as-part-of-the-un-decade-of-ecosystem-restoration-unlocking-the-untapped" TargetMode="External"/><Relationship Id="rId13" Type="http://schemas.openxmlformats.org/officeDocument/2006/relationships/hyperlink" Target="https://www.ramsar.org/event/acting-for-wetlands-challenges-and-opportunities" TargetMode="External"/><Relationship Id="rId3" Type="http://schemas.openxmlformats.org/officeDocument/2006/relationships/hyperlink" Target="https://www.ramsar.org/document/sc59-doc6-report-of-the-secretary-general" TargetMode="External"/><Relationship Id="rId7" Type="http://schemas.openxmlformats.org/officeDocument/2006/relationships/hyperlink" Target="https://www.ramsar.org/document/sc592022-doc5-report-of-the-executive-team-and-chair-of-the-standing-committee" TargetMode="External"/><Relationship Id="rId12" Type="http://schemas.openxmlformats.org/officeDocument/2006/relationships/hyperlink" Target="https://www.un.org/en/observances/world-wetlands-day" TargetMode="External"/><Relationship Id="rId2" Type="http://schemas.openxmlformats.org/officeDocument/2006/relationships/hyperlink" Target="https://www.ramsar.org/document/sc58-doc6-report-of-the-secretary-general" TargetMode="External"/><Relationship Id="rId1" Type="http://schemas.openxmlformats.org/officeDocument/2006/relationships/hyperlink" Target="https://www.ramsar.org/document/sc57-doc5-report-of-the-secretary-general" TargetMode="External"/><Relationship Id="rId6" Type="http://schemas.openxmlformats.org/officeDocument/2006/relationships/hyperlink" Target="http://www.ramsar.org/document/sc59-doc5-report-of-the-executive-team-and-chair-of-the-standing-committee" TargetMode="External"/><Relationship Id="rId11" Type="http://schemas.openxmlformats.org/officeDocument/2006/relationships/hyperlink" Target="https://www.global-wetland-outlook.ramsar.org" TargetMode="External"/><Relationship Id="rId5" Type="http://schemas.openxmlformats.org/officeDocument/2006/relationships/hyperlink" Target="http://www.ramsar.org/document/sc58-doc5-report-of-the-executive-team-and-chair-of-the-standing-committee" TargetMode="External"/><Relationship Id="rId10" Type="http://schemas.openxmlformats.org/officeDocument/2006/relationships/hyperlink" Target="https://www.ramsar.org/resources/training-webinar-mainstreaming-gender-under-the-convention-on-wetlands" TargetMode="External"/><Relationship Id="rId4" Type="http://schemas.openxmlformats.org/officeDocument/2006/relationships/hyperlink" Target="https://www.ramsar.org/document/sc592022-doc6-report-of-the-secretary-general" TargetMode="External"/><Relationship Id="rId9" Type="http://schemas.openxmlformats.org/officeDocument/2006/relationships/hyperlink" Target="https://www.ramsar.org/document/guidance-on-mainstreaming-gender-under-the-ramsar-convention-on-wetland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28499A3D4EBC46A54B223F15BF4755" ma:contentTypeVersion="14" ma:contentTypeDescription="Create a new document." ma:contentTypeScope="" ma:versionID="e19d1ba65b16215b94192fe30fef1093">
  <xsd:schema xmlns:xsd="http://www.w3.org/2001/XMLSchema" xmlns:xs="http://www.w3.org/2001/XMLSchema" xmlns:p="http://schemas.microsoft.com/office/2006/metadata/properties" xmlns:ns3="682f1ccd-e5c5-43c9-b9d9-dd72e0a643d0" xmlns:ns4="75035800-fbd9-4494-bf62-86cc10c5d50d" targetNamespace="http://schemas.microsoft.com/office/2006/metadata/properties" ma:root="true" ma:fieldsID="793f03ab7b181d42bf7ece909e5aba98" ns3:_="" ns4:_="">
    <xsd:import namespace="682f1ccd-e5c5-43c9-b9d9-dd72e0a643d0"/>
    <xsd:import namespace="75035800-fbd9-4494-bf62-86cc10c5d5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f1ccd-e5c5-43c9-b9d9-dd72e0a64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35800-fbd9-4494-bf62-86cc10c5d50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64525-059C-45F0-AF32-EBAF582149A1}">
  <ds:schemaRefs>
    <ds:schemaRef ds:uri="http://schemas.microsoft.com/sharepoint/v3/contenttype/forms"/>
  </ds:schemaRefs>
</ds:datastoreItem>
</file>

<file path=customXml/itemProps2.xml><?xml version="1.0" encoding="utf-8"?>
<ds:datastoreItem xmlns:ds="http://schemas.openxmlformats.org/officeDocument/2006/customXml" ds:itemID="{65CCC669-66F3-42A4-9CB3-1389B4765EFB}">
  <ds:schemaRef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schemas.microsoft.com/office/infopath/2007/PartnerControls"/>
    <ds:schemaRef ds:uri="682f1ccd-e5c5-43c9-b9d9-dd72e0a643d0"/>
    <ds:schemaRef ds:uri="http://www.w3.org/XML/1998/namespace"/>
    <ds:schemaRef ds:uri="75035800-fbd9-4494-bf62-86cc10c5d50d"/>
    <ds:schemaRef ds:uri="http://purl.org/dc/terms/"/>
  </ds:schemaRefs>
</ds:datastoreItem>
</file>

<file path=customXml/itemProps3.xml><?xml version="1.0" encoding="utf-8"?>
<ds:datastoreItem xmlns:ds="http://schemas.openxmlformats.org/officeDocument/2006/customXml" ds:itemID="{9B2C3190-9991-4432-A05E-71DEC8FA1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f1ccd-e5c5-43c9-b9d9-dd72e0a643d0"/>
    <ds:schemaRef ds:uri="75035800-fbd9-4494-bf62-86cc10c5d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663158-6455-40D5-94B2-0F3514355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9390</Words>
  <Characters>53523</Characters>
  <Application>Microsoft Office Word</Application>
  <DocSecurity>0</DocSecurity>
  <Lines>446</Lines>
  <Paragraphs>125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62788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RIVERA Maria</dc:creator>
  <cp:lastModifiedBy>Ed Jennings</cp:lastModifiedBy>
  <cp:revision>2</cp:revision>
  <cp:lastPrinted>2018-07-30T07:13:00Z</cp:lastPrinted>
  <dcterms:created xsi:type="dcterms:W3CDTF">2022-09-30T09:26:00Z</dcterms:created>
  <dcterms:modified xsi:type="dcterms:W3CDTF">2022-09-30T09:26:00Z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0x0101009528499A3D4EBC46A54B223F15BF4755</vt:lpwstr>
  </property>
</Properties>
</file>