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E6F6"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0BA675B5" wp14:editId="0BFE5881">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07574669"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3A34D1DB"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1763A2BE"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646700E1" w14:textId="5200E1B2" w:rsidR="008273F2" w:rsidRPr="00067E2B" w:rsidRDefault="002E0FA2"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5E9997DF" w14:textId="77777777" w:rsidR="00840907" w:rsidRPr="008273F2" w:rsidRDefault="00840907" w:rsidP="00840907">
      <w:pPr>
        <w:snapToGrid w:val="0"/>
        <w:spacing w:after="0" w:line="240" w:lineRule="auto"/>
        <w:jc w:val="center"/>
        <w:rPr>
          <w:b/>
          <w:sz w:val="28"/>
          <w:szCs w:val="28"/>
          <w:lang w:val="fr-CH"/>
        </w:rPr>
      </w:pPr>
    </w:p>
    <w:p w14:paraId="45642193" w14:textId="77777777" w:rsidR="00840907" w:rsidRPr="004841E9" w:rsidRDefault="00840907" w:rsidP="00840907">
      <w:pPr>
        <w:snapToGrid w:val="0"/>
        <w:spacing w:after="0" w:line="240" w:lineRule="auto"/>
        <w:jc w:val="center"/>
        <w:rPr>
          <w:b/>
          <w:sz w:val="28"/>
          <w:szCs w:val="28"/>
          <w:lang w:val="fr-FR"/>
        </w:rPr>
      </w:pPr>
    </w:p>
    <w:p w14:paraId="2D68DCE5"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2AEF0486" w14:textId="77777777" w:rsidR="00840907" w:rsidRPr="004841E9" w:rsidRDefault="00840907" w:rsidP="00840907">
      <w:pPr>
        <w:snapToGrid w:val="0"/>
        <w:spacing w:after="0" w:line="240" w:lineRule="auto"/>
        <w:jc w:val="center"/>
        <w:rPr>
          <w:b/>
          <w:sz w:val="28"/>
          <w:szCs w:val="28"/>
          <w:lang w:val="fr-FR"/>
        </w:rPr>
      </w:pPr>
    </w:p>
    <w:p w14:paraId="2E8D5F86"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376310">
        <w:rPr>
          <w:rFonts w:cs="Arial"/>
          <w:b/>
          <w:sz w:val="28"/>
          <w:szCs w:val="28"/>
          <w:lang w:val="fr-FR"/>
        </w:rPr>
        <w:t>19</w:t>
      </w:r>
    </w:p>
    <w:p w14:paraId="00965F2A" w14:textId="77777777" w:rsidR="00840907" w:rsidRDefault="00840907" w:rsidP="00840907">
      <w:pPr>
        <w:snapToGrid w:val="0"/>
        <w:spacing w:after="0" w:line="240" w:lineRule="auto"/>
        <w:jc w:val="center"/>
        <w:rPr>
          <w:b/>
          <w:sz w:val="28"/>
          <w:szCs w:val="28"/>
          <w:lang w:val="fr-FR"/>
        </w:rPr>
      </w:pPr>
    </w:p>
    <w:p w14:paraId="23CD8CAD" w14:textId="690FDC74" w:rsidR="006A07DF" w:rsidRPr="006A07DF" w:rsidRDefault="00663A27" w:rsidP="006A07DF">
      <w:pPr>
        <w:spacing w:after="0" w:line="240" w:lineRule="auto"/>
        <w:jc w:val="center"/>
        <w:rPr>
          <w:rFonts w:asciiTheme="minorHAnsi" w:hAnsiTheme="minorHAnsi" w:cstheme="minorHAnsi"/>
          <w:b/>
          <w:sz w:val="28"/>
          <w:szCs w:val="28"/>
          <w:lang w:val="fr-FR" w:eastAsia="en-AU"/>
        </w:rPr>
      </w:pPr>
      <w:r>
        <w:rPr>
          <w:rFonts w:asciiTheme="minorHAnsi" w:hAnsiTheme="minorHAnsi" w:cstheme="minorHAnsi"/>
          <w:b/>
          <w:sz w:val="28"/>
          <w:szCs w:val="28"/>
          <w:lang w:val="fr-FR" w:eastAsia="en-AU"/>
        </w:rPr>
        <w:t>P</w:t>
      </w:r>
      <w:r w:rsidR="006A07DF" w:rsidRPr="006A07DF">
        <w:rPr>
          <w:rFonts w:asciiTheme="minorHAnsi" w:hAnsiTheme="minorHAnsi" w:cstheme="minorHAnsi"/>
          <w:b/>
          <w:sz w:val="28"/>
          <w:szCs w:val="28"/>
          <w:lang w:val="fr-FR" w:eastAsia="en-AU"/>
        </w:rPr>
        <w:t>roposition de création d’un</w:t>
      </w:r>
      <w:r>
        <w:rPr>
          <w:rFonts w:asciiTheme="minorHAnsi" w:hAnsiTheme="minorHAnsi" w:cstheme="minorHAnsi"/>
          <w:b/>
          <w:sz w:val="28"/>
          <w:szCs w:val="28"/>
          <w:lang w:val="fr-FR" w:eastAsia="en-AU"/>
        </w:rPr>
        <w:t xml:space="preserve"> </w:t>
      </w:r>
      <w:r w:rsidR="006A07DF" w:rsidRPr="006A07DF">
        <w:rPr>
          <w:rFonts w:asciiTheme="minorHAnsi" w:hAnsiTheme="minorHAnsi" w:cstheme="minorHAnsi"/>
          <w:b/>
          <w:sz w:val="28"/>
          <w:szCs w:val="28"/>
          <w:lang w:val="fr-FR" w:eastAsia="en-AU"/>
        </w:rPr>
        <w:t>Centre international des mangroves</w:t>
      </w:r>
      <w:r w:rsidR="00162DF4">
        <w:rPr>
          <w:rFonts w:asciiTheme="minorHAnsi" w:hAnsiTheme="minorHAnsi" w:cstheme="minorHAnsi"/>
          <w:b/>
          <w:sz w:val="28"/>
          <w:szCs w:val="28"/>
          <w:lang w:val="fr-FR" w:eastAsia="en-AU"/>
        </w:rPr>
        <w:br/>
      </w:r>
      <w:r w:rsidR="006A07DF" w:rsidRPr="006A07DF">
        <w:rPr>
          <w:rFonts w:asciiTheme="minorHAnsi" w:hAnsiTheme="minorHAnsi" w:cstheme="minorHAnsi"/>
          <w:b/>
          <w:sz w:val="28"/>
          <w:szCs w:val="28"/>
          <w:lang w:val="fr-FR" w:eastAsia="en-AU"/>
        </w:rPr>
        <w:t>(une Initiative régionale Ramsar)</w:t>
      </w:r>
    </w:p>
    <w:p w14:paraId="1F9A8817" w14:textId="77777777" w:rsidR="006A07DF" w:rsidRPr="006A07DF" w:rsidRDefault="006A07DF" w:rsidP="006A07DF">
      <w:pPr>
        <w:spacing w:after="0" w:line="240" w:lineRule="auto"/>
        <w:ind w:left="425" w:hanging="425"/>
        <w:rPr>
          <w:rFonts w:asciiTheme="minorHAnsi" w:hAnsiTheme="minorHAnsi" w:cstheme="minorHAnsi"/>
          <w:sz w:val="28"/>
          <w:lang w:val="fr-FR" w:eastAsia="en-AU"/>
        </w:rPr>
      </w:pPr>
    </w:p>
    <w:p w14:paraId="0663A506" w14:textId="77777777" w:rsidR="006A07DF" w:rsidRPr="006A07DF" w:rsidRDefault="006A07DF" w:rsidP="006A07DF">
      <w:pPr>
        <w:spacing w:after="0" w:line="240" w:lineRule="auto"/>
        <w:ind w:left="425" w:hanging="425"/>
        <w:rPr>
          <w:rFonts w:asciiTheme="minorHAnsi" w:hAnsiTheme="minorHAnsi" w:cstheme="minorHAnsi"/>
          <w:sz w:val="28"/>
          <w:lang w:val="fr-FR" w:eastAsia="en-AU"/>
        </w:rPr>
      </w:pPr>
    </w:p>
    <w:p w14:paraId="37BE9E06" w14:textId="77777777" w:rsidR="006A07DF" w:rsidRPr="006A07DF" w:rsidRDefault="006A07DF" w:rsidP="006A07DF">
      <w:pPr>
        <w:spacing w:after="0" w:line="240" w:lineRule="auto"/>
        <w:ind w:left="426" w:hanging="426"/>
        <w:rPr>
          <w:rFonts w:asciiTheme="minorHAnsi" w:hAnsiTheme="minorHAnsi"/>
          <w:lang w:val="fr-FR" w:eastAsia="en-AU"/>
        </w:rPr>
      </w:pPr>
      <w:r w:rsidRPr="006A07DF">
        <w:rPr>
          <w:rFonts w:asciiTheme="minorHAnsi" w:hAnsiTheme="minorHAnsi"/>
          <w:lang w:val="fr-FR" w:eastAsia="en-AU"/>
        </w:rPr>
        <w:t>1.</w:t>
      </w:r>
      <w:r w:rsidRPr="006A07DF">
        <w:rPr>
          <w:rFonts w:asciiTheme="minorHAnsi" w:hAnsiTheme="minorHAnsi"/>
          <w:lang w:val="fr-FR" w:eastAsia="en-AU"/>
        </w:rPr>
        <w:tab/>
        <w:t>RECONNAISSANT que les écosystèmes de mangroves sont riches en biodiversité et que « 341 espèces vivant dans les mangroves sont considérées comme menacées (vulnérables, en danger ou en danger critique d’extinction) par la communauté internationale et l’UICN » (</w:t>
      </w:r>
      <w:r w:rsidRPr="006A07DF">
        <w:rPr>
          <w:rFonts w:asciiTheme="minorHAnsi" w:hAnsiTheme="minorHAnsi"/>
          <w:i/>
          <w:iCs/>
          <w:lang w:val="fr-FR" w:eastAsia="en-AU"/>
        </w:rPr>
        <w:t>L’État des mangroves dans le monde, 2021</w:t>
      </w:r>
      <w:r w:rsidRPr="006A07DF">
        <w:rPr>
          <w:rFonts w:asciiTheme="minorHAnsi" w:hAnsiTheme="minorHAnsi"/>
          <w:lang w:val="fr-FR" w:eastAsia="en-AU"/>
        </w:rPr>
        <w:t>) ;</w:t>
      </w:r>
    </w:p>
    <w:p w14:paraId="26C12F46" w14:textId="77777777" w:rsidR="006A07DF" w:rsidRPr="006A07DF" w:rsidRDefault="006A07DF" w:rsidP="006A07DF">
      <w:pPr>
        <w:spacing w:after="0" w:line="240" w:lineRule="auto"/>
        <w:rPr>
          <w:rFonts w:asciiTheme="minorHAnsi" w:eastAsia="FangSong" w:hAnsiTheme="minorHAnsi" w:cstheme="minorHAnsi"/>
          <w:lang w:val="fr-FR" w:eastAsia="zh-CN"/>
        </w:rPr>
      </w:pPr>
    </w:p>
    <w:p w14:paraId="5C3F5F8D" w14:textId="0E3210DE" w:rsidR="006A07DF" w:rsidRPr="006A07DF" w:rsidRDefault="006A07DF" w:rsidP="006A07DF">
      <w:pPr>
        <w:spacing w:after="0" w:line="240" w:lineRule="auto"/>
        <w:ind w:left="426" w:hanging="426"/>
        <w:rPr>
          <w:rFonts w:asciiTheme="minorHAnsi" w:eastAsia="FangSong" w:hAnsiTheme="minorHAnsi" w:cstheme="minorHAnsi"/>
          <w:lang w:val="fr-FR" w:eastAsia="zh-CN"/>
        </w:rPr>
      </w:pPr>
      <w:r w:rsidRPr="006A07DF">
        <w:rPr>
          <w:rFonts w:asciiTheme="minorHAnsi" w:eastAsia="FangSong" w:hAnsiTheme="minorHAnsi" w:cstheme="minorHAnsi"/>
          <w:bCs/>
          <w:lang w:val="fr-FR" w:eastAsia="zh-CN"/>
        </w:rPr>
        <w:t>2.</w:t>
      </w:r>
      <w:r w:rsidRPr="006A07DF">
        <w:rPr>
          <w:rFonts w:asciiTheme="minorHAnsi" w:eastAsia="FangSong" w:hAnsiTheme="minorHAnsi" w:cstheme="minorHAnsi"/>
          <w:bCs/>
          <w:lang w:val="fr-FR" w:eastAsia="zh-CN"/>
        </w:rPr>
        <w:tab/>
        <w:t>SACHANT</w:t>
      </w:r>
      <w:r w:rsidRPr="006A07DF">
        <w:rPr>
          <w:rFonts w:asciiTheme="minorHAnsi" w:eastAsia="FangSong" w:hAnsiTheme="minorHAnsi" w:cstheme="minorHAnsi"/>
          <w:lang w:val="fr-FR" w:eastAsia="zh-CN"/>
        </w:rPr>
        <w:t xml:space="preserve"> que les mangroves sont d’importants écosystèmes côtiers de carbone bleu qui peuvent stocker environ 5,73 gigatonnes de carbone (conversion de 21 gigatonnes de CO</w:t>
      </w:r>
      <w:r w:rsidRPr="006A07DF">
        <w:rPr>
          <w:rFonts w:asciiTheme="minorHAnsi" w:eastAsia="FangSong" w:hAnsiTheme="minorHAnsi" w:cstheme="minorHAnsi"/>
          <w:vertAlign w:val="subscript"/>
          <w:lang w:val="fr-FR" w:eastAsia="zh-CN"/>
        </w:rPr>
        <w:t>2</w:t>
      </w:r>
      <w:r w:rsidRPr="006A07DF">
        <w:rPr>
          <w:rFonts w:asciiTheme="minorHAnsi" w:eastAsia="FangSong" w:hAnsiTheme="minorHAnsi" w:cstheme="minorHAnsi"/>
          <w:lang w:val="fr-FR" w:eastAsia="zh-CN"/>
        </w:rPr>
        <w:t>, G</w:t>
      </w:r>
      <w:r w:rsidR="00663A27">
        <w:rPr>
          <w:rFonts w:asciiTheme="minorHAnsi" w:eastAsia="FangSong" w:hAnsiTheme="minorHAnsi" w:cstheme="minorHAnsi"/>
          <w:lang w:val="fr-FR" w:eastAsia="zh-CN"/>
        </w:rPr>
        <w:t xml:space="preserve">lobal </w:t>
      </w:r>
      <w:r w:rsidR="00ED0057" w:rsidRPr="00ED0057">
        <w:rPr>
          <w:rFonts w:asciiTheme="minorHAnsi" w:eastAsia="FangSong" w:hAnsiTheme="minorHAnsi" w:cstheme="minorHAnsi"/>
          <w:lang w:val="fr-FR" w:eastAsia="zh-CN"/>
        </w:rPr>
        <w:t>M</w:t>
      </w:r>
      <w:r w:rsidR="00663A27" w:rsidRPr="00ED0057">
        <w:rPr>
          <w:rFonts w:asciiTheme="minorHAnsi" w:eastAsia="FangSong" w:hAnsiTheme="minorHAnsi" w:cstheme="minorHAnsi"/>
          <w:lang w:val="fr-FR" w:eastAsia="zh-CN"/>
        </w:rPr>
        <w:t>angrove</w:t>
      </w:r>
      <w:r w:rsidR="00663A27">
        <w:rPr>
          <w:rFonts w:asciiTheme="minorHAnsi" w:eastAsia="FangSong" w:hAnsiTheme="minorHAnsi" w:cstheme="minorHAnsi"/>
          <w:lang w:val="fr-FR" w:eastAsia="zh-CN"/>
        </w:rPr>
        <w:t xml:space="preserve"> Alliance</w:t>
      </w:r>
      <w:r w:rsidRPr="006A07DF">
        <w:rPr>
          <w:rFonts w:asciiTheme="minorHAnsi" w:eastAsia="FangSong" w:hAnsiTheme="minorHAnsi" w:cstheme="minorHAnsi"/>
          <w:lang w:val="fr-FR" w:eastAsia="zh-CN"/>
        </w:rPr>
        <w:t xml:space="preserve">, 2021), et que </w:t>
      </w:r>
      <w:r w:rsidRPr="006A07DF">
        <w:rPr>
          <w:lang w:val="fr-FR" w:eastAsia="en-AU"/>
        </w:rPr>
        <w:t>les zones</w:t>
      </w:r>
      <w:r w:rsidRPr="006A07DF">
        <w:rPr>
          <w:spacing w:val="-41"/>
          <w:lang w:val="fr-FR" w:eastAsia="en-AU"/>
        </w:rPr>
        <w:t xml:space="preserve"> </w:t>
      </w:r>
      <w:r w:rsidRPr="006A07DF">
        <w:rPr>
          <w:lang w:val="fr-FR" w:eastAsia="en-AU"/>
        </w:rPr>
        <w:t>humides d’importance internationale comprenant des</w:t>
      </w:r>
      <w:r w:rsidRPr="006A07DF">
        <w:rPr>
          <w:spacing w:val="1"/>
          <w:lang w:val="fr-FR" w:eastAsia="en-AU"/>
        </w:rPr>
        <w:t xml:space="preserve"> </w:t>
      </w:r>
      <w:r w:rsidRPr="006A07DF">
        <w:rPr>
          <w:lang w:val="fr-FR" w:eastAsia="en-AU"/>
        </w:rPr>
        <w:t>mangroves, au sujet desquelles on dispose de données,</w:t>
      </w:r>
      <w:r w:rsidRPr="006A07DF">
        <w:rPr>
          <w:spacing w:val="1"/>
          <w:lang w:val="fr-FR" w:eastAsia="en-AU"/>
        </w:rPr>
        <w:t xml:space="preserve"> </w:t>
      </w:r>
      <w:r w:rsidRPr="006A07DF">
        <w:rPr>
          <w:lang w:val="fr-FR" w:eastAsia="en-AU"/>
        </w:rPr>
        <w:t xml:space="preserve">piégeraient 1,61 </w:t>
      </w:r>
      <w:proofErr w:type="gramStart"/>
      <w:r w:rsidRPr="006A07DF">
        <w:rPr>
          <w:lang w:val="fr-FR" w:eastAsia="en-AU"/>
        </w:rPr>
        <w:t>gigatonne</w:t>
      </w:r>
      <w:proofErr w:type="gramEnd"/>
      <w:r w:rsidRPr="006A07DF">
        <w:rPr>
          <w:lang w:val="fr-FR" w:eastAsia="en-AU"/>
        </w:rPr>
        <w:t xml:space="preserve"> de carbone (</w:t>
      </w:r>
      <w:r w:rsidRPr="006A07DF">
        <w:rPr>
          <w:i/>
          <w:iCs/>
          <w:lang w:val="fr-FR" w:eastAsia="en-AU"/>
        </w:rPr>
        <w:t>Perspectives mondiales des zones humides, 2021</w:t>
      </w:r>
      <w:r w:rsidRPr="006A07DF">
        <w:rPr>
          <w:lang w:val="fr-FR" w:eastAsia="en-AU"/>
        </w:rPr>
        <w:t>)</w:t>
      </w:r>
      <w:r w:rsidRPr="006A07DF">
        <w:rPr>
          <w:rFonts w:asciiTheme="minorHAnsi" w:eastAsia="FangSong" w:hAnsiTheme="minorHAnsi" w:cstheme="minorHAnsi"/>
          <w:lang w:val="fr-FR" w:eastAsia="zh-CN"/>
        </w:rPr>
        <w:t xml:space="preserve"> ; </w:t>
      </w:r>
    </w:p>
    <w:p w14:paraId="06419D3C" w14:textId="77777777" w:rsidR="006A07DF" w:rsidRPr="006A07DF" w:rsidRDefault="006A07DF" w:rsidP="006A07DF">
      <w:pPr>
        <w:spacing w:after="0" w:line="240" w:lineRule="auto"/>
        <w:ind w:left="426" w:hanging="426"/>
        <w:contextualSpacing/>
        <w:rPr>
          <w:rFonts w:asciiTheme="minorHAnsi" w:eastAsia="FangSong" w:hAnsiTheme="minorHAnsi" w:cstheme="minorHAnsi"/>
          <w:lang w:val="fr-FR" w:eastAsia="zh-CN"/>
        </w:rPr>
      </w:pPr>
    </w:p>
    <w:p w14:paraId="1E39C7B0" w14:textId="343D5766" w:rsidR="006A07DF" w:rsidRPr="006A07DF" w:rsidRDefault="00C90BC9" w:rsidP="006A07DF">
      <w:pPr>
        <w:spacing w:after="0" w:line="240" w:lineRule="auto"/>
        <w:ind w:left="425" w:hanging="425"/>
        <w:rPr>
          <w:rFonts w:asciiTheme="minorHAnsi" w:eastAsia="FangSong" w:hAnsiTheme="minorHAnsi" w:cstheme="minorHAnsi"/>
          <w:bCs/>
          <w:lang w:val="fr-FR" w:eastAsia="zh-CN"/>
        </w:rPr>
      </w:pPr>
      <w:r>
        <w:rPr>
          <w:rFonts w:asciiTheme="minorHAnsi" w:eastAsia="FangSong" w:hAnsiTheme="minorHAnsi" w:cstheme="minorHAnsi"/>
          <w:bCs/>
          <w:lang w:val="fr-FR" w:eastAsia="zh-CN"/>
        </w:rPr>
        <w:t>3</w:t>
      </w:r>
      <w:r w:rsidR="006A07DF" w:rsidRPr="006A07DF">
        <w:rPr>
          <w:rFonts w:asciiTheme="minorHAnsi" w:eastAsia="FangSong" w:hAnsiTheme="minorHAnsi" w:cstheme="minorHAnsi"/>
          <w:bCs/>
          <w:lang w:val="fr-FR" w:eastAsia="zh-CN"/>
        </w:rPr>
        <w:t>.</w:t>
      </w:r>
      <w:r w:rsidR="006A07DF" w:rsidRPr="006A07DF">
        <w:rPr>
          <w:rFonts w:asciiTheme="minorHAnsi" w:eastAsia="FangSong" w:hAnsiTheme="minorHAnsi" w:cstheme="minorHAnsi"/>
          <w:bCs/>
          <w:lang w:val="fr-FR" w:eastAsia="zh-CN"/>
        </w:rPr>
        <w:tab/>
        <w:t xml:space="preserve">NOTANT que la conservation et la restauration des mangroves contribuent à la réalisation du Programme de développement durable à l’horizon 2030, en particulier l’ODD 6.6.1 sur </w:t>
      </w:r>
      <w:r w:rsidR="00D353C0">
        <w:rPr>
          <w:rFonts w:asciiTheme="minorHAnsi" w:eastAsia="FangSong" w:hAnsiTheme="minorHAnsi" w:cstheme="minorHAnsi"/>
          <w:bCs/>
          <w:lang w:val="fr-FR" w:eastAsia="zh-CN"/>
        </w:rPr>
        <w:t>la variation de l’étendue d</w:t>
      </w:r>
      <w:r w:rsidR="006A07DF" w:rsidRPr="006A07DF">
        <w:rPr>
          <w:rFonts w:asciiTheme="minorHAnsi" w:eastAsia="FangSong" w:hAnsiTheme="minorHAnsi" w:cstheme="minorHAnsi"/>
          <w:bCs/>
          <w:lang w:val="fr-FR" w:eastAsia="zh-CN"/>
        </w:rPr>
        <w:t xml:space="preserve">es </w:t>
      </w:r>
      <w:r w:rsidR="006A07DF" w:rsidRPr="006A07DF">
        <w:rPr>
          <w:rFonts w:asciiTheme="minorHAnsi" w:eastAsia="FangSong" w:hAnsiTheme="minorHAnsi" w:cstheme="minorHAnsi"/>
          <w:lang w:val="fr-FR" w:eastAsia="zh-CN"/>
        </w:rPr>
        <w:t>écosystèmes liés à l’eau</w:t>
      </w:r>
      <w:r w:rsidR="006A07DF" w:rsidRPr="006A07DF">
        <w:rPr>
          <w:rFonts w:asciiTheme="minorHAnsi" w:eastAsia="FangSong" w:hAnsiTheme="minorHAnsi" w:cstheme="minorHAnsi"/>
          <w:bCs/>
          <w:lang w:val="fr-FR" w:eastAsia="zh-CN"/>
        </w:rPr>
        <w:t xml:space="preserve">, l’ODD 13 sur la </w:t>
      </w:r>
      <w:r w:rsidR="006A07DF" w:rsidRPr="006A07DF">
        <w:rPr>
          <w:rFonts w:asciiTheme="minorHAnsi" w:eastAsia="FangSong" w:hAnsiTheme="minorHAnsi" w:cstheme="minorHAnsi"/>
          <w:lang w:val="fr-FR" w:eastAsia="zh-CN"/>
        </w:rPr>
        <w:t>lutte contre le</w:t>
      </w:r>
      <w:r w:rsidR="00775F9C">
        <w:rPr>
          <w:rFonts w:asciiTheme="minorHAnsi" w:eastAsia="FangSong" w:hAnsiTheme="minorHAnsi" w:cstheme="minorHAnsi"/>
          <w:lang w:val="fr-FR" w:eastAsia="zh-CN"/>
        </w:rPr>
        <w:t>s</w:t>
      </w:r>
      <w:r w:rsidR="006A07DF" w:rsidRPr="006A07DF">
        <w:rPr>
          <w:rFonts w:asciiTheme="minorHAnsi" w:eastAsia="FangSong" w:hAnsiTheme="minorHAnsi" w:cstheme="minorHAnsi"/>
          <w:lang w:val="fr-FR" w:eastAsia="zh-CN"/>
        </w:rPr>
        <w:t xml:space="preserve"> changement</w:t>
      </w:r>
      <w:r w:rsidR="00775F9C">
        <w:rPr>
          <w:rFonts w:asciiTheme="minorHAnsi" w:eastAsia="FangSong" w:hAnsiTheme="minorHAnsi" w:cstheme="minorHAnsi"/>
          <w:lang w:val="fr-FR" w:eastAsia="zh-CN"/>
        </w:rPr>
        <w:t>s</w:t>
      </w:r>
      <w:r w:rsidR="006A07DF" w:rsidRPr="006A07DF">
        <w:rPr>
          <w:rFonts w:asciiTheme="minorHAnsi" w:eastAsia="FangSong" w:hAnsiTheme="minorHAnsi" w:cstheme="minorHAnsi"/>
          <w:lang w:val="fr-FR" w:eastAsia="zh-CN"/>
        </w:rPr>
        <w:t xml:space="preserve"> climatique</w:t>
      </w:r>
      <w:r w:rsidR="00775F9C">
        <w:rPr>
          <w:rFonts w:asciiTheme="minorHAnsi" w:eastAsia="FangSong" w:hAnsiTheme="minorHAnsi" w:cstheme="minorHAnsi"/>
          <w:lang w:val="fr-FR" w:eastAsia="zh-CN"/>
        </w:rPr>
        <w:t>s</w:t>
      </w:r>
      <w:r w:rsidR="006A07DF" w:rsidRPr="006A07DF">
        <w:rPr>
          <w:rFonts w:asciiTheme="minorHAnsi" w:eastAsia="FangSong" w:hAnsiTheme="minorHAnsi" w:cstheme="minorHAnsi"/>
          <w:lang w:val="fr-FR" w:eastAsia="zh-CN"/>
        </w:rPr>
        <w:t xml:space="preserve"> </w:t>
      </w:r>
      <w:r w:rsidR="006A07DF" w:rsidRPr="006A07DF">
        <w:rPr>
          <w:rFonts w:asciiTheme="minorHAnsi" w:eastAsia="FangSong" w:hAnsiTheme="minorHAnsi" w:cstheme="minorHAnsi"/>
          <w:bCs/>
          <w:lang w:val="fr-FR" w:eastAsia="zh-CN"/>
        </w:rPr>
        <w:t>et l’ODD 14 sur la vie aquatique ;</w:t>
      </w:r>
    </w:p>
    <w:p w14:paraId="29AE69F4" w14:textId="77777777" w:rsidR="006A07DF" w:rsidRPr="006A07DF" w:rsidRDefault="006A07DF" w:rsidP="006A07DF">
      <w:pPr>
        <w:spacing w:after="0" w:line="240" w:lineRule="auto"/>
        <w:ind w:left="425" w:hanging="425"/>
        <w:rPr>
          <w:rFonts w:asciiTheme="minorHAnsi" w:eastAsia="FangSong" w:hAnsiTheme="minorHAnsi" w:cstheme="minorHAnsi"/>
          <w:bCs/>
          <w:lang w:val="fr-FR" w:eastAsia="zh-CN"/>
        </w:rPr>
      </w:pPr>
    </w:p>
    <w:p w14:paraId="23238644" w14:textId="49BA383D" w:rsidR="006A07DF" w:rsidRPr="006A07DF" w:rsidRDefault="006A07DF" w:rsidP="006A07DF">
      <w:pPr>
        <w:spacing w:after="0" w:line="240" w:lineRule="auto"/>
        <w:ind w:left="426" w:hanging="426"/>
        <w:rPr>
          <w:rFonts w:eastAsia="FangSong" w:cstheme="minorHAnsi"/>
          <w:lang w:val="fr-FR" w:eastAsia="zh-CN"/>
        </w:rPr>
      </w:pPr>
      <w:r w:rsidRPr="006A07DF">
        <w:rPr>
          <w:lang w:val="fr-FR" w:eastAsia="en-AU"/>
        </w:rPr>
        <w:t>4.</w:t>
      </w:r>
      <w:r w:rsidRPr="006A07DF">
        <w:rPr>
          <w:lang w:val="fr-FR" w:eastAsia="en-AU"/>
        </w:rPr>
        <w:tab/>
        <w:t xml:space="preserve">NOTANT EN OUTRE le niveau de pauvreté au sein des communautés qui dépendent des zones humides, et la nécessité </w:t>
      </w:r>
      <w:r w:rsidR="00D353C0">
        <w:rPr>
          <w:lang w:val="fr-FR" w:eastAsia="en-AU"/>
        </w:rPr>
        <w:t>de soutenir</w:t>
      </w:r>
      <w:r w:rsidRPr="006A07DF">
        <w:rPr>
          <w:lang w:val="fr-FR" w:eastAsia="en-AU"/>
        </w:rPr>
        <w:t xml:space="preserve"> des moyens de subsistance durables sur les plans social, économique et environnemental </w:t>
      </w:r>
      <w:r w:rsidRPr="006A07DF">
        <w:rPr>
          <w:rFonts w:eastAsia="FangSong" w:cstheme="minorHAnsi"/>
          <w:lang w:val="fr-FR" w:eastAsia="zh-CN"/>
        </w:rPr>
        <w:t>; et RECONNAISSANT les avantages de l’accès aux innovations, aux connaissances, aux données et aux compétences pertinentes pour la surveillance des mangroves et des écosystèmes de carbone bleu ainsi que pour le développement de politiques efficaces en matière de conservation, de restauration et d’utilisation rationnelle ;</w:t>
      </w:r>
    </w:p>
    <w:p w14:paraId="24E2A344" w14:textId="77777777" w:rsidR="006A07DF" w:rsidRPr="006A07DF" w:rsidRDefault="006A07DF" w:rsidP="006A07DF">
      <w:pPr>
        <w:spacing w:after="0" w:line="240" w:lineRule="auto"/>
        <w:ind w:left="426" w:hanging="426"/>
        <w:rPr>
          <w:rFonts w:eastAsia="FangSong" w:cstheme="minorHAnsi"/>
          <w:u w:val="single"/>
          <w:lang w:val="fr-FR" w:eastAsia="zh-CN"/>
        </w:rPr>
      </w:pPr>
    </w:p>
    <w:p w14:paraId="259E22E6" w14:textId="73A4B31B" w:rsidR="006A07DF" w:rsidRPr="006A07DF" w:rsidRDefault="00C90BC9" w:rsidP="006A07DF">
      <w:pPr>
        <w:spacing w:after="0" w:line="240" w:lineRule="auto"/>
        <w:ind w:left="426" w:hanging="426"/>
        <w:rPr>
          <w:rFonts w:asciiTheme="minorHAnsi" w:hAnsiTheme="minorHAnsi"/>
          <w:lang w:val="fr-FR" w:eastAsia="en-AU"/>
        </w:rPr>
      </w:pPr>
      <w:r>
        <w:rPr>
          <w:rFonts w:asciiTheme="minorHAnsi" w:eastAsia="FangSong" w:hAnsiTheme="minorHAnsi" w:cstheme="minorHAnsi"/>
          <w:lang w:val="fr-FR" w:eastAsia="zh-CN"/>
        </w:rPr>
        <w:t>5</w:t>
      </w:r>
      <w:r w:rsidR="006A07DF" w:rsidRPr="006A07DF">
        <w:rPr>
          <w:rFonts w:asciiTheme="minorHAnsi" w:eastAsia="FangSong" w:hAnsiTheme="minorHAnsi" w:cstheme="minorHAnsi"/>
          <w:lang w:val="fr-FR" w:eastAsia="zh-CN"/>
        </w:rPr>
        <w:t>.</w:t>
      </w:r>
      <w:r w:rsidR="006A07DF" w:rsidRPr="006A07DF">
        <w:rPr>
          <w:rFonts w:asciiTheme="minorHAnsi" w:eastAsia="FangSong" w:hAnsiTheme="minorHAnsi" w:cstheme="minorHAnsi"/>
          <w:lang w:val="fr-FR" w:eastAsia="zh-CN"/>
        </w:rPr>
        <w:tab/>
        <w:t xml:space="preserve">RECONNAISSANT EN OUTRE qu’une Initiative régionale Ramsar axée sur les mangroves et les écosystèmes de carbone bleu peut </w:t>
      </w:r>
      <w:r w:rsidR="00D353C0">
        <w:rPr>
          <w:rFonts w:asciiTheme="minorHAnsi" w:eastAsia="FangSong" w:hAnsiTheme="minorHAnsi" w:cstheme="minorHAnsi"/>
          <w:lang w:val="fr-FR" w:eastAsia="zh-CN"/>
        </w:rPr>
        <w:t xml:space="preserve">consolider </w:t>
      </w:r>
      <w:r w:rsidR="006A07DF" w:rsidRPr="006A07DF">
        <w:rPr>
          <w:rFonts w:asciiTheme="minorHAnsi" w:eastAsia="FangSong" w:hAnsiTheme="minorHAnsi" w:cstheme="minorHAnsi"/>
          <w:lang w:val="fr-FR" w:eastAsia="zh-CN"/>
        </w:rPr>
        <w:t xml:space="preserve">la coopération régionale au titre de la Convention en faveur de ces écosystèmes d’une importance cruciale, renforcer les partenariats et réseaux, fournir une plateforme d’appui scientifique et technique, et permettre la mise en œuvre de mesures et de projets communs sur les mangroves et les écosystèmes de </w:t>
      </w:r>
      <w:r w:rsidR="006A07DF" w:rsidRPr="006511AE">
        <w:rPr>
          <w:rFonts w:asciiTheme="minorHAnsi" w:eastAsia="FangSong" w:hAnsiTheme="minorHAnsi" w:cstheme="minorHAnsi"/>
          <w:lang w:val="fr-FR" w:eastAsia="zh-CN"/>
        </w:rPr>
        <w:t xml:space="preserve">carbone bleu </w:t>
      </w:r>
      <w:r w:rsidR="006A07DF" w:rsidRPr="006511AE">
        <w:rPr>
          <w:rFonts w:asciiTheme="minorHAnsi" w:hAnsiTheme="minorHAnsi"/>
          <w:lang w:val="fr-FR" w:eastAsia="en-AU"/>
        </w:rPr>
        <w:t>;</w:t>
      </w:r>
      <w:r w:rsidR="006511AE" w:rsidRPr="006511AE">
        <w:rPr>
          <w:rFonts w:asciiTheme="minorHAnsi" w:hAnsiTheme="minorHAnsi"/>
          <w:lang w:val="fr-FR" w:eastAsia="en-AU"/>
        </w:rPr>
        <w:t xml:space="preserve"> et</w:t>
      </w:r>
    </w:p>
    <w:p w14:paraId="3EAD9810" w14:textId="77777777" w:rsidR="006A07DF" w:rsidRPr="006A07DF" w:rsidRDefault="006A07DF" w:rsidP="006A07DF">
      <w:pPr>
        <w:spacing w:after="0" w:line="240" w:lineRule="auto"/>
        <w:ind w:left="426" w:hanging="426"/>
        <w:rPr>
          <w:rFonts w:asciiTheme="minorHAnsi" w:eastAsia="FangSong" w:hAnsiTheme="minorHAnsi" w:cstheme="minorHAnsi"/>
          <w:bCs/>
          <w:strike/>
          <w:lang w:val="fr-FR" w:eastAsia="zh-CN"/>
        </w:rPr>
      </w:pPr>
    </w:p>
    <w:p w14:paraId="24AF74BB" w14:textId="39556C62" w:rsidR="006A07DF" w:rsidRPr="006A07DF" w:rsidRDefault="00C90BC9" w:rsidP="006A07DF">
      <w:pPr>
        <w:spacing w:after="0" w:line="240" w:lineRule="auto"/>
        <w:ind w:left="426" w:hanging="426"/>
        <w:rPr>
          <w:rFonts w:asciiTheme="minorHAnsi" w:hAnsiTheme="minorHAnsi"/>
          <w:lang w:val="fr-FR" w:eastAsia="en-AU"/>
        </w:rPr>
      </w:pPr>
      <w:r>
        <w:rPr>
          <w:rFonts w:asciiTheme="minorHAnsi" w:hAnsiTheme="minorHAnsi"/>
          <w:lang w:val="fr-FR" w:eastAsia="en-AU"/>
        </w:rPr>
        <w:t>6</w:t>
      </w:r>
      <w:r w:rsidR="006A07DF" w:rsidRPr="006A07DF">
        <w:rPr>
          <w:rFonts w:asciiTheme="minorHAnsi" w:hAnsiTheme="minorHAnsi"/>
          <w:lang w:val="fr-FR" w:eastAsia="en-AU"/>
        </w:rPr>
        <w:t>.</w:t>
      </w:r>
      <w:r w:rsidR="006A07DF" w:rsidRPr="006A07DF">
        <w:rPr>
          <w:rFonts w:asciiTheme="minorHAnsi" w:hAnsiTheme="minorHAnsi"/>
          <w:lang w:val="fr-FR" w:eastAsia="en-AU"/>
        </w:rPr>
        <w:tab/>
        <w:t xml:space="preserve">NOTANT l’importance de la mise en pratique du thème </w:t>
      </w:r>
      <w:r w:rsidR="00D353C0" w:rsidRPr="006A07DF">
        <w:rPr>
          <w:rFonts w:asciiTheme="minorHAnsi" w:hAnsiTheme="minorHAnsi"/>
          <w:lang w:val="fr-FR" w:eastAsia="en-AU"/>
        </w:rPr>
        <w:t>(« Agir pour les zones humides, c’est agir pour l’humanité et la nature »)</w:t>
      </w:r>
      <w:r w:rsidR="00D353C0">
        <w:rPr>
          <w:rFonts w:asciiTheme="minorHAnsi" w:hAnsiTheme="minorHAnsi"/>
          <w:lang w:val="fr-FR" w:eastAsia="en-AU"/>
        </w:rPr>
        <w:t xml:space="preserve"> </w:t>
      </w:r>
      <w:r w:rsidR="006A07DF" w:rsidRPr="006A07DF">
        <w:rPr>
          <w:rFonts w:asciiTheme="minorHAnsi" w:hAnsiTheme="minorHAnsi"/>
          <w:lang w:val="fr-FR" w:eastAsia="en-AU"/>
        </w:rPr>
        <w:t>de la 14</w:t>
      </w:r>
      <w:r w:rsidR="006A07DF" w:rsidRPr="006A07DF">
        <w:rPr>
          <w:rFonts w:asciiTheme="minorHAnsi" w:hAnsiTheme="minorHAnsi"/>
          <w:vertAlign w:val="superscript"/>
          <w:lang w:val="fr-FR" w:eastAsia="en-AU"/>
        </w:rPr>
        <w:t>e</w:t>
      </w:r>
      <w:r w:rsidR="006A07DF" w:rsidRPr="006A07DF">
        <w:rPr>
          <w:rFonts w:asciiTheme="minorHAnsi" w:hAnsiTheme="minorHAnsi"/>
          <w:lang w:val="fr-FR" w:eastAsia="en-AU"/>
        </w:rPr>
        <w:t xml:space="preserve"> Session de la Conférence des Parties contractantes à la Convention sur les zones humides ;</w:t>
      </w:r>
    </w:p>
    <w:p w14:paraId="7A1DF861" w14:textId="77777777" w:rsidR="006A07DF" w:rsidRPr="006A07DF" w:rsidRDefault="006A07DF" w:rsidP="006A07DF">
      <w:pPr>
        <w:spacing w:after="0" w:line="240" w:lineRule="auto"/>
        <w:ind w:left="426" w:hanging="426"/>
        <w:contextualSpacing/>
        <w:rPr>
          <w:rFonts w:asciiTheme="minorHAnsi" w:eastAsia="FangSong" w:hAnsiTheme="minorHAnsi" w:cstheme="minorHAnsi"/>
          <w:bCs/>
          <w:lang w:val="fr-FR" w:eastAsia="zh-CN"/>
        </w:rPr>
      </w:pPr>
    </w:p>
    <w:p w14:paraId="6ACEA842" w14:textId="77777777" w:rsidR="006A07DF" w:rsidRPr="006A07DF" w:rsidRDefault="006A07DF" w:rsidP="006A07DF">
      <w:pPr>
        <w:spacing w:after="0" w:line="240" w:lineRule="auto"/>
        <w:ind w:left="425" w:hanging="425"/>
        <w:rPr>
          <w:rFonts w:asciiTheme="minorHAnsi" w:eastAsia="FangSong" w:hAnsiTheme="minorHAnsi" w:cstheme="minorHAnsi"/>
          <w:strike/>
          <w:lang w:val="fr-FR" w:eastAsia="zh-CN"/>
        </w:rPr>
      </w:pPr>
    </w:p>
    <w:p w14:paraId="1519D21B" w14:textId="77777777" w:rsidR="006A07DF" w:rsidRPr="006A07DF" w:rsidRDefault="006A07DF" w:rsidP="00C90BC9">
      <w:pPr>
        <w:keepNext/>
        <w:spacing w:after="0" w:line="240" w:lineRule="auto"/>
        <w:ind w:left="426" w:hanging="426"/>
        <w:jc w:val="center"/>
        <w:rPr>
          <w:rFonts w:asciiTheme="minorHAnsi" w:eastAsia="FangSong" w:hAnsiTheme="minorHAnsi" w:cstheme="minorHAnsi"/>
          <w:lang w:val="fr-FR" w:eastAsia="en-AU"/>
        </w:rPr>
      </w:pPr>
      <w:r w:rsidRPr="006A07DF">
        <w:rPr>
          <w:rFonts w:asciiTheme="minorHAnsi" w:eastAsia="FangSong" w:hAnsiTheme="minorHAnsi" w:cstheme="minorHAnsi"/>
          <w:lang w:val="fr-FR" w:eastAsia="en-AU"/>
        </w:rPr>
        <w:t>LA CONFÉRENCE DES PARTIES CONTRACTANTES</w:t>
      </w:r>
    </w:p>
    <w:p w14:paraId="1A9E1F77" w14:textId="77777777" w:rsidR="006A07DF" w:rsidRPr="006A07DF" w:rsidRDefault="006A07DF" w:rsidP="00C90BC9">
      <w:pPr>
        <w:keepNext/>
        <w:spacing w:after="0" w:line="240" w:lineRule="auto"/>
        <w:ind w:left="425" w:hanging="425"/>
        <w:rPr>
          <w:rFonts w:asciiTheme="minorHAnsi" w:eastAsia="FangSong" w:hAnsiTheme="minorHAnsi" w:cstheme="minorHAnsi"/>
          <w:lang w:val="fr-FR" w:eastAsia="zh-CN"/>
        </w:rPr>
      </w:pPr>
    </w:p>
    <w:p w14:paraId="3F29E0E9" w14:textId="3F4C4FB2" w:rsidR="006A07DF" w:rsidRPr="006A07DF" w:rsidRDefault="00C90BC9" w:rsidP="006A07DF">
      <w:pPr>
        <w:spacing w:after="0" w:line="240" w:lineRule="auto"/>
        <w:ind w:left="426" w:hanging="426"/>
        <w:rPr>
          <w:rFonts w:eastAsia="FangSong" w:cs="Calibri"/>
          <w:bCs/>
          <w:lang w:val="fr-FR" w:eastAsia="zh-CN"/>
        </w:rPr>
      </w:pPr>
      <w:r>
        <w:rPr>
          <w:rFonts w:eastAsia="FangSong" w:cs="Calibri"/>
          <w:bCs/>
          <w:lang w:val="fr-FR" w:eastAsia="zh-CN"/>
        </w:rPr>
        <w:t>7</w:t>
      </w:r>
      <w:r w:rsidR="006A07DF" w:rsidRPr="006A07DF">
        <w:rPr>
          <w:rFonts w:eastAsia="FangSong" w:cs="Calibri"/>
          <w:bCs/>
          <w:lang w:val="fr-FR" w:eastAsia="zh-CN"/>
        </w:rPr>
        <w:t>.</w:t>
      </w:r>
      <w:r w:rsidR="006A07DF" w:rsidRPr="006A07DF">
        <w:rPr>
          <w:rFonts w:eastAsia="FangSong" w:cs="Calibri"/>
          <w:bCs/>
          <w:lang w:val="fr-FR" w:eastAsia="zh-CN"/>
        </w:rPr>
        <w:tab/>
        <w:t>SE FÉLICITE de la proposition de la République populaire de Chine et de Parties contractantes intéressées visant à créer une Initiative régionale Ramsar (</w:t>
      </w:r>
      <w:r w:rsidR="00D353C0">
        <w:rPr>
          <w:rFonts w:eastAsia="FangSong" w:cs="Calibri"/>
          <w:bCs/>
          <w:lang w:val="fr-FR" w:eastAsia="zh-CN"/>
        </w:rPr>
        <w:t>IRR -</w:t>
      </w:r>
      <w:r w:rsidR="006A07DF" w:rsidRPr="006A07DF">
        <w:rPr>
          <w:rFonts w:eastAsia="FangSong" w:cs="Calibri"/>
          <w:bCs/>
          <w:lang w:val="fr-FR" w:eastAsia="zh-CN"/>
        </w:rPr>
        <w:t xml:space="preserve"> Centre international des </w:t>
      </w:r>
      <w:proofErr w:type="gramStart"/>
      <w:r w:rsidR="006A07DF" w:rsidRPr="006A07DF">
        <w:rPr>
          <w:rFonts w:eastAsia="FangSong" w:cs="Calibri"/>
          <w:bCs/>
          <w:lang w:val="fr-FR" w:eastAsia="zh-CN"/>
        </w:rPr>
        <w:t>mangroves )</w:t>
      </w:r>
      <w:proofErr w:type="gramEnd"/>
      <w:r w:rsidR="006A07DF" w:rsidRPr="006A07DF">
        <w:rPr>
          <w:rFonts w:eastAsia="FangSong" w:cs="Calibri"/>
          <w:bCs/>
          <w:lang w:val="fr-FR" w:eastAsia="zh-CN"/>
        </w:rPr>
        <w:t xml:space="preserve"> conformément aux règles, procédures et lignes directrices pertinentes de la Convention</w:t>
      </w:r>
      <w:r w:rsidR="00D353C0">
        <w:rPr>
          <w:rFonts w:eastAsia="FangSong" w:cs="Calibri"/>
          <w:bCs/>
          <w:lang w:val="fr-FR" w:eastAsia="zh-CN"/>
        </w:rPr>
        <w:t>.</w:t>
      </w:r>
    </w:p>
    <w:p w14:paraId="44A62BD4" w14:textId="77777777" w:rsidR="006A07DF" w:rsidRPr="006A07DF" w:rsidRDefault="006A07DF" w:rsidP="006A07DF">
      <w:pPr>
        <w:spacing w:after="0" w:line="240" w:lineRule="auto"/>
        <w:ind w:left="426" w:hanging="426"/>
        <w:contextualSpacing/>
        <w:rPr>
          <w:rFonts w:eastAsia="FangSong" w:cs="Calibri"/>
          <w:bCs/>
          <w:lang w:val="fr-FR" w:eastAsia="zh-CN"/>
        </w:rPr>
      </w:pPr>
    </w:p>
    <w:p w14:paraId="35EC2E0C" w14:textId="6C70DB7E" w:rsidR="006A07DF" w:rsidRPr="006A07DF" w:rsidRDefault="00C90BC9" w:rsidP="006A07DF">
      <w:pPr>
        <w:spacing w:after="0" w:line="240" w:lineRule="auto"/>
        <w:ind w:left="426" w:hanging="426"/>
        <w:rPr>
          <w:rFonts w:eastAsia="FangSong" w:cs="Calibri"/>
          <w:bCs/>
          <w:lang w:val="fr-FR" w:eastAsia="zh-CN"/>
        </w:rPr>
      </w:pPr>
      <w:r>
        <w:rPr>
          <w:rFonts w:eastAsia="FangSong" w:cs="Calibri"/>
          <w:bCs/>
          <w:lang w:val="fr-FR" w:eastAsia="zh-CN"/>
        </w:rPr>
        <w:t>8</w:t>
      </w:r>
      <w:r w:rsidR="006A07DF" w:rsidRPr="006A07DF">
        <w:rPr>
          <w:rFonts w:eastAsia="FangSong" w:cs="Calibri"/>
          <w:bCs/>
          <w:lang w:val="fr-FR" w:eastAsia="zh-CN"/>
        </w:rPr>
        <w:t>.</w:t>
      </w:r>
      <w:r w:rsidR="006A07DF" w:rsidRPr="006A07DF">
        <w:rPr>
          <w:rFonts w:eastAsia="FangSong" w:cs="Calibri"/>
          <w:bCs/>
          <w:lang w:val="fr-FR" w:eastAsia="zh-CN"/>
        </w:rPr>
        <w:tab/>
        <w:t xml:space="preserve">SE FÉLICITE EN OUTRE </w:t>
      </w:r>
      <w:r w:rsidR="00D353C0">
        <w:rPr>
          <w:rFonts w:eastAsia="FangSong" w:cs="Calibri"/>
          <w:bCs/>
          <w:lang w:val="fr-FR" w:eastAsia="zh-CN"/>
        </w:rPr>
        <w:t xml:space="preserve">de l’emphase mise par </w:t>
      </w:r>
      <w:r w:rsidR="006A07DF" w:rsidRPr="006A07DF">
        <w:rPr>
          <w:rFonts w:eastAsia="FangSong" w:cs="Calibri"/>
          <w:bCs/>
          <w:lang w:val="fr-FR" w:eastAsia="zh-CN"/>
        </w:rPr>
        <w:t>l’I</w:t>
      </w:r>
      <w:r w:rsidR="00D353C0">
        <w:rPr>
          <w:rFonts w:eastAsia="FangSong" w:cs="Calibri"/>
          <w:bCs/>
          <w:lang w:val="fr-FR" w:eastAsia="zh-CN"/>
        </w:rPr>
        <w:t>RR</w:t>
      </w:r>
      <w:r w:rsidR="006A07DF" w:rsidRPr="006A07DF">
        <w:rPr>
          <w:rFonts w:eastAsia="FangSong" w:cs="Calibri"/>
          <w:bCs/>
          <w:lang w:val="fr-FR" w:eastAsia="zh-CN"/>
        </w:rPr>
        <w:t xml:space="preserve"> proposée sur la conservation, la restauration et l’utilisation rationnelle des mangroves et des écosystèmes côtiers </w:t>
      </w:r>
      <w:r w:rsidR="00D353C0">
        <w:rPr>
          <w:rFonts w:eastAsia="FangSong" w:cs="Calibri"/>
          <w:bCs/>
          <w:lang w:val="fr-FR" w:eastAsia="zh-CN"/>
        </w:rPr>
        <w:t>de</w:t>
      </w:r>
      <w:r w:rsidR="006A07DF" w:rsidRPr="006A07DF">
        <w:rPr>
          <w:rFonts w:eastAsia="FangSong" w:cs="Calibri"/>
          <w:bCs/>
          <w:lang w:val="fr-FR" w:eastAsia="zh-CN"/>
        </w:rPr>
        <w:t xml:space="preserve"> carbone bleu</w:t>
      </w:r>
      <w:r w:rsidR="00D353C0">
        <w:rPr>
          <w:rFonts w:eastAsia="FangSong" w:cs="Calibri"/>
          <w:bCs/>
          <w:lang w:val="fr-FR" w:eastAsia="zh-CN"/>
        </w:rPr>
        <w:t>.</w:t>
      </w:r>
    </w:p>
    <w:p w14:paraId="40AF4785" w14:textId="77777777" w:rsidR="006A07DF" w:rsidRPr="006A07DF" w:rsidRDefault="006A07DF" w:rsidP="006A07DF">
      <w:pPr>
        <w:spacing w:after="0" w:line="240" w:lineRule="auto"/>
        <w:ind w:left="426" w:hanging="426"/>
        <w:contextualSpacing/>
        <w:rPr>
          <w:rFonts w:eastAsia="FangSong" w:cs="Calibri"/>
          <w:bCs/>
          <w:lang w:val="fr-FR" w:eastAsia="zh-CN"/>
        </w:rPr>
      </w:pPr>
    </w:p>
    <w:p w14:paraId="1F5785E5" w14:textId="6D2E942A" w:rsidR="006A07DF" w:rsidRPr="006A07DF" w:rsidRDefault="00C90BC9" w:rsidP="006A07DF">
      <w:pPr>
        <w:spacing w:after="0" w:line="240" w:lineRule="auto"/>
        <w:ind w:left="426" w:hanging="426"/>
        <w:rPr>
          <w:rFonts w:eastAsia="FangSong" w:cs="Calibri"/>
          <w:bCs/>
          <w:lang w:val="fr-FR" w:eastAsia="zh-CN"/>
        </w:rPr>
      </w:pPr>
      <w:r>
        <w:rPr>
          <w:rFonts w:eastAsia="FangSong" w:cs="Calibri"/>
          <w:bCs/>
          <w:lang w:val="fr-FR" w:eastAsia="zh-CN"/>
        </w:rPr>
        <w:t>9</w:t>
      </w:r>
      <w:r w:rsidR="006A07DF" w:rsidRPr="006A07DF">
        <w:rPr>
          <w:rFonts w:eastAsia="FangSong" w:cs="Calibri"/>
          <w:bCs/>
          <w:lang w:val="fr-FR" w:eastAsia="zh-CN"/>
        </w:rPr>
        <w:t>.</w:t>
      </w:r>
      <w:r w:rsidR="006A07DF" w:rsidRPr="006A07DF">
        <w:rPr>
          <w:rFonts w:eastAsia="FangSong" w:cs="Calibri"/>
          <w:bCs/>
          <w:lang w:val="fr-FR" w:eastAsia="zh-CN"/>
        </w:rPr>
        <w:tab/>
        <w:t>ENCOURAGE les Parties contractantes, les organisations non gouvernementales et autres organisations de la société civile intéressées à participer à titre volontaire à la création et à la mise en œuvre de l’I</w:t>
      </w:r>
      <w:r w:rsidR="00D353C0">
        <w:rPr>
          <w:rFonts w:eastAsia="FangSong" w:cs="Calibri"/>
          <w:bCs/>
          <w:lang w:val="fr-FR" w:eastAsia="zh-CN"/>
        </w:rPr>
        <w:t>RR</w:t>
      </w:r>
      <w:r w:rsidR="006A07DF" w:rsidRPr="006A07DF">
        <w:rPr>
          <w:rFonts w:eastAsia="FangSong" w:cs="Calibri"/>
          <w:bCs/>
          <w:lang w:val="fr-FR" w:eastAsia="zh-CN"/>
        </w:rPr>
        <w:t xml:space="preserve"> proposée</w:t>
      </w:r>
      <w:r w:rsidR="00D353C0">
        <w:rPr>
          <w:rFonts w:eastAsia="FangSong" w:cs="Calibri"/>
          <w:bCs/>
          <w:lang w:val="fr-FR" w:eastAsia="zh-CN"/>
        </w:rPr>
        <w:t>,</w:t>
      </w:r>
      <w:r w:rsidR="006A07DF" w:rsidRPr="006A07DF">
        <w:rPr>
          <w:rFonts w:eastAsia="FangSong" w:cs="Calibri"/>
          <w:bCs/>
          <w:lang w:val="fr-FR" w:eastAsia="zh-CN"/>
        </w:rPr>
        <w:t xml:space="preserve"> de manière ouverte, inclusive et transparente</w:t>
      </w:r>
      <w:r w:rsidR="00D353C0">
        <w:rPr>
          <w:rFonts w:eastAsia="FangSong" w:cs="Calibri"/>
          <w:bCs/>
          <w:lang w:val="fr-FR" w:eastAsia="zh-CN"/>
        </w:rPr>
        <w:t>.</w:t>
      </w:r>
      <w:r w:rsidR="006A07DF" w:rsidRPr="006A07DF">
        <w:rPr>
          <w:rFonts w:eastAsia="FangSong" w:cs="Calibri"/>
          <w:bCs/>
          <w:lang w:val="fr-FR" w:eastAsia="zh-CN"/>
        </w:rPr>
        <w:t xml:space="preserve"> </w:t>
      </w:r>
    </w:p>
    <w:p w14:paraId="7BB86E17" w14:textId="77777777" w:rsidR="006A07DF" w:rsidRPr="006A07DF" w:rsidRDefault="006A07DF" w:rsidP="006A07DF">
      <w:pPr>
        <w:spacing w:after="0" w:line="240" w:lineRule="auto"/>
        <w:rPr>
          <w:rFonts w:eastAsia="FangSong" w:cs="Calibri"/>
          <w:bCs/>
          <w:lang w:val="fr-FR" w:eastAsia="zh-CN"/>
        </w:rPr>
      </w:pPr>
    </w:p>
    <w:p w14:paraId="6D6468A1" w14:textId="6E76B53B" w:rsidR="006A07DF" w:rsidRPr="006A07DF" w:rsidRDefault="00C90BC9" w:rsidP="006A07DF">
      <w:pPr>
        <w:spacing w:after="0" w:line="240" w:lineRule="auto"/>
        <w:ind w:left="426" w:hanging="426"/>
        <w:rPr>
          <w:rFonts w:eastAsia="FangSong" w:cs="Calibri"/>
          <w:bCs/>
          <w:lang w:val="fr-FR" w:eastAsia="zh-CN"/>
        </w:rPr>
      </w:pPr>
      <w:r>
        <w:rPr>
          <w:rFonts w:eastAsia="FangSong" w:cs="Calibri"/>
          <w:bCs/>
          <w:lang w:val="fr-FR" w:eastAsia="zh-CN"/>
        </w:rPr>
        <w:t>10</w:t>
      </w:r>
      <w:r w:rsidR="006A07DF" w:rsidRPr="006A07DF">
        <w:rPr>
          <w:rFonts w:eastAsia="FangSong" w:cs="Calibri"/>
          <w:bCs/>
          <w:lang w:val="fr-FR" w:eastAsia="zh-CN"/>
        </w:rPr>
        <w:t>.</w:t>
      </w:r>
      <w:r w:rsidR="006A07DF" w:rsidRPr="006A07DF">
        <w:rPr>
          <w:rFonts w:eastAsia="FangSong" w:cs="Calibri"/>
          <w:bCs/>
          <w:lang w:val="fr-FR" w:eastAsia="zh-CN"/>
        </w:rPr>
        <w:tab/>
        <w:t>ENCOURAGE EN OUTRE une communication et une coopération étroites avec d’autres organisations et initiatives en cours traitant des mangroves afin de garantir une complémentarité des efforts pendant la création et la mise en œuvre future de l’I</w:t>
      </w:r>
      <w:r w:rsidR="00D353C0">
        <w:rPr>
          <w:rFonts w:eastAsia="FangSong" w:cs="Calibri"/>
          <w:bCs/>
          <w:lang w:val="fr-FR" w:eastAsia="zh-CN"/>
        </w:rPr>
        <w:t>RR</w:t>
      </w:r>
      <w:r w:rsidR="006A07DF" w:rsidRPr="006A07DF">
        <w:rPr>
          <w:rFonts w:eastAsia="FangSong" w:cs="Calibri"/>
          <w:bCs/>
          <w:lang w:val="fr-FR" w:eastAsia="zh-CN"/>
        </w:rPr>
        <w:t xml:space="preserve"> proposée</w:t>
      </w:r>
      <w:r w:rsidR="00D353C0">
        <w:rPr>
          <w:rFonts w:eastAsia="FangSong" w:cs="Calibri"/>
          <w:bCs/>
          <w:lang w:val="fr-FR" w:eastAsia="zh-CN"/>
        </w:rPr>
        <w:t>.</w:t>
      </w:r>
    </w:p>
    <w:p w14:paraId="400EE77E" w14:textId="77777777" w:rsidR="006A07DF" w:rsidRPr="006A07DF" w:rsidRDefault="006A07DF" w:rsidP="006A07DF">
      <w:pPr>
        <w:spacing w:after="0" w:line="240" w:lineRule="auto"/>
        <w:ind w:left="426" w:hanging="426"/>
        <w:rPr>
          <w:rFonts w:eastAsia="FangSong" w:cs="Calibri"/>
          <w:bCs/>
          <w:lang w:val="fr-FR" w:eastAsia="zh-CN"/>
        </w:rPr>
      </w:pPr>
    </w:p>
    <w:p w14:paraId="16D3A21F" w14:textId="00BF5C3A" w:rsidR="006A07DF" w:rsidRPr="006A07DF" w:rsidRDefault="006A07DF" w:rsidP="006A07DF">
      <w:pPr>
        <w:spacing w:after="0" w:line="240" w:lineRule="auto"/>
        <w:ind w:left="426" w:hanging="426"/>
        <w:rPr>
          <w:rFonts w:eastAsia="FangSong" w:cs="Calibri"/>
          <w:bCs/>
          <w:strike/>
          <w:lang w:val="fr-FR" w:eastAsia="zh-CN"/>
        </w:rPr>
      </w:pPr>
      <w:r w:rsidRPr="006A07DF">
        <w:rPr>
          <w:rFonts w:eastAsia="FangSong" w:cs="Calibri"/>
          <w:bCs/>
          <w:lang w:val="fr-FR" w:eastAsia="zh-CN"/>
        </w:rPr>
        <w:t>1</w:t>
      </w:r>
      <w:r w:rsidR="00C90BC9">
        <w:rPr>
          <w:rFonts w:eastAsia="FangSong" w:cs="Calibri"/>
          <w:bCs/>
          <w:lang w:val="fr-FR" w:eastAsia="zh-CN"/>
        </w:rPr>
        <w:t>1</w:t>
      </w:r>
      <w:r w:rsidRPr="006A07DF">
        <w:rPr>
          <w:rFonts w:eastAsia="FangSong" w:cs="Calibri"/>
          <w:bCs/>
          <w:lang w:val="fr-FR" w:eastAsia="zh-CN"/>
        </w:rPr>
        <w:t>.</w:t>
      </w:r>
      <w:r w:rsidRPr="006A07DF">
        <w:rPr>
          <w:rFonts w:eastAsia="FangSong" w:cs="Calibri"/>
          <w:bCs/>
          <w:lang w:val="fr-FR" w:eastAsia="zh-CN"/>
        </w:rPr>
        <w:tab/>
        <w:t>INVITE à soumettre l’I</w:t>
      </w:r>
      <w:r w:rsidR="00D353C0">
        <w:rPr>
          <w:rFonts w:eastAsia="FangSong" w:cs="Calibri"/>
          <w:bCs/>
          <w:lang w:val="fr-FR" w:eastAsia="zh-CN"/>
        </w:rPr>
        <w:t>RR</w:t>
      </w:r>
      <w:r w:rsidRPr="006A07DF">
        <w:rPr>
          <w:rFonts w:eastAsia="FangSong" w:cs="Calibri"/>
          <w:bCs/>
          <w:lang w:val="fr-FR" w:eastAsia="zh-CN"/>
        </w:rPr>
        <w:t xml:space="preserve"> proposée à la 62</w:t>
      </w:r>
      <w:r w:rsidRPr="006A07DF">
        <w:rPr>
          <w:rFonts w:eastAsia="FangSong" w:cs="Calibri"/>
          <w:bCs/>
          <w:vertAlign w:val="superscript"/>
          <w:lang w:val="fr-FR" w:eastAsia="zh-CN"/>
        </w:rPr>
        <w:t>e</w:t>
      </w:r>
      <w:r w:rsidRPr="006A07DF">
        <w:rPr>
          <w:rFonts w:eastAsia="FangSong" w:cs="Calibri"/>
          <w:bCs/>
          <w:lang w:val="fr-FR" w:eastAsia="zh-CN"/>
        </w:rPr>
        <w:t xml:space="preserve"> Réunion du Comité permanent</w:t>
      </w:r>
      <w:r w:rsidR="00D353C0">
        <w:rPr>
          <w:rFonts w:eastAsia="FangSong" w:cs="Calibri"/>
          <w:bCs/>
          <w:lang w:val="fr-FR" w:eastAsia="zh-CN"/>
        </w:rPr>
        <w:t>,</w:t>
      </w:r>
      <w:r w:rsidRPr="006A07DF">
        <w:rPr>
          <w:rFonts w:eastAsia="FangSong" w:cs="Calibri"/>
          <w:bCs/>
          <w:lang w:val="fr-FR" w:eastAsia="zh-CN"/>
        </w:rPr>
        <w:t xml:space="preserve"> pour examen.</w:t>
      </w:r>
    </w:p>
    <w:p w14:paraId="4FFF2E77" w14:textId="77777777" w:rsidR="006A07DF" w:rsidRPr="006A07DF" w:rsidRDefault="006A07DF" w:rsidP="006A07DF">
      <w:pPr>
        <w:spacing w:after="0" w:line="240" w:lineRule="auto"/>
        <w:rPr>
          <w:rFonts w:asciiTheme="minorHAnsi" w:eastAsia="FangSong" w:hAnsiTheme="minorHAnsi" w:cstheme="minorHAnsi"/>
          <w:strike/>
          <w:lang w:val="fr-FR" w:eastAsia="zh-CN"/>
        </w:rPr>
      </w:pPr>
    </w:p>
    <w:sectPr w:rsidR="006A07DF" w:rsidRPr="006A07DF"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844C" w14:textId="77777777" w:rsidR="008E2362" w:rsidRDefault="008E2362" w:rsidP="00840907">
      <w:pPr>
        <w:spacing w:after="0" w:line="240" w:lineRule="auto"/>
      </w:pPr>
      <w:r>
        <w:separator/>
      </w:r>
    </w:p>
  </w:endnote>
  <w:endnote w:type="continuationSeparator" w:id="0">
    <w:p w14:paraId="493B94F6" w14:textId="77777777" w:rsidR="008E2362" w:rsidRDefault="008E2362"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Microsoft YaHei Light"/>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0494" w14:textId="6DB9823B"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C90BC9">
      <w:rPr>
        <w:sz w:val="20"/>
        <w:szCs w:val="20"/>
      </w:rPr>
      <w:t>19</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ED0057">
      <w:rPr>
        <w:noProof/>
        <w:sz w:val="20"/>
        <w:szCs w:val="20"/>
      </w:rPr>
      <w:t>2</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8A1E" w14:textId="77777777" w:rsidR="008E2362" w:rsidRDefault="008E2362" w:rsidP="00840907">
      <w:pPr>
        <w:spacing w:after="0" w:line="240" w:lineRule="auto"/>
      </w:pPr>
      <w:r>
        <w:separator/>
      </w:r>
    </w:p>
  </w:footnote>
  <w:footnote w:type="continuationSeparator" w:id="0">
    <w:p w14:paraId="1EA8E0F5" w14:textId="77777777" w:rsidR="008E2362" w:rsidRDefault="008E2362"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6A71"/>
    <w:multiLevelType w:val="hybridMultilevel"/>
    <w:tmpl w:val="1452DDA0"/>
    <w:lvl w:ilvl="0" w:tplc="89BC6B62">
      <w:start w:val="1"/>
      <w:numFmt w:val="decimal"/>
      <w:lvlText w:val="%1."/>
      <w:lvlJc w:val="left"/>
      <w:pPr>
        <w:ind w:left="780" w:hanging="4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E6777"/>
    <w:rsid w:val="00162DF4"/>
    <w:rsid w:val="001B1866"/>
    <w:rsid w:val="002A1246"/>
    <w:rsid w:val="002E0FA2"/>
    <w:rsid w:val="00376310"/>
    <w:rsid w:val="00402E61"/>
    <w:rsid w:val="004841E9"/>
    <w:rsid w:val="006511AE"/>
    <w:rsid w:val="00663A27"/>
    <w:rsid w:val="006A07DF"/>
    <w:rsid w:val="00775F9C"/>
    <w:rsid w:val="00793E1C"/>
    <w:rsid w:val="00795BDE"/>
    <w:rsid w:val="008013CC"/>
    <w:rsid w:val="008273F2"/>
    <w:rsid w:val="00840907"/>
    <w:rsid w:val="008E2362"/>
    <w:rsid w:val="00A952D4"/>
    <w:rsid w:val="00B47A65"/>
    <w:rsid w:val="00B6132D"/>
    <w:rsid w:val="00C90BC9"/>
    <w:rsid w:val="00D353C0"/>
    <w:rsid w:val="00D6497E"/>
    <w:rsid w:val="00E30B75"/>
    <w:rsid w:val="00ED0057"/>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7FD74"/>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A004-BBAD-4F8D-8096-8B50584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2023-04-12T11:15:00Z</dcterms:created>
  <dcterms:modified xsi:type="dcterms:W3CDTF">2023-04-12T11:15:00Z</dcterms:modified>
</cp:coreProperties>
</file>