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85E" w:rsidRPr="00525097" w:rsidRDefault="007A585E" w:rsidP="007A585E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noProof/>
          <w:sz w:val="24"/>
          <w:szCs w:val="24"/>
          <w:lang w:val="es-ES"/>
        </w:rPr>
      </w:pPr>
      <w:r w:rsidRPr="00525097">
        <w:rPr>
          <w:rFonts w:eastAsia="Times New Roman" w:cstheme="majorHAns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873B8DC" wp14:editId="4A879FA6">
            <wp:simplePos x="0" y="0"/>
            <wp:positionH relativeFrom="margin">
              <wp:posOffset>-95250</wp:posOffset>
            </wp:positionH>
            <wp:positionV relativeFrom="margin">
              <wp:posOffset>-326390</wp:posOffset>
            </wp:positionV>
            <wp:extent cx="1685925" cy="18357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14-logo-logo-eng_1 - Copy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36" t="9330" r="29924" b="7015"/>
                    <a:stretch/>
                  </pic:blipFill>
                  <pic:spPr bwMode="auto">
                    <a:xfrm>
                      <a:off x="0" y="0"/>
                      <a:ext cx="1685925" cy="1835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097"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  <w:t>14ª Reunión de la Conferencia de las Partes Contratantes</w:t>
      </w:r>
    </w:p>
    <w:p w:rsidR="007A585E" w:rsidRPr="00525097" w:rsidRDefault="007A585E" w:rsidP="007A585E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</w:pPr>
      <w:r w:rsidRPr="00525097"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  <w:t>en la Convención de Ramsar sobre los Humedales</w:t>
      </w:r>
    </w:p>
    <w:p w:rsidR="007A585E" w:rsidRPr="00525097" w:rsidRDefault="007A585E" w:rsidP="007A585E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noProof/>
          <w:sz w:val="24"/>
          <w:szCs w:val="24"/>
          <w:lang w:val="es-ES"/>
        </w:rPr>
      </w:pPr>
    </w:p>
    <w:p w:rsidR="003505C5" w:rsidRPr="00525097" w:rsidRDefault="003505C5" w:rsidP="003505C5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</w:pPr>
      <w:r w:rsidRPr="00525097"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  <w:t xml:space="preserve">“Acción en favor de los humedales para las personas </w:t>
      </w:r>
      <w:r w:rsidRPr="00525097"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  <w:br/>
        <w:t>y la naturaleza”</w:t>
      </w:r>
    </w:p>
    <w:p w:rsidR="007A585E" w:rsidRPr="00525097" w:rsidRDefault="00487024" w:rsidP="003505C5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  <w:t>Wuhan (China) y Ginebra (Suiza), 5 a 13 de noviembre de 2022</w:t>
      </w:r>
      <w:bookmarkStart w:id="0" w:name="_GoBack"/>
      <w:bookmarkEnd w:id="0"/>
    </w:p>
    <w:p w:rsidR="007A585E" w:rsidRPr="003505C5" w:rsidRDefault="007A585E" w:rsidP="007A585E">
      <w:pPr>
        <w:snapToGrid w:val="0"/>
        <w:spacing w:after="0" w:line="240" w:lineRule="auto"/>
        <w:jc w:val="center"/>
        <w:rPr>
          <w:b/>
          <w:sz w:val="28"/>
          <w:szCs w:val="28"/>
          <w:lang w:val="es-ES"/>
        </w:rPr>
      </w:pPr>
    </w:p>
    <w:p w:rsidR="007A585E" w:rsidRPr="003505C5" w:rsidRDefault="007A585E" w:rsidP="007A585E">
      <w:pPr>
        <w:snapToGrid w:val="0"/>
        <w:spacing w:after="0" w:line="240" w:lineRule="auto"/>
        <w:jc w:val="center"/>
        <w:rPr>
          <w:b/>
          <w:sz w:val="28"/>
          <w:szCs w:val="28"/>
          <w:lang w:val="es-ES"/>
        </w:rPr>
      </w:pPr>
    </w:p>
    <w:p w:rsidR="007A585E" w:rsidRPr="003505C5" w:rsidRDefault="007A585E" w:rsidP="007A585E">
      <w:pPr>
        <w:tabs>
          <w:tab w:val="left" w:pos="1739"/>
        </w:tabs>
        <w:snapToGrid w:val="0"/>
        <w:spacing w:after="0" w:line="240" w:lineRule="auto"/>
        <w:rPr>
          <w:b/>
          <w:sz w:val="28"/>
          <w:szCs w:val="28"/>
          <w:lang w:val="es-ES"/>
        </w:rPr>
      </w:pPr>
      <w:r w:rsidRPr="003505C5">
        <w:rPr>
          <w:b/>
          <w:sz w:val="28"/>
          <w:szCs w:val="28"/>
          <w:lang w:val="es-ES"/>
        </w:rPr>
        <w:tab/>
      </w:r>
    </w:p>
    <w:p w:rsidR="007A585E" w:rsidRPr="003505C5" w:rsidRDefault="007A585E" w:rsidP="007A585E">
      <w:pPr>
        <w:snapToGrid w:val="0"/>
        <w:spacing w:after="0" w:line="240" w:lineRule="auto"/>
        <w:jc w:val="center"/>
        <w:rPr>
          <w:b/>
          <w:sz w:val="28"/>
          <w:szCs w:val="28"/>
          <w:lang w:val="es-ES"/>
        </w:rPr>
      </w:pPr>
    </w:p>
    <w:p w:rsidR="00E30B75" w:rsidRDefault="007A585E" w:rsidP="007A585E">
      <w:pPr>
        <w:spacing w:after="0" w:line="240" w:lineRule="auto"/>
        <w:ind w:left="540" w:hanging="540"/>
        <w:jc w:val="center"/>
        <w:rPr>
          <w:rFonts w:cs="Arial"/>
          <w:b/>
          <w:sz w:val="28"/>
          <w:szCs w:val="28"/>
          <w:lang w:val="es-ES_tradnl"/>
        </w:rPr>
      </w:pPr>
      <w:r>
        <w:rPr>
          <w:rFonts w:cs="Arial"/>
          <w:b/>
          <w:sz w:val="28"/>
          <w:szCs w:val="28"/>
          <w:lang w:val="es-ES_tradnl"/>
        </w:rPr>
        <w:t>Resolución XIV.</w:t>
      </w:r>
      <w:r w:rsidR="00C44F22">
        <w:rPr>
          <w:rFonts w:cs="Arial"/>
          <w:b/>
          <w:sz w:val="28"/>
          <w:szCs w:val="28"/>
          <w:lang w:val="es-ES_tradnl"/>
        </w:rPr>
        <w:t>19</w:t>
      </w:r>
    </w:p>
    <w:p w:rsidR="007A585E" w:rsidRDefault="007A585E" w:rsidP="007A585E">
      <w:pPr>
        <w:spacing w:after="0" w:line="240" w:lineRule="auto"/>
        <w:ind w:left="540" w:hanging="540"/>
        <w:jc w:val="center"/>
        <w:rPr>
          <w:rFonts w:cs="Arial"/>
          <w:b/>
          <w:sz w:val="28"/>
          <w:szCs w:val="28"/>
          <w:lang w:val="es-ES_tradnl"/>
        </w:rPr>
      </w:pPr>
    </w:p>
    <w:p w:rsidR="0033566B" w:rsidRPr="0033566B" w:rsidRDefault="00C32F56" w:rsidP="0033566B">
      <w:pPr>
        <w:spacing w:after="0" w:line="240" w:lineRule="auto"/>
        <w:ind w:right="16"/>
        <w:jc w:val="center"/>
        <w:rPr>
          <w:rFonts w:eastAsia="FangSong" w:cs="Calibri"/>
          <w:b/>
          <w:strike/>
          <w:sz w:val="28"/>
          <w:szCs w:val="28"/>
          <w:lang w:val="es-ES"/>
        </w:rPr>
      </w:pPr>
      <w:r>
        <w:rPr>
          <w:b/>
          <w:sz w:val="28"/>
          <w:lang w:val="es-ES_tradnl"/>
        </w:rPr>
        <w:t>P</w:t>
      </w:r>
      <w:proofErr w:type="spellStart"/>
      <w:r w:rsidR="008B69AF" w:rsidRPr="0033566B">
        <w:rPr>
          <w:b/>
          <w:sz w:val="28"/>
          <w:szCs w:val="28"/>
          <w:lang w:val="es-ES"/>
        </w:rPr>
        <w:t>ropuesta</w:t>
      </w:r>
      <w:proofErr w:type="spellEnd"/>
      <w:r w:rsidR="0033566B" w:rsidRPr="0033566B">
        <w:rPr>
          <w:b/>
          <w:sz w:val="28"/>
          <w:szCs w:val="28"/>
          <w:lang w:val="es-ES"/>
        </w:rPr>
        <w:t xml:space="preserve"> de creación de un Centro Internacional </w:t>
      </w:r>
      <w:r w:rsidR="0033566B" w:rsidRPr="008B69AF">
        <w:rPr>
          <w:b/>
          <w:sz w:val="28"/>
          <w:szCs w:val="28"/>
          <w:lang w:val="es-ES"/>
        </w:rPr>
        <w:t>del Manglar</w:t>
      </w:r>
      <w:r w:rsidR="0033566B" w:rsidRPr="0033566B">
        <w:rPr>
          <w:b/>
          <w:sz w:val="28"/>
          <w:lang w:val="es-ES"/>
        </w:rPr>
        <w:t xml:space="preserve"> </w:t>
      </w:r>
      <w:r w:rsidR="0033566B">
        <w:rPr>
          <w:b/>
          <w:sz w:val="28"/>
          <w:lang w:val="es-ES"/>
        </w:rPr>
        <w:br/>
      </w:r>
      <w:r w:rsidR="0033566B" w:rsidRPr="0033566B">
        <w:rPr>
          <w:b/>
          <w:sz w:val="28"/>
          <w:lang w:val="es-ES"/>
        </w:rPr>
        <w:t xml:space="preserve">(una iniciativa regional de </w:t>
      </w:r>
      <w:r w:rsidR="0033566B" w:rsidRPr="0033566B">
        <w:rPr>
          <w:b/>
          <w:sz w:val="28"/>
          <w:szCs w:val="28"/>
          <w:lang w:val="es-ES"/>
        </w:rPr>
        <w:t>Ramsar)</w:t>
      </w:r>
    </w:p>
    <w:p w:rsidR="0033566B" w:rsidRPr="0033566B" w:rsidRDefault="0033566B" w:rsidP="0033566B">
      <w:pPr>
        <w:spacing w:after="0" w:line="240" w:lineRule="auto"/>
        <w:ind w:right="16"/>
        <w:rPr>
          <w:rFonts w:eastAsia="FangSong" w:cs="Calibri"/>
          <w:b/>
          <w:bCs/>
          <w:sz w:val="28"/>
          <w:lang w:val="es-ES" w:eastAsia="zh-CN"/>
        </w:rPr>
      </w:pPr>
    </w:p>
    <w:p w:rsidR="0033566B" w:rsidRPr="0033566B" w:rsidRDefault="0033566B" w:rsidP="0033566B">
      <w:pPr>
        <w:spacing w:after="0" w:line="240" w:lineRule="auto"/>
        <w:ind w:right="16"/>
        <w:rPr>
          <w:sz w:val="28"/>
          <w:lang w:val="es-ES"/>
        </w:rPr>
      </w:pPr>
    </w:p>
    <w:p w:rsidR="0033566B" w:rsidRPr="0033566B" w:rsidRDefault="0033566B" w:rsidP="0033566B">
      <w:pPr>
        <w:spacing w:after="0" w:line="240" w:lineRule="auto"/>
        <w:ind w:left="426" w:hanging="426"/>
        <w:rPr>
          <w:lang w:val="es-ES"/>
        </w:rPr>
      </w:pPr>
      <w:r w:rsidRPr="0033566B">
        <w:rPr>
          <w:lang w:val="es-ES"/>
        </w:rPr>
        <w:t>1.</w:t>
      </w:r>
      <w:r w:rsidRPr="0033566B">
        <w:rPr>
          <w:lang w:val="es-ES"/>
        </w:rPr>
        <w:tab/>
        <w:t xml:space="preserve">RECONOCIENDO que los ecosistemas de </w:t>
      </w:r>
      <w:r w:rsidRPr="008B69AF">
        <w:rPr>
          <w:lang w:val="es-ES"/>
        </w:rPr>
        <w:t>manglar</w:t>
      </w:r>
      <w:r w:rsidRPr="0033566B">
        <w:rPr>
          <w:lang w:val="es-ES"/>
        </w:rPr>
        <w:t xml:space="preserve"> son ricos en diversidad biológica y que “unas 341 especies que usan los manglares se consideran amenazadas, ya sea por ser vulnerables o por encontrarse en peligro o en peligro crítico de extinción, según la comunidad internacional y la UICN” (</w:t>
      </w:r>
      <w:r w:rsidRPr="0033566B">
        <w:rPr>
          <w:i/>
          <w:iCs/>
          <w:lang w:val="es-ES"/>
        </w:rPr>
        <w:t>El estado de los manglares del mundo</w:t>
      </w:r>
      <w:r w:rsidRPr="0033566B">
        <w:rPr>
          <w:lang w:val="es-ES"/>
        </w:rPr>
        <w:t>, 2021);</w:t>
      </w:r>
    </w:p>
    <w:p w:rsidR="0033566B" w:rsidRPr="0033566B" w:rsidRDefault="0033566B" w:rsidP="0033566B">
      <w:pPr>
        <w:spacing w:after="0" w:line="240" w:lineRule="auto"/>
        <w:ind w:left="426" w:hanging="426"/>
        <w:contextualSpacing/>
        <w:rPr>
          <w:lang w:val="es-ES"/>
        </w:rPr>
      </w:pPr>
    </w:p>
    <w:p w:rsidR="0033566B" w:rsidRPr="0033566B" w:rsidRDefault="0033566B" w:rsidP="0033566B">
      <w:pPr>
        <w:spacing w:after="0" w:line="240" w:lineRule="auto"/>
        <w:ind w:left="426" w:hanging="426"/>
        <w:rPr>
          <w:lang w:val="es-ES"/>
        </w:rPr>
      </w:pPr>
      <w:r w:rsidRPr="0033566B">
        <w:rPr>
          <w:lang w:val="es-ES"/>
        </w:rPr>
        <w:t>2.</w:t>
      </w:r>
      <w:r w:rsidRPr="0033566B">
        <w:rPr>
          <w:lang w:val="es-ES"/>
        </w:rPr>
        <w:tab/>
        <w:t>RECONOCIENDO que los manglares son ecosistemas costeros de carbono azul importantes,</w:t>
      </w:r>
      <w:r w:rsidR="00C32F56">
        <w:rPr>
          <w:lang w:val="es-ES"/>
        </w:rPr>
        <w:t xml:space="preserve"> </w:t>
      </w:r>
      <w:r w:rsidRPr="0033566B">
        <w:rPr>
          <w:lang w:val="es-ES"/>
        </w:rPr>
        <w:t xml:space="preserve">que </w:t>
      </w:r>
      <w:r w:rsidR="00C32F56">
        <w:rPr>
          <w:lang w:val="es-ES"/>
        </w:rPr>
        <w:t>pue</w:t>
      </w:r>
      <w:r w:rsidRPr="0033566B">
        <w:rPr>
          <w:lang w:val="es-ES"/>
        </w:rPr>
        <w:t xml:space="preserve">den almacenar aproximadamente 5,73 </w:t>
      </w:r>
      <w:proofErr w:type="spellStart"/>
      <w:r w:rsidRPr="0033566B">
        <w:rPr>
          <w:lang w:val="es-ES"/>
        </w:rPr>
        <w:t>gigatoneladas</w:t>
      </w:r>
      <w:proofErr w:type="spellEnd"/>
      <w:r w:rsidRPr="0033566B">
        <w:rPr>
          <w:lang w:val="es-ES"/>
        </w:rPr>
        <w:t xml:space="preserve"> de carbono (conversión de 21 </w:t>
      </w:r>
      <w:proofErr w:type="spellStart"/>
      <w:r w:rsidRPr="0033566B">
        <w:rPr>
          <w:lang w:val="es-ES"/>
        </w:rPr>
        <w:t>gigatoneladas</w:t>
      </w:r>
      <w:proofErr w:type="spellEnd"/>
      <w:r w:rsidRPr="0033566B">
        <w:rPr>
          <w:lang w:val="es-ES"/>
        </w:rPr>
        <w:t xml:space="preserve"> de CO</w:t>
      </w:r>
      <w:r w:rsidRPr="0033566B">
        <w:rPr>
          <w:vertAlign w:val="subscript"/>
          <w:lang w:val="es-ES"/>
        </w:rPr>
        <w:t>2</w:t>
      </w:r>
      <w:r w:rsidRPr="0033566B">
        <w:rPr>
          <w:lang w:val="es-ES"/>
        </w:rPr>
        <w:t xml:space="preserve">, </w:t>
      </w:r>
      <w:r w:rsidR="00C32F56" w:rsidRPr="008B69AF">
        <w:rPr>
          <w:lang w:val="es-ES"/>
        </w:rPr>
        <w:t xml:space="preserve">Global </w:t>
      </w:r>
      <w:proofErr w:type="spellStart"/>
      <w:r w:rsidR="00C32F56" w:rsidRPr="008B69AF">
        <w:rPr>
          <w:lang w:val="es-ES"/>
        </w:rPr>
        <w:t>Mangrove</w:t>
      </w:r>
      <w:proofErr w:type="spellEnd"/>
      <w:r w:rsidR="00C32F56">
        <w:rPr>
          <w:lang w:val="es-ES"/>
        </w:rPr>
        <w:t xml:space="preserve"> Alliance</w:t>
      </w:r>
      <w:r w:rsidRPr="0033566B">
        <w:rPr>
          <w:lang w:val="es-ES"/>
        </w:rPr>
        <w:t xml:space="preserve">, 2021), de las cuales 1,61 </w:t>
      </w:r>
      <w:proofErr w:type="spellStart"/>
      <w:r w:rsidRPr="0033566B">
        <w:rPr>
          <w:lang w:val="es-ES"/>
        </w:rPr>
        <w:t>gigatoneladas</w:t>
      </w:r>
      <w:proofErr w:type="spellEnd"/>
      <w:r w:rsidRPr="0033566B">
        <w:rPr>
          <w:lang w:val="es-ES"/>
        </w:rPr>
        <w:t xml:space="preserve"> de carbono se almacenan en los Humedales de Importancia Internacional, que incluyen a los manglares, y sobre los que se dispone de datos (</w:t>
      </w:r>
      <w:r w:rsidR="008B69AF" w:rsidRPr="008B69AF">
        <w:rPr>
          <w:i/>
          <w:lang w:val="es-ES"/>
        </w:rPr>
        <w:t>Perspectiva mundial sobre los h</w:t>
      </w:r>
      <w:r w:rsidRPr="008B69AF">
        <w:rPr>
          <w:i/>
          <w:lang w:val="es-ES"/>
        </w:rPr>
        <w:t>umedales</w:t>
      </w:r>
      <w:r w:rsidRPr="0033566B">
        <w:rPr>
          <w:lang w:val="es-ES"/>
        </w:rPr>
        <w:t>, 2021);</w:t>
      </w:r>
    </w:p>
    <w:p w:rsidR="0033566B" w:rsidRPr="0033566B" w:rsidRDefault="0033566B" w:rsidP="0033566B">
      <w:pPr>
        <w:spacing w:after="0" w:line="240" w:lineRule="auto"/>
        <w:ind w:left="426" w:hanging="426"/>
        <w:rPr>
          <w:lang w:val="es-ES"/>
        </w:rPr>
      </w:pPr>
    </w:p>
    <w:p w:rsidR="0033566B" w:rsidRPr="0033566B" w:rsidRDefault="005529BF" w:rsidP="0033566B">
      <w:pPr>
        <w:spacing w:after="0" w:line="240" w:lineRule="auto"/>
        <w:ind w:left="426" w:hanging="426"/>
        <w:rPr>
          <w:lang w:val="es-ES"/>
        </w:rPr>
      </w:pPr>
      <w:r>
        <w:rPr>
          <w:bCs/>
          <w:lang w:val="es-ES"/>
        </w:rPr>
        <w:t>3</w:t>
      </w:r>
      <w:r w:rsidR="0033566B" w:rsidRPr="0033566B">
        <w:rPr>
          <w:bCs/>
          <w:lang w:val="es-ES"/>
        </w:rPr>
        <w:t>.</w:t>
      </w:r>
      <w:r w:rsidR="0033566B" w:rsidRPr="0033566B">
        <w:rPr>
          <w:bCs/>
          <w:lang w:val="es-ES"/>
        </w:rPr>
        <w:tab/>
      </w:r>
      <w:r w:rsidR="0033566B" w:rsidRPr="0033566B">
        <w:rPr>
          <w:lang w:val="es-ES"/>
        </w:rPr>
        <w:t xml:space="preserve">OBSERVANDO que la conservación y restauración de los manglares contribuye a la consecución de la Agenda 2030 para el Desarrollo Sostenible, en especial el </w:t>
      </w:r>
      <w:r w:rsidR="00C32F56">
        <w:rPr>
          <w:lang w:val="es-ES"/>
        </w:rPr>
        <w:t xml:space="preserve">indicador </w:t>
      </w:r>
      <w:r w:rsidR="00C32F56" w:rsidRPr="0033566B">
        <w:rPr>
          <w:lang w:val="es-ES"/>
        </w:rPr>
        <w:t>6.6.1</w:t>
      </w:r>
      <w:r w:rsidR="00C32F56">
        <w:rPr>
          <w:lang w:val="es-ES"/>
        </w:rPr>
        <w:t xml:space="preserve"> de los</w:t>
      </w:r>
      <w:r w:rsidR="00C32F56" w:rsidRPr="0033566B">
        <w:rPr>
          <w:lang w:val="es-ES"/>
        </w:rPr>
        <w:t xml:space="preserve"> </w:t>
      </w:r>
      <w:r w:rsidR="00C32F56">
        <w:rPr>
          <w:lang w:val="es-ES"/>
        </w:rPr>
        <w:t>Objetivos de Desarrollo Sostenible (</w:t>
      </w:r>
      <w:r w:rsidR="0033566B" w:rsidRPr="0033566B">
        <w:rPr>
          <w:lang w:val="es-ES"/>
        </w:rPr>
        <w:t>ODS</w:t>
      </w:r>
      <w:r w:rsidR="00C32F56">
        <w:rPr>
          <w:lang w:val="es-ES"/>
        </w:rPr>
        <w:t>)</w:t>
      </w:r>
      <w:r w:rsidR="0033566B" w:rsidRPr="0033566B">
        <w:rPr>
          <w:lang w:val="es-ES"/>
        </w:rPr>
        <w:t xml:space="preserve"> sobre los ecosistemas relacionados con el agua, el ODS 13 sobre la acción por el clima, </w:t>
      </w:r>
      <w:r w:rsidR="00C32F56">
        <w:rPr>
          <w:lang w:val="es-ES"/>
        </w:rPr>
        <w:t xml:space="preserve">y </w:t>
      </w:r>
      <w:r w:rsidR="0033566B" w:rsidRPr="0033566B">
        <w:rPr>
          <w:lang w:val="es-ES"/>
        </w:rPr>
        <w:t>el ODS 14 sobre la vida bajo el agua;</w:t>
      </w:r>
    </w:p>
    <w:p w:rsidR="0033566B" w:rsidRPr="0033566B" w:rsidRDefault="0033566B" w:rsidP="0033566B">
      <w:pPr>
        <w:spacing w:after="0" w:line="240" w:lineRule="auto"/>
        <w:ind w:left="426" w:hanging="426"/>
        <w:rPr>
          <w:u w:val="single"/>
          <w:lang w:val="es-ES"/>
        </w:rPr>
      </w:pPr>
    </w:p>
    <w:p w:rsidR="0033566B" w:rsidRPr="0033566B" w:rsidRDefault="0033566B" w:rsidP="0033566B">
      <w:pPr>
        <w:spacing w:after="0" w:line="240" w:lineRule="auto"/>
        <w:ind w:left="426" w:hanging="426"/>
        <w:rPr>
          <w:rFonts w:eastAsia="FangSong" w:cs="Calibri"/>
          <w:lang w:val="es-ES"/>
        </w:rPr>
      </w:pPr>
      <w:r w:rsidRPr="0033566B">
        <w:rPr>
          <w:lang w:val="es-ES"/>
        </w:rPr>
        <w:t>4.</w:t>
      </w:r>
      <w:r w:rsidRPr="0033566B">
        <w:rPr>
          <w:lang w:val="es-ES"/>
        </w:rPr>
        <w:tab/>
        <w:t>OBSERVANDO ADEMÁS los niveles de pobreza en las comunidades que dependen de los humedales y la necesidad de apoyar medios de subsistencia sostenibles desde el punto de vist</w:t>
      </w:r>
      <w:r w:rsidR="00C32F56">
        <w:rPr>
          <w:lang w:val="es-ES"/>
        </w:rPr>
        <w:t>a social, económico y ambiental,</w:t>
      </w:r>
      <w:r w:rsidRPr="0033566B">
        <w:rPr>
          <w:lang w:val="es-ES"/>
        </w:rPr>
        <w:t xml:space="preserve"> y RECONOCIENDO los beneficios del acceso a la innovación, los conocimientos, los datos y las capacidades necesarias para vigilar los manglares y los ecosistemas costeros de carbono azul para la formulación de políticas eficaces en materia de conservación, restauración y uso racional;</w:t>
      </w:r>
    </w:p>
    <w:p w:rsidR="0033566B" w:rsidRPr="0033566B" w:rsidRDefault="0033566B" w:rsidP="0033566B">
      <w:pPr>
        <w:spacing w:after="0" w:line="240" w:lineRule="auto"/>
        <w:ind w:left="426" w:hanging="426"/>
        <w:rPr>
          <w:rFonts w:eastAsia="FangSong" w:cs="Calibri"/>
          <w:lang w:val="es-ES" w:eastAsia="zh-CN"/>
        </w:rPr>
      </w:pPr>
    </w:p>
    <w:p w:rsidR="0033566B" w:rsidRPr="0033566B" w:rsidRDefault="005529BF" w:rsidP="0033566B">
      <w:pPr>
        <w:spacing w:after="0" w:line="240" w:lineRule="auto"/>
        <w:ind w:left="426" w:hanging="426"/>
        <w:rPr>
          <w:lang w:val="es-ES"/>
        </w:rPr>
      </w:pPr>
      <w:r>
        <w:rPr>
          <w:lang w:val="es-ES"/>
        </w:rPr>
        <w:t>5</w:t>
      </w:r>
      <w:r w:rsidR="0033566B" w:rsidRPr="0033566B">
        <w:rPr>
          <w:lang w:val="es-ES"/>
        </w:rPr>
        <w:t>.</w:t>
      </w:r>
      <w:r w:rsidR="0033566B" w:rsidRPr="0033566B">
        <w:rPr>
          <w:lang w:val="es-ES"/>
        </w:rPr>
        <w:tab/>
        <w:t xml:space="preserve">RECONOCIENDO ADEMÁS que una iniciativa regional de Ramsar centrada en los manglares y los ecosistemas </w:t>
      </w:r>
      <w:r w:rsidR="00485C6C">
        <w:rPr>
          <w:lang w:val="es-ES"/>
        </w:rPr>
        <w:t xml:space="preserve">costeros </w:t>
      </w:r>
      <w:r w:rsidR="0033566B" w:rsidRPr="0033566B">
        <w:rPr>
          <w:lang w:val="es-ES"/>
        </w:rPr>
        <w:t>de carbono azul puede promover la cooperación regional en el marco de la Convención para estos ecosistemas cruciales, reforzar las asociaciones y las redes, ofrecer una plataforma de apoyo científico y técnico, y propiciar acciones y proyectos conjuntos sobre manglares y ecosistemas de carbono azul;</w:t>
      </w:r>
      <w:r w:rsidR="00C32F56">
        <w:rPr>
          <w:lang w:val="es-ES"/>
        </w:rPr>
        <w:t xml:space="preserve"> y</w:t>
      </w:r>
    </w:p>
    <w:p w:rsidR="0033566B" w:rsidRPr="0033566B" w:rsidRDefault="0033566B" w:rsidP="0033566B">
      <w:pPr>
        <w:spacing w:after="0" w:line="240" w:lineRule="auto"/>
        <w:ind w:left="426" w:hanging="426"/>
        <w:rPr>
          <w:rFonts w:eastAsia="FangSong" w:cs="Calibri"/>
          <w:bCs/>
          <w:strike/>
          <w:lang w:val="es-ES" w:eastAsia="zh-CN"/>
        </w:rPr>
      </w:pPr>
    </w:p>
    <w:p w:rsidR="0033566B" w:rsidRPr="0033566B" w:rsidRDefault="005529BF" w:rsidP="0033566B">
      <w:pPr>
        <w:spacing w:after="0" w:line="240" w:lineRule="auto"/>
        <w:ind w:left="426" w:hanging="426"/>
        <w:rPr>
          <w:rFonts w:eastAsia="FangSong" w:cs="Calibri"/>
          <w:lang w:val="es-ES"/>
        </w:rPr>
      </w:pPr>
      <w:r>
        <w:rPr>
          <w:lang w:val="es-ES"/>
        </w:rPr>
        <w:lastRenderedPageBreak/>
        <w:t>6</w:t>
      </w:r>
      <w:r w:rsidR="0033566B" w:rsidRPr="0033566B">
        <w:rPr>
          <w:lang w:val="es-ES"/>
        </w:rPr>
        <w:t>.</w:t>
      </w:r>
      <w:r w:rsidR="0033566B" w:rsidRPr="0033566B">
        <w:rPr>
          <w:lang w:val="es-ES"/>
        </w:rPr>
        <w:tab/>
        <w:t>HACIENDO NOTAR la importancia de hacer realidad el tema de la 14ª Conferencia de las Partes Contratantes en la Convención sobre los Humedales (“Acciones en favor de los humedales para</w:t>
      </w:r>
      <w:r w:rsidR="00C32F56">
        <w:rPr>
          <w:lang w:val="es-ES"/>
        </w:rPr>
        <w:t xml:space="preserve"> las personas y la naturaleza”);</w:t>
      </w:r>
    </w:p>
    <w:p w:rsidR="0033566B" w:rsidRPr="0033566B" w:rsidRDefault="0033566B" w:rsidP="005529BF">
      <w:pPr>
        <w:spacing w:after="0" w:line="240" w:lineRule="auto"/>
        <w:contextualSpacing/>
        <w:rPr>
          <w:rFonts w:eastAsia="FangSong" w:cs="Calibri"/>
          <w:b/>
          <w:lang w:val="es-ES" w:eastAsia="zh-CN"/>
        </w:rPr>
      </w:pPr>
    </w:p>
    <w:p w:rsidR="0033566B" w:rsidRPr="0033566B" w:rsidRDefault="0033566B" w:rsidP="0033566B">
      <w:pPr>
        <w:keepNext/>
        <w:widowControl w:val="0"/>
        <w:spacing w:after="0" w:line="240" w:lineRule="auto"/>
        <w:jc w:val="center"/>
        <w:rPr>
          <w:rFonts w:eastAsia="MS Gothic"/>
          <w:lang w:val="es-ES" w:eastAsia="en-GB"/>
        </w:rPr>
      </w:pPr>
      <w:r w:rsidRPr="0033566B">
        <w:rPr>
          <w:rFonts w:eastAsia="MS Gothic"/>
          <w:lang w:val="es-ES" w:eastAsia="en-GB"/>
        </w:rPr>
        <w:t>LA CONFERENCIA DE LAS PARTES CONTRATANTES</w:t>
      </w:r>
    </w:p>
    <w:p w:rsidR="0033566B" w:rsidRPr="0033566B" w:rsidRDefault="0033566B" w:rsidP="0033566B">
      <w:pPr>
        <w:keepNext/>
        <w:spacing w:after="0" w:line="240" w:lineRule="auto"/>
        <w:rPr>
          <w:rFonts w:eastAsia="FangSong" w:cs="Calibri"/>
          <w:bCs/>
          <w:lang w:val="es-ES" w:eastAsia="zh-CN"/>
        </w:rPr>
      </w:pPr>
    </w:p>
    <w:p w:rsidR="0033566B" w:rsidRPr="0033566B" w:rsidRDefault="005529BF" w:rsidP="0033566B">
      <w:pPr>
        <w:spacing w:after="0" w:line="240" w:lineRule="auto"/>
        <w:ind w:left="426" w:hanging="426"/>
        <w:rPr>
          <w:rFonts w:eastAsia="FangSong" w:cs="Calibri"/>
          <w:bCs/>
          <w:lang w:val="es-ES"/>
        </w:rPr>
      </w:pPr>
      <w:r>
        <w:rPr>
          <w:bCs/>
          <w:lang w:val="es-ES"/>
        </w:rPr>
        <w:t>7</w:t>
      </w:r>
      <w:r w:rsidR="0033566B" w:rsidRPr="0033566B">
        <w:rPr>
          <w:bCs/>
          <w:lang w:val="es-ES"/>
        </w:rPr>
        <w:t>.</w:t>
      </w:r>
      <w:r w:rsidR="0033566B" w:rsidRPr="0033566B">
        <w:rPr>
          <w:bCs/>
          <w:lang w:val="es-ES"/>
        </w:rPr>
        <w:tab/>
        <w:t>ACOGE CON BENEPLÁCITO la propuesta de que China y las Partes Contratantes interesadas establezcan una iniciativa regional de Ramsar (“Centro Internacional del Manglar”), de conformidad con las normas, los procedimientos y las directrices de la Convención;</w:t>
      </w:r>
    </w:p>
    <w:p w:rsidR="0033566B" w:rsidRPr="0033566B" w:rsidRDefault="0033566B" w:rsidP="0033566B">
      <w:pPr>
        <w:spacing w:after="0" w:line="240" w:lineRule="auto"/>
        <w:ind w:left="426" w:hanging="426"/>
        <w:contextualSpacing/>
        <w:rPr>
          <w:rFonts w:eastAsia="FangSong" w:cs="Calibri"/>
          <w:bCs/>
          <w:lang w:val="es-ES" w:eastAsia="zh-CN"/>
        </w:rPr>
      </w:pPr>
    </w:p>
    <w:p w:rsidR="0033566B" w:rsidRPr="0033566B" w:rsidRDefault="005529BF" w:rsidP="0033566B">
      <w:pPr>
        <w:spacing w:after="0" w:line="240" w:lineRule="auto"/>
        <w:ind w:left="426" w:hanging="426"/>
        <w:rPr>
          <w:rFonts w:eastAsia="FangSong" w:cs="Calibri"/>
          <w:bCs/>
          <w:lang w:val="es-ES"/>
        </w:rPr>
      </w:pPr>
      <w:r>
        <w:rPr>
          <w:bCs/>
          <w:lang w:val="es-ES"/>
        </w:rPr>
        <w:t>8</w:t>
      </w:r>
      <w:r w:rsidR="0033566B" w:rsidRPr="0033566B">
        <w:rPr>
          <w:bCs/>
          <w:lang w:val="es-ES"/>
        </w:rPr>
        <w:t>.</w:t>
      </w:r>
      <w:r w:rsidR="0033566B" w:rsidRPr="0033566B">
        <w:rPr>
          <w:bCs/>
          <w:lang w:val="es-ES"/>
        </w:rPr>
        <w:tab/>
        <w:t xml:space="preserve">ACOGE CON BENEPLÁCITO TAMBIÉN que </w:t>
      </w:r>
      <w:r w:rsidR="0033566B" w:rsidRPr="00485C6C">
        <w:rPr>
          <w:bCs/>
          <w:lang w:val="es-ES"/>
        </w:rPr>
        <w:t>la iniciativa regional de Ramsar</w:t>
      </w:r>
      <w:r w:rsidR="0033566B" w:rsidRPr="0033566B">
        <w:rPr>
          <w:bCs/>
          <w:lang w:val="es-ES"/>
        </w:rPr>
        <w:t xml:space="preserve"> </w:t>
      </w:r>
      <w:r w:rsidR="00485C6C">
        <w:rPr>
          <w:bCs/>
          <w:lang w:val="es-ES"/>
        </w:rPr>
        <w:t xml:space="preserve">(IRR) </w:t>
      </w:r>
      <w:r w:rsidR="0033566B" w:rsidRPr="0033566B">
        <w:rPr>
          <w:bCs/>
          <w:lang w:val="es-ES"/>
        </w:rPr>
        <w:t xml:space="preserve">propuesta se centre en la conservación, la restauración y el uso racional de los manglares y los ecosistemas de carbono azul; </w:t>
      </w:r>
    </w:p>
    <w:p w:rsidR="0033566B" w:rsidRPr="0033566B" w:rsidRDefault="0033566B" w:rsidP="0033566B">
      <w:pPr>
        <w:spacing w:after="0" w:line="240" w:lineRule="auto"/>
        <w:ind w:left="426" w:hanging="426"/>
        <w:contextualSpacing/>
        <w:rPr>
          <w:rFonts w:eastAsia="FangSong" w:cs="Calibri"/>
          <w:bCs/>
          <w:lang w:val="es-ES" w:eastAsia="zh-CN"/>
        </w:rPr>
      </w:pPr>
    </w:p>
    <w:p w:rsidR="0033566B" w:rsidRPr="0033566B" w:rsidRDefault="005529BF" w:rsidP="0033566B">
      <w:pPr>
        <w:spacing w:after="0" w:line="240" w:lineRule="auto"/>
        <w:ind w:left="426" w:hanging="426"/>
        <w:rPr>
          <w:rFonts w:eastAsia="FangSong" w:cs="Calibri"/>
          <w:bCs/>
          <w:lang w:val="es-ES"/>
        </w:rPr>
      </w:pPr>
      <w:r>
        <w:rPr>
          <w:bCs/>
          <w:lang w:val="es-ES"/>
        </w:rPr>
        <w:t>9</w:t>
      </w:r>
      <w:r w:rsidR="0033566B" w:rsidRPr="0033566B">
        <w:rPr>
          <w:bCs/>
          <w:lang w:val="es-ES"/>
        </w:rPr>
        <w:t>.</w:t>
      </w:r>
      <w:r w:rsidR="0033566B" w:rsidRPr="0033566B">
        <w:rPr>
          <w:bCs/>
          <w:lang w:val="es-ES"/>
        </w:rPr>
        <w:tab/>
      </w:r>
      <w:r w:rsidR="0033566B" w:rsidRPr="0033566B">
        <w:rPr>
          <w:lang w:val="es-ES"/>
        </w:rPr>
        <w:t>ALIENTA a las Partes Contratantes interesadas, las organizaciones no gubernamentales y otras organizaciones de la sociedad civil a participar voluntariamente en la creación y el funcionamiento de</w:t>
      </w:r>
      <w:r w:rsidR="0033566B" w:rsidRPr="0033566B">
        <w:rPr>
          <w:bCs/>
          <w:lang w:val="es-ES"/>
        </w:rPr>
        <w:t xml:space="preserve"> </w:t>
      </w:r>
      <w:r w:rsidR="00485C6C">
        <w:rPr>
          <w:bCs/>
          <w:lang w:val="es-ES"/>
        </w:rPr>
        <w:t>la IRR</w:t>
      </w:r>
      <w:r w:rsidR="0033566B" w:rsidRPr="0033566B">
        <w:rPr>
          <w:bCs/>
          <w:lang w:val="es-ES"/>
        </w:rPr>
        <w:t xml:space="preserve"> propuesta, de una manera abierta, inclusiva y transparente;</w:t>
      </w:r>
    </w:p>
    <w:p w:rsidR="0033566B" w:rsidRPr="0033566B" w:rsidRDefault="0033566B" w:rsidP="0033566B">
      <w:pPr>
        <w:spacing w:after="0" w:line="240" w:lineRule="auto"/>
        <w:ind w:left="426" w:hanging="426"/>
        <w:rPr>
          <w:rFonts w:eastAsia="FangSong" w:cs="Calibri"/>
          <w:bCs/>
          <w:lang w:val="es-ES" w:eastAsia="zh-CN"/>
        </w:rPr>
      </w:pPr>
    </w:p>
    <w:p w:rsidR="0033566B" w:rsidRPr="0033566B" w:rsidRDefault="005529BF" w:rsidP="0033566B">
      <w:pPr>
        <w:spacing w:after="0" w:line="240" w:lineRule="auto"/>
        <w:ind w:left="426" w:hanging="426"/>
        <w:rPr>
          <w:rFonts w:eastAsia="FangSong" w:cs="Calibri"/>
          <w:bCs/>
          <w:lang w:val="es-ES"/>
        </w:rPr>
      </w:pPr>
      <w:r>
        <w:rPr>
          <w:bCs/>
          <w:lang w:val="es-ES"/>
        </w:rPr>
        <w:t>10</w:t>
      </w:r>
      <w:r w:rsidR="0033566B" w:rsidRPr="0033566B">
        <w:rPr>
          <w:bCs/>
          <w:lang w:val="es-ES"/>
        </w:rPr>
        <w:t>.</w:t>
      </w:r>
      <w:r w:rsidR="0033566B" w:rsidRPr="0033566B">
        <w:rPr>
          <w:bCs/>
          <w:lang w:val="es-ES"/>
        </w:rPr>
        <w:tab/>
        <w:t xml:space="preserve">ALIENTA ADEMÁS a mantener una estrecha comunicación y cooperación con otras organizaciones e iniciativas en curso en materia de manglares, a fin de velar por la complementariedad de los esfuerzos durante la creación y el futuro funcionamiento de la </w:t>
      </w:r>
      <w:r w:rsidR="00485C6C">
        <w:rPr>
          <w:bCs/>
          <w:lang w:val="es-ES"/>
        </w:rPr>
        <w:t>IRR</w:t>
      </w:r>
      <w:r w:rsidR="0033566B" w:rsidRPr="0033566B">
        <w:rPr>
          <w:bCs/>
          <w:lang w:val="es-ES"/>
        </w:rPr>
        <w:t xml:space="preserve"> propuesta;</w:t>
      </w:r>
    </w:p>
    <w:p w:rsidR="0033566B" w:rsidRPr="0033566B" w:rsidRDefault="0033566B" w:rsidP="0033566B">
      <w:pPr>
        <w:spacing w:after="0" w:line="240" w:lineRule="auto"/>
        <w:ind w:left="426" w:hanging="426"/>
        <w:rPr>
          <w:rFonts w:eastAsia="FangSong" w:cs="Calibri"/>
          <w:bCs/>
          <w:lang w:val="es-ES" w:eastAsia="zh-CN"/>
        </w:rPr>
      </w:pPr>
    </w:p>
    <w:p w:rsidR="0033566B" w:rsidRPr="0033566B" w:rsidRDefault="0033566B" w:rsidP="0033566B">
      <w:pPr>
        <w:spacing w:after="0" w:line="240" w:lineRule="auto"/>
        <w:ind w:left="426" w:hanging="426"/>
        <w:rPr>
          <w:rFonts w:eastAsia="FangSong" w:cs="Calibri"/>
          <w:bCs/>
          <w:lang w:val="es-ES"/>
        </w:rPr>
      </w:pPr>
      <w:r w:rsidRPr="0033566B">
        <w:rPr>
          <w:bCs/>
          <w:lang w:val="es-ES"/>
        </w:rPr>
        <w:t>1</w:t>
      </w:r>
      <w:r w:rsidR="005529BF">
        <w:rPr>
          <w:bCs/>
          <w:lang w:val="es-ES"/>
        </w:rPr>
        <w:t>1</w:t>
      </w:r>
      <w:r w:rsidRPr="0033566B">
        <w:rPr>
          <w:bCs/>
          <w:lang w:val="es-ES"/>
        </w:rPr>
        <w:t>.</w:t>
      </w:r>
      <w:r w:rsidRPr="0033566B">
        <w:rPr>
          <w:bCs/>
          <w:lang w:val="es-ES"/>
        </w:rPr>
        <w:tab/>
        <w:t xml:space="preserve">INVITA a presentar la propuesta </w:t>
      </w:r>
      <w:r w:rsidRPr="00485C6C">
        <w:rPr>
          <w:bCs/>
          <w:lang w:val="es-ES"/>
        </w:rPr>
        <w:t xml:space="preserve">de </w:t>
      </w:r>
      <w:r w:rsidR="00485C6C">
        <w:rPr>
          <w:bCs/>
          <w:lang w:val="es-ES"/>
        </w:rPr>
        <w:t>IRR</w:t>
      </w:r>
      <w:r w:rsidRPr="0033566B">
        <w:rPr>
          <w:bCs/>
          <w:lang w:val="es-ES"/>
        </w:rPr>
        <w:t xml:space="preserve"> a la 62ª reunión del Comité Permanente para su examen.</w:t>
      </w:r>
    </w:p>
    <w:p w:rsidR="0033566B" w:rsidRPr="0033566B" w:rsidRDefault="0033566B" w:rsidP="0033566B">
      <w:pPr>
        <w:spacing w:after="0" w:line="240" w:lineRule="auto"/>
        <w:ind w:left="426" w:hanging="426"/>
        <w:rPr>
          <w:rFonts w:eastAsia="FangSong" w:cs="Calibri"/>
          <w:bCs/>
          <w:u w:val="single"/>
          <w:lang w:val="es-ES" w:eastAsia="zh-CN"/>
        </w:rPr>
      </w:pPr>
    </w:p>
    <w:sectPr w:rsidR="0033566B" w:rsidRPr="0033566B" w:rsidSect="007A585E">
      <w:foot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DE5" w:rsidRDefault="00317DE5" w:rsidP="007A585E">
      <w:pPr>
        <w:spacing w:after="0" w:line="240" w:lineRule="auto"/>
      </w:pPr>
      <w:r>
        <w:separator/>
      </w:r>
    </w:p>
  </w:endnote>
  <w:endnote w:type="continuationSeparator" w:id="0">
    <w:p w:rsidR="00317DE5" w:rsidRDefault="00317DE5" w:rsidP="007A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altName w:val="Microsoft YaHei Light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85E" w:rsidRPr="007A585E" w:rsidRDefault="00C32F56" w:rsidP="007A585E">
    <w:pPr>
      <w:pStyle w:val="Footer"/>
      <w:tabs>
        <w:tab w:val="clear" w:pos="9026"/>
        <w:tab w:val="right" w:pos="9214"/>
      </w:tabs>
      <w:rPr>
        <w:sz w:val="20"/>
        <w:szCs w:val="20"/>
      </w:rPr>
    </w:pPr>
    <w:r>
      <w:rPr>
        <w:sz w:val="20"/>
        <w:szCs w:val="20"/>
      </w:rPr>
      <w:t xml:space="preserve">COP14 – </w:t>
    </w:r>
    <w:proofErr w:type="spellStart"/>
    <w:r w:rsidR="007A585E" w:rsidRPr="007A585E">
      <w:rPr>
        <w:sz w:val="20"/>
        <w:szCs w:val="20"/>
      </w:rPr>
      <w:t>Resolución</w:t>
    </w:r>
    <w:proofErr w:type="spellEnd"/>
    <w:r w:rsidR="007A585E" w:rsidRPr="007A585E">
      <w:rPr>
        <w:sz w:val="20"/>
        <w:szCs w:val="20"/>
      </w:rPr>
      <w:t xml:space="preserve"> XIV.</w:t>
    </w:r>
    <w:r w:rsidR="005529BF">
      <w:rPr>
        <w:sz w:val="20"/>
        <w:szCs w:val="20"/>
      </w:rPr>
      <w:t>19</w:t>
    </w:r>
    <w:r w:rsidR="007A585E" w:rsidRPr="00E85F86">
      <w:rPr>
        <w:sz w:val="20"/>
        <w:szCs w:val="20"/>
      </w:rPr>
      <w:tab/>
    </w:r>
    <w:r w:rsidR="007A585E" w:rsidRPr="00E85F86">
      <w:rPr>
        <w:sz w:val="20"/>
        <w:szCs w:val="20"/>
      </w:rPr>
      <w:tab/>
    </w:r>
    <w:r w:rsidR="007A585E" w:rsidRPr="00E85F86">
      <w:rPr>
        <w:sz w:val="20"/>
        <w:szCs w:val="20"/>
      </w:rPr>
      <w:fldChar w:fldCharType="begin"/>
    </w:r>
    <w:r w:rsidR="007A585E" w:rsidRPr="00E85F86">
      <w:rPr>
        <w:sz w:val="20"/>
        <w:szCs w:val="20"/>
      </w:rPr>
      <w:instrText xml:space="preserve"> PAGE   \* MERGEFORMAT </w:instrText>
    </w:r>
    <w:r w:rsidR="007A585E" w:rsidRPr="00E85F86">
      <w:rPr>
        <w:sz w:val="20"/>
        <w:szCs w:val="20"/>
      </w:rPr>
      <w:fldChar w:fldCharType="separate"/>
    </w:r>
    <w:r w:rsidR="002F4C1E">
      <w:rPr>
        <w:noProof/>
        <w:sz w:val="20"/>
        <w:szCs w:val="20"/>
      </w:rPr>
      <w:t>2</w:t>
    </w:r>
    <w:r w:rsidR="007A585E" w:rsidRPr="00E85F8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DE5" w:rsidRDefault="00317DE5" w:rsidP="007A585E">
      <w:pPr>
        <w:spacing w:after="0" w:line="240" w:lineRule="auto"/>
      </w:pPr>
      <w:r>
        <w:separator/>
      </w:r>
    </w:p>
  </w:footnote>
  <w:footnote w:type="continuationSeparator" w:id="0">
    <w:p w:rsidR="00317DE5" w:rsidRDefault="00317DE5" w:rsidP="007A5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85E"/>
    <w:rsid w:val="001A5707"/>
    <w:rsid w:val="002F4C1E"/>
    <w:rsid w:val="00317DE5"/>
    <w:rsid w:val="0033566B"/>
    <w:rsid w:val="003505C5"/>
    <w:rsid w:val="00485C6C"/>
    <w:rsid w:val="00487024"/>
    <w:rsid w:val="004B43EF"/>
    <w:rsid w:val="005529BF"/>
    <w:rsid w:val="007A585E"/>
    <w:rsid w:val="008B69AF"/>
    <w:rsid w:val="00AD1B81"/>
    <w:rsid w:val="00C32F56"/>
    <w:rsid w:val="00C44F22"/>
    <w:rsid w:val="00C675CA"/>
    <w:rsid w:val="00E30B75"/>
    <w:rsid w:val="00F0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95056E3-1890-47F0-87F6-4E05D596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8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7A585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A5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8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7A5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8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dc:description/>
  <cp:lastModifiedBy>BRACE Poppy</cp:lastModifiedBy>
  <cp:revision>2</cp:revision>
  <dcterms:created xsi:type="dcterms:W3CDTF">2023-04-12T11:49:00Z</dcterms:created>
  <dcterms:modified xsi:type="dcterms:W3CDTF">2023-04-12T11:49:00Z</dcterms:modified>
</cp:coreProperties>
</file>