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092B" w14:textId="77777777" w:rsidR="00170E72" w:rsidRPr="00945DAB" w:rsidRDefault="00170E72" w:rsidP="00170E7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val="es-ES" w:eastAsia="en-GB"/>
        </w:rPr>
      </w:pPr>
      <w:r w:rsidRPr="00945DAB">
        <w:rPr>
          <w:rFonts w:eastAsia="Times New Roman" w:cstheme="minorHAnsi"/>
          <w:bCs/>
          <w:lang w:val="es-ES" w:eastAsia="en-GB"/>
        </w:rPr>
        <w:t>LA CONVENCIÓN SOBRE LOS HUMEDALES</w:t>
      </w:r>
    </w:p>
    <w:p w14:paraId="0EA79A34" w14:textId="4E4B5260" w:rsidR="00170E72" w:rsidRPr="00945DAB" w:rsidRDefault="00170E72" w:rsidP="00170E7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val="es-ES" w:eastAsia="en-GB"/>
        </w:rPr>
      </w:pPr>
      <w:r w:rsidRPr="00945DAB">
        <w:rPr>
          <w:rFonts w:eastAsia="Times New Roman" w:cstheme="minorHAnsi"/>
          <w:bCs/>
          <w:lang w:val="es-ES" w:eastAsia="en-GB"/>
        </w:rPr>
        <w:t>6</w:t>
      </w:r>
      <w:r w:rsidR="001F2639" w:rsidRPr="00945DAB">
        <w:rPr>
          <w:rFonts w:eastAsia="Times New Roman" w:cstheme="minorHAnsi"/>
          <w:bCs/>
          <w:lang w:val="es-ES" w:eastAsia="en-GB"/>
        </w:rPr>
        <w:t>2ª</w:t>
      </w:r>
      <w:r w:rsidRPr="00945DAB">
        <w:rPr>
          <w:rFonts w:eastAsia="Times New Roman" w:cstheme="minorHAnsi"/>
          <w:bCs/>
          <w:lang w:val="es-ES" w:eastAsia="en-GB"/>
        </w:rPr>
        <w:t xml:space="preserve"> reunión del Comité Permanente</w:t>
      </w:r>
    </w:p>
    <w:p w14:paraId="4ED37FBA" w14:textId="79E32789" w:rsidR="00170E72" w:rsidRPr="00945DAB" w:rsidRDefault="00170E72" w:rsidP="00170E7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val="es-ES" w:eastAsia="en-GB"/>
        </w:rPr>
      </w:pPr>
      <w:r w:rsidRPr="00945DAB">
        <w:rPr>
          <w:rFonts w:eastAsia="Times New Roman" w:cstheme="minorHAnsi"/>
          <w:bCs/>
          <w:lang w:val="es-ES" w:eastAsia="en-GB"/>
        </w:rPr>
        <w:t>Gland, Suiza, 4</w:t>
      </w:r>
      <w:r w:rsidR="001F2639" w:rsidRPr="00945DAB">
        <w:rPr>
          <w:rFonts w:eastAsia="Times New Roman" w:cstheme="minorHAnsi"/>
          <w:bCs/>
          <w:lang w:val="es-ES" w:eastAsia="en-GB"/>
        </w:rPr>
        <w:t xml:space="preserve"> a </w:t>
      </w:r>
      <w:r w:rsidRPr="00945DAB">
        <w:rPr>
          <w:rFonts w:eastAsia="Times New Roman" w:cstheme="minorHAnsi"/>
          <w:bCs/>
          <w:lang w:val="es-ES" w:eastAsia="en-GB"/>
        </w:rPr>
        <w:t>8 de septiembre de 2023</w:t>
      </w:r>
    </w:p>
    <w:p w14:paraId="24BE10B1" w14:textId="77777777" w:rsidR="000B14C7" w:rsidRPr="00945DAB" w:rsidRDefault="000B14C7" w:rsidP="000B14C7">
      <w:pPr>
        <w:spacing w:after="0" w:line="240" w:lineRule="auto"/>
        <w:jc w:val="both"/>
        <w:rPr>
          <w:sz w:val="28"/>
          <w:lang w:val="es-ES"/>
        </w:rPr>
      </w:pPr>
    </w:p>
    <w:p w14:paraId="2A932C18" w14:textId="77777777" w:rsidR="000B14C7" w:rsidRPr="00945DAB" w:rsidRDefault="000B14C7" w:rsidP="00FC1EDB">
      <w:pPr>
        <w:spacing w:after="0" w:line="240" w:lineRule="auto"/>
        <w:jc w:val="right"/>
        <w:rPr>
          <w:rFonts w:eastAsia="Times New Roman" w:cstheme="minorHAnsi"/>
          <w:b/>
          <w:sz w:val="28"/>
          <w:szCs w:val="28"/>
          <w:lang w:val="es-ES" w:eastAsia="en-GB"/>
        </w:rPr>
      </w:pPr>
      <w:r w:rsidRPr="00945DAB">
        <w:rPr>
          <w:rFonts w:eastAsia="Times New Roman" w:cstheme="minorHAnsi"/>
          <w:b/>
          <w:sz w:val="28"/>
          <w:szCs w:val="28"/>
          <w:lang w:val="es-ES" w:eastAsia="en-GB"/>
        </w:rPr>
        <w:t>SC62 Doc.11</w:t>
      </w:r>
    </w:p>
    <w:p w14:paraId="6B0F6DBB" w14:textId="77777777" w:rsidR="000B14C7" w:rsidRPr="00945DAB" w:rsidRDefault="000B14C7" w:rsidP="00FC1EDB">
      <w:pPr>
        <w:spacing w:after="0" w:line="240" w:lineRule="auto"/>
        <w:jc w:val="right"/>
        <w:rPr>
          <w:rFonts w:eastAsia="Times New Roman" w:cstheme="minorHAnsi"/>
          <w:b/>
          <w:sz w:val="28"/>
          <w:szCs w:val="28"/>
          <w:lang w:val="es-ES" w:eastAsia="en-GB"/>
        </w:rPr>
      </w:pPr>
    </w:p>
    <w:p w14:paraId="32CD1068" w14:textId="77777777" w:rsidR="004A22CF" w:rsidRPr="00945DAB" w:rsidRDefault="004A22CF" w:rsidP="00EC0F71">
      <w:pPr>
        <w:spacing w:after="0" w:line="240" w:lineRule="auto"/>
        <w:jc w:val="center"/>
        <w:rPr>
          <w:b/>
          <w:sz w:val="28"/>
          <w:lang w:val="es-ES"/>
        </w:rPr>
      </w:pPr>
      <w:r w:rsidRPr="00945DAB">
        <w:rPr>
          <w:b/>
          <w:sz w:val="28"/>
          <w:lang w:val="es-ES"/>
        </w:rPr>
        <w:t>Informe de la Secretaría sobre el fortalecimiento institucional para apoyar la aplicación de la Convención</w:t>
      </w:r>
    </w:p>
    <w:p w14:paraId="543C616E" w14:textId="77777777" w:rsidR="000A143D" w:rsidRPr="00945DAB" w:rsidRDefault="000A143D" w:rsidP="000A143D">
      <w:pPr>
        <w:autoSpaceDE w:val="0"/>
        <w:autoSpaceDN w:val="0"/>
        <w:adjustRightInd w:val="0"/>
        <w:spacing w:after="0" w:line="240" w:lineRule="auto"/>
        <w:ind w:left="357" w:hanging="357"/>
        <w:jc w:val="both"/>
        <w:rPr>
          <w:rFonts w:cstheme="minorHAnsi"/>
          <w:lang w:val="es-ES"/>
        </w:rPr>
      </w:pPr>
    </w:p>
    <w:p w14:paraId="2B728A09" w14:textId="77777777" w:rsidR="000A143D" w:rsidRPr="00945DAB" w:rsidRDefault="000A143D" w:rsidP="000A143D">
      <w:pPr>
        <w:autoSpaceDE w:val="0"/>
        <w:autoSpaceDN w:val="0"/>
        <w:adjustRightInd w:val="0"/>
        <w:spacing w:after="0" w:line="240" w:lineRule="auto"/>
        <w:ind w:left="357" w:hanging="357"/>
        <w:jc w:val="both"/>
        <w:rPr>
          <w:rFonts w:cstheme="minorHAnsi"/>
          <w:b/>
          <w:bCs/>
          <w:lang w:val="es-ES"/>
        </w:rPr>
      </w:pPr>
    </w:p>
    <w:p w14:paraId="64264346" w14:textId="77777777" w:rsidR="000A143D" w:rsidRPr="00945DAB" w:rsidRDefault="00C1768B" w:rsidP="00FC1EDB">
      <w:pPr>
        <w:spacing w:after="0" w:line="240" w:lineRule="auto"/>
        <w:rPr>
          <w:b/>
          <w:lang w:val="es-ES"/>
        </w:rPr>
      </w:pPr>
      <w:r w:rsidRPr="00945DAB">
        <w:rPr>
          <w:rFonts w:eastAsia="Times New Roman" w:cstheme="minorHAnsi"/>
          <w:noProof/>
          <w:color w:val="2B579A"/>
          <w:shd w:val="clear" w:color="auto" w:fill="E6E6E6"/>
          <w:lang w:val="en-GB" w:eastAsia="en-GB"/>
        </w:rPr>
        <mc:AlternateContent>
          <mc:Choice Requires="wps">
            <w:drawing>
              <wp:inline distT="0" distB="0" distL="0" distR="0" wp14:anchorId="48B7451A" wp14:editId="50260B18">
                <wp:extent cx="5731510" cy="3162054"/>
                <wp:effectExtent l="0" t="0" r="889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62054"/>
                        </a:xfrm>
                        <a:prstGeom prst="rect">
                          <a:avLst/>
                        </a:prstGeom>
                        <a:solidFill>
                          <a:srgbClr val="FFFFFF"/>
                        </a:solidFill>
                        <a:ln w="9525">
                          <a:solidFill>
                            <a:srgbClr val="000000"/>
                          </a:solidFill>
                          <a:miter lim="800000"/>
                          <a:headEnd/>
                          <a:tailEnd/>
                        </a:ln>
                      </wps:spPr>
                      <wps:txbx>
                        <w:txbxContent>
                          <w:p w14:paraId="600A0790" w14:textId="77777777" w:rsidR="00D51D54" w:rsidRPr="002238D0" w:rsidRDefault="00D51D54" w:rsidP="00FC1EDB">
                            <w:pPr>
                              <w:spacing w:after="0" w:line="240" w:lineRule="auto"/>
                              <w:rPr>
                                <w:rFonts w:ascii="Calibri" w:hAnsi="Calibri"/>
                                <w:b/>
                                <w:bCs/>
                                <w:lang w:val="fr-FR"/>
                              </w:rPr>
                            </w:pPr>
                            <w:r w:rsidRPr="002238D0">
                              <w:rPr>
                                <w:rFonts w:ascii="Calibri" w:hAnsi="Calibri"/>
                                <w:b/>
                                <w:bCs/>
                                <w:lang w:val="fr-FR"/>
                              </w:rPr>
                              <w:t>Acciones solicitadas:</w:t>
                            </w:r>
                          </w:p>
                          <w:p w14:paraId="01F3A072" w14:textId="77777777" w:rsidR="00C1768B" w:rsidRPr="002238D0" w:rsidRDefault="00C1768B" w:rsidP="00FC1EDB">
                            <w:pPr>
                              <w:spacing w:after="0" w:line="240" w:lineRule="auto"/>
                              <w:rPr>
                                <w:rFonts w:ascii="Calibri" w:hAnsi="Calibri"/>
                                <w:b/>
                                <w:bCs/>
                                <w:lang w:val="fr-FR"/>
                              </w:rPr>
                            </w:pPr>
                          </w:p>
                          <w:p w14:paraId="45A53B93" w14:textId="77777777" w:rsidR="00D51D54" w:rsidRPr="00D51D54" w:rsidRDefault="00D51D54" w:rsidP="00FC1EDB">
                            <w:pPr>
                              <w:spacing w:after="0" w:line="240" w:lineRule="auto"/>
                              <w:rPr>
                                <w:lang w:val="es-ES"/>
                              </w:rPr>
                            </w:pPr>
                            <w:r w:rsidRPr="00D51D54">
                              <w:rPr>
                                <w:lang w:val="es-ES"/>
                              </w:rPr>
                              <w:t>Se invita al Comité Permanente a:</w:t>
                            </w:r>
                          </w:p>
                          <w:p w14:paraId="24759763" w14:textId="77777777" w:rsidR="00C1768B" w:rsidRPr="00D51D54" w:rsidRDefault="00C1768B" w:rsidP="00FC1EDB">
                            <w:pPr>
                              <w:spacing w:after="0" w:line="240" w:lineRule="auto"/>
                              <w:rPr>
                                <w:lang w:val="es-ES"/>
                              </w:rPr>
                            </w:pPr>
                          </w:p>
                          <w:p w14:paraId="4E3D6EEE" w14:textId="6F1391F7" w:rsidR="00C1768B" w:rsidRPr="009C4A2E" w:rsidRDefault="00FC1EDB" w:rsidP="00FC1EDB">
                            <w:pPr>
                              <w:spacing w:after="0" w:line="240" w:lineRule="auto"/>
                              <w:ind w:left="426" w:hanging="426"/>
                              <w:rPr>
                                <w:lang w:val="es-ES"/>
                              </w:rPr>
                            </w:pPr>
                            <w:r w:rsidRPr="009C4A2E">
                              <w:rPr>
                                <w:lang w:val="es-ES"/>
                              </w:rPr>
                              <w:t>i.</w:t>
                            </w:r>
                            <w:r w:rsidRPr="009C4A2E">
                              <w:rPr>
                                <w:lang w:val="es-ES"/>
                              </w:rPr>
                              <w:tab/>
                            </w:r>
                            <w:r w:rsidR="00C14B6B" w:rsidRPr="009C4A2E">
                              <w:rPr>
                                <w:lang w:val="es-ES"/>
                              </w:rPr>
                              <w:t>Tomar nota del informe de la Secretaría sobre el fortalecimiento institucional para apoyar la aplicación de la Convención en respuesta a la Resolución XIV.6, párrafo 22;</w:t>
                            </w:r>
                          </w:p>
                          <w:p w14:paraId="25D5829E" w14:textId="77777777" w:rsidR="00E46D77" w:rsidRPr="009C4A2E" w:rsidRDefault="00E46D77" w:rsidP="00FC1EDB">
                            <w:pPr>
                              <w:spacing w:after="0" w:line="240" w:lineRule="auto"/>
                              <w:ind w:left="426" w:hanging="426"/>
                              <w:rPr>
                                <w:lang w:val="es-ES"/>
                              </w:rPr>
                            </w:pPr>
                          </w:p>
                          <w:p w14:paraId="0B00BF4B" w14:textId="40379292" w:rsidR="00183D4F" w:rsidRPr="009C4A2E" w:rsidRDefault="00FC1EDB" w:rsidP="00FC1EDB">
                            <w:pPr>
                              <w:spacing w:after="0" w:line="240" w:lineRule="auto"/>
                              <w:ind w:left="426" w:hanging="426"/>
                              <w:rPr>
                                <w:lang w:val="es-ES"/>
                              </w:rPr>
                            </w:pPr>
                            <w:r w:rsidRPr="009C4A2E">
                              <w:rPr>
                                <w:lang w:val="es-ES"/>
                              </w:rPr>
                              <w:t>ii.</w:t>
                            </w:r>
                            <w:r w:rsidRPr="009C4A2E">
                              <w:rPr>
                                <w:lang w:val="es-ES"/>
                              </w:rPr>
                              <w:tab/>
                            </w:r>
                            <w:r w:rsidR="00C14B6B" w:rsidRPr="009C4A2E">
                              <w:rPr>
                                <w:lang w:val="es-ES"/>
                              </w:rPr>
                              <w:t>Tomar nota de las recomendaciones de las Partes Contratantes interesadas y de la Secretaría reflejadas en el Anexo 2 del informe;</w:t>
                            </w:r>
                          </w:p>
                          <w:p w14:paraId="36B75632" w14:textId="3FA7D838" w:rsidR="00C1768B" w:rsidRPr="009C4A2E" w:rsidRDefault="00AF5480" w:rsidP="00FC1EDB">
                            <w:pPr>
                              <w:spacing w:after="0" w:line="240" w:lineRule="auto"/>
                              <w:ind w:left="426" w:hanging="426"/>
                              <w:rPr>
                                <w:lang w:val="es-ES"/>
                              </w:rPr>
                            </w:pPr>
                            <w:r>
                              <w:rPr>
                                <w:lang w:val="es-ES"/>
                              </w:rPr>
                              <w:t xml:space="preserve"> </w:t>
                            </w:r>
                          </w:p>
                          <w:p w14:paraId="32728D9D" w14:textId="2C163D54" w:rsidR="00C1768B" w:rsidRPr="009C4A2E" w:rsidRDefault="00FC1EDB" w:rsidP="00FC1EDB">
                            <w:pPr>
                              <w:spacing w:after="0" w:line="240" w:lineRule="auto"/>
                              <w:ind w:left="426" w:hanging="426"/>
                              <w:rPr>
                                <w:rFonts w:cstheme="minorHAnsi"/>
                                <w:lang w:val="es-ES"/>
                              </w:rPr>
                            </w:pPr>
                            <w:r w:rsidRPr="009C4A2E">
                              <w:rPr>
                                <w:lang w:val="es-ES"/>
                              </w:rPr>
                              <w:t>iii.</w:t>
                            </w:r>
                            <w:r w:rsidRPr="009C4A2E">
                              <w:rPr>
                                <w:lang w:val="es-ES"/>
                              </w:rPr>
                              <w:tab/>
                            </w:r>
                            <w:r w:rsidR="00C14B6B" w:rsidRPr="009C4A2E">
                              <w:rPr>
                                <w:lang w:val="es-ES"/>
                              </w:rPr>
                              <w:t xml:space="preserve">Establecer un </w:t>
                            </w:r>
                            <w:r w:rsidR="001F2639">
                              <w:rPr>
                                <w:lang w:val="es-ES"/>
                              </w:rPr>
                              <w:t>g</w:t>
                            </w:r>
                            <w:r w:rsidR="00C14B6B" w:rsidRPr="009C4A2E">
                              <w:rPr>
                                <w:lang w:val="es-ES"/>
                              </w:rPr>
                              <w:t xml:space="preserve">rupo de </w:t>
                            </w:r>
                            <w:r w:rsidR="001F2639">
                              <w:rPr>
                                <w:lang w:val="es-ES"/>
                              </w:rPr>
                              <w:t>t</w:t>
                            </w:r>
                            <w:r w:rsidR="00C14B6B" w:rsidRPr="009C4A2E">
                              <w:rPr>
                                <w:lang w:val="es-ES"/>
                              </w:rPr>
                              <w:t xml:space="preserve">rabajo que dirija el proceso para lograr una solidez organizativa que apoye la aplicación de la Convención, incluida la preparación de un proyecto de resolución para su </w:t>
                            </w:r>
                            <w:r w:rsidR="001F2639">
                              <w:rPr>
                                <w:lang w:val="es-ES"/>
                              </w:rPr>
                              <w:t>examen</w:t>
                            </w:r>
                            <w:r w:rsidR="00C14B6B" w:rsidRPr="009C4A2E">
                              <w:rPr>
                                <w:lang w:val="es-ES"/>
                              </w:rPr>
                              <w:t xml:space="preserve"> por el Comité Permanente en su 63ª reunión; y</w:t>
                            </w:r>
                          </w:p>
                          <w:p w14:paraId="6FAF8484" w14:textId="77777777" w:rsidR="00C1768B" w:rsidRPr="009C4A2E" w:rsidRDefault="00C1768B" w:rsidP="00FC1EDB">
                            <w:pPr>
                              <w:pStyle w:val="ListParagraph"/>
                              <w:spacing w:after="0" w:line="240" w:lineRule="auto"/>
                              <w:ind w:left="426" w:hanging="426"/>
                              <w:rPr>
                                <w:rFonts w:cstheme="minorHAnsi"/>
                                <w:lang w:val="es-ES"/>
                              </w:rPr>
                            </w:pPr>
                          </w:p>
                          <w:p w14:paraId="3B7BBCE8" w14:textId="2851E720" w:rsidR="00C1768B" w:rsidRPr="009C4A2E" w:rsidRDefault="00FC1EDB" w:rsidP="00FC1EDB">
                            <w:pPr>
                              <w:spacing w:after="0" w:line="240" w:lineRule="auto"/>
                              <w:ind w:left="426" w:hanging="426"/>
                              <w:rPr>
                                <w:rFonts w:cstheme="minorHAnsi"/>
                                <w:lang w:val="es-ES"/>
                              </w:rPr>
                            </w:pPr>
                            <w:r w:rsidRPr="009C4A2E">
                              <w:rPr>
                                <w:rFonts w:cstheme="minorHAnsi"/>
                                <w:bCs/>
                                <w:lang w:val="es-ES"/>
                              </w:rPr>
                              <w:t>iv.</w:t>
                            </w:r>
                            <w:r w:rsidRPr="009C4A2E">
                              <w:rPr>
                                <w:rFonts w:cstheme="minorHAnsi"/>
                                <w:bCs/>
                                <w:lang w:val="es-ES"/>
                              </w:rPr>
                              <w:tab/>
                            </w:r>
                            <w:r w:rsidR="00C14B6B" w:rsidRPr="009C4A2E">
                              <w:rPr>
                                <w:rFonts w:cstheme="minorHAnsi"/>
                                <w:bCs/>
                                <w:lang w:val="es-ES"/>
                              </w:rPr>
                              <w:t xml:space="preserve">Solicitar al Grupo de Trabajo </w:t>
                            </w:r>
                            <w:r w:rsidR="005400FA">
                              <w:rPr>
                                <w:rFonts w:cstheme="minorHAnsi"/>
                                <w:bCs/>
                                <w:lang w:val="es-ES"/>
                              </w:rPr>
                              <w:t>Administrativo</w:t>
                            </w:r>
                            <w:r w:rsidR="00C14B6B" w:rsidRPr="009C4A2E">
                              <w:rPr>
                                <w:rFonts w:cstheme="minorHAnsi"/>
                                <w:bCs/>
                                <w:lang w:val="es-ES"/>
                              </w:rPr>
                              <w:t xml:space="preserve"> que prepare un proyecto de resolución que establezca el proceso de contratación de un nuevo Secretario </w:t>
                            </w:r>
                            <w:r w:rsidR="001F2639">
                              <w:rPr>
                                <w:rFonts w:cstheme="minorHAnsi"/>
                                <w:bCs/>
                                <w:lang w:val="es-ES"/>
                              </w:rPr>
                              <w:t xml:space="preserve">o Secretaria </w:t>
                            </w:r>
                            <w:r w:rsidR="00C14B6B" w:rsidRPr="009C4A2E">
                              <w:rPr>
                                <w:rFonts w:cstheme="minorHAnsi"/>
                                <w:bCs/>
                                <w:lang w:val="es-ES"/>
                              </w:rPr>
                              <w:t xml:space="preserve">General que responda a la Decisión SC59-40, para su </w:t>
                            </w:r>
                            <w:r w:rsidR="001F2639">
                              <w:rPr>
                                <w:rFonts w:cstheme="minorHAnsi"/>
                                <w:bCs/>
                                <w:lang w:val="es-ES"/>
                              </w:rPr>
                              <w:t>examen</w:t>
                            </w:r>
                            <w:r w:rsidR="00C14B6B" w:rsidRPr="009C4A2E">
                              <w:rPr>
                                <w:rFonts w:cstheme="minorHAnsi"/>
                                <w:bCs/>
                                <w:lang w:val="es-ES"/>
                              </w:rPr>
                              <w:t xml:space="preserve"> por el Comité Permanente en la </w:t>
                            </w:r>
                            <w:r w:rsidR="001F2639">
                              <w:rPr>
                                <w:rFonts w:cstheme="minorHAnsi"/>
                                <w:bCs/>
                                <w:lang w:val="es-ES"/>
                              </w:rPr>
                              <w:t xml:space="preserve">reunnión </w:t>
                            </w:r>
                            <w:r w:rsidR="00C14B6B" w:rsidRPr="009C4A2E">
                              <w:rPr>
                                <w:rFonts w:cstheme="minorHAnsi"/>
                                <w:bCs/>
                                <w:lang w:val="es-ES"/>
                              </w:rPr>
                              <w:t>SC63.</w:t>
                            </w:r>
                          </w:p>
                        </w:txbxContent>
                      </wps:txbx>
                      <wps:bodyPr rot="0" vert="horz" wrap="square" lIns="91440" tIns="45720" rIns="91440" bIns="45720" anchor="t" anchorCtr="0" upright="1">
                        <a:noAutofit/>
                      </wps:bodyPr>
                    </wps:wsp>
                  </a:graphicData>
                </a:graphic>
              </wp:inline>
            </w:drawing>
          </mc:Choice>
          <mc:Fallback>
            <w:pict>
              <v:shapetype w14:anchorId="48B7451A" id="_x0000_t202" coordsize="21600,21600" o:spt="202" path="m,l,21600r21600,l21600,xe">
                <v:stroke joinstyle="miter"/>
                <v:path gradientshapeok="t" o:connecttype="rect"/>
              </v:shapetype>
              <v:shape id="Text Box 1" o:spid="_x0000_s1026" type="#_x0000_t202" style="width:451.3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">
                <v:textbox>
                  <w:txbxContent>
                    <w:p w14:paraId="600A0790" w14:textId="77777777" w:rsidR="00D51D54" w:rsidRPr="002238D0" w:rsidRDefault="00D51D54" w:rsidP="00FC1EDB">
                      <w:pPr>
                        <w:spacing w:after="0" w:line="240" w:lineRule="auto"/>
                        <w:rPr>
                          <w:rFonts w:ascii="Calibri" w:hAnsi="Calibri"/>
                          <w:b/>
                          <w:bCs/>
                          <w:lang w:val="fr-FR"/>
                        </w:rPr>
                      </w:pPr>
                      <w:r w:rsidRPr="002238D0">
                        <w:rPr>
                          <w:rFonts w:ascii="Calibri" w:hAnsi="Calibri"/>
                          <w:b/>
                          <w:bCs/>
                          <w:lang w:val="fr-FR"/>
                        </w:rPr>
                        <w:t>Acciones solicitadas:</w:t>
                      </w:r>
                    </w:p>
                    <w:p w14:paraId="01F3A072" w14:textId="77777777" w:rsidR="00C1768B" w:rsidRPr="002238D0" w:rsidRDefault="00C1768B" w:rsidP="00FC1EDB">
                      <w:pPr>
                        <w:spacing w:after="0" w:line="240" w:lineRule="auto"/>
                        <w:rPr>
                          <w:rFonts w:ascii="Calibri" w:hAnsi="Calibri"/>
                          <w:b/>
                          <w:bCs/>
                          <w:lang w:val="fr-FR"/>
                        </w:rPr>
                      </w:pPr>
                    </w:p>
                    <w:p w14:paraId="45A53B93" w14:textId="77777777" w:rsidR="00D51D54" w:rsidRPr="00D51D54" w:rsidRDefault="00D51D54" w:rsidP="00FC1EDB">
                      <w:pPr>
                        <w:spacing w:after="0" w:line="240" w:lineRule="auto"/>
                        <w:rPr>
                          <w:lang w:val="es-ES"/>
                        </w:rPr>
                      </w:pPr>
                      <w:r w:rsidRPr="00D51D54">
                        <w:rPr>
                          <w:lang w:val="es-ES"/>
                        </w:rPr>
                        <w:t>Se invita al Comité Permanente a:</w:t>
                      </w:r>
                    </w:p>
                    <w:p w14:paraId="24759763" w14:textId="77777777" w:rsidR="00C1768B" w:rsidRPr="00D51D54" w:rsidRDefault="00C1768B" w:rsidP="00FC1EDB">
                      <w:pPr>
                        <w:spacing w:after="0" w:line="240" w:lineRule="auto"/>
                        <w:rPr>
                          <w:lang w:val="es-ES"/>
                        </w:rPr>
                      </w:pPr>
                    </w:p>
                    <w:p w14:paraId="4E3D6EEE" w14:textId="6F1391F7" w:rsidR="00C1768B" w:rsidRPr="009C4A2E" w:rsidRDefault="00FC1EDB" w:rsidP="00FC1EDB">
                      <w:pPr>
                        <w:spacing w:after="0" w:line="240" w:lineRule="auto"/>
                        <w:ind w:left="426" w:hanging="426"/>
                        <w:rPr>
                          <w:lang w:val="es-ES"/>
                        </w:rPr>
                      </w:pPr>
                      <w:r w:rsidRPr="009C4A2E">
                        <w:rPr>
                          <w:lang w:val="es-ES"/>
                        </w:rPr>
                        <w:t>i.</w:t>
                      </w:r>
                      <w:r w:rsidRPr="009C4A2E">
                        <w:rPr>
                          <w:lang w:val="es-ES"/>
                        </w:rPr>
                        <w:tab/>
                      </w:r>
                      <w:r w:rsidR="00C14B6B" w:rsidRPr="009C4A2E">
                        <w:rPr>
                          <w:lang w:val="es-ES"/>
                        </w:rPr>
                        <w:t>Tomar nota del informe de la Secretaría sobre el fortalecimiento institucional para apoyar la aplicación de la Convención en respuesta a la Resolución XIV.6, párrafo 22;</w:t>
                      </w:r>
                    </w:p>
                    <w:p w14:paraId="25D5829E" w14:textId="77777777" w:rsidR="00E46D77" w:rsidRPr="009C4A2E" w:rsidRDefault="00E46D77" w:rsidP="00FC1EDB">
                      <w:pPr>
                        <w:spacing w:after="0" w:line="240" w:lineRule="auto"/>
                        <w:ind w:left="426" w:hanging="426"/>
                        <w:rPr>
                          <w:lang w:val="es-ES"/>
                        </w:rPr>
                      </w:pPr>
                    </w:p>
                    <w:p w14:paraId="0B00BF4B" w14:textId="40379292" w:rsidR="00183D4F" w:rsidRPr="009C4A2E" w:rsidRDefault="00FC1EDB" w:rsidP="00FC1EDB">
                      <w:pPr>
                        <w:spacing w:after="0" w:line="240" w:lineRule="auto"/>
                        <w:ind w:left="426" w:hanging="426"/>
                        <w:rPr>
                          <w:lang w:val="es-ES"/>
                        </w:rPr>
                      </w:pPr>
                      <w:r w:rsidRPr="009C4A2E">
                        <w:rPr>
                          <w:lang w:val="es-ES"/>
                        </w:rPr>
                        <w:t>ii.</w:t>
                      </w:r>
                      <w:r w:rsidRPr="009C4A2E">
                        <w:rPr>
                          <w:lang w:val="es-ES"/>
                        </w:rPr>
                        <w:tab/>
                      </w:r>
                      <w:r w:rsidR="00C14B6B" w:rsidRPr="009C4A2E">
                        <w:rPr>
                          <w:lang w:val="es-ES"/>
                        </w:rPr>
                        <w:t>Tomar nota de las recomendaciones de las Partes Contratantes interesadas y de la Secretaría reflejadas en el Anexo 2 del informe;</w:t>
                      </w:r>
                    </w:p>
                    <w:p w14:paraId="36B75632" w14:textId="3FA7D838" w:rsidR="00C1768B" w:rsidRPr="009C4A2E" w:rsidRDefault="00AF5480" w:rsidP="00FC1EDB">
                      <w:pPr>
                        <w:spacing w:after="0" w:line="240" w:lineRule="auto"/>
                        <w:ind w:left="426" w:hanging="426"/>
                        <w:rPr>
                          <w:lang w:val="es-ES"/>
                        </w:rPr>
                      </w:pPr>
                      <w:r>
                        <w:rPr>
                          <w:lang w:val="es-ES"/>
                        </w:rPr>
                        <w:t xml:space="preserve"> </w:t>
                      </w:r>
                    </w:p>
                    <w:p w14:paraId="32728D9D" w14:textId="2C163D54" w:rsidR="00C1768B" w:rsidRPr="009C4A2E" w:rsidRDefault="00FC1EDB" w:rsidP="00FC1EDB">
                      <w:pPr>
                        <w:spacing w:after="0" w:line="240" w:lineRule="auto"/>
                        <w:ind w:left="426" w:hanging="426"/>
                        <w:rPr>
                          <w:rFonts w:cstheme="minorHAnsi"/>
                          <w:lang w:val="es-ES"/>
                        </w:rPr>
                      </w:pPr>
                      <w:r w:rsidRPr="009C4A2E">
                        <w:rPr>
                          <w:lang w:val="es-ES"/>
                        </w:rPr>
                        <w:t>iii.</w:t>
                      </w:r>
                      <w:r w:rsidRPr="009C4A2E">
                        <w:rPr>
                          <w:lang w:val="es-ES"/>
                        </w:rPr>
                        <w:tab/>
                      </w:r>
                      <w:r w:rsidR="00C14B6B" w:rsidRPr="009C4A2E">
                        <w:rPr>
                          <w:lang w:val="es-ES"/>
                        </w:rPr>
                        <w:t xml:space="preserve">Establecer un </w:t>
                      </w:r>
                      <w:r w:rsidR="001F2639">
                        <w:rPr>
                          <w:lang w:val="es-ES"/>
                        </w:rPr>
                        <w:t>g</w:t>
                      </w:r>
                      <w:r w:rsidR="00C14B6B" w:rsidRPr="009C4A2E">
                        <w:rPr>
                          <w:lang w:val="es-ES"/>
                        </w:rPr>
                        <w:t xml:space="preserve">rupo de </w:t>
                      </w:r>
                      <w:r w:rsidR="001F2639">
                        <w:rPr>
                          <w:lang w:val="es-ES"/>
                        </w:rPr>
                        <w:t>t</w:t>
                      </w:r>
                      <w:r w:rsidR="00C14B6B" w:rsidRPr="009C4A2E">
                        <w:rPr>
                          <w:lang w:val="es-ES"/>
                        </w:rPr>
                        <w:t xml:space="preserve">rabajo que dirija el proceso para lograr una solidez organizativa que apoye la aplicación de la Convención, incluida la preparación de un proyecto de resolución para su </w:t>
                      </w:r>
                      <w:r w:rsidR="001F2639">
                        <w:rPr>
                          <w:lang w:val="es-ES"/>
                        </w:rPr>
                        <w:t>examen</w:t>
                      </w:r>
                      <w:r w:rsidR="00C14B6B" w:rsidRPr="009C4A2E">
                        <w:rPr>
                          <w:lang w:val="es-ES"/>
                        </w:rPr>
                        <w:t xml:space="preserve"> por el Comité Permanente en su 63ª reunión; y</w:t>
                      </w:r>
                    </w:p>
                    <w:p w14:paraId="6FAF8484" w14:textId="77777777" w:rsidR="00C1768B" w:rsidRPr="009C4A2E" w:rsidRDefault="00C1768B" w:rsidP="00FC1EDB">
                      <w:pPr>
                        <w:pStyle w:val="ListParagraph"/>
                        <w:spacing w:after="0" w:line="240" w:lineRule="auto"/>
                        <w:ind w:left="426" w:hanging="426"/>
                        <w:rPr>
                          <w:rFonts w:cstheme="minorHAnsi"/>
                          <w:lang w:val="es-ES"/>
                        </w:rPr>
                      </w:pPr>
                    </w:p>
                    <w:p w14:paraId="3B7BBCE8" w14:textId="2851E720" w:rsidR="00C1768B" w:rsidRPr="009C4A2E" w:rsidRDefault="00FC1EDB" w:rsidP="00FC1EDB">
                      <w:pPr>
                        <w:spacing w:after="0" w:line="240" w:lineRule="auto"/>
                        <w:ind w:left="426" w:hanging="426"/>
                        <w:rPr>
                          <w:rFonts w:cstheme="minorHAnsi"/>
                          <w:lang w:val="es-ES"/>
                        </w:rPr>
                      </w:pPr>
                      <w:r w:rsidRPr="009C4A2E">
                        <w:rPr>
                          <w:rFonts w:cstheme="minorHAnsi"/>
                          <w:bCs/>
                          <w:lang w:val="es-ES"/>
                        </w:rPr>
                        <w:t>iv.</w:t>
                      </w:r>
                      <w:r w:rsidRPr="009C4A2E">
                        <w:rPr>
                          <w:rFonts w:cstheme="minorHAnsi"/>
                          <w:bCs/>
                          <w:lang w:val="es-ES"/>
                        </w:rPr>
                        <w:tab/>
                      </w:r>
                      <w:r w:rsidR="00C14B6B" w:rsidRPr="009C4A2E">
                        <w:rPr>
                          <w:rFonts w:cstheme="minorHAnsi"/>
                          <w:bCs/>
                          <w:lang w:val="es-ES"/>
                        </w:rPr>
                        <w:t xml:space="preserve">Solicitar al Grupo de Trabajo </w:t>
                      </w:r>
                      <w:r w:rsidR="005400FA">
                        <w:rPr>
                          <w:rFonts w:cstheme="minorHAnsi"/>
                          <w:bCs/>
                          <w:lang w:val="es-ES"/>
                        </w:rPr>
                        <w:t>Administrativo</w:t>
                      </w:r>
                      <w:r w:rsidR="00C14B6B" w:rsidRPr="009C4A2E">
                        <w:rPr>
                          <w:rFonts w:cstheme="minorHAnsi"/>
                          <w:bCs/>
                          <w:lang w:val="es-ES"/>
                        </w:rPr>
                        <w:t xml:space="preserve"> que prepare un proyecto de resolución que establezca el proceso de contratación de un nuevo Secretario </w:t>
                      </w:r>
                      <w:r w:rsidR="001F2639">
                        <w:rPr>
                          <w:rFonts w:cstheme="minorHAnsi"/>
                          <w:bCs/>
                          <w:lang w:val="es-ES"/>
                        </w:rPr>
                        <w:t xml:space="preserve">o Secretaria </w:t>
                      </w:r>
                      <w:r w:rsidR="00C14B6B" w:rsidRPr="009C4A2E">
                        <w:rPr>
                          <w:rFonts w:cstheme="minorHAnsi"/>
                          <w:bCs/>
                          <w:lang w:val="es-ES"/>
                        </w:rPr>
                        <w:t xml:space="preserve">General que responda a la Decisión SC59-40, para su </w:t>
                      </w:r>
                      <w:r w:rsidR="001F2639">
                        <w:rPr>
                          <w:rFonts w:cstheme="minorHAnsi"/>
                          <w:bCs/>
                          <w:lang w:val="es-ES"/>
                        </w:rPr>
                        <w:t>examen</w:t>
                      </w:r>
                      <w:r w:rsidR="00C14B6B" w:rsidRPr="009C4A2E">
                        <w:rPr>
                          <w:rFonts w:cstheme="minorHAnsi"/>
                          <w:bCs/>
                          <w:lang w:val="es-ES"/>
                        </w:rPr>
                        <w:t xml:space="preserve"> por el Comité Permanente en la </w:t>
                      </w:r>
                      <w:r w:rsidR="001F2639">
                        <w:rPr>
                          <w:rFonts w:cstheme="minorHAnsi"/>
                          <w:bCs/>
                          <w:lang w:val="es-ES"/>
                        </w:rPr>
                        <w:t xml:space="preserve">reunnión </w:t>
                      </w:r>
                      <w:r w:rsidR="00C14B6B" w:rsidRPr="009C4A2E">
                        <w:rPr>
                          <w:rFonts w:cstheme="minorHAnsi"/>
                          <w:bCs/>
                          <w:lang w:val="es-ES"/>
                        </w:rPr>
                        <w:t>SC63.</w:t>
                      </w:r>
                    </w:p>
                  </w:txbxContent>
                </v:textbox>
                <w10:anchorlock/>
              </v:shape>
            </w:pict>
          </mc:Fallback>
        </mc:AlternateContent>
      </w:r>
    </w:p>
    <w:p w14:paraId="2AEFC3A0" w14:textId="77777777" w:rsidR="00FC1EDB" w:rsidRPr="00945DAB" w:rsidRDefault="00FC1EDB" w:rsidP="00FC1EDB">
      <w:pPr>
        <w:spacing w:after="0" w:line="240" w:lineRule="auto"/>
        <w:rPr>
          <w:b/>
          <w:bCs/>
          <w:lang w:val="es-ES"/>
        </w:rPr>
      </w:pPr>
    </w:p>
    <w:p w14:paraId="4B3099E1" w14:textId="77777777" w:rsidR="00FC1EDB" w:rsidRPr="00945DAB" w:rsidRDefault="00FC1EDB" w:rsidP="00FC1EDB">
      <w:pPr>
        <w:spacing w:after="0" w:line="240" w:lineRule="auto"/>
        <w:rPr>
          <w:b/>
          <w:bCs/>
          <w:lang w:val="es-ES"/>
        </w:rPr>
      </w:pPr>
    </w:p>
    <w:p w14:paraId="228C34E4" w14:textId="23802604" w:rsidR="00B407BB" w:rsidRPr="00945DAB" w:rsidRDefault="00C14B6B" w:rsidP="00EC0F71">
      <w:pPr>
        <w:spacing w:after="0" w:line="240" w:lineRule="auto"/>
        <w:rPr>
          <w:b/>
          <w:bCs/>
          <w:lang w:val="es-ES"/>
        </w:rPr>
      </w:pPr>
      <w:r w:rsidRPr="00945DAB">
        <w:rPr>
          <w:b/>
          <w:bCs/>
          <w:lang w:val="es-ES"/>
        </w:rPr>
        <w:t>Antecedentes</w:t>
      </w:r>
      <w:r w:rsidR="00B407BB" w:rsidRPr="00945DAB">
        <w:rPr>
          <w:b/>
          <w:bCs/>
          <w:lang w:val="es-ES"/>
        </w:rPr>
        <w:t xml:space="preserve"> </w:t>
      </w:r>
    </w:p>
    <w:p w14:paraId="77D5D4BC" w14:textId="77777777" w:rsidR="00FC1EDB" w:rsidRPr="00945DAB" w:rsidRDefault="00FC1EDB" w:rsidP="00FC1EDB">
      <w:pPr>
        <w:pStyle w:val="ColorfulList-Accent11"/>
        <w:ind w:left="426" w:hanging="426"/>
        <w:contextualSpacing w:val="0"/>
        <w:rPr>
          <w:rFonts w:asciiTheme="minorHAnsi" w:hAnsiTheme="minorHAnsi" w:cstheme="minorHAnsi"/>
          <w:lang w:val="es-ES"/>
        </w:rPr>
      </w:pPr>
    </w:p>
    <w:p w14:paraId="614F1C31" w14:textId="5622A185" w:rsidR="00B407BB" w:rsidRPr="00945DAB" w:rsidRDefault="00FC1EDB" w:rsidP="00EC0F71">
      <w:pPr>
        <w:pStyle w:val="ColorfulList-Accent11"/>
        <w:ind w:left="426" w:hanging="426"/>
        <w:contextualSpacing w:val="0"/>
        <w:rPr>
          <w:rFonts w:asciiTheme="minorHAnsi" w:hAnsiTheme="minorHAnsi" w:cstheme="minorHAnsi"/>
          <w:lang w:val="es-ES"/>
        </w:rPr>
      </w:pPr>
      <w:r w:rsidRPr="00945DAB">
        <w:rPr>
          <w:rFonts w:asciiTheme="minorHAnsi" w:hAnsiTheme="minorHAnsi" w:cstheme="minorHAnsi"/>
          <w:lang w:val="es-ES"/>
        </w:rPr>
        <w:t>1.</w:t>
      </w:r>
      <w:r w:rsidRPr="00945DAB">
        <w:rPr>
          <w:rFonts w:asciiTheme="minorHAnsi" w:hAnsiTheme="minorHAnsi" w:cstheme="minorHAnsi"/>
          <w:lang w:val="es-ES"/>
        </w:rPr>
        <w:tab/>
      </w:r>
      <w:r w:rsidR="00C14B6B" w:rsidRPr="00945DAB">
        <w:rPr>
          <w:rFonts w:asciiTheme="minorHAnsi" w:hAnsiTheme="minorHAnsi" w:cstheme="minorHAnsi"/>
          <w:lang w:val="es-ES"/>
        </w:rPr>
        <w:t>En la Decisión SC55-12, el Comité Permanente encargó a la Secretaría que, con el apoyo de un grupo informal de Partes Contratantes interesadas, presentara una propuesta estructurada</w:t>
      </w:r>
      <w:r w:rsidR="005400FA" w:rsidRPr="00945DAB">
        <w:rPr>
          <w:rFonts w:asciiTheme="minorHAnsi" w:hAnsiTheme="minorHAnsi" w:cstheme="minorHAnsi"/>
          <w:lang w:val="es-ES"/>
        </w:rPr>
        <w:t>,</w:t>
      </w:r>
      <w:r w:rsidR="00C14B6B" w:rsidRPr="00945DAB">
        <w:rPr>
          <w:rFonts w:asciiTheme="minorHAnsi" w:hAnsiTheme="minorHAnsi" w:cstheme="minorHAnsi"/>
          <w:lang w:val="es-ES"/>
        </w:rPr>
        <w:t xml:space="preserve"> </w:t>
      </w:r>
      <w:r w:rsidR="005400FA" w:rsidRPr="00945DAB">
        <w:rPr>
          <w:rFonts w:asciiTheme="minorHAnsi" w:hAnsiTheme="minorHAnsi" w:cstheme="minorHAnsi"/>
          <w:lang w:val="es-ES"/>
        </w:rPr>
        <w:t xml:space="preserve">teniendo en cuenta las distintas opciones, </w:t>
      </w:r>
      <w:r w:rsidR="00C14B6B" w:rsidRPr="00945DAB">
        <w:rPr>
          <w:rFonts w:asciiTheme="minorHAnsi" w:hAnsiTheme="minorHAnsi" w:cstheme="minorHAnsi"/>
          <w:lang w:val="es-ES"/>
        </w:rPr>
        <w:t xml:space="preserve">sobre la posibilidad de que la </w:t>
      </w:r>
      <w:r w:rsidR="00C14B6B" w:rsidRPr="00945DAB">
        <w:rPr>
          <w:rFonts w:cstheme="minorHAnsi"/>
          <w:lang w:val="es-ES"/>
        </w:rPr>
        <w:t>Convención</w:t>
      </w:r>
      <w:r w:rsidR="00C14B6B" w:rsidRPr="00945DAB">
        <w:rPr>
          <w:rFonts w:asciiTheme="minorHAnsi" w:hAnsiTheme="minorHAnsi" w:cstheme="minorHAnsi"/>
          <w:lang w:val="es-ES"/>
        </w:rPr>
        <w:t xml:space="preserve"> obtuviera </w:t>
      </w:r>
      <w:r w:rsidR="005400FA" w:rsidRPr="00945DAB">
        <w:rPr>
          <w:rFonts w:asciiTheme="minorHAnsi" w:hAnsiTheme="minorHAnsi" w:cstheme="minorHAnsi"/>
          <w:lang w:val="es-ES"/>
        </w:rPr>
        <w:t>la condición</w:t>
      </w:r>
      <w:r w:rsidR="00C14B6B" w:rsidRPr="00945DAB">
        <w:rPr>
          <w:rFonts w:asciiTheme="minorHAnsi" w:hAnsiTheme="minorHAnsi" w:cstheme="minorHAnsi"/>
          <w:lang w:val="es-ES"/>
        </w:rPr>
        <w:t xml:space="preserve"> de observador en la Asamblea General de las Naciones Unidas, para su </w:t>
      </w:r>
      <w:r w:rsidR="005400FA" w:rsidRPr="00945DAB">
        <w:rPr>
          <w:rFonts w:asciiTheme="minorHAnsi" w:hAnsiTheme="minorHAnsi" w:cstheme="minorHAnsi"/>
          <w:lang w:val="es-ES"/>
        </w:rPr>
        <w:t>examen</w:t>
      </w:r>
      <w:r w:rsidR="00C14B6B" w:rsidRPr="00945DAB">
        <w:rPr>
          <w:rFonts w:asciiTheme="minorHAnsi" w:hAnsiTheme="minorHAnsi" w:cstheme="minorHAnsi"/>
          <w:lang w:val="es-ES"/>
        </w:rPr>
        <w:t xml:space="preserve"> en </w:t>
      </w:r>
      <w:r w:rsidR="001F2639" w:rsidRPr="00945DAB">
        <w:rPr>
          <w:rFonts w:asciiTheme="minorHAnsi" w:hAnsiTheme="minorHAnsi" w:cstheme="minorHAnsi"/>
          <w:lang w:val="es-ES"/>
        </w:rPr>
        <w:t>su 59ª</w:t>
      </w:r>
      <w:r w:rsidR="00C14B6B" w:rsidRPr="00945DAB">
        <w:rPr>
          <w:rFonts w:asciiTheme="minorHAnsi" w:hAnsiTheme="minorHAnsi" w:cstheme="minorHAnsi"/>
          <w:lang w:val="es-ES"/>
        </w:rPr>
        <w:t xml:space="preserve"> reunión </w:t>
      </w:r>
      <w:r w:rsidR="001F2639" w:rsidRPr="00945DAB">
        <w:rPr>
          <w:rFonts w:asciiTheme="minorHAnsi" w:hAnsiTheme="minorHAnsi" w:cstheme="minorHAnsi"/>
          <w:lang w:val="es-ES"/>
        </w:rPr>
        <w:t>(</w:t>
      </w:r>
      <w:r w:rsidR="00C14B6B" w:rsidRPr="00945DAB">
        <w:rPr>
          <w:rFonts w:asciiTheme="minorHAnsi" w:hAnsiTheme="minorHAnsi" w:cstheme="minorHAnsi"/>
          <w:lang w:val="es-ES"/>
        </w:rPr>
        <w:t>SC57</w:t>
      </w:r>
      <w:r w:rsidR="001F2639" w:rsidRPr="00945DAB">
        <w:rPr>
          <w:rFonts w:asciiTheme="minorHAnsi" w:hAnsiTheme="minorHAnsi" w:cstheme="minorHAnsi"/>
          <w:lang w:val="es-ES"/>
        </w:rPr>
        <w:t>)</w:t>
      </w:r>
      <w:r w:rsidR="005400FA" w:rsidRPr="00945DAB">
        <w:rPr>
          <w:rFonts w:asciiTheme="minorHAnsi" w:hAnsiTheme="minorHAnsi" w:cstheme="minorHAnsi"/>
          <w:lang w:val="es-ES"/>
        </w:rPr>
        <w:t>.</w:t>
      </w:r>
    </w:p>
    <w:p w14:paraId="32F97338" w14:textId="77777777" w:rsidR="00B407BB" w:rsidRPr="00945DAB" w:rsidRDefault="00B407BB" w:rsidP="00EC0F71">
      <w:pPr>
        <w:spacing w:after="0" w:line="240" w:lineRule="auto"/>
        <w:ind w:left="426" w:hanging="426"/>
        <w:rPr>
          <w:rFonts w:cstheme="minorHAnsi"/>
          <w:lang w:val="es-ES"/>
        </w:rPr>
      </w:pPr>
    </w:p>
    <w:p w14:paraId="26C60902" w14:textId="2A6414D9" w:rsidR="00B407BB" w:rsidRPr="00945DAB" w:rsidRDefault="00FC1EDB" w:rsidP="00EC0F71">
      <w:pPr>
        <w:spacing w:after="0" w:line="240" w:lineRule="auto"/>
        <w:ind w:left="426" w:hanging="426"/>
        <w:rPr>
          <w:rFonts w:cstheme="minorHAnsi"/>
          <w:lang w:val="es-ES"/>
        </w:rPr>
      </w:pPr>
      <w:r w:rsidRPr="00945DAB">
        <w:rPr>
          <w:rFonts w:cstheme="minorHAnsi"/>
          <w:lang w:val="es-ES"/>
        </w:rPr>
        <w:t>2.</w:t>
      </w:r>
      <w:r w:rsidRPr="00945DAB">
        <w:rPr>
          <w:rFonts w:cstheme="minorHAnsi"/>
          <w:lang w:val="es-ES"/>
        </w:rPr>
        <w:tab/>
      </w:r>
      <w:r w:rsidR="00C14B6B" w:rsidRPr="00945DAB">
        <w:rPr>
          <w:rFonts w:cstheme="minorHAnsi"/>
          <w:lang w:val="es-ES"/>
        </w:rPr>
        <w:t xml:space="preserve">El informe del grupo informal de Partes Contratantes interesadas a la </w:t>
      </w:r>
      <w:r w:rsidR="001F2639" w:rsidRPr="00945DAB">
        <w:rPr>
          <w:rFonts w:cstheme="minorHAnsi"/>
          <w:lang w:val="es-ES"/>
        </w:rPr>
        <w:t xml:space="preserve">reunión </w:t>
      </w:r>
      <w:r w:rsidR="00C14B6B" w:rsidRPr="00945DAB">
        <w:rPr>
          <w:rFonts w:cstheme="minorHAnsi"/>
          <w:lang w:val="es-ES"/>
        </w:rPr>
        <w:t xml:space="preserve">SC57 sobre </w:t>
      </w:r>
      <w:r w:rsidR="005400FA" w:rsidRPr="00945DAB">
        <w:rPr>
          <w:rFonts w:cstheme="minorHAnsi"/>
          <w:lang w:val="es-ES"/>
        </w:rPr>
        <w:t xml:space="preserve">la condición </w:t>
      </w:r>
      <w:r w:rsidR="00C14B6B" w:rsidRPr="00945DAB">
        <w:rPr>
          <w:rFonts w:cstheme="minorHAnsi"/>
          <w:lang w:val="es-ES"/>
        </w:rPr>
        <w:t>de observador en los órganos de las Naciones Unidas señal</w:t>
      </w:r>
      <w:bookmarkStart w:id="0" w:name="_Hlk141912300"/>
      <w:r w:rsidR="00C14B6B" w:rsidRPr="00945DAB">
        <w:rPr>
          <w:rFonts w:cstheme="minorHAnsi"/>
          <w:lang w:val="es-ES"/>
        </w:rPr>
        <w:t>ó</w:t>
      </w:r>
      <w:bookmarkEnd w:id="0"/>
      <w:r w:rsidR="00C14B6B" w:rsidRPr="00945DAB">
        <w:rPr>
          <w:rFonts w:cstheme="minorHAnsi"/>
          <w:lang w:val="es-ES"/>
        </w:rPr>
        <w:t xml:space="preserve"> algunas limitaciones experimentadas por la Secretaría debido a que no tiene personalidad jurídica, tales como:</w:t>
      </w:r>
    </w:p>
    <w:p w14:paraId="16544727" w14:textId="77777777" w:rsidR="00A218CB" w:rsidRPr="00945DAB" w:rsidRDefault="00A218CB" w:rsidP="00EC0F71">
      <w:pPr>
        <w:pStyle w:val="ListParagraph"/>
        <w:spacing w:after="0" w:line="240" w:lineRule="auto"/>
        <w:rPr>
          <w:rFonts w:cstheme="minorHAnsi"/>
          <w:lang w:val="es-ES"/>
        </w:rPr>
      </w:pPr>
    </w:p>
    <w:p w14:paraId="3A3A6A33" w14:textId="2DCED2AF" w:rsidR="00B407BB" w:rsidRPr="00945DAB" w:rsidRDefault="00FC1EDB" w:rsidP="00EC0F71">
      <w:pPr>
        <w:spacing w:after="0" w:line="240" w:lineRule="auto"/>
        <w:ind w:left="851" w:hanging="425"/>
        <w:rPr>
          <w:rFonts w:cstheme="minorHAnsi"/>
          <w:lang w:val="es-ES"/>
        </w:rPr>
      </w:pPr>
      <w:r w:rsidRPr="00945DAB">
        <w:rPr>
          <w:rFonts w:cstheme="minorHAnsi"/>
          <w:lang w:val="es-ES"/>
        </w:rPr>
        <w:t>a.</w:t>
      </w:r>
      <w:r w:rsidRPr="00945DAB">
        <w:rPr>
          <w:rFonts w:cstheme="minorHAnsi"/>
          <w:lang w:val="es-ES"/>
        </w:rPr>
        <w:tab/>
      </w:r>
      <w:r w:rsidR="00C14B6B" w:rsidRPr="00945DAB">
        <w:rPr>
          <w:rFonts w:cstheme="minorHAnsi"/>
          <w:lang w:val="es-ES"/>
        </w:rPr>
        <w:t xml:space="preserve">la limitada visibilidad de la </w:t>
      </w:r>
      <w:bookmarkStart w:id="1" w:name="_Hlk141823074"/>
      <w:r w:rsidR="00C14B6B" w:rsidRPr="00945DAB">
        <w:rPr>
          <w:rFonts w:cstheme="minorHAnsi"/>
          <w:lang w:val="es-ES"/>
        </w:rPr>
        <w:t>Convención</w:t>
      </w:r>
      <w:bookmarkEnd w:id="1"/>
      <w:r w:rsidR="00C14B6B" w:rsidRPr="00945DAB">
        <w:rPr>
          <w:rFonts w:cstheme="minorHAnsi"/>
          <w:lang w:val="es-ES"/>
        </w:rPr>
        <w:t xml:space="preserve"> en los procesos y reuniones de la ONU;</w:t>
      </w:r>
    </w:p>
    <w:p w14:paraId="6E0907DB" w14:textId="6D7833CD" w:rsidR="00B407BB" w:rsidRPr="00945DAB" w:rsidRDefault="00FC1EDB" w:rsidP="00EC0F71">
      <w:pPr>
        <w:spacing w:after="0" w:line="240" w:lineRule="auto"/>
        <w:ind w:left="851" w:hanging="425"/>
        <w:rPr>
          <w:rFonts w:cstheme="minorHAnsi"/>
          <w:lang w:val="es-ES"/>
        </w:rPr>
      </w:pPr>
      <w:r w:rsidRPr="00945DAB">
        <w:rPr>
          <w:rFonts w:cstheme="minorHAnsi"/>
          <w:lang w:val="es-ES"/>
        </w:rPr>
        <w:t>b.</w:t>
      </w:r>
      <w:r w:rsidRPr="00945DAB">
        <w:rPr>
          <w:rFonts w:cstheme="minorHAnsi"/>
          <w:lang w:val="es-ES"/>
        </w:rPr>
        <w:tab/>
      </w:r>
      <w:r w:rsidR="00C14B6B" w:rsidRPr="00945DAB">
        <w:rPr>
          <w:rFonts w:cstheme="minorHAnsi"/>
          <w:lang w:val="es-ES"/>
        </w:rPr>
        <w:t>dificultades en la gestión de proyectos, en particular cuando los donantes solicitan que los acuerdos de proyecto sean firmados por la UICN y no aceptan la delegación de autoridad en el Secretario</w:t>
      </w:r>
      <w:r w:rsidR="00945DAB">
        <w:rPr>
          <w:rFonts w:cstheme="minorHAnsi"/>
          <w:lang w:val="es-ES"/>
        </w:rPr>
        <w:t xml:space="preserve"> o la Secretaria</w:t>
      </w:r>
      <w:r w:rsidR="00C14B6B" w:rsidRPr="00945DAB">
        <w:rPr>
          <w:rFonts w:cstheme="minorHAnsi"/>
          <w:lang w:val="es-ES"/>
        </w:rPr>
        <w:t xml:space="preserve"> General;</w:t>
      </w:r>
    </w:p>
    <w:p w14:paraId="6B7F5AE3" w14:textId="18182504" w:rsidR="00B407BB" w:rsidRPr="00945DAB" w:rsidRDefault="00FC1EDB" w:rsidP="00EC0F71">
      <w:pPr>
        <w:spacing w:after="0" w:line="240" w:lineRule="auto"/>
        <w:ind w:left="851" w:hanging="425"/>
        <w:rPr>
          <w:rFonts w:cstheme="minorHAnsi"/>
          <w:lang w:val="es-ES"/>
        </w:rPr>
      </w:pPr>
      <w:r w:rsidRPr="00945DAB">
        <w:rPr>
          <w:rFonts w:cstheme="minorHAnsi"/>
          <w:lang w:val="es-ES"/>
        </w:rPr>
        <w:t>c.</w:t>
      </w:r>
      <w:r w:rsidRPr="00945DAB">
        <w:rPr>
          <w:rFonts w:cstheme="minorHAnsi"/>
          <w:lang w:val="es-ES"/>
        </w:rPr>
        <w:tab/>
      </w:r>
      <w:r w:rsidR="00C14B6B" w:rsidRPr="00945DAB">
        <w:rPr>
          <w:rFonts w:cstheme="minorHAnsi"/>
          <w:lang w:val="es-ES"/>
        </w:rPr>
        <w:t>aumentos interanuales de la provisión para contribuciones atrasadas exigida por la normativa financiera y la legislación suizas, y;</w:t>
      </w:r>
    </w:p>
    <w:p w14:paraId="0FCE99E6" w14:textId="7150C0EC" w:rsidR="00B407BB" w:rsidRPr="00945DAB" w:rsidRDefault="00FC1EDB" w:rsidP="00EC0F71">
      <w:pPr>
        <w:spacing w:after="0" w:line="240" w:lineRule="auto"/>
        <w:ind w:left="851" w:hanging="425"/>
        <w:rPr>
          <w:rFonts w:cstheme="minorHAnsi"/>
          <w:lang w:val="es-ES"/>
        </w:rPr>
      </w:pPr>
      <w:r w:rsidRPr="00945DAB">
        <w:rPr>
          <w:rFonts w:cstheme="minorHAnsi"/>
          <w:lang w:val="es-ES"/>
        </w:rPr>
        <w:lastRenderedPageBreak/>
        <w:t>d.</w:t>
      </w:r>
      <w:r w:rsidRPr="00945DAB">
        <w:rPr>
          <w:rFonts w:cstheme="minorHAnsi"/>
          <w:lang w:val="es-ES"/>
        </w:rPr>
        <w:tab/>
      </w:r>
      <w:r w:rsidR="00C14B6B" w:rsidRPr="00945DAB">
        <w:rPr>
          <w:rFonts w:cstheme="minorHAnsi"/>
          <w:lang w:val="es-ES"/>
        </w:rPr>
        <w:t>dificultades en la contratación y retención de personal, dado que la Convención no compite con las condiciones y beneficios (escalas salariales, pensiones y subsidio de educación) de la ONU.</w:t>
      </w:r>
      <w:r w:rsidR="00B407BB" w:rsidRPr="00945DAB">
        <w:rPr>
          <w:rFonts w:cstheme="minorHAnsi"/>
          <w:lang w:val="es-ES"/>
        </w:rPr>
        <w:t xml:space="preserve"> </w:t>
      </w:r>
    </w:p>
    <w:p w14:paraId="03F2C188" w14:textId="77777777" w:rsidR="00B407BB" w:rsidRPr="00945DAB" w:rsidRDefault="00B407BB" w:rsidP="00FC1EDB">
      <w:pPr>
        <w:pStyle w:val="ColorfulList-Accent11"/>
        <w:ind w:left="0" w:firstLine="0"/>
        <w:contextualSpacing w:val="0"/>
        <w:rPr>
          <w:rFonts w:asciiTheme="minorHAnsi" w:eastAsiaTheme="minorHAnsi" w:hAnsiTheme="minorHAnsi" w:cstheme="minorHAnsi"/>
          <w:bCs/>
          <w:lang w:val="es-ES"/>
        </w:rPr>
      </w:pPr>
    </w:p>
    <w:p w14:paraId="12F741FF" w14:textId="530AE58B" w:rsidR="00B407BB" w:rsidRPr="00945DAB" w:rsidRDefault="00FC1EDB" w:rsidP="00EC0F71">
      <w:pPr>
        <w:pStyle w:val="ColorfulList-Accent11"/>
        <w:ind w:left="425"/>
        <w:contextualSpacing w:val="0"/>
        <w:rPr>
          <w:rFonts w:cstheme="minorHAnsi"/>
          <w:bCs/>
          <w:lang w:val="es-ES"/>
        </w:rPr>
      </w:pPr>
      <w:r w:rsidRPr="00945DAB">
        <w:rPr>
          <w:rFonts w:cs="Calibri"/>
          <w:lang w:val="es-ES"/>
        </w:rPr>
        <w:t>3.</w:t>
      </w:r>
      <w:r w:rsidRPr="00945DAB">
        <w:rPr>
          <w:rFonts w:cs="Calibri"/>
          <w:lang w:val="es-ES"/>
        </w:rPr>
        <w:tab/>
      </w:r>
      <w:r w:rsidR="001F2639" w:rsidRPr="00945DAB">
        <w:rPr>
          <w:rFonts w:cs="Calibri"/>
          <w:lang w:val="es-ES"/>
        </w:rPr>
        <w:t>En su</w:t>
      </w:r>
      <w:r w:rsidR="005400FA" w:rsidRPr="00945DAB">
        <w:rPr>
          <w:rFonts w:cs="Calibri"/>
          <w:lang w:val="es-ES"/>
        </w:rPr>
        <w:t xml:space="preserve"> 57</w:t>
      </w:r>
      <w:r w:rsidR="001F2639" w:rsidRPr="00945DAB">
        <w:rPr>
          <w:rFonts w:cs="Calibri"/>
          <w:lang w:val="es-ES"/>
        </w:rPr>
        <w:t>ª</w:t>
      </w:r>
      <w:r w:rsidR="005400FA" w:rsidRPr="00945DAB">
        <w:rPr>
          <w:rFonts w:cs="Calibri"/>
          <w:lang w:val="es-ES"/>
        </w:rPr>
        <w:t xml:space="preserve"> reunión</w:t>
      </w:r>
      <w:r w:rsidR="001F2639" w:rsidRPr="00945DAB">
        <w:rPr>
          <w:rFonts w:cs="Calibri"/>
          <w:lang w:val="es-ES"/>
        </w:rPr>
        <w:t xml:space="preserve">, </w:t>
      </w:r>
      <w:r w:rsidR="005400FA" w:rsidRPr="00945DAB">
        <w:rPr>
          <w:rFonts w:cs="Calibri"/>
          <w:lang w:val="es-ES"/>
        </w:rPr>
        <w:t>el Comité Permanente (Decisión SC57-14)</w:t>
      </w:r>
      <w:r w:rsidR="00C14B6B" w:rsidRPr="00945DAB">
        <w:rPr>
          <w:rFonts w:cs="Calibri"/>
          <w:lang w:val="es-ES"/>
        </w:rPr>
        <w:t xml:space="preserve"> solicitó un análisis de las diferentes opciones propuestas, </w:t>
      </w:r>
      <w:r w:rsidR="005400FA" w:rsidRPr="00945DAB">
        <w:rPr>
          <w:rFonts w:cs="Calibri"/>
          <w:lang w:val="es-ES"/>
        </w:rPr>
        <w:t>así como</w:t>
      </w:r>
      <w:r w:rsidR="00C14B6B" w:rsidRPr="00945DAB">
        <w:rPr>
          <w:rFonts w:cs="Calibri"/>
          <w:lang w:val="es-ES"/>
        </w:rPr>
        <w:t xml:space="preserve"> otras que pudieran no haber sido abordadas, para que la Secretaría </w:t>
      </w:r>
      <w:r w:rsidR="005400FA" w:rsidRPr="00945DAB">
        <w:rPr>
          <w:rFonts w:cs="Calibri"/>
          <w:lang w:val="es-ES"/>
        </w:rPr>
        <w:t>adquiera la condición</w:t>
      </w:r>
      <w:r w:rsidR="00C14B6B" w:rsidRPr="00945DAB">
        <w:rPr>
          <w:rFonts w:cs="Calibri"/>
          <w:lang w:val="es-ES"/>
        </w:rPr>
        <w:t xml:space="preserve"> de observador en la Asamblea General de las Naciones Unidas, y respaldó la continuidad del </w:t>
      </w:r>
      <w:r w:rsidR="001F2639" w:rsidRPr="00945DAB">
        <w:rPr>
          <w:rFonts w:cstheme="minorHAnsi"/>
          <w:bCs/>
          <w:lang w:val="es-ES"/>
        </w:rPr>
        <w:t>Grupo de trabajo sobre la condición de observador</w:t>
      </w:r>
      <w:r w:rsidR="00C14B6B" w:rsidRPr="00945DAB">
        <w:rPr>
          <w:rFonts w:cs="Calibri"/>
          <w:lang w:val="es-ES"/>
        </w:rPr>
        <w:t>.</w:t>
      </w:r>
    </w:p>
    <w:p w14:paraId="32AB80F8" w14:textId="77777777" w:rsidR="00B407BB" w:rsidRPr="00945DAB" w:rsidRDefault="00B407BB" w:rsidP="00EC0F71">
      <w:pPr>
        <w:spacing w:after="0" w:line="240" w:lineRule="auto"/>
        <w:ind w:left="425" w:hanging="425"/>
        <w:rPr>
          <w:rFonts w:cstheme="minorHAnsi"/>
          <w:bCs/>
          <w:lang w:val="es-ES"/>
        </w:rPr>
      </w:pPr>
    </w:p>
    <w:p w14:paraId="03AB7C6C" w14:textId="6414E5B4" w:rsidR="001C180F" w:rsidRPr="00945DAB" w:rsidRDefault="00FC1EDB" w:rsidP="00EC0F71">
      <w:pPr>
        <w:spacing w:after="0" w:line="240" w:lineRule="auto"/>
        <w:ind w:left="425" w:hanging="425"/>
        <w:rPr>
          <w:rFonts w:cstheme="minorHAnsi"/>
          <w:bCs/>
          <w:lang w:val="es-ES"/>
        </w:rPr>
      </w:pPr>
      <w:r w:rsidRPr="00945DAB">
        <w:rPr>
          <w:rFonts w:cstheme="minorHAnsi"/>
          <w:bCs/>
          <w:lang w:val="es-ES"/>
        </w:rPr>
        <w:t>4.</w:t>
      </w:r>
      <w:r w:rsidRPr="00945DAB">
        <w:rPr>
          <w:rFonts w:cstheme="minorHAnsi"/>
          <w:bCs/>
          <w:lang w:val="es-ES"/>
        </w:rPr>
        <w:tab/>
      </w:r>
      <w:r w:rsidR="00C14B6B" w:rsidRPr="00945DAB">
        <w:rPr>
          <w:rFonts w:cstheme="minorHAnsi"/>
          <w:bCs/>
          <w:lang w:val="es-ES"/>
        </w:rPr>
        <w:t xml:space="preserve">A petición del </w:t>
      </w:r>
      <w:r w:rsidR="00170E72" w:rsidRPr="00945DAB">
        <w:rPr>
          <w:rFonts w:cstheme="minorHAnsi"/>
          <w:bCs/>
          <w:lang w:val="es-ES"/>
        </w:rPr>
        <w:t xml:space="preserve">Grupo de </w:t>
      </w:r>
      <w:r w:rsidR="001F2639" w:rsidRPr="00945DAB">
        <w:rPr>
          <w:rFonts w:cstheme="minorHAnsi"/>
          <w:bCs/>
          <w:lang w:val="es-ES"/>
        </w:rPr>
        <w:t>tr</w:t>
      </w:r>
      <w:r w:rsidR="00170E72" w:rsidRPr="00945DAB">
        <w:rPr>
          <w:rFonts w:cstheme="minorHAnsi"/>
          <w:bCs/>
          <w:lang w:val="es-ES"/>
        </w:rPr>
        <w:t xml:space="preserve">abajo sobre la </w:t>
      </w:r>
      <w:r w:rsidR="001F2639" w:rsidRPr="00945DAB">
        <w:rPr>
          <w:rFonts w:cstheme="minorHAnsi"/>
          <w:bCs/>
          <w:lang w:val="es-ES"/>
        </w:rPr>
        <w:t>c</w:t>
      </w:r>
      <w:r w:rsidR="00170E72" w:rsidRPr="00945DAB">
        <w:rPr>
          <w:rFonts w:cstheme="minorHAnsi"/>
          <w:bCs/>
          <w:lang w:val="es-ES"/>
        </w:rPr>
        <w:t xml:space="preserve">ondición de </w:t>
      </w:r>
      <w:r w:rsidR="001F2639" w:rsidRPr="00945DAB">
        <w:rPr>
          <w:rFonts w:cstheme="minorHAnsi"/>
          <w:bCs/>
          <w:lang w:val="es-ES"/>
        </w:rPr>
        <w:t>o</w:t>
      </w:r>
      <w:r w:rsidR="00170E72" w:rsidRPr="00945DAB">
        <w:rPr>
          <w:rFonts w:cstheme="minorHAnsi"/>
          <w:bCs/>
          <w:lang w:val="es-ES"/>
        </w:rPr>
        <w:t>bservador</w:t>
      </w:r>
      <w:r w:rsidR="001F2639" w:rsidRPr="00945DAB">
        <w:rPr>
          <w:rFonts w:cstheme="minorHAnsi"/>
          <w:bCs/>
          <w:lang w:val="es-ES"/>
        </w:rPr>
        <w:t>,</w:t>
      </w:r>
      <w:r w:rsidR="00170E72" w:rsidRPr="00945DAB">
        <w:rPr>
          <w:rFonts w:cstheme="minorHAnsi"/>
          <w:bCs/>
          <w:lang w:val="es-ES"/>
        </w:rPr>
        <w:t xml:space="preserve"> s</w:t>
      </w:r>
      <w:r w:rsidR="00C14B6B" w:rsidRPr="00945DAB">
        <w:rPr>
          <w:rFonts w:cstheme="minorHAnsi"/>
          <w:bCs/>
          <w:lang w:val="es-ES"/>
        </w:rPr>
        <w:t>e llevaron a cabo dos consultorías relacionadas con las limitaciones identificadas:</w:t>
      </w:r>
    </w:p>
    <w:p w14:paraId="435086AC" w14:textId="293FBFC9" w:rsidR="00C14B6B" w:rsidRPr="00945DAB" w:rsidRDefault="00C14B6B" w:rsidP="000E51B8">
      <w:pPr>
        <w:pStyle w:val="ListParagraph"/>
        <w:numPr>
          <w:ilvl w:val="0"/>
          <w:numId w:val="19"/>
        </w:numPr>
        <w:spacing w:after="0" w:line="240" w:lineRule="auto"/>
        <w:ind w:left="851" w:hanging="425"/>
        <w:rPr>
          <w:rFonts w:cstheme="minorHAnsi"/>
          <w:bCs/>
          <w:lang w:val="es-ES"/>
        </w:rPr>
      </w:pPr>
      <w:r w:rsidRPr="00945DAB">
        <w:rPr>
          <w:rFonts w:cstheme="minorHAnsi"/>
          <w:bCs/>
          <w:lang w:val="es-ES"/>
        </w:rPr>
        <w:t>un análisis independiente de</w:t>
      </w:r>
      <w:r w:rsidR="001F2639" w:rsidRPr="00945DAB">
        <w:rPr>
          <w:rFonts w:cstheme="minorHAnsi"/>
          <w:bCs/>
          <w:lang w:val="es-ES"/>
        </w:rPr>
        <w:t xml:space="preserve"> la condición </w:t>
      </w:r>
      <w:r w:rsidRPr="00945DAB">
        <w:rPr>
          <w:rFonts w:cstheme="minorHAnsi"/>
          <w:bCs/>
          <w:lang w:val="es-ES"/>
        </w:rPr>
        <w:t>jurídic</w:t>
      </w:r>
      <w:r w:rsidR="001F2639" w:rsidRPr="00945DAB">
        <w:rPr>
          <w:rFonts w:cstheme="minorHAnsi"/>
          <w:bCs/>
          <w:lang w:val="es-ES"/>
        </w:rPr>
        <w:t>a</w:t>
      </w:r>
      <w:r w:rsidRPr="00945DAB">
        <w:rPr>
          <w:rFonts w:cstheme="minorHAnsi"/>
          <w:bCs/>
          <w:lang w:val="es-ES"/>
        </w:rPr>
        <w:t xml:space="preserve"> de la Secretaría</w:t>
      </w:r>
      <w:r w:rsidRPr="00945DAB">
        <w:rPr>
          <w:rStyle w:val="FootnoteReference"/>
          <w:rFonts w:cstheme="minorHAnsi"/>
          <w:bCs/>
          <w:lang w:val="es-ES"/>
        </w:rPr>
        <w:footnoteReference w:id="2"/>
      </w:r>
      <w:r w:rsidRPr="00945DAB">
        <w:rPr>
          <w:rFonts w:cstheme="minorHAnsi"/>
          <w:bCs/>
          <w:lang w:val="es-ES"/>
        </w:rPr>
        <w:t>; y</w:t>
      </w:r>
    </w:p>
    <w:p w14:paraId="787F7FCF" w14:textId="67F3837A" w:rsidR="00B407BB" w:rsidRPr="00945DAB" w:rsidRDefault="00C14B6B" w:rsidP="000E51B8">
      <w:pPr>
        <w:pStyle w:val="ListParagraph"/>
        <w:numPr>
          <w:ilvl w:val="0"/>
          <w:numId w:val="19"/>
        </w:numPr>
        <w:spacing w:after="0" w:line="240" w:lineRule="auto"/>
        <w:ind w:left="851" w:hanging="425"/>
        <w:rPr>
          <w:rFonts w:cstheme="minorHAnsi"/>
          <w:bCs/>
          <w:lang w:val="es-ES"/>
        </w:rPr>
      </w:pPr>
      <w:r w:rsidRPr="00945DAB">
        <w:rPr>
          <w:rFonts w:cstheme="minorHAnsi"/>
          <w:bCs/>
          <w:lang w:val="es-ES"/>
        </w:rPr>
        <w:t>un análisis financiero de</w:t>
      </w:r>
      <w:r w:rsidR="001F2639" w:rsidRPr="00945DAB">
        <w:rPr>
          <w:rFonts w:cstheme="minorHAnsi"/>
          <w:bCs/>
          <w:lang w:val="es-ES"/>
        </w:rPr>
        <w:t xml:space="preserve"> la condición</w:t>
      </w:r>
      <w:r w:rsidRPr="00945DAB">
        <w:rPr>
          <w:rFonts w:cstheme="minorHAnsi"/>
          <w:bCs/>
          <w:lang w:val="es-ES"/>
        </w:rPr>
        <w:t xml:space="preserve"> jurídic</w:t>
      </w:r>
      <w:r w:rsidR="001F2639" w:rsidRPr="00945DAB">
        <w:rPr>
          <w:rFonts w:cstheme="minorHAnsi"/>
          <w:bCs/>
          <w:lang w:val="es-ES"/>
        </w:rPr>
        <w:t>a</w:t>
      </w:r>
      <w:r w:rsidRPr="00945DAB">
        <w:rPr>
          <w:rFonts w:cstheme="minorHAnsi"/>
          <w:bCs/>
          <w:lang w:val="es-ES"/>
        </w:rPr>
        <w:t xml:space="preserve"> de la Secretaría</w:t>
      </w:r>
      <w:r w:rsidRPr="00945DAB">
        <w:rPr>
          <w:rStyle w:val="FootnoteReference"/>
          <w:rFonts w:cstheme="minorHAnsi"/>
          <w:bCs/>
          <w:lang w:val="es-ES"/>
        </w:rPr>
        <w:footnoteReference w:id="3"/>
      </w:r>
      <w:r w:rsidRPr="00945DAB">
        <w:rPr>
          <w:rFonts w:cstheme="minorHAnsi"/>
          <w:bCs/>
          <w:lang w:val="es-ES"/>
        </w:rPr>
        <w:t xml:space="preserve">. </w:t>
      </w:r>
    </w:p>
    <w:p w14:paraId="4E57209C" w14:textId="77777777" w:rsidR="00B407BB" w:rsidRPr="00945DAB" w:rsidRDefault="00B407BB" w:rsidP="00FC1EDB">
      <w:pPr>
        <w:pStyle w:val="NormalWeb"/>
        <w:spacing w:before="0" w:beforeAutospacing="0" w:after="0" w:afterAutospacing="0"/>
        <w:ind w:left="425" w:hanging="425"/>
        <w:rPr>
          <w:rFonts w:asciiTheme="minorHAnsi" w:hAnsiTheme="minorHAnsi" w:cstheme="minorHAnsi"/>
          <w:sz w:val="22"/>
          <w:szCs w:val="22"/>
          <w:lang w:val="es-ES" w:eastAsia="en-US"/>
        </w:rPr>
      </w:pPr>
    </w:p>
    <w:p w14:paraId="4734032D" w14:textId="0B3C734B" w:rsidR="00F77BE9" w:rsidRPr="00945DAB" w:rsidRDefault="00FC1EDB" w:rsidP="00064B3C">
      <w:pPr>
        <w:pStyle w:val="NoSpacing"/>
        <w:ind w:left="426" w:hanging="426"/>
        <w:rPr>
          <w:bCs/>
          <w:lang w:val="es-ES"/>
        </w:rPr>
      </w:pPr>
      <w:r w:rsidRPr="00945DAB">
        <w:rPr>
          <w:lang w:val="es-ES"/>
        </w:rPr>
        <w:t>5.</w:t>
      </w:r>
      <w:r w:rsidRPr="00945DAB">
        <w:rPr>
          <w:lang w:val="es-ES"/>
        </w:rPr>
        <w:tab/>
      </w:r>
      <w:r w:rsidR="009C4A2E" w:rsidRPr="00945DAB">
        <w:rPr>
          <w:lang w:val="es-ES"/>
        </w:rPr>
        <w:t xml:space="preserve">En su decimocuarta reunión (COP14), la Conferencia de las Partes Contratantes adoptó la Resolución XIV.6 sobre la </w:t>
      </w:r>
      <w:r w:rsidR="009C4A2E" w:rsidRPr="00945DAB">
        <w:rPr>
          <w:i/>
          <w:iCs/>
          <w:lang w:val="es-ES"/>
        </w:rPr>
        <w:t>Mejora de la visibilidad de la Convención y de las sinergias con otros acuerdos multilaterales sobre el medio ambiente e instituciones internacionales</w:t>
      </w:r>
      <w:r w:rsidR="008860FD" w:rsidRPr="00945DAB">
        <w:rPr>
          <w:rStyle w:val="FootnoteReference"/>
          <w:rFonts w:cstheme="minorHAnsi"/>
          <w:bCs/>
          <w:lang w:val="es-ES"/>
        </w:rPr>
        <w:footnoteReference w:id="4"/>
      </w:r>
      <w:r w:rsidR="008860FD" w:rsidRPr="00945DAB">
        <w:rPr>
          <w:bCs/>
          <w:lang w:val="es-ES"/>
        </w:rPr>
        <w:t>,</w:t>
      </w:r>
      <w:r w:rsidR="009C4A2E" w:rsidRPr="00945DAB">
        <w:rPr>
          <w:lang w:val="es-ES"/>
        </w:rPr>
        <w:t xml:space="preserve"> en cuyo párrafo 22 se establece lo siguiente</w:t>
      </w:r>
      <w:r w:rsidR="008860FD" w:rsidRPr="00945DAB">
        <w:rPr>
          <w:lang w:val="es-ES"/>
        </w:rPr>
        <w:t xml:space="preserve">: </w:t>
      </w:r>
    </w:p>
    <w:p w14:paraId="36B89218" w14:textId="77777777" w:rsidR="00F77BE9" w:rsidRPr="00945DAB" w:rsidRDefault="00F77BE9" w:rsidP="00064B3C">
      <w:pPr>
        <w:pStyle w:val="NoSpacing"/>
        <w:ind w:left="851"/>
        <w:rPr>
          <w:bCs/>
          <w:lang w:val="es-ES"/>
        </w:rPr>
      </w:pPr>
    </w:p>
    <w:p w14:paraId="40EFB167" w14:textId="58946284" w:rsidR="009C4A2E" w:rsidRPr="00945DAB" w:rsidRDefault="009C4A2E" w:rsidP="009C4A2E">
      <w:pPr>
        <w:pStyle w:val="NoSpacing"/>
        <w:ind w:left="851"/>
        <w:rPr>
          <w:bCs/>
          <w:lang w:val="es-ES"/>
        </w:rPr>
      </w:pPr>
      <w:r w:rsidRPr="00945DAB">
        <w:rPr>
          <w:bCs/>
          <w:lang w:val="es-ES"/>
        </w:rPr>
        <w:t>“encarga a la Secretaría que, en consulta con las Partes Contratantes interesadas, prepare un informe de fortalecimiento institucional con recomendaciones que reflejen las</w:t>
      </w:r>
    </w:p>
    <w:p w14:paraId="46758147" w14:textId="77777777" w:rsidR="009C4A2E" w:rsidRPr="00945DAB" w:rsidRDefault="009C4A2E" w:rsidP="009C4A2E">
      <w:pPr>
        <w:pStyle w:val="NoSpacing"/>
        <w:ind w:left="851"/>
        <w:rPr>
          <w:bCs/>
          <w:lang w:val="es-ES"/>
        </w:rPr>
      </w:pPr>
      <w:r w:rsidRPr="00945DAB">
        <w:rPr>
          <w:bCs/>
          <w:lang w:val="es-ES"/>
        </w:rPr>
        <w:t>necesidades de la Secretaría para lograr una solidez en la organización que contribuya a la</w:t>
      </w:r>
    </w:p>
    <w:p w14:paraId="24ED57DD" w14:textId="77777777" w:rsidR="009C4A2E" w:rsidRPr="00945DAB" w:rsidRDefault="009C4A2E" w:rsidP="009C4A2E">
      <w:pPr>
        <w:pStyle w:val="NoSpacing"/>
        <w:ind w:left="851"/>
        <w:rPr>
          <w:bCs/>
          <w:lang w:val="es-ES"/>
        </w:rPr>
      </w:pPr>
      <w:r w:rsidRPr="00945DAB">
        <w:rPr>
          <w:bCs/>
          <w:lang w:val="es-ES"/>
        </w:rPr>
        <w:t>aplicación de la Convención, incluyendo, entre otras, las relacionadas con acuerdos</w:t>
      </w:r>
    </w:p>
    <w:p w14:paraId="40506F4F" w14:textId="77777777" w:rsidR="009C4A2E" w:rsidRPr="00945DAB" w:rsidRDefault="009C4A2E" w:rsidP="009C4A2E">
      <w:pPr>
        <w:pStyle w:val="NoSpacing"/>
        <w:ind w:left="851"/>
        <w:rPr>
          <w:bCs/>
          <w:lang w:val="es-ES"/>
        </w:rPr>
      </w:pPr>
      <w:r w:rsidRPr="00945DAB">
        <w:rPr>
          <w:bCs/>
          <w:lang w:val="es-ES"/>
        </w:rPr>
        <w:t>administrativos, gobernanza, liderazgo, independencia en materia de recursos humanos y</w:t>
      </w:r>
    </w:p>
    <w:p w14:paraId="7F8AD69C" w14:textId="291FBA6C" w:rsidR="00B407BB" w:rsidRPr="00945DAB" w:rsidRDefault="009C4A2E" w:rsidP="009C4A2E">
      <w:pPr>
        <w:pStyle w:val="NoSpacing"/>
        <w:ind w:left="851"/>
        <w:rPr>
          <w:iCs/>
          <w:lang w:val="es-ES"/>
        </w:rPr>
      </w:pPr>
      <w:r w:rsidRPr="00945DAB">
        <w:rPr>
          <w:bCs/>
          <w:lang w:val="es-ES"/>
        </w:rPr>
        <w:t xml:space="preserve">compromiso político de alto nivel, además de los objetivos de la Convención para lograr mayor visibilidad, y PIDE a la Secretaría que presente el informe con sus recomendaciones a la 62ª reunión del Comité Permanente (SC62) para ser debatido y un proyecto de resolución ulterior a la reunión SC63 para su examen”. </w:t>
      </w:r>
    </w:p>
    <w:p w14:paraId="0C582BFD" w14:textId="77777777" w:rsidR="00B44446" w:rsidRPr="00945DAB" w:rsidRDefault="00B44446" w:rsidP="00FC1EDB">
      <w:pPr>
        <w:spacing w:after="0" w:line="240" w:lineRule="auto"/>
        <w:rPr>
          <w:rFonts w:cstheme="minorHAnsi"/>
          <w:i/>
          <w:lang w:val="es-ES"/>
        </w:rPr>
      </w:pPr>
    </w:p>
    <w:p w14:paraId="0C8C59BC" w14:textId="72EDE8F2" w:rsidR="009C4A2E" w:rsidRPr="00945DAB" w:rsidRDefault="009C4A2E" w:rsidP="001F2639">
      <w:pPr>
        <w:spacing w:after="0" w:line="240" w:lineRule="auto"/>
        <w:ind w:left="-284"/>
        <w:rPr>
          <w:b/>
          <w:lang w:val="es-ES"/>
        </w:rPr>
      </w:pPr>
      <w:bookmarkStart w:id="2" w:name="_Hlk141824430"/>
      <w:r w:rsidRPr="00945DAB">
        <w:rPr>
          <w:b/>
          <w:lang w:val="es-ES"/>
        </w:rPr>
        <w:t xml:space="preserve">Consulta con las Partes Contratantes interesadas sobre la preparación del informe relativo al </w:t>
      </w:r>
      <w:r w:rsidR="001F2639" w:rsidRPr="00945DAB">
        <w:rPr>
          <w:b/>
          <w:lang w:val="es-ES"/>
        </w:rPr>
        <w:t>f</w:t>
      </w:r>
      <w:r w:rsidRPr="00945DAB">
        <w:rPr>
          <w:b/>
          <w:lang w:val="es-ES"/>
        </w:rPr>
        <w:t xml:space="preserve">ortalecimiento institucional de la Secretaría </w:t>
      </w:r>
    </w:p>
    <w:p w14:paraId="4A064838" w14:textId="58659476" w:rsidR="009C4A2E" w:rsidRPr="00945DAB" w:rsidRDefault="00AF5480" w:rsidP="005400FA">
      <w:pPr>
        <w:spacing w:after="0" w:line="240" w:lineRule="auto"/>
        <w:ind w:left="-284"/>
        <w:jc w:val="center"/>
        <w:rPr>
          <w:b/>
          <w:lang w:val="es-ES"/>
        </w:rPr>
      </w:pPr>
      <w:r w:rsidRPr="00945DAB">
        <w:rPr>
          <w:b/>
          <w:lang w:val="es-ES"/>
        </w:rPr>
        <w:t xml:space="preserve"> </w:t>
      </w:r>
    </w:p>
    <w:bookmarkEnd w:id="2"/>
    <w:p w14:paraId="033D7D8E" w14:textId="370C5FB3" w:rsidR="000F6CD8" w:rsidRPr="00945DAB" w:rsidRDefault="00FC1EDB" w:rsidP="00EC0F71">
      <w:pPr>
        <w:spacing w:after="0" w:line="240" w:lineRule="auto"/>
        <w:ind w:left="426" w:hanging="426"/>
        <w:rPr>
          <w:lang w:val="es-ES"/>
        </w:rPr>
      </w:pPr>
      <w:r w:rsidRPr="00945DAB">
        <w:rPr>
          <w:lang w:val="es-ES"/>
        </w:rPr>
        <w:t>6.</w:t>
      </w:r>
      <w:r w:rsidRPr="00945DAB">
        <w:rPr>
          <w:lang w:val="es-ES"/>
        </w:rPr>
        <w:tab/>
      </w:r>
      <w:r w:rsidR="009C4A2E" w:rsidRPr="00945DAB">
        <w:rPr>
          <w:lang w:val="es-ES"/>
        </w:rPr>
        <w:t xml:space="preserve">En respuesta al apartado 22 de la Resolución XIV.6, 25 Partes Contratantes de las seis regiones </w:t>
      </w:r>
      <w:r w:rsidR="008860FD" w:rsidRPr="00945DAB">
        <w:rPr>
          <w:lang w:val="es-ES"/>
        </w:rPr>
        <w:t>de la Convención</w:t>
      </w:r>
      <w:r w:rsidR="009C4A2E" w:rsidRPr="00945DAB">
        <w:rPr>
          <w:lang w:val="es-ES"/>
        </w:rPr>
        <w:t xml:space="preserve"> manifestaron su interés en participar en el proceso de consulta. Dichas Partes figuran en el </w:t>
      </w:r>
      <w:r w:rsidR="001F2639" w:rsidRPr="00945DAB">
        <w:rPr>
          <w:lang w:val="es-ES"/>
        </w:rPr>
        <w:t>A</w:t>
      </w:r>
      <w:r w:rsidR="009C4A2E" w:rsidRPr="00945DAB">
        <w:rPr>
          <w:lang w:val="es-ES"/>
        </w:rPr>
        <w:t>nexo 1 del presente documento.</w:t>
      </w:r>
      <w:r w:rsidR="007271E8" w:rsidRPr="00945DAB">
        <w:rPr>
          <w:lang w:val="es-ES"/>
        </w:rPr>
        <w:t xml:space="preserve"> </w:t>
      </w:r>
    </w:p>
    <w:p w14:paraId="690675BE" w14:textId="77777777" w:rsidR="000F6CD8" w:rsidRPr="00945DAB" w:rsidRDefault="000F6CD8" w:rsidP="00EC0F71">
      <w:pPr>
        <w:spacing w:after="0" w:line="240" w:lineRule="auto"/>
        <w:ind w:left="426" w:hanging="426"/>
        <w:rPr>
          <w:lang w:val="es-ES"/>
        </w:rPr>
      </w:pPr>
    </w:p>
    <w:p w14:paraId="37DFECF7" w14:textId="1B98E7DA" w:rsidR="00B44446" w:rsidRPr="00945DAB" w:rsidRDefault="00FC1EDB" w:rsidP="00EC0F71">
      <w:pPr>
        <w:spacing w:after="0" w:line="240" w:lineRule="auto"/>
        <w:ind w:left="426" w:hanging="426"/>
        <w:rPr>
          <w:lang w:val="es-ES"/>
        </w:rPr>
      </w:pPr>
      <w:r w:rsidRPr="00945DAB">
        <w:rPr>
          <w:lang w:val="es-ES"/>
        </w:rPr>
        <w:t>7.</w:t>
      </w:r>
      <w:r w:rsidRPr="00945DAB">
        <w:rPr>
          <w:lang w:val="es-ES"/>
        </w:rPr>
        <w:tab/>
      </w:r>
      <w:r w:rsidR="009C4A2E" w:rsidRPr="00945DAB">
        <w:rPr>
          <w:lang w:val="es-ES"/>
        </w:rPr>
        <w:t xml:space="preserve">La Secretaría organizó dos reuniones de las Partes Contratantes interesadas el 24 de abril y el 13 de julio de 2023 para debatir la preparación del informe de la Secretaría a la </w:t>
      </w:r>
      <w:r w:rsidR="001F2639" w:rsidRPr="00945DAB">
        <w:rPr>
          <w:lang w:val="es-ES"/>
        </w:rPr>
        <w:t xml:space="preserve">reunión </w:t>
      </w:r>
      <w:r w:rsidR="009C4A2E" w:rsidRPr="00945DAB">
        <w:rPr>
          <w:lang w:val="es-ES"/>
        </w:rPr>
        <w:t xml:space="preserve">SC62. Durante la primera reunión, se encargó a la Secretaría que preparara un cuadro sinóptico en el que se identificaran las oportunidades para seguir reforzando la Secretaría, con el fin de </w:t>
      </w:r>
      <w:r w:rsidR="001F2639" w:rsidRPr="00945DAB">
        <w:rPr>
          <w:lang w:val="es-ES"/>
        </w:rPr>
        <w:t>contribuir a</w:t>
      </w:r>
      <w:r w:rsidR="009C4A2E" w:rsidRPr="00945DAB">
        <w:rPr>
          <w:lang w:val="es-ES"/>
        </w:rPr>
        <w:t xml:space="preserve"> la preparación del presente informe.</w:t>
      </w:r>
    </w:p>
    <w:p w14:paraId="2492A2A3" w14:textId="77777777" w:rsidR="00B44446" w:rsidRPr="00945DAB" w:rsidRDefault="00B44446" w:rsidP="00EC0F71">
      <w:pPr>
        <w:spacing w:after="0" w:line="240" w:lineRule="auto"/>
        <w:ind w:left="426" w:hanging="426"/>
        <w:rPr>
          <w:rFonts w:cstheme="minorHAnsi"/>
          <w:i/>
          <w:lang w:val="es-ES"/>
        </w:rPr>
      </w:pPr>
    </w:p>
    <w:p w14:paraId="28761810" w14:textId="709D76FC" w:rsidR="00005D82" w:rsidRPr="00945DAB" w:rsidRDefault="00FC1EDB" w:rsidP="00EC0F71">
      <w:pPr>
        <w:spacing w:after="0" w:line="240" w:lineRule="auto"/>
        <w:ind w:left="426" w:hanging="426"/>
        <w:rPr>
          <w:rFonts w:cstheme="minorHAnsi"/>
          <w:lang w:val="es-ES"/>
        </w:rPr>
      </w:pPr>
      <w:r w:rsidRPr="00945DAB">
        <w:rPr>
          <w:rFonts w:cstheme="minorHAnsi"/>
          <w:lang w:val="es-ES"/>
        </w:rPr>
        <w:t>8.</w:t>
      </w:r>
      <w:r w:rsidRPr="00945DAB">
        <w:rPr>
          <w:rFonts w:cstheme="minorHAnsi"/>
          <w:lang w:val="es-ES"/>
        </w:rPr>
        <w:tab/>
      </w:r>
      <w:r w:rsidR="009C4A2E" w:rsidRPr="00945DAB">
        <w:rPr>
          <w:rFonts w:cstheme="minorHAnsi"/>
          <w:lang w:val="es-ES"/>
        </w:rPr>
        <w:t xml:space="preserve">De acuerdo con lo anterior, la Secretaría preparó </w:t>
      </w:r>
      <w:r w:rsidR="001F2639" w:rsidRPr="00945DAB">
        <w:rPr>
          <w:rFonts w:cstheme="minorHAnsi"/>
          <w:lang w:val="es-ES"/>
        </w:rPr>
        <w:t>un cuadro</w:t>
      </w:r>
      <w:r w:rsidR="009C4A2E" w:rsidRPr="00945DAB">
        <w:rPr>
          <w:rFonts w:cstheme="minorHAnsi"/>
          <w:lang w:val="es-ES"/>
        </w:rPr>
        <w:t xml:space="preserve"> que describe las oportunidades en cada una de las áreas mencionadas en el párrafo 22 de la Resolución XIV.6.</w:t>
      </w:r>
      <w:r w:rsidR="00B407BB" w:rsidRPr="00945DAB">
        <w:rPr>
          <w:rFonts w:cstheme="minorHAnsi"/>
          <w:lang w:val="es-ES"/>
        </w:rPr>
        <w:t xml:space="preserve"> </w:t>
      </w:r>
    </w:p>
    <w:p w14:paraId="5585F747" w14:textId="77777777" w:rsidR="00D324EE" w:rsidRPr="00945DAB" w:rsidRDefault="00D324EE" w:rsidP="00EC0F71">
      <w:pPr>
        <w:pStyle w:val="ListParagraph"/>
        <w:spacing w:after="0" w:line="240" w:lineRule="auto"/>
        <w:ind w:left="426" w:hanging="426"/>
        <w:rPr>
          <w:rFonts w:cstheme="minorHAnsi"/>
          <w:lang w:val="es-ES"/>
        </w:rPr>
      </w:pPr>
    </w:p>
    <w:p w14:paraId="0F6C33FD" w14:textId="52BD04F6" w:rsidR="000B6A49" w:rsidRPr="00945DAB" w:rsidRDefault="00FC1EDB" w:rsidP="00EC0F71">
      <w:pPr>
        <w:spacing w:after="0" w:line="240" w:lineRule="auto"/>
        <w:ind w:left="426" w:hanging="426"/>
        <w:rPr>
          <w:rFonts w:cstheme="minorHAnsi"/>
          <w:lang w:val="es-ES"/>
        </w:rPr>
      </w:pPr>
      <w:r w:rsidRPr="00945DAB">
        <w:rPr>
          <w:rFonts w:cstheme="minorHAnsi"/>
          <w:lang w:val="es-ES"/>
        </w:rPr>
        <w:lastRenderedPageBreak/>
        <w:t>9.</w:t>
      </w:r>
      <w:r w:rsidRPr="00945DAB">
        <w:rPr>
          <w:rFonts w:cstheme="minorHAnsi"/>
          <w:lang w:val="es-ES"/>
        </w:rPr>
        <w:tab/>
      </w:r>
      <w:r w:rsidR="008860FD" w:rsidRPr="00945DAB">
        <w:rPr>
          <w:rFonts w:cstheme="minorHAnsi"/>
          <w:lang w:val="es-ES"/>
        </w:rPr>
        <w:t xml:space="preserve">En la reunión del 13 de julio, las Partes Contratantes interesadas acordaron la priorización de oportunidades para </w:t>
      </w:r>
      <w:r w:rsidR="005400FA" w:rsidRPr="00945DAB">
        <w:rPr>
          <w:rFonts w:cstheme="minorHAnsi"/>
          <w:lang w:val="es-ES"/>
        </w:rPr>
        <w:t>fortalece</w:t>
      </w:r>
      <w:r w:rsidR="008860FD" w:rsidRPr="00945DAB">
        <w:rPr>
          <w:rFonts w:cstheme="minorHAnsi"/>
          <w:lang w:val="es-ES"/>
        </w:rPr>
        <w:t xml:space="preserve">r la Secretaría en </w:t>
      </w:r>
      <w:r w:rsidR="001F2639" w:rsidRPr="00945DAB">
        <w:rPr>
          <w:rFonts w:cstheme="minorHAnsi"/>
          <w:lang w:val="es-ES"/>
        </w:rPr>
        <w:t>el cuadro sinóptico</w:t>
      </w:r>
      <w:r w:rsidR="008860FD" w:rsidRPr="00945DAB">
        <w:rPr>
          <w:rFonts w:cstheme="minorHAnsi"/>
          <w:lang w:val="es-ES"/>
        </w:rPr>
        <w:t>, asignando la prioridad de la siguiente manera:</w:t>
      </w:r>
    </w:p>
    <w:p w14:paraId="4513388B" w14:textId="263B9C07" w:rsidR="000B6A49" w:rsidRPr="00945DAB" w:rsidRDefault="008860FD" w:rsidP="00EC0F71">
      <w:pPr>
        <w:pStyle w:val="Default"/>
        <w:numPr>
          <w:ilvl w:val="0"/>
          <w:numId w:val="21"/>
        </w:numPr>
        <w:ind w:left="851" w:hanging="425"/>
        <w:rPr>
          <w:rFonts w:asciiTheme="minorHAnsi" w:hAnsiTheme="minorHAnsi" w:cstheme="minorHAnsi"/>
          <w:sz w:val="22"/>
          <w:szCs w:val="22"/>
          <w:lang w:val="es-ES"/>
        </w:rPr>
      </w:pPr>
      <w:r w:rsidRPr="00945DAB">
        <w:rPr>
          <w:rFonts w:asciiTheme="minorHAnsi" w:hAnsiTheme="minorHAnsi" w:cstheme="minorHAnsi"/>
          <w:i/>
          <w:iCs/>
          <w:sz w:val="22"/>
          <w:szCs w:val="22"/>
          <w:lang w:val="es-ES"/>
        </w:rPr>
        <w:t xml:space="preserve">Disposiciones administrativas: </w:t>
      </w:r>
      <w:r w:rsidRPr="00945DAB">
        <w:rPr>
          <w:rFonts w:asciiTheme="minorHAnsi" w:hAnsiTheme="minorHAnsi" w:cstheme="minorHAnsi"/>
          <w:sz w:val="22"/>
          <w:szCs w:val="22"/>
          <w:lang w:val="es-ES"/>
        </w:rPr>
        <w:t>5, prioridad alta</w:t>
      </w:r>
      <w:r w:rsidRPr="00945DAB">
        <w:rPr>
          <w:rFonts w:asciiTheme="minorHAnsi" w:hAnsiTheme="minorHAnsi" w:cstheme="minorHAnsi"/>
          <w:i/>
          <w:iCs/>
          <w:sz w:val="22"/>
          <w:szCs w:val="22"/>
          <w:lang w:val="es-ES"/>
        </w:rPr>
        <w:t xml:space="preserve"> </w:t>
      </w:r>
    </w:p>
    <w:p w14:paraId="0D6CF8DA" w14:textId="57DD7FCC" w:rsidR="000B6A49" w:rsidRPr="00945DAB" w:rsidRDefault="008860FD" w:rsidP="00EC0F71">
      <w:pPr>
        <w:pStyle w:val="Default"/>
        <w:numPr>
          <w:ilvl w:val="0"/>
          <w:numId w:val="21"/>
        </w:numPr>
        <w:ind w:left="851" w:hanging="425"/>
        <w:rPr>
          <w:rFonts w:asciiTheme="minorHAnsi" w:hAnsiTheme="minorHAnsi" w:cstheme="minorHAnsi"/>
          <w:sz w:val="22"/>
          <w:szCs w:val="22"/>
          <w:lang w:val="es-ES"/>
        </w:rPr>
      </w:pPr>
      <w:r w:rsidRPr="00945DAB">
        <w:rPr>
          <w:rFonts w:asciiTheme="minorHAnsi" w:hAnsiTheme="minorHAnsi" w:cstheme="minorHAnsi"/>
          <w:i/>
          <w:iCs/>
          <w:sz w:val="22"/>
          <w:szCs w:val="22"/>
          <w:lang w:val="es-ES"/>
        </w:rPr>
        <w:t xml:space="preserve">Gobernanza: </w:t>
      </w:r>
      <w:r w:rsidRPr="00945DAB">
        <w:rPr>
          <w:rFonts w:asciiTheme="minorHAnsi" w:hAnsiTheme="minorHAnsi" w:cstheme="minorHAnsi"/>
          <w:sz w:val="22"/>
          <w:szCs w:val="22"/>
          <w:lang w:val="es-ES"/>
        </w:rPr>
        <w:t>1, prioridad baja</w:t>
      </w:r>
      <w:r w:rsidRPr="00945DAB">
        <w:rPr>
          <w:rFonts w:asciiTheme="minorHAnsi" w:hAnsiTheme="minorHAnsi" w:cstheme="minorHAnsi"/>
          <w:i/>
          <w:iCs/>
          <w:sz w:val="22"/>
          <w:szCs w:val="22"/>
          <w:lang w:val="es-ES"/>
        </w:rPr>
        <w:t xml:space="preserve"> </w:t>
      </w:r>
    </w:p>
    <w:p w14:paraId="28937A32" w14:textId="677CAB58" w:rsidR="000B6A49" w:rsidRPr="00945DAB" w:rsidRDefault="008860FD" w:rsidP="00EC0F71">
      <w:pPr>
        <w:pStyle w:val="Default"/>
        <w:numPr>
          <w:ilvl w:val="0"/>
          <w:numId w:val="21"/>
        </w:numPr>
        <w:ind w:left="851" w:hanging="425"/>
        <w:rPr>
          <w:rFonts w:asciiTheme="minorHAnsi" w:hAnsiTheme="minorHAnsi" w:cstheme="minorHAnsi"/>
          <w:sz w:val="22"/>
          <w:szCs w:val="22"/>
          <w:lang w:val="es-ES"/>
        </w:rPr>
      </w:pPr>
      <w:r w:rsidRPr="00945DAB">
        <w:rPr>
          <w:rFonts w:asciiTheme="minorHAnsi" w:hAnsiTheme="minorHAnsi" w:cstheme="minorHAnsi"/>
          <w:i/>
          <w:iCs/>
          <w:sz w:val="22"/>
          <w:szCs w:val="22"/>
          <w:lang w:val="es-ES"/>
        </w:rPr>
        <w:t xml:space="preserve">Liderazgo: </w:t>
      </w:r>
      <w:r w:rsidRPr="00945DAB">
        <w:rPr>
          <w:rFonts w:asciiTheme="minorHAnsi" w:hAnsiTheme="minorHAnsi" w:cstheme="minorHAnsi"/>
          <w:sz w:val="22"/>
          <w:szCs w:val="22"/>
          <w:lang w:val="es-ES"/>
        </w:rPr>
        <w:t>3, prioridad media</w:t>
      </w:r>
      <w:r w:rsidRPr="00945DAB">
        <w:rPr>
          <w:rFonts w:asciiTheme="minorHAnsi" w:hAnsiTheme="minorHAnsi" w:cstheme="minorHAnsi"/>
          <w:i/>
          <w:iCs/>
          <w:sz w:val="22"/>
          <w:szCs w:val="22"/>
          <w:lang w:val="es-ES"/>
        </w:rPr>
        <w:t xml:space="preserve"> </w:t>
      </w:r>
    </w:p>
    <w:p w14:paraId="3CC39014" w14:textId="34C640F0" w:rsidR="000B6A49" w:rsidRPr="00945DAB" w:rsidRDefault="008860FD" w:rsidP="00EC0F71">
      <w:pPr>
        <w:pStyle w:val="Default"/>
        <w:numPr>
          <w:ilvl w:val="0"/>
          <w:numId w:val="21"/>
        </w:numPr>
        <w:ind w:left="851" w:hanging="425"/>
        <w:rPr>
          <w:rFonts w:asciiTheme="minorHAnsi" w:hAnsiTheme="minorHAnsi" w:cstheme="minorHAnsi"/>
          <w:sz w:val="22"/>
          <w:szCs w:val="22"/>
          <w:lang w:val="es-ES"/>
        </w:rPr>
      </w:pPr>
      <w:r w:rsidRPr="00945DAB">
        <w:rPr>
          <w:rFonts w:asciiTheme="minorHAnsi" w:hAnsiTheme="minorHAnsi" w:cstheme="minorHAnsi"/>
          <w:i/>
          <w:iCs/>
          <w:sz w:val="22"/>
          <w:szCs w:val="22"/>
          <w:lang w:val="es-ES"/>
        </w:rPr>
        <w:t xml:space="preserve">Independencia de los recursos humanos: </w:t>
      </w:r>
      <w:r w:rsidRPr="00945DAB">
        <w:rPr>
          <w:rFonts w:asciiTheme="minorHAnsi" w:hAnsiTheme="minorHAnsi" w:cstheme="minorHAnsi"/>
          <w:sz w:val="22"/>
          <w:szCs w:val="22"/>
          <w:lang w:val="es-ES"/>
        </w:rPr>
        <w:t>3, prioridad media</w:t>
      </w:r>
      <w:r w:rsidRPr="00945DAB">
        <w:rPr>
          <w:rFonts w:asciiTheme="minorHAnsi" w:hAnsiTheme="minorHAnsi" w:cstheme="minorHAnsi"/>
          <w:i/>
          <w:iCs/>
          <w:sz w:val="22"/>
          <w:szCs w:val="22"/>
          <w:lang w:val="es-ES"/>
        </w:rPr>
        <w:t xml:space="preserve"> </w:t>
      </w:r>
    </w:p>
    <w:p w14:paraId="357B26C8" w14:textId="34B5F53B" w:rsidR="000B6A49" w:rsidRPr="00945DAB" w:rsidRDefault="008860FD" w:rsidP="00EC0F71">
      <w:pPr>
        <w:pStyle w:val="Default"/>
        <w:numPr>
          <w:ilvl w:val="0"/>
          <w:numId w:val="21"/>
        </w:numPr>
        <w:ind w:left="851" w:hanging="425"/>
        <w:rPr>
          <w:rFonts w:asciiTheme="minorHAnsi" w:hAnsiTheme="minorHAnsi" w:cstheme="minorHAnsi"/>
          <w:sz w:val="22"/>
          <w:szCs w:val="22"/>
          <w:lang w:val="es-ES"/>
        </w:rPr>
      </w:pPr>
      <w:r w:rsidRPr="00945DAB">
        <w:rPr>
          <w:rFonts w:asciiTheme="minorHAnsi" w:hAnsiTheme="minorHAnsi" w:cstheme="minorHAnsi"/>
          <w:i/>
          <w:iCs/>
          <w:sz w:val="22"/>
          <w:szCs w:val="22"/>
          <w:lang w:val="es-ES"/>
        </w:rPr>
        <w:t xml:space="preserve">Compromiso político de alto nivel y objetivos de visibilidad de la Convención: </w:t>
      </w:r>
      <w:r w:rsidRPr="00945DAB">
        <w:rPr>
          <w:rFonts w:asciiTheme="minorHAnsi" w:hAnsiTheme="minorHAnsi" w:cstheme="minorHAnsi"/>
          <w:sz w:val="22"/>
          <w:szCs w:val="22"/>
          <w:lang w:val="es-ES"/>
        </w:rPr>
        <w:t xml:space="preserve">5, alta prioridad </w:t>
      </w:r>
    </w:p>
    <w:p w14:paraId="508BA67D" w14:textId="77777777" w:rsidR="004F30C2" w:rsidRPr="00945DAB" w:rsidRDefault="004F30C2" w:rsidP="00FC1EDB">
      <w:pPr>
        <w:tabs>
          <w:tab w:val="num" w:pos="720"/>
        </w:tabs>
        <w:spacing w:after="0" w:line="240" w:lineRule="auto"/>
        <w:rPr>
          <w:lang w:val="es-ES"/>
        </w:rPr>
      </w:pPr>
    </w:p>
    <w:p w14:paraId="187EEF77" w14:textId="438D9B32" w:rsidR="00EC5F3C" w:rsidRPr="00945DAB" w:rsidRDefault="008860FD" w:rsidP="00EC0F71">
      <w:pPr>
        <w:spacing w:after="0" w:line="240" w:lineRule="auto"/>
        <w:ind w:left="426"/>
        <w:rPr>
          <w:lang w:val="es-ES"/>
        </w:rPr>
      </w:pPr>
      <w:r w:rsidRPr="00945DAB">
        <w:rPr>
          <w:lang w:val="es-ES"/>
        </w:rPr>
        <w:t>Las cuestiones más prioritarias son los elementos que las Partes Contratantes interesadas consideran de gran importancia.</w:t>
      </w:r>
      <w:r w:rsidR="00EC5F3C" w:rsidRPr="00945DAB">
        <w:rPr>
          <w:lang w:val="es-ES"/>
        </w:rPr>
        <w:t xml:space="preserve"> </w:t>
      </w:r>
    </w:p>
    <w:p w14:paraId="58B56AD7" w14:textId="77777777" w:rsidR="002F6C06" w:rsidRPr="00945DAB" w:rsidRDefault="002F6C06" w:rsidP="00FC1EDB">
      <w:pPr>
        <w:spacing w:after="0" w:line="240" w:lineRule="auto"/>
        <w:rPr>
          <w:lang w:val="es-ES"/>
        </w:rPr>
      </w:pPr>
    </w:p>
    <w:p w14:paraId="12B28799" w14:textId="4D00E8A0" w:rsidR="004A70ED" w:rsidRPr="00945DAB" w:rsidRDefault="00FC1EDB" w:rsidP="00FC1EDB">
      <w:pPr>
        <w:spacing w:after="0" w:line="240" w:lineRule="auto"/>
        <w:ind w:left="426" w:hanging="426"/>
        <w:rPr>
          <w:lang w:val="es-ES"/>
        </w:rPr>
      </w:pPr>
      <w:r w:rsidRPr="00945DAB">
        <w:rPr>
          <w:lang w:val="es-ES"/>
        </w:rPr>
        <w:t>10.</w:t>
      </w:r>
      <w:r w:rsidRPr="00945DAB">
        <w:rPr>
          <w:lang w:val="es-ES"/>
        </w:rPr>
        <w:tab/>
      </w:r>
      <w:r w:rsidR="008860FD" w:rsidRPr="00945DAB">
        <w:rPr>
          <w:lang w:val="es-ES"/>
        </w:rPr>
        <w:t>Además de establecer estas prioridades, las Partes Contratantes interesadas propusieron recomendaciones de acción que incluían:</w:t>
      </w:r>
    </w:p>
    <w:p w14:paraId="350C9577" w14:textId="36E92182" w:rsidR="004A70ED" w:rsidRPr="00945DAB" w:rsidRDefault="003E4740" w:rsidP="004A70ED">
      <w:pPr>
        <w:spacing w:after="0" w:line="240" w:lineRule="auto"/>
        <w:ind w:left="851" w:hanging="426"/>
        <w:rPr>
          <w:lang w:val="es-ES"/>
        </w:rPr>
      </w:pPr>
      <w:r w:rsidRPr="00945DAB">
        <w:rPr>
          <w:lang w:val="es-ES"/>
        </w:rPr>
        <w:t>a</w:t>
      </w:r>
      <w:r w:rsidR="004A70ED" w:rsidRPr="00945DAB">
        <w:rPr>
          <w:lang w:val="es-ES"/>
        </w:rPr>
        <w:t>.</w:t>
      </w:r>
      <w:r w:rsidR="004A70ED" w:rsidRPr="00945DAB">
        <w:rPr>
          <w:lang w:val="es-ES"/>
        </w:rPr>
        <w:tab/>
      </w:r>
      <w:r w:rsidR="008860FD" w:rsidRPr="00945DAB">
        <w:rPr>
          <w:lang w:val="es-ES"/>
        </w:rPr>
        <w:t>la preparación de un proyecto de resolución para su examen por el Comité Permanente y la COP;</w:t>
      </w:r>
    </w:p>
    <w:p w14:paraId="22CF41B6" w14:textId="28B75AD5" w:rsidR="004A70ED" w:rsidRPr="00945DAB" w:rsidRDefault="004A70ED" w:rsidP="004A70ED">
      <w:pPr>
        <w:spacing w:after="0" w:line="240" w:lineRule="auto"/>
        <w:ind w:left="851" w:hanging="426"/>
        <w:rPr>
          <w:lang w:val="es-ES"/>
        </w:rPr>
      </w:pPr>
      <w:r w:rsidRPr="00945DAB">
        <w:rPr>
          <w:lang w:val="es-ES"/>
        </w:rPr>
        <w:t>b.</w:t>
      </w:r>
      <w:r w:rsidRPr="00945DAB">
        <w:rPr>
          <w:lang w:val="es-ES"/>
        </w:rPr>
        <w:tab/>
      </w:r>
      <w:r w:rsidR="008860FD" w:rsidRPr="00945DAB">
        <w:rPr>
          <w:lang w:val="es-ES"/>
        </w:rPr>
        <w:t>la plena transición de la Secretaría al Sistema de las Naciones Unidas;</w:t>
      </w:r>
    </w:p>
    <w:p w14:paraId="3CB75EF4" w14:textId="1D2478B8" w:rsidR="004A70ED" w:rsidRPr="00945DAB" w:rsidRDefault="003C7364" w:rsidP="004A70ED">
      <w:pPr>
        <w:spacing w:after="0" w:line="240" w:lineRule="auto"/>
        <w:ind w:left="851" w:hanging="426"/>
        <w:rPr>
          <w:lang w:val="es-ES"/>
        </w:rPr>
      </w:pPr>
      <w:r w:rsidRPr="00945DAB">
        <w:rPr>
          <w:lang w:val="es-ES"/>
        </w:rPr>
        <w:t>c</w:t>
      </w:r>
      <w:r w:rsidR="004A70ED" w:rsidRPr="00945DAB">
        <w:rPr>
          <w:lang w:val="es-ES"/>
        </w:rPr>
        <w:t>.</w:t>
      </w:r>
      <w:r w:rsidR="004A70ED" w:rsidRPr="00945DAB">
        <w:rPr>
          <w:lang w:val="es-ES"/>
        </w:rPr>
        <w:tab/>
      </w:r>
      <w:r w:rsidR="008860FD" w:rsidRPr="00945DAB">
        <w:rPr>
          <w:lang w:val="es-ES"/>
        </w:rPr>
        <w:t xml:space="preserve">la identificación de soluciones a corto y largo plazo; </w:t>
      </w:r>
    </w:p>
    <w:p w14:paraId="2DEE6563" w14:textId="1B37EE6F" w:rsidR="004A70ED" w:rsidRPr="00945DAB" w:rsidRDefault="003C7364" w:rsidP="004A70ED">
      <w:pPr>
        <w:spacing w:after="0" w:line="240" w:lineRule="auto"/>
        <w:ind w:left="851" w:hanging="426"/>
        <w:rPr>
          <w:lang w:val="es-ES"/>
        </w:rPr>
      </w:pPr>
      <w:r w:rsidRPr="00945DAB">
        <w:rPr>
          <w:lang w:val="es-ES"/>
        </w:rPr>
        <w:t>d</w:t>
      </w:r>
      <w:r w:rsidR="004A70ED" w:rsidRPr="00945DAB">
        <w:rPr>
          <w:lang w:val="es-ES"/>
        </w:rPr>
        <w:t>.</w:t>
      </w:r>
      <w:r w:rsidR="004A70ED" w:rsidRPr="00945DAB">
        <w:rPr>
          <w:lang w:val="es-ES"/>
        </w:rPr>
        <w:tab/>
      </w:r>
      <w:r w:rsidR="008860FD" w:rsidRPr="00945DAB">
        <w:rPr>
          <w:lang w:val="es-ES"/>
        </w:rPr>
        <w:t xml:space="preserve">la participación del </w:t>
      </w:r>
      <w:r w:rsidR="00170E72" w:rsidRPr="00945DAB">
        <w:rPr>
          <w:lang w:val="es-ES"/>
        </w:rPr>
        <w:t>Grupo de Trabajo Administrativo</w:t>
      </w:r>
      <w:r w:rsidR="008860FD" w:rsidRPr="00945DAB">
        <w:rPr>
          <w:lang w:val="es-ES"/>
        </w:rPr>
        <w:t xml:space="preserve"> y del Subgrupo de Finanzas;</w:t>
      </w:r>
    </w:p>
    <w:p w14:paraId="5FEFCCC3" w14:textId="4BC2C5A8" w:rsidR="004A70ED" w:rsidRPr="00945DAB" w:rsidRDefault="003C7364" w:rsidP="004A70ED">
      <w:pPr>
        <w:spacing w:after="0" w:line="240" w:lineRule="auto"/>
        <w:ind w:left="851" w:hanging="426"/>
        <w:rPr>
          <w:lang w:val="es-ES"/>
        </w:rPr>
      </w:pPr>
      <w:r w:rsidRPr="00945DAB">
        <w:rPr>
          <w:lang w:val="es-ES"/>
        </w:rPr>
        <w:t>e</w:t>
      </w:r>
      <w:r w:rsidR="004A70ED" w:rsidRPr="00945DAB">
        <w:rPr>
          <w:lang w:val="es-ES"/>
        </w:rPr>
        <w:t>.</w:t>
      </w:r>
      <w:r w:rsidR="004A70ED" w:rsidRPr="00945DAB">
        <w:rPr>
          <w:lang w:val="es-ES"/>
        </w:rPr>
        <w:tab/>
      </w:r>
      <w:r w:rsidR="008860FD" w:rsidRPr="00945DAB">
        <w:rPr>
          <w:lang w:val="es-ES"/>
        </w:rPr>
        <w:t xml:space="preserve">reuniones bilaterales con el país anfitrión y las Partes Contratantes no presentes en la reunión; y </w:t>
      </w:r>
    </w:p>
    <w:p w14:paraId="1590C36D" w14:textId="0A2593C1" w:rsidR="004A70ED" w:rsidRPr="00945DAB" w:rsidRDefault="003C7364" w:rsidP="004A70ED">
      <w:pPr>
        <w:spacing w:after="0" w:line="240" w:lineRule="auto"/>
        <w:ind w:left="851" w:hanging="426"/>
        <w:rPr>
          <w:lang w:val="es-ES"/>
        </w:rPr>
      </w:pPr>
      <w:r w:rsidRPr="00945DAB">
        <w:rPr>
          <w:lang w:val="es-ES"/>
        </w:rPr>
        <w:t>f</w:t>
      </w:r>
      <w:r w:rsidR="004A70ED" w:rsidRPr="00945DAB">
        <w:rPr>
          <w:lang w:val="es-ES"/>
        </w:rPr>
        <w:t>.</w:t>
      </w:r>
      <w:r w:rsidR="004A70ED" w:rsidRPr="00945DAB">
        <w:rPr>
          <w:lang w:val="es-ES"/>
        </w:rPr>
        <w:tab/>
      </w:r>
      <w:r w:rsidR="008860FD" w:rsidRPr="00945DAB">
        <w:rPr>
          <w:lang w:val="es-ES"/>
        </w:rPr>
        <w:t xml:space="preserve">el establecimiento de un grupo de trabajo para llevar adelante el proceso, incluida la preparación de un proyecto de resolución. </w:t>
      </w:r>
    </w:p>
    <w:p w14:paraId="5E4EE7E8" w14:textId="77777777" w:rsidR="004A70ED" w:rsidRPr="00945DAB" w:rsidRDefault="004A70ED" w:rsidP="00FC1EDB">
      <w:pPr>
        <w:spacing w:after="0" w:line="240" w:lineRule="auto"/>
        <w:ind w:left="426" w:hanging="426"/>
        <w:rPr>
          <w:lang w:val="es-ES"/>
        </w:rPr>
      </w:pPr>
    </w:p>
    <w:p w14:paraId="42D0A64D" w14:textId="5EA1FECC" w:rsidR="000B6A49" w:rsidRPr="00945DAB" w:rsidRDefault="008860FD" w:rsidP="00EC0F71">
      <w:pPr>
        <w:spacing w:after="0" w:line="240" w:lineRule="auto"/>
        <w:ind w:left="426"/>
        <w:rPr>
          <w:lang w:val="es-ES"/>
        </w:rPr>
      </w:pPr>
      <w:r w:rsidRPr="00945DAB">
        <w:rPr>
          <w:lang w:val="es-ES"/>
        </w:rPr>
        <w:t xml:space="preserve">Las Partes Contratantes señalaron que existen diferentes puntos de vista sobre la forma de avanzar en este trabajo, especialmente en lo que respecta a la acogida de la Secretaría, y que deben tenerse en cuenta tanto los beneficios derivados de una mejor aplicación de la Convención como los riesgos potenciales. </w:t>
      </w:r>
    </w:p>
    <w:p w14:paraId="5988BCE6" w14:textId="77777777" w:rsidR="00713454" w:rsidRPr="00945DAB" w:rsidRDefault="00713454" w:rsidP="00EC0F71">
      <w:pPr>
        <w:spacing w:after="0" w:line="240" w:lineRule="auto"/>
        <w:ind w:left="426" w:hanging="426"/>
        <w:rPr>
          <w:lang w:val="es-ES"/>
        </w:rPr>
      </w:pPr>
    </w:p>
    <w:p w14:paraId="175192C0" w14:textId="4469271F" w:rsidR="002F6C06" w:rsidRPr="00945DAB" w:rsidRDefault="00C2195B" w:rsidP="00EC0F71">
      <w:pPr>
        <w:spacing w:after="0" w:line="240" w:lineRule="auto"/>
        <w:ind w:left="426" w:hanging="426"/>
        <w:rPr>
          <w:lang w:val="es-ES"/>
        </w:rPr>
      </w:pPr>
      <w:r w:rsidRPr="00945DAB">
        <w:rPr>
          <w:lang w:val="es-ES"/>
        </w:rPr>
        <w:t>11.</w:t>
      </w:r>
      <w:r w:rsidRPr="00945DAB">
        <w:rPr>
          <w:lang w:val="es-ES"/>
        </w:rPr>
        <w:tab/>
      </w:r>
      <w:r w:rsidR="008860FD" w:rsidRPr="00945DAB">
        <w:rPr>
          <w:lang w:val="es-ES"/>
        </w:rPr>
        <w:t xml:space="preserve">A raíz de las recomendaciones de las Partes </w:t>
      </w:r>
      <w:r w:rsidR="001F2639" w:rsidRPr="00945DAB">
        <w:rPr>
          <w:lang w:val="es-ES"/>
        </w:rPr>
        <w:t>C</w:t>
      </w:r>
      <w:r w:rsidR="008860FD" w:rsidRPr="00945DAB">
        <w:rPr>
          <w:lang w:val="es-ES"/>
        </w:rPr>
        <w:t xml:space="preserve">ontratantes interesadas, la Secretaría ha formulado recomendaciones para lograr una solidez organizativa que respalde la aplicación de la Convención. El cuadro </w:t>
      </w:r>
      <w:r w:rsidR="001F2639" w:rsidRPr="00945DAB">
        <w:rPr>
          <w:lang w:val="es-ES"/>
        </w:rPr>
        <w:t>sinóptico</w:t>
      </w:r>
      <w:r w:rsidR="008860FD" w:rsidRPr="00945DAB">
        <w:rPr>
          <w:lang w:val="es-ES"/>
        </w:rPr>
        <w:t xml:space="preserve"> que figura en el </w:t>
      </w:r>
      <w:r w:rsidR="001F2639" w:rsidRPr="00945DAB">
        <w:rPr>
          <w:lang w:val="es-ES"/>
        </w:rPr>
        <w:t>A</w:t>
      </w:r>
      <w:r w:rsidR="008860FD" w:rsidRPr="00945DAB">
        <w:rPr>
          <w:lang w:val="es-ES"/>
        </w:rPr>
        <w:t xml:space="preserve">nexo 2 del presente documento refleja el orden de prioridades y las recomendaciones propuestas por las Partes Contratantes interesadas y la Secretaría. </w:t>
      </w:r>
    </w:p>
    <w:p w14:paraId="2F778BFE" w14:textId="77777777" w:rsidR="00C2195B" w:rsidRPr="00945DAB" w:rsidRDefault="00C2195B">
      <w:pPr>
        <w:rPr>
          <w:rFonts w:cstheme="minorHAnsi"/>
          <w:b/>
          <w:bCs/>
          <w:lang w:val="es-ES"/>
        </w:rPr>
      </w:pPr>
      <w:r w:rsidRPr="00945DAB">
        <w:rPr>
          <w:rFonts w:cstheme="minorHAnsi"/>
          <w:b/>
          <w:bCs/>
          <w:lang w:val="es-ES"/>
        </w:rPr>
        <w:br w:type="page"/>
      </w:r>
    </w:p>
    <w:p w14:paraId="5CBE2FE4" w14:textId="02EBC92D" w:rsidR="008860FD" w:rsidRPr="00945DAB" w:rsidRDefault="008860FD" w:rsidP="008860FD">
      <w:pPr>
        <w:spacing w:after="0" w:line="240" w:lineRule="auto"/>
        <w:rPr>
          <w:b/>
          <w:sz w:val="24"/>
          <w:lang w:val="es-ES"/>
        </w:rPr>
      </w:pPr>
      <w:r w:rsidRPr="00945DAB">
        <w:rPr>
          <w:b/>
          <w:sz w:val="24"/>
          <w:lang w:val="es-ES"/>
        </w:rPr>
        <w:lastRenderedPageBreak/>
        <w:t>Anexo 1</w:t>
      </w:r>
    </w:p>
    <w:p w14:paraId="18CB7BD9" w14:textId="77777777" w:rsidR="008860FD" w:rsidRPr="00945DAB" w:rsidRDefault="008860FD" w:rsidP="008860FD">
      <w:pPr>
        <w:spacing w:after="0" w:line="240" w:lineRule="auto"/>
        <w:rPr>
          <w:b/>
          <w:sz w:val="24"/>
          <w:lang w:val="es-ES"/>
        </w:rPr>
      </w:pPr>
      <w:r w:rsidRPr="00945DAB">
        <w:rPr>
          <w:b/>
          <w:sz w:val="24"/>
          <w:lang w:val="es-ES"/>
        </w:rPr>
        <w:t>Partes Contratantes que expresaron su interés en participar en el proceso de consulta en respuesta a la Resolución XIV.6, párrafo 22</w:t>
      </w:r>
    </w:p>
    <w:p w14:paraId="04B6C376" w14:textId="0FE2F220" w:rsidR="00BD4E4C" w:rsidRPr="00945DAB" w:rsidRDefault="00BD4E4C" w:rsidP="00BD4E4C">
      <w:pPr>
        <w:spacing w:after="0" w:line="240" w:lineRule="auto"/>
        <w:rPr>
          <w:lang w:val="es-ES"/>
        </w:rPr>
      </w:pPr>
    </w:p>
    <w:p w14:paraId="106F7AB6" w14:textId="77777777" w:rsidR="00064B3C" w:rsidRPr="00945DAB" w:rsidRDefault="00064B3C" w:rsidP="00BD4E4C">
      <w:pPr>
        <w:spacing w:after="0" w:line="240" w:lineRule="auto"/>
        <w:rPr>
          <w:lang w:val="es-ES"/>
        </w:rPr>
      </w:pPr>
    </w:p>
    <w:tbl>
      <w:tblPr>
        <w:tblStyle w:val="TableGrid"/>
        <w:tblW w:w="0" w:type="auto"/>
        <w:tblInd w:w="-5" w:type="dxa"/>
        <w:tblLook w:val="04A0" w:firstRow="1" w:lastRow="0" w:firstColumn="1" w:lastColumn="0" w:noHBand="0" w:noVBand="1"/>
      </w:tblPr>
      <w:tblGrid>
        <w:gridCol w:w="3544"/>
        <w:gridCol w:w="4820"/>
      </w:tblGrid>
      <w:tr w:rsidR="00BD4E4C" w:rsidRPr="00945DAB" w14:paraId="0EBBCB0F" w14:textId="77777777" w:rsidTr="00EC0F71">
        <w:trPr>
          <w:trHeight w:val="290"/>
        </w:trPr>
        <w:tc>
          <w:tcPr>
            <w:tcW w:w="3544" w:type="dxa"/>
            <w:noWrap/>
            <w:hideMark/>
          </w:tcPr>
          <w:p w14:paraId="72753538" w14:textId="51BDEF52" w:rsidR="00BD4E4C" w:rsidRPr="00945DAB" w:rsidRDefault="008860FD" w:rsidP="00D072D4">
            <w:pPr>
              <w:rPr>
                <w:b/>
                <w:lang w:val="es-ES"/>
              </w:rPr>
            </w:pPr>
            <w:r w:rsidRPr="00945DAB">
              <w:rPr>
                <w:b/>
                <w:lang w:val="es-ES"/>
              </w:rPr>
              <w:t>Región</w:t>
            </w:r>
          </w:p>
        </w:tc>
        <w:tc>
          <w:tcPr>
            <w:tcW w:w="4820" w:type="dxa"/>
            <w:noWrap/>
            <w:hideMark/>
          </w:tcPr>
          <w:p w14:paraId="15879DC2" w14:textId="342A13D4" w:rsidR="00BD4E4C" w:rsidRPr="00945DAB" w:rsidRDefault="008860FD" w:rsidP="00D072D4">
            <w:pPr>
              <w:rPr>
                <w:b/>
                <w:lang w:val="es-ES"/>
              </w:rPr>
            </w:pPr>
            <w:r w:rsidRPr="00945DAB">
              <w:rPr>
                <w:b/>
                <w:lang w:val="es-ES"/>
              </w:rPr>
              <w:t>Parte Contratante</w:t>
            </w:r>
          </w:p>
        </w:tc>
      </w:tr>
      <w:tr w:rsidR="00BD4E4C" w:rsidRPr="00945DAB" w14:paraId="31229BD3" w14:textId="77777777" w:rsidTr="00EC0F71">
        <w:trPr>
          <w:trHeight w:val="290"/>
        </w:trPr>
        <w:tc>
          <w:tcPr>
            <w:tcW w:w="3544" w:type="dxa"/>
            <w:vMerge w:val="restart"/>
            <w:noWrap/>
            <w:hideMark/>
          </w:tcPr>
          <w:p w14:paraId="5569BF09" w14:textId="1101EB13" w:rsidR="00BD4E4C" w:rsidRPr="00945DAB" w:rsidRDefault="008860FD" w:rsidP="00D072D4">
            <w:pPr>
              <w:rPr>
                <w:lang w:val="es-ES"/>
              </w:rPr>
            </w:pPr>
            <w:r w:rsidRPr="00945DAB">
              <w:rPr>
                <w:lang w:val="es-ES"/>
              </w:rPr>
              <w:t>África</w:t>
            </w:r>
          </w:p>
        </w:tc>
        <w:tc>
          <w:tcPr>
            <w:tcW w:w="4820" w:type="dxa"/>
            <w:noWrap/>
            <w:hideMark/>
          </w:tcPr>
          <w:p w14:paraId="54D2AC23" w14:textId="371F4631" w:rsidR="00BD4E4C" w:rsidRPr="00945DAB" w:rsidRDefault="00BD4E4C" w:rsidP="00D072D4">
            <w:pPr>
              <w:rPr>
                <w:lang w:val="es-ES"/>
              </w:rPr>
            </w:pPr>
            <w:r w:rsidRPr="00945DAB">
              <w:rPr>
                <w:lang w:val="es-ES"/>
              </w:rPr>
              <w:t>A</w:t>
            </w:r>
            <w:r w:rsidR="008860FD" w:rsidRPr="00945DAB">
              <w:rPr>
                <w:lang w:val="es-ES"/>
              </w:rPr>
              <w:t>r</w:t>
            </w:r>
            <w:r w:rsidRPr="00945DAB">
              <w:rPr>
                <w:lang w:val="es-ES"/>
              </w:rPr>
              <w:t>ge</w:t>
            </w:r>
            <w:r w:rsidR="008860FD" w:rsidRPr="00945DAB">
              <w:rPr>
                <w:lang w:val="es-ES"/>
              </w:rPr>
              <w:t>li</w:t>
            </w:r>
            <w:r w:rsidRPr="00945DAB">
              <w:rPr>
                <w:lang w:val="es-ES"/>
              </w:rPr>
              <w:t>a</w:t>
            </w:r>
          </w:p>
        </w:tc>
      </w:tr>
      <w:tr w:rsidR="00BD4E4C" w:rsidRPr="00945DAB" w14:paraId="28DD760B" w14:textId="77777777" w:rsidTr="00EC0F71">
        <w:trPr>
          <w:trHeight w:val="290"/>
        </w:trPr>
        <w:tc>
          <w:tcPr>
            <w:tcW w:w="3544" w:type="dxa"/>
            <w:vMerge/>
            <w:noWrap/>
            <w:hideMark/>
          </w:tcPr>
          <w:p w14:paraId="17C0B0B7" w14:textId="77777777" w:rsidR="00BD4E4C" w:rsidRPr="00945DAB" w:rsidRDefault="00BD4E4C" w:rsidP="00D072D4">
            <w:pPr>
              <w:rPr>
                <w:lang w:val="es-ES"/>
              </w:rPr>
            </w:pPr>
          </w:p>
        </w:tc>
        <w:tc>
          <w:tcPr>
            <w:tcW w:w="4820" w:type="dxa"/>
            <w:noWrap/>
            <w:hideMark/>
          </w:tcPr>
          <w:p w14:paraId="564825C2" w14:textId="77777777" w:rsidR="00BD4E4C" w:rsidRPr="00945DAB" w:rsidRDefault="00BD4E4C" w:rsidP="00D072D4">
            <w:pPr>
              <w:rPr>
                <w:lang w:val="es-ES"/>
              </w:rPr>
            </w:pPr>
            <w:r w:rsidRPr="00945DAB">
              <w:rPr>
                <w:lang w:val="es-ES"/>
              </w:rPr>
              <w:t>Burkina Faso</w:t>
            </w:r>
          </w:p>
        </w:tc>
      </w:tr>
      <w:tr w:rsidR="00BD4E4C" w:rsidRPr="00945DAB" w14:paraId="0989B919" w14:textId="77777777" w:rsidTr="00EC0F71">
        <w:trPr>
          <w:trHeight w:val="290"/>
        </w:trPr>
        <w:tc>
          <w:tcPr>
            <w:tcW w:w="3544" w:type="dxa"/>
            <w:vMerge/>
            <w:noWrap/>
            <w:hideMark/>
          </w:tcPr>
          <w:p w14:paraId="5306536B" w14:textId="77777777" w:rsidR="00BD4E4C" w:rsidRPr="00945DAB" w:rsidRDefault="00BD4E4C" w:rsidP="00D072D4">
            <w:pPr>
              <w:rPr>
                <w:lang w:val="es-ES"/>
              </w:rPr>
            </w:pPr>
          </w:p>
        </w:tc>
        <w:tc>
          <w:tcPr>
            <w:tcW w:w="4820" w:type="dxa"/>
            <w:noWrap/>
            <w:hideMark/>
          </w:tcPr>
          <w:p w14:paraId="34BB1E64" w14:textId="0F2F87D5" w:rsidR="00BD4E4C" w:rsidRPr="00945DAB" w:rsidRDefault="001F2639" w:rsidP="00D072D4">
            <w:pPr>
              <w:rPr>
                <w:lang w:val="es-ES"/>
              </w:rPr>
            </w:pPr>
            <w:r w:rsidRPr="00945DAB">
              <w:rPr>
                <w:lang w:val="es-ES"/>
              </w:rPr>
              <w:t>Gambia</w:t>
            </w:r>
          </w:p>
        </w:tc>
      </w:tr>
      <w:tr w:rsidR="00BD4E4C" w:rsidRPr="00945DAB" w14:paraId="3517A821" w14:textId="77777777" w:rsidTr="00EC0F71">
        <w:trPr>
          <w:trHeight w:val="290"/>
        </w:trPr>
        <w:tc>
          <w:tcPr>
            <w:tcW w:w="3544" w:type="dxa"/>
            <w:vMerge/>
            <w:noWrap/>
          </w:tcPr>
          <w:p w14:paraId="038EB499" w14:textId="77777777" w:rsidR="00BD4E4C" w:rsidRPr="00945DAB" w:rsidRDefault="00BD4E4C" w:rsidP="00D072D4">
            <w:pPr>
              <w:rPr>
                <w:lang w:val="es-ES"/>
              </w:rPr>
            </w:pPr>
          </w:p>
        </w:tc>
        <w:tc>
          <w:tcPr>
            <w:tcW w:w="4820" w:type="dxa"/>
            <w:noWrap/>
          </w:tcPr>
          <w:p w14:paraId="14B3141F" w14:textId="7229E338" w:rsidR="00BD4E4C" w:rsidRPr="00945DAB" w:rsidRDefault="001F2639" w:rsidP="00D072D4">
            <w:pPr>
              <w:rPr>
                <w:lang w:val="es-ES"/>
              </w:rPr>
            </w:pPr>
            <w:r w:rsidRPr="00945DAB">
              <w:rPr>
                <w:lang w:val="es-ES"/>
              </w:rPr>
              <w:t>Liberia</w:t>
            </w:r>
          </w:p>
        </w:tc>
      </w:tr>
      <w:tr w:rsidR="00BD4E4C" w:rsidRPr="00945DAB" w14:paraId="532D921C" w14:textId="77777777" w:rsidTr="00EC0F71">
        <w:trPr>
          <w:trHeight w:val="290"/>
        </w:trPr>
        <w:tc>
          <w:tcPr>
            <w:tcW w:w="3544" w:type="dxa"/>
            <w:vMerge/>
            <w:noWrap/>
          </w:tcPr>
          <w:p w14:paraId="6799BCAC" w14:textId="77777777" w:rsidR="00BD4E4C" w:rsidRPr="00945DAB" w:rsidRDefault="00BD4E4C" w:rsidP="00D072D4">
            <w:pPr>
              <w:rPr>
                <w:lang w:val="es-ES"/>
              </w:rPr>
            </w:pPr>
          </w:p>
        </w:tc>
        <w:tc>
          <w:tcPr>
            <w:tcW w:w="4820" w:type="dxa"/>
            <w:noWrap/>
          </w:tcPr>
          <w:p w14:paraId="0FE805A7" w14:textId="5AF771CA" w:rsidR="00BD4E4C" w:rsidRPr="00945DAB" w:rsidRDefault="001F2639" w:rsidP="00D072D4">
            <w:pPr>
              <w:rPr>
                <w:lang w:val="es-ES"/>
              </w:rPr>
            </w:pPr>
            <w:r w:rsidRPr="00945DAB">
              <w:rPr>
                <w:lang w:val="es-ES"/>
              </w:rPr>
              <w:t>Malí</w:t>
            </w:r>
          </w:p>
        </w:tc>
      </w:tr>
      <w:tr w:rsidR="00BD4E4C" w:rsidRPr="00945DAB" w14:paraId="28FDFE2F" w14:textId="77777777" w:rsidTr="00EC0F71">
        <w:trPr>
          <w:trHeight w:val="290"/>
        </w:trPr>
        <w:tc>
          <w:tcPr>
            <w:tcW w:w="3544" w:type="dxa"/>
            <w:vMerge/>
            <w:noWrap/>
          </w:tcPr>
          <w:p w14:paraId="164B3017" w14:textId="77777777" w:rsidR="00BD4E4C" w:rsidRPr="00945DAB" w:rsidRDefault="00BD4E4C" w:rsidP="00D072D4">
            <w:pPr>
              <w:rPr>
                <w:lang w:val="es-ES"/>
              </w:rPr>
            </w:pPr>
          </w:p>
        </w:tc>
        <w:tc>
          <w:tcPr>
            <w:tcW w:w="4820" w:type="dxa"/>
            <w:noWrap/>
          </w:tcPr>
          <w:p w14:paraId="5D8095C1" w14:textId="152E24C7" w:rsidR="00BD4E4C" w:rsidRPr="00945DAB" w:rsidRDefault="001F2639" w:rsidP="00D072D4">
            <w:pPr>
              <w:rPr>
                <w:lang w:val="es-ES"/>
              </w:rPr>
            </w:pPr>
            <w:r w:rsidRPr="00945DAB">
              <w:rPr>
                <w:lang w:val="es-ES"/>
              </w:rPr>
              <w:t>República Democrática del Congo</w:t>
            </w:r>
          </w:p>
        </w:tc>
      </w:tr>
      <w:tr w:rsidR="00BD4E4C" w:rsidRPr="00945DAB" w14:paraId="49167D39" w14:textId="77777777" w:rsidTr="00EC0F71">
        <w:trPr>
          <w:trHeight w:val="290"/>
        </w:trPr>
        <w:tc>
          <w:tcPr>
            <w:tcW w:w="3544" w:type="dxa"/>
            <w:vMerge/>
            <w:noWrap/>
          </w:tcPr>
          <w:p w14:paraId="330D0839" w14:textId="77777777" w:rsidR="00BD4E4C" w:rsidRPr="00945DAB" w:rsidRDefault="00BD4E4C" w:rsidP="00D072D4">
            <w:pPr>
              <w:rPr>
                <w:lang w:val="es-ES"/>
              </w:rPr>
            </w:pPr>
          </w:p>
        </w:tc>
        <w:tc>
          <w:tcPr>
            <w:tcW w:w="4820" w:type="dxa"/>
            <w:noWrap/>
          </w:tcPr>
          <w:p w14:paraId="1601408F" w14:textId="77777777" w:rsidR="00BD4E4C" w:rsidRPr="00945DAB" w:rsidRDefault="00BD4E4C" w:rsidP="00D072D4">
            <w:pPr>
              <w:rPr>
                <w:lang w:val="es-ES"/>
              </w:rPr>
            </w:pPr>
            <w:r w:rsidRPr="00945DAB">
              <w:rPr>
                <w:lang w:val="es-ES"/>
              </w:rPr>
              <w:t>Rwanda</w:t>
            </w:r>
          </w:p>
        </w:tc>
      </w:tr>
      <w:tr w:rsidR="00BD4E4C" w:rsidRPr="00945DAB" w14:paraId="702985F4" w14:textId="77777777" w:rsidTr="00EC0F71">
        <w:trPr>
          <w:trHeight w:val="290"/>
        </w:trPr>
        <w:tc>
          <w:tcPr>
            <w:tcW w:w="3544" w:type="dxa"/>
            <w:vMerge/>
            <w:noWrap/>
          </w:tcPr>
          <w:p w14:paraId="7ECED449" w14:textId="77777777" w:rsidR="00BD4E4C" w:rsidRPr="00945DAB" w:rsidRDefault="00BD4E4C" w:rsidP="00D072D4">
            <w:pPr>
              <w:rPr>
                <w:lang w:val="es-ES"/>
              </w:rPr>
            </w:pPr>
          </w:p>
        </w:tc>
        <w:tc>
          <w:tcPr>
            <w:tcW w:w="4820" w:type="dxa"/>
            <w:noWrap/>
          </w:tcPr>
          <w:p w14:paraId="5FB2F9E4" w14:textId="77777777" w:rsidR="00BD4E4C" w:rsidRPr="00945DAB" w:rsidRDefault="00BD4E4C" w:rsidP="00D072D4">
            <w:pPr>
              <w:rPr>
                <w:lang w:val="es-ES"/>
              </w:rPr>
            </w:pPr>
            <w:r w:rsidRPr="00945DAB">
              <w:rPr>
                <w:lang w:val="es-ES"/>
              </w:rPr>
              <w:t>Uganda</w:t>
            </w:r>
          </w:p>
        </w:tc>
      </w:tr>
      <w:tr w:rsidR="00BD4E4C" w:rsidRPr="00945DAB" w14:paraId="56E454EF" w14:textId="77777777" w:rsidTr="00EC0F71">
        <w:trPr>
          <w:trHeight w:val="290"/>
        </w:trPr>
        <w:tc>
          <w:tcPr>
            <w:tcW w:w="3544" w:type="dxa"/>
            <w:vMerge w:val="restart"/>
            <w:noWrap/>
          </w:tcPr>
          <w:p w14:paraId="0404D196" w14:textId="1B05F4B5" w:rsidR="00BD4E4C" w:rsidRPr="00945DAB" w:rsidRDefault="00C2195B" w:rsidP="00D072D4">
            <w:pPr>
              <w:rPr>
                <w:lang w:val="es-ES"/>
              </w:rPr>
            </w:pPr>
            <w:r w:rsidRPr="00945DAB">
              <w:rPr>
                <w:lang w:val="es-ES"/>
              </w:rPr>
              <w:t>Asia</w:t>
            </w:r>
          </w:p>
        </w:tc>
        <w:tc>
          <w:tcPr>
            <w:tcW w:w="4820" w:type="dxa"/>
            <w:noWrap/>
          </w:tcPr>
          <w:p w14:paraId="47E9295B" w14:textId="77777777" w:rsidR="00BD4E4C" w:rsidRPr="00945DAB" w:rsidRDefault="00BD4E4C" w:rsidP="00D072D4">
            <w:pPr>
              <w:rPr>
                <w:lang w:val="es-ES"/>
              </w:rPr>
            </w:pPr>
            <w:r w:rsidRPr="00945DAB">
              <w:rPr>
                <w:lang w:val="es-ES"/>
              </w:rPr>
              <w:t>Indonesia</w:t>
            </w:r>
          </w:p>
        </w:tc>
      </w:tr>
      <w:tr w:rsidR="00BD4E4C" w:rsidRPr="00945DAB" w14:paraId="331EA204" w14:textId="77777777" w:rsidTr="00EC0F71">
        <w:trPr>
          <w:trHeight w:val="290"/>
        </w:trPr>
        <w:tc>
          <w:tcPr>
            <w:tcW w:w="3544" w:type="dxa"/>
            <w:vMerge/>
            <w:noWrap/>
          </w:tcPr>
          <w:p w14:paraId="109B3C9A" w14:textId="77777777" w:rsidR="00BD4E4C" w:rsidRPr="00945DAB" w:rsidRDefault="00BD4E4C" w:rsidP="00D072D4">
            <w:pPr>
              <w:rPr>
                <w:lang w:val="es-ES"/>
              </w:rPr>
            </w:pPr>
          </w:p>
        </w:tc>
        <w:tc>
          <w:tcPr>
            <w:tcW w:w="4820" w:type="dxa"/>
            <w:noWrap/>
          </w:tcPr>
          <w:p w14:paraId="2E70A960" w14:textId="22CE2581" w:rsidR="00BD4E4C" w:rsidRPr="00945DAB" w:rsidRDefault="00BD4E4C" w:rsidP="00D072D4">
            <w:pPr>
              <w:rPr>
                <w:lang w:val="es-ES"/>
              </w:rPr>
            </w:pPr>
            <w:r w:rsidRPr="00945DAB">
              <w:rPr>
                <w:lang w:val="es-ES"/>
              </w:rPr>
              <w:t>Tailand</w:t>
            </w:r>
            <w:r w:rsidR="008860FD" w:rsidRPr="00945DAB">
              <w:rPr>
                <w:lang w:val="es-ES"/>
              </w:rPr>
              <w:t>ia</w:t>
            </w:r>
          </w:p>
        </w:tc>
      </w:tr>
      <w:tr w:rsidR="00BD4E4C" w:rsidRPr="00945DAB" w14:paraId="2F239CFD" w14:textId="77777777" w:rsidTr="00EC0F71">
        <w:trPr>
          <w:trHeight w:val="290"/>
        </w:trPr>
        <w:tc>
          <w:tcPr>
            <w:tcW w:w="3544" w:type="dxa"/>
            <w:vMerge w:val="restart"/>
            <w:noWrap/>
            <w:hideMark/>
          </w:tcPr>
          <w:p w14:paraId="393A3AA3" w14:textId="78E93CED" w:rsidR="00BD4E4C" w:rsidRPr="00945DAB" w:rsidRDefault="00BD4E4C" w:rsidP="00D072D4">
            <w:pPr>
              <w:rPr>
                <w:lang w:val="es-ES"/>
              </w:rPr>
            </w:pPr>
            <w:r w:rsidRPr="00945DAB">
              <w:rPr>
                <w:lang w:val="es-ES"/>
              </w:rPr>
              <w:t>Europ</w:t>
            </w:r>
            <w:r w:rsidR="008860FD" w:rsidRPr="00945DAB">
              <w:rPr>
                <w:lang w:val="es-ES"/>
              </w:rPr>
              <w:t>a</w:t>
            </w:r>
          </w:p>
        </w:tc>
        <w:tc>
          <w:tcPr>
            <w:tcW w:w="4820" w:type="dxa"/>
            <w:noWrap/>
          </w:tcPr>
          <w:p w14:paraId="09E84820" w14:textId="77777777" w:rsidR="00BD4E4C" w:rsidRPr="00945DAB" w:rsidRDefault="00BD4E4C" w:rsidP="00D072D4">
            <w:pPr>
              <w:rPr>
                <w:lang w:val="es-ES"/>
              </w:rPr>
            </w:pPr>
            <w:r w:rsidRPr="00945DAB">
              <w:rPr>
                <w:lang w:val="es-ES"/>
              </w:rPr>
              <w:t>Albania</w:t>
            </w:r>
          </w:p>
        </w:tc>
      </w:tr>
      <w:tr w:rsidR="00BD4E4C" w:rsidRPr="00945DAB" w14:paraId="519B83BC" w14:textId="77777777" w:rsidTr="00EC0F71">
        <w:trPr>
          <w:trHeight w:val="290"/>
        </w:trPr>
        <w:tc>
          <w:tcPr>
            <w:tcW w:w="3544" w:type="dxa"/>
            <w:vMerge/>
            <w:noWrap/>
          </w:tcPr>
          <w:p w14:paraId="044A5395" w14:textId="77777777" w:rsidR="00BD4E4C" w:rsidRPr="00945DAB" w:rsidRDefault="00BD4E4C" w:rsidP="00D072D4">
            <w:pPr>
              <w:rPr>
                <w:lang w:val="es-ES"/>
              </w:rPr>
            </w:pPr>
          </w:p>
        </w:tc>
        <w:tc>
          <w:tcPr>
            <w:tcW w:w="4820" w:type="dxa"/>
            <w:noWrap/>
          </w:tcPr>
          <w:p w14:paraId="32751B0D" w14:textId="585491D6" w:rsidR="00BD4E4C" w:rsidRPr="00945DAB" w:rsidRDefault="00BD4E4C" w:rsidP="00D072D4">
            <w:pPr>
              <w:rPr>
                <w:lang w:val="es-ES"/>
              </w:rPr>
            </w:pPr>
            <w:r w:rsidRPr="00945DAB">
              <w:rPr>
                <w:lang w:val="es-ES"/>
              </w:rPr>
              <w:t>Franc</w:t>
            </w:r>
            <w:r w:rsidR="008860FD" w:rsidRPr="00945DAB">
              <w:rPr>
                <w:lang w:val="es-ES"/>
              </w:rPr>
              <w:t>ia</w:t>
            </w:r>
          </w:p>
        </w:tc>
      </w:tr>
      <w:tr w:rsidR="00BD4E4C" w:rsidRPr="002238D0" w14:paraId="5EA424EE" w14:textId="77777777" w:rsidTr="00EC0F71">
        <w:trPr>
          <w:trHeight w:val="290"/>
        </w:trPr>
        <w:tc>
          <w:tcPr>
            <w:tcW w:w="3544" w:type="dxa"/>
            <w:vMerge/>
            <w:noWrap/>
          </w:tcPr>
          <w:p w14:paraId="56199E1C" w14:textId="77777777" w:rsidR="00BD4E4C" w:rsidRPr="00945DAB" w:rsidRDefault="00BD4E4C" w:rsidP="00D072D4">
            <w:pPr>
              <w:rPr>
                <w:lang w:val="es-ES"/>
              </w:rPr>
            </w:pPr>
          </w:p>
        </w:tc>
        <w:tc>
          <w:tcPr>
            <w:tcW w:w="4820" w:type="dxa"/>
            <w:noWrap/>
          </w:tcPr>
          <w:p w14:paraId="2FD377B5" w14:textId="08477DFA" w:rsidR="00BD4E4C" w:rsidRPr="00945DAB" w:rsidRDefault="008860FD" w:rsidP="00D072D4">
            <w:pPr>
              <w:rPr>
                <w:lang w:val="es-ES"/>
              </w:rPr>
            </w:pPr>
            <w:r w:rsidRPr="00945DAB">
              <w:rPr>
                <w:rFonts w:cstheme="minorHAnsi"/>
                <w:lang w:val="es-ES"/>
              </w:rPr>
              <w:t>Reino Unido de Gran Bretaña e Irlanda del Norte</w:t>
            </w:r>
          </w:p>
        </w:tc>
      </w:tr>
      <w:tr w:rsidR="00BD4E4C" w:rsidRPr="00945DAB" w14:paraId="40738831" w14:textId="77777777" w:rsidTr="00EC0F71">
        <w:trPr>
          <w:trHeight w:val="290"/>
        </w:trPr>
        <w:tc>
          <w:tcPr>
            <w:tcW w:w="3544" w:type="dxa"/>
            <w:vMerge/>
            <w:noWrap/>
          </w:tcPr>
          <w:p w14:paraId="5A29B7EB" w14:textId="77777777" w:rsidR="00BD4E4C" w:rsidRPr="00945DAB" w:rsidRDefault="00BD4E4C" w:rsidP="00D072D4">
            <w:pPr>
              <w:rPr>
                <w:lang w:val="es-ES"/>
              </w:rPr>
            </w:pPr>
          </w:p>
        </w:tc>
        <w:tc>
          <w:tcPr>
            <w:tcW w:w="4820" w:type="dxa"/>
            <w:noWrap/>
          </w:tcPr>
          <w:p w14:paraId="0D819D13" w14:textId="67030A4E" w:rsidR="00BD4E4C" w:rsidRPr="00945DAB" w:rsidRDefault="00BD4E4C" w:rsidP="00D072D4">
            <w:pPr>
              <w:rPr>
                <w:lang w:val="es-ES"/>
              </w:rPr>
            </w:pPr>
            <w:r w:rsidRPr="00945DAB">
              <w:rPr>
                <w:lang w:val="es-ES"/>
              </w:rPr>
              <w:t>S</w:t>
            </w:r>
            <w:r w:rsidR="008860FD" w:rsidRPr="00945DAB">
              <w:rPr>
                <w:lang w:val="es-ES"/>
              </w:rPr>
              <w:t>uiza</w:t>
            </w:r>
          </w:p>
        </w:tc>
      </w:tr>
      <w:tr w:rsidR="00BD4E4C" w:rsidRPr="00945DAB" w14:paraId="4B9ECACF" w14:textId="77777777" w:rsidTr="00EC0F71">
        <w:trPr>
          <w:trHeight w:val="290"/>
        </w:trPr>
        <w:tc>
          <w:tcPr>
            <w:tcW w:w="3544" w:type="dxa"/>
            <w:vMerge w:val="restart"/>
            <w:noWrap/>
          </w:tcPr>
          <w:p w14:paraId="2B3C92AC" w14:textId="3E939209" w:rsidR="00BD4E4C" w:rsidRPr="00945DAB" w:rsidRDefault="008860FD" w:rsidP="00D072D4">
            <w:pPr>
              <w:rPr>
                <w:lang w:val="es-ES"/>
              </w:rPr>
            </w:pPr>
            <w:r w:rsidRPr="00945DAB">
              <w:rPr>
                <w:lang w:val="es-ES"/>
              </w:rPr>
              <w:t>América Latina y el Caribe</w:t>
            </w:r>
          </w:p>
        </w:tc>
        <w:tc>
          <w:tcPr>
            <w:tcW w:w="4820" w:type="dxa"/>
            <w:noWrap/>
          </w:tcPr>
          <w:p w14:paraId="4DD3A647" w14:textId="308E85DF" w:rsidR="00BD4E4C" w:rsidRPr="00945DAB" w:rsidRDefault="00BD4E4C" w:rsidP="00D072D4">
            <w:pPr>
              <w:rPr>
                <w:lang w:val="es-ES"/>
              </w:rPr>
            </w:pPr>
            <w:r w:rsidRPr="00945DAB">
              <w:rPr>
                <w:lang w:val="es-ES"/>
              </w:rPr>
              <w:t>Bra</w:t>
            </w:r>
            <w:r w:rsidR="008860FD" w:rsidRPr="00945DAB">
              <w:rPr>
                <w:lang w:val="es-ES"/>
              </w:rPr>
              <w:t>s</w:t>
            </w:r>
            <w:r w:rsidRPr="00945DAB">
              <w:rPr>
                <w:lang w:val="es-ES"/>
              </w:rPr>
              <w:t>il</w:t>
            </w:r>
          </w:p>
        </w:tc>
      </w:tr>
      <w:tr w:rsidR="00BD4E4C" w:rsidRPr="00945DAB" w14:paraId="299C5389" w14:textId="77777777" w:rsidTr="00EC0F71">
        <w:trPr>
          <w:trHeight w:val="290"/>
        </w:trPr>
        <w:tc>
          <w:tcPr>
            <w:tcW w:w="3544" w:type="dxa"/>
            <w:vMerge/>
            <w:noWrap/>
          </w:tcPr>
          <w:p w14:paraId="25D738F3" w14:textId="77777777" w:rsidR="00BD4E4C" w:rsidRPr="00945DAB" w:rsidRDefault="00BD4E4C" w:rsidP="00D072D4">
            <w:pPr>
              <w:rPr>
                <w:lang w:val="es-ES"/>
              </w:rPr>
            </w:pPr>
          </w:p>
        </w:tc>
        <w:tc>
          <w:tcPr>
            <w:tcW w:w="4820" w:type="dxa"/>
            <w:noWrap/>
          </w:tcPr>
          <w:p w14:paraId="4CB07C45" w14:textId="77777777" w:rsidR="00BD4E4C" w:rsidRPr="00945DAB" w:rsidRDefault="00BD4E4C" w:rsidP="00D072D4">
            <w:pPr>
              <w:rPr>
                <w:lang w:val="es-ES"/>
              </w:rPr>
            </w:pPr>
            <w:r w:rsidRPr="00945DAB">
              <w:rPr>
                <w:lang w:val="es-ES"/>
              </w:rPr>
              <w:t>Chile</w:t>
            </w:r>
          </w:p>
        </w:tc>
      </w:tr>
      <w:tr w:rsidR="00BD4E4C" w:rsidRPr="00945DAB" w14:paraId="2D0E4971" w14:textId="77777777" w:rsidTr="00EC0F71">
        <w:trPr>
          <w:trHeight w:val="290"/>
        </w:trPr>
        <w:tc>
          <w:tcPr>
            <w:tcW w:w="3544" w:type="dxa"/>
            <w:vMerge/>
            <w:noWrap/>
          </w:tcPr>
          <w:p w14:paraId="6D3D7AE5" w14:textId="77777777" w:rsidR="00BD4E4C" w:rsidRPr="00945DAB" w:rsidRDefault="00BD4E4C" w:rsidP="00D072D4">
            <w:pPr>
              <w:rPr>
                <w:lang w:val="es-ES"/>
              </w:rPr>
            </w:pPr>
          </w:p>
        </w:tc>
        <w:tc>
          <w:tcPr>
            <w:tcW w:w="4820" w:type="dxa"/>
            <w:noWrap/>
          </w:tcPr>
          <w:p w14:paraId="6AA09202" w14:textId="77777777" w:rsidR="00BD4E4C" w:rsidRPr="00945DAB" w:rsidRDefault="00BD4E4C" w:rsidP="00D072D4">
            <w:pPr>
              <w:rPr>
                <w:lang w:val="es-ES"/>
              </w:rPr>
            </w:pPr>
            <w:r w:rsidRPr="00945DAB">
              <w:rPr>
                <w:lang w:val="es-ES"/>
              </w:rPr>
              <w:t>Colombia</w:t>
            </w:r>
          </w:p>
        </w:tc>
      </w:tr>
      <w:tr w:rsidR="00BD4E4C" w:rsidRPr="00945DAB" w14:paraId="67E079C0" w14:textId="77777777" w:rsidTr="00EC0F71">
        <w:trPr>
          <w:trHeight w:val="290"/>
        </w:trPr>
        <w:tc>
          <w:tcPr>
            <w:tcW w:w="3544" w:type="dxa"/>
            <w:vMerge/>
            <w:noWrap/>
          </w:tcPr>
          <w:p w14:paraId="1824516A" w14:textId="77777777" w:rsidR="00BD4E4C" w:rsidRPr="00945DAB" w:rsidRDefault="00BD4E4C" w:rsidP="00D072D4">
            <w:pPr>
              <w:rPr>
                <w:lang w:val="es-ES"/>
              </w:rPr>
            </w:pPr>
          </w:p>
        </w:tc>
        <w:tc>
          <w:tcPr>
            <w:tcW w:w="4820" w:type="dxa"/>
            <w:noWrap/>
          </w:tcPr>
          <w:p w14:paraId="44540F6C" w14:textId="77777777" w:rsidR="00BD4E4C" w:rsidRPr="00945DAB" w:rsidRDefault="00BD4E4C" w:rsidP="00D072D4">
            <w:pPr>
              <w:rPr>
                <w:lang w:val="es-ES"/>
              </w:rPr>
            </w:pPr>
            <w:r w:rsidRPr="00945DAB">
              <w:rPr>
                <w:lang w:val="es-ES"/>
              </w:rPr>
              <w:t>Cuba</w:t>
            </w:r>
          </w:p>
        </w:tc>
      </w:tr>
      <w:tr w:rsidR="00BD4E4C" w:rsidRPr="00945DAB" w14:paraId="7FE9C9AF" w14:textId="77777777" w:rsidTr="00EC0F71">
        <w:trPr>
          <w:trHeight w:val="290"/>
        </w:trPr>
        <w:tc>
          <w:tcPr>
            <w:tcW w:w="3544" w:type="dxa"/>
            <w:vMerge/>
            <w:noWrap/>
          </w:tcPr>
          <w:p w14:paraId="29AB9A96" w14:textId="77777777" w:rsidR="00BD4E4C" w:rsidRPr="00945DAB" w:rsidRDefault="00BD4E4C" w:rsidP="00D072D4">
            <w:pPr>
              <w:rPr>
                <w:lang w:val="es-ES"/>
              </w:rPr>
            </w:pPr>
          </w:p>
        </w:tc>
        <w:tc>
          <w:tcPr>
            <w:tcW w:w="4820" w:type="dxa"/>
            <w:noWrap/>
          </w:tcPr>
          <w:p w14:paraId="37562C2F" w14:textId="77777777" w:rsidR="00BD4E4C" w:rsidRPr="00945DAB" w:rsidRDefault="00BD4E4C" w:rsidP="00D072D4">
            <w:pPr>
              <w:rPr>
                <w:lang w:val="es-ES"/>
              </w:rPr>
            </w:pPr>
            <w:r w:rsidRPr="00945DAB">
              <w:rPr>
                <w:lang w:val="es-ES"/>
              </w:rPr>
              <w:t>Paraguay</w:t>
            </w:r>
          </w:p>
        </w:tc>
      </w:tr>
      <w:tr w:rsidR="00BD4E4C" w:rsidRPr="00945DAB" w14:paraId="67EA5150" w14:textId="77777777" w:rsidTr="00EC0F71">
        <w:trPr>
          <w:trHeight w:val="290"/>
        </w:trPr>
        <w:tc>
          <w:tcPr>
            <w:tcW w:w="3544" w:type="dxa"/>
            <w:vMerge/>
            <w:noWrap/>
          </w:tcPr>
          <w:p w14:paraId="46EB2AC5" w14:textId="77777777" w:rsidR="00BD4E4C" w:rsidRPr="00945DAB" w:rsidRDefault="00BD4E4C" w:rsidP="00D072D4">
            <w:pPr>
              <w:rPr>
                <w:lang w:val="es-ES"/>
              </w:rPr>
            </w:pPr>
          </w:p>
        </w:tc>
        <w:tc>
          <w:tcPr>
            <w:tcW w:w="4820" w:type="dxa"/>
            <w:noWrap/>
          </w:tcPr>
          <w:p w14:paraId="46D4AC7F" w14:textId="7CDFCD8C" w:rsidR="00BD4E4C" w:rsidRPr="00945DAB" w:rsidRDefault="008860FD" w:rsidP="00D072D4">
            <w:pPr>
              <w:rPr>
                <w:lang w:val="es-ES"/>
              </w:rPr>
            </w:pPr>
            <w:r w:rsidRPr="00945DAB">
              <w:rPr>
                <w:lang w:val="es-ES"/>
              </w:rPr>
              <w:t>Perú</w:t>
            </w:r>
          </w:p>
        </w:tc>
      </w:tr>
      <w:tr w:rsidR="00BD4E4C" w:rsidRPr="00945DAB" w14:paraId="76D96F36" w14:textId="77777777" w:rsidTr="00EC0F71">
        <w:trPr>
          <w:trHeight w:val="290"/>
        </w:trPr>
        <w:tc>
          <w:tcPr>
            <w:tcW w:w="3544" w:type="dxa"/>
            <w:vMerge/>
            <w:noWrap/>
          </w:tcPr>
          <w:p w14:paraId="233E475A" w14:textId="77777777" w:rsidR="00BD4E4C" w:rsidRPr="00945DAB" w:rsidRDefault="00BD4E4C" w:rsidP="00D072D4">
            <w:pPr>
              <w:rPr>
                <w:lang w:val="es-ES"/>
              </w:rPr>
            </w:pPr>
          </w:p>
        </w:tc>
        <w:tc>
          <w:tcPr>
            <w:tcW w:w="4820" w:type="dxa"/>
            <w:noWrap/>
          </w:tcPr>
          <w:p w14:paraId="274400A5" w14:textId="2A9033D5" w:rsidR="00BD4E4C" w:rsidRPr="00945DAB" w:rsidRDefault="008860FD" w:rsidP="00D072D4">
            <w:pPr>
              <w:rPr>
                <w:lang w:val="es-ES"/>
              </w:rPr>
            </w:pPr>
            <w:r w:rsidRPr="00945DAB">
              <w:rPr>
                <w:lang w:val="es-ES"/>
              </w:rPr>
              <w:t>Santa Lucía</w:t>
            </w:r>
          </w:p>
        </w:tc>
      </w:tr>
      <w:tr w:rsidR="00BD4E4C" w:rsidRPr="00945DAB" w14:paraId="08463B4D" w14:textId="77777777" w:rsidTr="00EC0F71">
        <w:trPr>
          <w:trHeight w:val="290"/>
        </w:trPr>
        <w:tc>
          <w:tcPr>
            <w:tcW w:w="3544" w:type="dxa"/>
            <w:vMerge/>
            <w:noWrap/>
          </w:tcPr>
          <w:p w14:paraId="0E8C7071" w14:textId="77777777" w:rsidR="00BD4E4C" w:rsidRPr="00945DAB" w:rsidRDefault="00BD4E4C" w:rsidP="00D072D4">
            <w:pPr>
              <w:rPr>
                <w:lang w:val="es-ES"/>
              </w:rPr>
            </w:pPr>
          </w:p>
        </w:tc>
        <w:tc>
          <w:tcPr>
            <w:tcW w:w="4820" w:type="dxa"/>
            <w:noWrap/>
          </w:tcPr>
          <w:p w14:paraId="3CC26269" w14:textId="77777777" w:rsidR="00BD4E4C" w:rsidRPr="00945DAB" w:rsidRDefault="00BD4E4C" w:rsidP="00D072D4">
            <w:pPr>
              <w:rPr>
                <w:lang w:val="es-ES"/>
              </w:rPr>
            </w:pPr>
            <w:r w:rsidRPr="00945DAB">
              <w:rPr>
                <w:lang w:val="es-ES"/>
              </w:rPr>
              <w:t>Uruguay</w:t>
            </w:r>
          </w:p>
        </w:tc>
      </w:tr>
      <w:tr w:rsidR="00BD4E4C" w:rsidRPr="00945DAB" w14:paraId="23C05A24" w14:textId="77777777" w:rsidTr="00EC0F71">
        <w:trPr>
          <w:trHeight w:val="290"/>
        </w:trPr>
        <w:tc>
          <w:tcPr>
            <w:tcW w:w="3544" w:type="dxa"/>
            <w:vMerge w:val="restart"/>
            <w:noWrap/>
          </w:tcPr>
          <w:p w14:paraId="095DB4B2" w14:textId="09E9C19E" w:rsidR="00BD4E4C" w:rsidRPr="00945DAB" w:rsidRDefault="008860FD" w:rsidP="00D072D4">
            <w:pPr>
              <w:rPr>
                <w:lang w:val="es-ES"/>
              </w:rPr>
            </w:pPr>
            <w:r w:rsidRPr="00945DAB">
              <w:rPr>
                <w:lang w:val="es-ES"/>
              </w:rPr>
              <w:t>América del Norte</w:t>
            </w:r>
          </w:p>
        </w:tc>
        <w:tc>
          <w:tcPr>
            <w:tcW w:w="4820" w:type="dxa"/>
            <w:noWrap/>
          </w:tcPr>
          <w:p w14:paraId="6AE9BB39" w14:textId="4F091961" w:rsidR="00BD4E4C" w:rsidRPr="00945DAB" w:rsidRDefault="008860FD" w:rsidP="00D072D4">
            <w:pPr>
              <w:rPr>
                <w:lang w:val="es-ES"/>
              </w:rPr>
            </w:pPr>
            <w:r w:rsidRPr="00945DAB">
              <w:rPr>
                <w:lang w:val="es-ES"/>
              </w:rPr>
              <w:t>Canadá</w:t>
            </w:r>
          </w:p>
        </w:tc>
      </w:tr>
      <w:tr w:rsidR="00BD4E4C" w:rsidRPr="00945DAB" w14:paraId="471A3912" w14:textId="77777777" w:rsidTr="00EC0F71">
        <w:trPr>
          <w:trHeight w:val="290"/>
        </w:trPr>
        <w:tc>
          <w:tcPr>
            <w:tcW w:w="3544" w:type="dxa"/>
            <w:vMerge/>
            <w:noWrap/>
          </w:tcPr>
          <w:p w14:paraId="254EE83A" w14:textId="77777777" w:rsidR="00BD4E4C" w:rsidRPr="00945DAB" w:rsidRDefault="00BD4E4C" w:rsidP="00D072D4">
            <w:pPr>
              <w:rPr>
                <w:lang w:val="es-ES"/>
              </w:rPr>
            </w:pPr>
          </w:p>
        </w:tc>
        <w:tc>
          <w:tcPr>
            <w:tcW w:w="4820" w:type="dxa"/>
            <w:noWrap/>
          </w:tcPr>
          <w:p w14:paraId="5F2FC80B" w14:textId="71206B01" w:rsidR="00BD4E4C" w:rsidRPr="00945DAB" w:rsidRDefault="00BD4E4C" w:rsidP="00D072D4">
            <w:pPr>
              <w:rPr>
                <w:lang w:val="es-ES"/>
              </w:rPr>
            </w:pPr>
            <w:r w:rsidRPr="00945DAB">
              <w:rPr>
                <w:lang w:val="es-ES"/>
              </w:rPr>
              <w:t>M</w:t>
            </w:r>
            <w:r w:rsidR="008860FD" w:rsidRPr="00945DAB">
              <w:rPr>
                <w:lang w:val="es-ES"/>
              </w:rPr>
              <w:t>é</w:t>
            </w:r>
            <w:r w:rsidRPr="00945DAB">
              <w:rPr>
                <w:lang w:val="es-ES"/>
              </w:rPr>
              <w:t>xico</w:t>
            </w:r>
          </w:p>
        </w:tc>
      </w:tr>
      <w:tr w:rsidR="00BD4E4C" w:rsidRPr="00945DAB" w14:paraId="7CC1416A" w14:textId="77777777" w:rsidTr="00EC0F71">
        <w:trPr>
          <w:trHeight w:val="290"/>
        </w:trPr>
        <w:tc>
          <w:tcPr>
            <w:tcW w:w="3544" w:type="dxa"/>
            <w:noWrap/>
          </w:tcPr>
          <w:p w14:paraId="540C30AB" w14:textId="494943EA" w:rsidR="00BD4E4C" w:rsidRPr="00945DAB" w:rsidRDefault="008860FD" w:rsidP="00D072D4">
            <w:pPr>
              <w:rPr>
                <w:lang w:val="es-ES"/>
              </w:rPr>
            </w:pPr>
            <w:r w:rsidRPr="00945DAB">
              <w:rPr>
                <w:lang w:val="es-ES"/>
              </w:rPr>
              <w:t>Oceanía</w:t>
            </w:r>
          </w:p>
        </w:tc>
        <w:tc>
          <w:tcPr>
            <w:tcW w:w="4820" w:type="dxa"/>
            <w:noWrap/>
          </w:tcPr>
          <w:p w14:paraId="72B3F4BF" w14:textId="49F30DE4" w:rsidR="00BD4E4C" w:rsidRPr="00945DAB" w:rsidRDefault="008860FD" w:rsidP="00D072D4">
            <w:pPr>
              <w:rPr>
                <w:lang w:val="es-ES"/>
              </w:rPr>
            </w:pPr>
            <w:r w:rsidRPr="00945DAB">
              <w:rPr>
                <w:lang w:val="es-ES"/>
              </w:rPr>
              <w:t>Nueva Zeland</w:t>
            </w:r>
            <w:r w:rsidR="001F2639" w:rsidRPr="00945DAB">
              <w:rPr>
                <w:lang w:val="es-ES"/>
              </w:rPr>
              <w:t>i</w:t>
            </w:r>
            <w:r w:rsidRPr="00945DAB">
              <w:rPr>
                <w:lang w:val="es-ES"/>
              </w:rPr>
              <w:t>a</w:t>
            </w:r>
          </w:p>
        </w:tc>
      </w:tr>
    </w:tbl>
    <w:p w14:paraId="1CF76D6E" w14:textId="77777777" w:rsidR="00BD4E4C" w:rsidRPr="00945DAB" w:rsidRDefault="00BD4E4C">
      <w:pPr>
        <w:rPr>
          <w:lang w:val="es-ES"/>
        </w:rPr>
        <w:sectPr w:rsidR="00BD4E4C" w:rsidRPr="00945DAB" w:rsidSect="00EC0F71">
          <w:headerReference w:type="default" r:id="rId11"/>
          <w:footerReference w:type="default" r:id="rId12"/>
          <w:pgSz w:w="11906" w:h="16838"/>
          <w:pgMar w:top="1440" w:right="1440" w:bottom="1440" w:left="1440" w:header="708" w:footer="708" w:gutter="0"/>
          <w:cols w:space="708"/>
          <w:titlePg/>
          <w:docGrid w:linePitch="360"/>
        </w:sectPr>
      </w:pPr>
    </w:p>
    <w:p w14:paraId="597A76BE" w14:textId="4285FC26" w:rsidR="008860FD" w:rsidRPr="00945DAB" w:rsidRDefault="008860FD" w:rsidP="008860FD">
      <w:pPr>
        <w:spacing w:after="0" w:line="240" w:lineRule="auto"/>
        <w:rPr>
          <w:b/>
          <w:sz w:val="24"/>
          <w:lang w:val="es-ES"/>
        </w:rPr>
      </w:pPr>
      <w:r w:rsidRPr="00945DAB">
        <w:rPr>
          <w:b/>
          <w:sz w:val="24"/>
          <w:lang w:val="es-ES"/>
        </w:rPr>
        <w:lastRenderedPageBreak/>
        <w:t>Anexo 2</w:t>
      </w:r>
    </w:p>
    <w:p w14:paraId="23B50FCE" w14:textId="615541EB" w:rsidR="006B155D" w:rsidRPr="00945DAB" w:rsidRDefault="008860FD" w:rsidP="008860FD">
      <w:pPr>
        <w:spacing w:after="0" w:line="240" w:lineRule="auto"/>
        <w:rPr>
          <w:b/>
          <w:sz w:val="24"/>
          <w:lang w:val="es-ES"/>
        </w:rPr>
      </w:pPr>
      <w:r w:rsidRPr="00945DAB">
        <w:rPr>
          <w:b/>
          <w:sz w:val="24"/>
          <w:lang w:val="es-ES"/>
        </w:rPr>
        <w:t xml:space="preserve">Cuadro </w:t>
      </w:r>
      <w:r w:rsidR="001F2639" w:rsidRPr="00945DAB">
        <w:rPr>
          <w:b/>
          <w:sz w:val="24"/>
          <w:lang w:val="es-ES"/>
        </w:rPr>
        <w:t>sinóptico</w:t>
      </w:r>
      <w:r w:rsidRPr="00945DAB">
        <w:rPr>
          <w:b/>
          <w:sz w:val="24"/>
          <w:lang w:val="es-ES"/>
        </w:rPr>
        <w:t xml:space="preserve"> de las posibilidades para fortalecer la Secretaría de conformidad con el párrafo 22 de la Resolución XIV.6</w:t>
      </w:r>
      <w:r w:rsidR="006B155D" w:rsidRPr="00945DAB">
        <w:rPr>
          <w:b/>
          <w:sz w:val="24"/>
          <w:lang w:val="es-ES"/>
        </w:rPr>
        <w:t xml:space="preserve"> </w:t>
      </w:r>
    </w:p>
    <w:p w14:paraId="5754E292" w14:textId="41C83ACE" w:rsidR="00AE7835" w:rsidRDefault="00AE7835" w:rsidP="00AE7835">
      <w:pPr>
        <w:snapToGrid w:val="0"/>
        <w:spacing w:after="0" w:line="240" w:lineRule="auto"/>
        <w:rPr>
          <w:rFonts w:eastAsia="Times New Roman" w:cstheme="minorHAnsi"/>
          <w:bCs/>
          <w:lang w:val="es-ES"/>
        </w:rPr>
      </w:pPr>
    </w:p>
    <w:p w14:paraId="3984C85A" w14:textId="77777777" w:rsidR="002238D0" w:rsidRPr="00945DAB" w:rsidRDefault="002238D0" w:rsidP="00AE7835">
      <w:pPr>
        <w:snapToGrid w:val="0"/>
        <w:spacing w:after="0" w:line="240" w:lineRule="auto"/>
        <w:rPr>
          <w:rFonts w:eastAsia="Times New Roman" w:cstheme="minorHAnsi"/>
          <w:bCs/>
          <w:lang w:val="es-ES"/>
        </w:rPr>
      </w:pPr>
    </w:p>
    <w:tbl>
      <w:tblPr>
        <w:tblStyle w:val="TableGrid"/>
        <w:tblW w:w="15168" w:type="dxa"/>
        <w:tblInd w:w="-572" w:type="dxa"/>
        <w:tblLayout w:type="fixed"/>
        <w:tblCellMar>
          <w:top w:w="28" w:type="dxa"/>
          <w:left w:w="57" w:type="dxa"/>
          <w:bottom w:w="28" w:type="dxa"/>
          <w:right w:w="57" w:type="dxa"/>
        </w:tblCellMar>
        <w:tblLook w:val="04A0" w:firstRow="1" w:lastRow="0" w:firstColumn="1" w:lastColumn="0" w:noHBand="0" w:noVBand="1"/>
      </w:tblPr>
      <w:tblGrid>
        <w:gridCol w:w="1555"/>
        <w:gridCol w:w="2126"/>
        <w:gridCol w:w="2126"/>
        <w:gridCol w:w="2131"/>
        <w:gridCol w:w="1555"/>
        <w:gridCol w:w="2976"/>
        <w:gridCol w:w="2699"/>
      </w:tblGrid>
      <w:tr w:rsidR="00EC7DBC" w:rsidRPr="00EC7DBC" w14:paraId="10777E99" w14:textId="77777777" w:rsidTr="00EC7DBC">
        <w:trPr>
          <w:tblHeader/>
        </w:trPr>
        <w:tc>
          <w:tcPr>
            <w:tcW w:w="1555" w:type="dxa"/>
            <w:vAlign w:val="center"/>
          </w:tcPr>
          <w:p w14:paraId="225B3EAA" w14:textId="211654A4" w:rsidR="00EC7DBC" w:rsidRPr="009B0E63" w:rsidRDefault="00EC7DBC" w:rsidP="00EC7DBC">
            <w:pPr>
              <w:pStyle w:val="Default"/>
              <w:jc w:val="center"/>
              <w:rPr>
                <w:rFonts w:asciiTheme="minorHAnsi" w:hAnsiTheme="minorHAnsi" w:cstheme="minorHAnsi"/>
                <w:b/>
                <w:bCs/>
                <w:sz w:val="20"/>
                <w:szCs w:val="20"/>
              </w:rPr>
            </w:pPr>
            <w:r w:rsidRPr="00945DAB">
              <w:rPr>
                <w:rFonts w:asciiTheme="minorHAnsi" w:hAnsiTheme="minorHAnsi" w:cstheme="minorHAnsi"/>
                <w:b/>
                <w:bCs/>
                <w:sz w:val="20"/>
                <w:szCs w:val="20"/>
                <w:lang w:val="es-ES"/>
              </w:rPr>
              <w:t>Posibilidades</w:t>
            </w:r>
          </w:p>
        </w:tc>
        <w:tc>
          <w:tcPr>
            <w:tcW w:w="6383" w:type="dxa"/>
            <w:gridSpan w:val="3"/>
            <w:vAlign w:val="center"/>
          </w:tcPr>
          <w:p w14:paraId="217FC405" w14:textId="26364127" w:rsidR="00EC7DBC" w:rsidRPr="009B0E63" w:rsidRDefault="00EC7DBC" w:rsidP="00EC7DBC">
            <w:pPr>
              <w:pStyle w:val="Default"/>
              <w:jc w:val="center"/>
              <w:rPr>
                <w:rFonts w:asciiTheme="minorHAnsi" w:hAnsiTheme="minorHAnsi" w:cstheme="minorHAnsi"/>
                <w:b/>
                <w:bCs/>
                <w:sz w:val="20"/>
                <w:szCs w:val="20"/>
              </w:rPr>
            </w:pPr>
            <w:r w:rsidRPr="00945DAB">
              <w:rPr>
                <w:rFonts w:asciiTheme="minorHAnsi" w:hAnsiTheme="minorHAnsi" w:cstheme="minorHAnsi"/>
                <w:b/>
                <w:bCs/>
                <w:sz w:val="20"/>
                <w:szCs w:val="20"/>
                <w:lang w:val="es-ES"/>
              </w:rPr>
              <w:t>Elementos</w:t>
            </w:r>
          </w:p>
        </w:tc>
        <w:tc>
          <w:tcPr>
            <w:tcW w:w="1555" w:type="dxa"/>
            <w:vAlign w:val="center"/>
          </w:tcPr>
          <w:p w14:paraId="4095828B" w14:textId="77777777" w:rsidR="00EC7DBC" w:rsidRPr="00945DAB" w:rsidRDefault="00EC7DBC" w:rsidP="00EC7DBC">
            <w:pPr>
              <w:pStyle w:val="Default"/>
              <w:jc w:val="center"/>
              <w:rPr>
                <w:rFonts w:asciiTheme="minorHAnsi" w:hAnsiTheme="minorHAnsi" w:cstheme="minorHAnsi"/>
                <w:b/>
                <w:bCs/>
                <w:sz w:val="20"/>
                <w:szCs w:val="20"/>
                <w:lang w:val="es-ES"/>
              </w:rPr>
            </w:pPr>
            <w:r w:rsidRPr="00945DAB">
              <w:rPr>
                <w:rFonts w:asciiTheme="minorHAnsi" w:hAnsiTheme="minorHAnsi" w:cstheme="minorHAnsi"/>
                <w:b/>
                <w:bCs/>
                <w:sz w:val="20"/>
                <w:szCs w:val="20"/>
                <w:lang w:val="es-ES"/>
              </w:rPr>
              <w:t>Priorización basada en el impacto:</w:t>
            </w:r>
          </w:p>
          <w:p w14:paraId="4DCC3A7E" w14:textId="42BDE0FE" w:rsidR="00EC7DBC" w:rsidRPr="009B0E63" w:rsidRDefault="00EC7DBC" w:rsidP="00EC7DBC">
            <w:pPr>
              <w:pStyle w:val="Default"/>
              <w:jc w:val="center"/>
              <w:rPr>
                <w:rFonts w:asciiTheme="minorHAnsi" w:hAnsiTheme="minorHAnsi" w:cstheme="minorHAnsi"/>
                <w:b/>
                <w:bCs/>
                <w:sz w:val="20"/>
                <w:szCs w:val="20"/>
              </w:rPr>
            </w:pPr>
            <w:r w:rsidRPr="00945DAB">
              <w:rPr>
                <w:rFonts w:asciiTheme="minorHAnsi" w:hAnsiTheme="minorHAnsi" w:cstheme="minorHAnsi"/>
                <w:b/>
                <w:bCs/>
                <w:sz w:val="20"/>
                <w:szCs w:val="20"/>
                <w:lang w:val="es-ES"/>
              </w:rPr>
              <w:t>1: baja, 3: media, 5: alta</w:t>
            </w:r>
          </w:p>
        </w:tc>
        <w:tc>
          <w:tcPr>
            <w:tcW w:w="2976" w:type="dxa"/>
            <w:vAlign w:val="center"/>
          </w:tcPr>
          <w:p w14:paraId="2EECC931" w14:textId="40ACED1D" w:rsidR="00EC7DBC" w:rsidRPr="00EC7DBC" w:rsidRDefault="00EC7DBC" w:rsidP="00EC7DBC">
            <w:pPr>
              <w:pStyle w:val="Default"/>
              <w:jc w:val="center"/>
              <w:rPr>
                <w:rFonts w:asciiTheme="minorHAnsi" w:hAnsiTheme="minorHAnsi" w:cstheme="minorHAnsi"/>
                <w:b/>
                <w:bCs/>
                <w:sz w:val="20"/>
                <w:szCs w:val="20"/>
                <w:lang w:val="fr-FR"/>
              </w:rPr>
            </w:pPr>
            <w:r w:rsidRPr="00945DAB">
              <w:rPr>
                <w:rFonts w:asciiTheme="minorHAnsi" w:hAnsiTheme="minorHAnsi" w:cstheme="minorHAnsi"/>
                <w:b/>
                <w:bCs/>
                <w:sz w:val="20"/>
                <w:szCs w:val="20"/>
                <w:lang w:val="es-ES"/>
              </w:rPr>
              <w:t>Recomendaciones aportadas por las Partes Contratantes interesadas</w:t>
            </w:r>
          </w:p>
        </w:tc>
        <w:tc>
          <w:tcPr>
            <w:tcW w:w="2699" w:type="dxa"/>
            <w:vAlign w:val="center"/>
          </w:tcPr>
          <w:p w14:paraId="4CEF3956" w14:textId="420724BF" w:rsidR="00EC7DBC" w:rsidRPr="00EC7DBC" w:rsidRDefault="00EC7DBC" w:rsidP="00EC7DBC">
            <w:pPr>
              <w:pStyle w:val="Default"/>
              <w:jc w:val="center"/>
              <w:rPr>
                <w:rFonts w:asciiTheme="minorHAnsi" w:hAnsiTheme="minorHAnsi" w:cstheme="minorHAnsi"/>
                <w:b/>
                <w:bCs/>
                <w:sz w:val="20"/>
                <w:szCs w:val="20"/>
                <w:lang w:val="fr-FR"/>
              </w:rPr>
            </w:pPr>
            <w:r w:rsidRPr="00945DAB">
              <w:rPr>
                <w:rFonts w:asciiTheme="minorHAnsi" w:hAnsiTheme="minorHAnsi" w:cstheme="minorHAnsi"/>
                <w:b/>
                <w:bCs/>
                <w:sz w:val="20"/>
                <w:szCs w:val="20"/>
                <w:lang w:val="es-ES"/>
              </w:rPr>
              <w:t>Recomendaciones aportadas por la Secretaría</w:t>
            </w:r>
          </w:p>
        </w:tc>
      </w:tr>
      <w:tr w:rsidR="00EC7DBC" w:rsidRPr="00EC7DBC" w14:paraId="69D97497" w14:textId="77777777" w:rsidTr="00EC7DBC">
        <w:tc>
          <w:tcPr>
            <w:tcW w:w="1555" w:type="dxa"/>
          </w:tcPr>
          <w:p w14:paraId="53406BB4" w14:textId="59C7DE07" w:rsidR="00EC7DBC" w:rsidRPr="00EC0F71" w:rsidRDefault="00EC7DBC" w:rsidP="00EC7DBC">
            <w:pPr>
              <w:pStyle w:val="Default"/>
              <w:rPr>
                <w:rFonts w:asciiTheme="minorHAnsi" w:hAnsiTheme="minorHAnsi"/>
                <w:sz w:val="20"/>
              </w:rPr>
            </w:pPr>
            <w:r w:rsidRPr="00945DAB">
              <w:rPr>
                <w:rFonts w:asciiTheme="minorHAnsi" w:hAnsiTheme="minorHAnsi"/>
                <w:sz w:val="20"/>
                <w:lang w:val="es-ES"/>
              </w:rPr>
              <w:t>1. Disposiciones administrativas</w:t>
            </w:r>
          </w:p>
        </w:tc>
        <w:tc>
          <w:tcPr>
            <w:tcW w:w="2126" w:type="dxa"/>
            <w:shd w:val="clear" w:color="auto" w:fill="auto"/>
          </w:tcPr>
          <w:p w14:paraId="2E479B77" w14:textId="77777777" w:rsidR="00EC7DBC" w:rsidRPr="00945DAB" w:rsidRDefault="00EC7DBC" w:rsidP="00EC7DBC">
            <w:pPr>
              <w:rPr>
                <w:sz w:val="20"/>
                <w:u w:val="single"/>
                <w:lang w:val="es-ES"/>
              </w:rPr>
            </w:pPr>
            <w:r w:rsidRPr="00945DAB">
              <w:rPr>
                <w:sz w:val="20"/>
                <w:u w:val="single"/>
                <w:lang w:val="es-ES"/>
              </w:rPr>
              <w:t>Delegación de autoridad y carta de acuerdo.</w:t>
            </w:r>
          </w:p>
          <w:p w14:paraId="0C23EA4B" w14:textId="77777777" w:rsidR="00EC7DBC" w:rsidRPr="00945DAB" w:rsidRDefault="00EC7DBC" w:rsidP="00EC7DBC">
            <w:pPr>
              <w:rPr>
                <w:sz w:val="20"/>
                <w:lang w:val="es-ES"/>
              </w:rPr>
            </w:pPr>
          </w:p>
          <w:p w14:paraId="38CB6377" w14:textId="58DFEC5A" w:rsidR="00EC7DBC" w:rsidRPr="00EC7DBC" w:rsidRDefault="00EC7DBC" w:rsidP="00EC7DBC">
            <w:pPr>
              <w:rPr>
                <w:sz w:val="20"/>
                <w:lang w:val="fr-FR"/>
              </w:rPr>
            </w:pPr>
            <w:r w:rsidRPr="00945DAB">
              <w:rPr>
                <w:sz w:val="20"/>
                <w:lang w:val="es-ES"/>
              </w:rPr>
              <w:t xml:space="preserve">La Secretaría está facultada para establecer acuerdos contractuales independientemente de la UICN (es decir, sin necesidad de que la UICN firme en nombre de la Secretaría o conjuntamente con ella). Sin embargo, existen limitaciones en la capacidad de la Secretaría para contratar directamente con donantes, asociados en la ejecución y terceros, así como dificultades en la gestión de proyectos relacionadas con la capacidad jurídica para firmar contratos, en particular cuando los donantes no aceptan la delegación de autoridad al Secretario o la Secretaria General y solicitan que los proyectos sean firmados por la UICN. </w:t>
            </w:r>
          </w:p>
        </w:tc>
        <w:tc>
          <w:tcPr>
            <w:tcW w:w="2126" w:type="dxa"/>
            <w:shd w:val="clear" w:color="auto" w:fill="auto"/>
          </w:tcPr>
          <w:p w14:paraId="0B828C6D" w14:textId="77777777" w:rsidR="00EC7DBC" w:rsidRPr="00945DAB" w:rsidRDefault="00EC7DBC" w:rsidP="00EC7DBC">
            <w:pPr>
              <w:rPr>
                <w:sz w:val="20"/>
                <w:u w:val="single"/>
                <w:lang w:val="es-ES"/>
              </w:rPr>
            </w:pPr>
            <w:r w:rsidRPr="00945DAB">
              <w:rPr>
                <w:sz w:val="20"/>
                <w:u w:val="single"/>
                <w:lang w:val="es-ES"/>
              </w:rPr>
              <w:t xml:space="preserve">Provisiones para contribuciones impagadas </w:t>
            </w:r>
          </w:p>
          <w:p w14:paraId="2A51DFFB" w14:textId="77777777" w:rsidR="00EC7DBC" w:rsidRPr="00945DAB" w:rsidRDefault="00EC7DBC" w:rsidP="00EC7DBC">
            <w:pPr>
              <w:rPr>
                <w:rStyle w:val="cf01"/>
                <w:rFonts w:asciiTheme="minorHAnsi" w:hAnsiTheme="minorHAnsi"/>
                <w:sz w:val="20"/>
                <w:u w:val="single"/>
                <w:lang w:val="es-ES"/>
              </w:rPr>
            </w:pPr>
          </w:p>
          <w:p w14:paraId="6EAAD249" w14:textId="220A645F" w:rsidR="00EC7DBC" w:rsidRPr="00EC7DBC" w:rsidRDefault="00EC7DBC" w:rsidP="00EC7DBC">
            <w:pPr>
              <w:rPr>
                <w:sz w:val="20"/>
                <w:lang w:val="fr-FR"/>
              </w:rPr>
            </w:pPr>
            <w:r w:rsidRPr="00945DAB">
              <w:rPr>
                <w:sz w:val="20"/>
                <w:lang w:val="es-ES"/>
              </w:rPr>
              <w:t>Para estar en</w:t>
            </w:r>
            <w:r>
              <w:rPr>
                <w:sz w:val="20"/>
                <w:lang w:val="es-ES"/>
              </w:rPr>
              <w:t xml:space="preserve"> </w:t>
            </w:r>
            <w:r w:rsidRPr="00945DAB">
              <w:rPr>
                <w:sz w:val="20"/>
                <w:lang w:val="es-ES"/>
              </w:rPr>
              <w:t xml:space="preserve">consonancia con la legislación suiza, el Comité Permanente, mediante la Decisión SC57-39 (junio de 2019), acordó aumentar la provisión al 100% para todos los saldos pendientes de las Partes Contratantes que no hayan efectuado un pago de contribución en los últimos cuatro años. La legislación suiza exige que la Convención contabilice un importe más elevado como provisión para contribuciones pendientes que las Convenciones de las Naciones Unidas que siguen las normas IPSAS. </w:t>
            </w:r>
          </w:p>
        </w:tc>
        <w:tc>
          <w:tcPr>
            <w:tcW w:w="2131" w:type="dxa"/>
            <w:shd w:val="clear" w:color="auto" w:fill="auto"/>
          </w:tcPr>
          <w:p w14:paraId="03B94F3B" w14:textId="77777777" w:rsidR="00EC7DBC" w:rsidRPr="00945DAB" w:rsidRDefault="00EC7DBC" w:rsidP="00EC7DBC">
            <w:pPr>
              <w:pStyle w:val="Default"/>
              <w:rPr>
                <w:rFonts w:asciiTheme="minorHAnsi" w:hAnsiTheme="minorHAnsi"/>
                <w:sz w:val="20"/>
                <w:u w:val="single"/>
                <w:lang w:val="es-ES"/>
              </w:rPr>
            </w:pPr>
            <w:r w:rsidRPr="00945DAB">
              <w:rPr>
                <w:rFonts w:asciiTheme="minorHAnsi" w:hAnsiTheme="minorHAnsi"/>
                <w:sz w:val="20"/>
                <w:u w:val="single"/>
                <w:lang w:val="es-ES"/>
              </w:rPr>
              <w:t xml:space="preserve">Falta de acceso del personal en misión a la asistencia logística y de seguridad de la ONU </w:t>
            </w:r>
          </w:p>
          <w:p w14:paraId="77213F2E" w14:textId="77777777" w:rsidR="00EC7DBC" w:rsidRPr="00945DAB" w:rsidRDefault="00EC7DBC" w:rsidP="00EC7DBC">
            <w:pPr>
              <w:pStyle w:val="Default"/>
              <w:rPr>
                <w:rFonts w:asciiTheme="minorHAnsi" w:hAnsiTheme="minorHAnsi"/>
                <w:sz w:val="20"/>
                <w:u w:val="single"/>
                <w:lang w:val="es-ES"/>
              </w:rPr>
            </w:pPr>
          </w:p>
          <w:p w14:paraId="5181C31E" w14:textId="77777777" w:rsidR="00EC7DBC" w:rsidRPr="00945DAB" w:rsidRDefault="00EC7DBC" w:rsidP="00EC7DBC">
            <w:pPr>
              <w:pStyle w:val="Default"/>
              <w:rPr>
                <w:rFonts w:asciiTheme="minorHAnsi" w:hAnsiTheme="minorHAnsi"/>
                <w:sz w:val="20"/>
                <w:lang w:val="es-ES"/>
              </w:rPr>
            </w:pPr>
            <w:r w:rsidRPr="00945DAB">
              <w:rPr>
                <w:rFonts w:asciiTheme="minorHAnsi" w:hAnsiTheme="minorHAnsi"/>
                <w:sz w:val="20"/>
                <w:lang w:val="es-ES"/>
              </w:rPr>
              <w:t xml:space="preserve">El personal de la Secretaría no tiene acceso a una red de asistencia logística y de seguridad, como sí lo tiene el personal de la ONU en países donde existen riesgos para la seguridad y el bienestar del personal. </w:t>
            </w:r>
          </w:p>
          <w:p w14:paraId="68C52F26" w14:textId="77777777" w:rsidR="00EC7DBC" w:rsidRPr="00EC7DBC" w:rsidRDefault="00EC7DBC" w:rsidP="00EC7DBC">
            <w:pPr>
              <w:pStyle w:val="Default"/>
              <w:rPr>
                <w:rFonts w:asciiTheme="minorHAnsi" w:hAnsiTheme="minorHAnsi"/>
                <w:sz w:val="20"/>
                <w:u w:val="single"/>
                <w:lang w:val="fr-FR"/>
              </w:rPr>
            </w:pPr>
          </w:p>
        </w:tc>
        <w:tc>
          <w:tcPr>
            <w:tcW w:w="1555" w:type="dxa"/>
          </w:tcPr>
          <w:p w14:paraId="6FAEB798" w14:textId="4D50AC78" w:rsidR="00EC7DBC" w:rsidRPr="00EC0F71" w:rsidRDefault="00EC7DBC" w:rsidP="00EC7DBC">
            <w:pPr>
              <w:pStyle w:val="Default"/>
              <w:rPr>
                <w:rFonts w:asciiTheme="minorHAnsi" w:hAnsiTheme="minorHAnsi"/>
                <w:b/>
                <w:sz w:val="20"/>
              </w:rPr>
            </w:pPr>
            <w:r w:rsidRPr="00945DAB">
              <w:rPr>
                <w:rFonts w:asciiTheme="minorHAnsi" w:hAnsiTheme="minorHAnsi"/>
                <w:b/>
                <w:sz w:val="20"/>
                <w:lang w:val="es-ES"/>
              </w:rPr>
              <w:t>5</w:t>
            </w:r>
          </w:p>
        </w:tc>
        <w:tc>
          <w:tcPr>
            <w:tcW w:w="2976" w:type="dxa"/>
          </w:tcPr>
          <w:p w14:paraId="2013E311" w14:textId="77777777" w:rsidR="00EC7DBC" w:rsidRPr="00945DAB" w:rsidRDefault="00EC7DBC" w:rsidP="00EC7DBC">
            <w:pPr>
              <w:pStyle w:val="Default"/>
              <w:numPr>
                <w:ilvl w:val="0"/>
                <w:numId w:val="7"/>
              </w:numPr>
              <w:ind w:left="180" w:hanging="180"/>
              <w:rPr>
                <w:rFonts w:asciiTheme="minorHAnsi" w:hAnsiTheme="minorHAnsi"/>
                <w:sz w:val="20"/>
                <w:lang w:val="es-ES"/>
              </w:rPr>
            </w:pPr>
            <w:r w:rsidRPr="00945DAB">
              <w:rPr>
                <w:rFonts w:asciiTheme="minorHAnsi" w:hAnsiTheme="minorHAnsi"/>
                <w:sz w:val="20"/>
                <w:lang w:val="es-ES"/>
              </w:rPr>
              <w:t>Establecer un grupo de trabajo que dirija el proceso para lograr una solidez organizativa que apoye la aplicación de la Convención, por ejemplo, mediante la preparación de un proyecto de resolución para su consideración por la reunión SC63 y la COP15.</w:t>
            </w:r>
          </w:p>
          <w:p w14:paraId="35FAD1C7" w14:textId="77777777" w:rsidR="00EC7DBC" w:rsidRPr="00945DAB" w:rsidRDefault="00EC7DBC" w:rsidP="00EC7DBC">
            <w:pPr>
              <w:pStyle w:val="Default"/>
              <w:numPr>
                <w:ilvl w:val="0"/>
                <w:numId w:val="7"/>
              </w:numPr>
              <w:ind w:left="180" w:hanging="180"/>
              <w:rPr>
                <w:rFonts w:asciiTheme="minorHAnsi" w:hAnsiTheme="minorHAnsi"/>
                <w:sz w:val="20"/>
                <w:lang w:val="es-ES"/>
              </w:rPr>
            </w:pPr>
            <w:r w:rsidRPr="00945DAB">
              <w:rPr>
                <w:rFonts w:asciiTheme="minorHAnsi" w:hAnsiTheme="minorHAnsi"/>
                <w:sz w:val="20"/>
                <w:lang w:val="es-ES"/>
              </w:rPr>
              <w:t xml:space="preserve">Transición completa de la Secretaría al sistema de las Naciones Unidas. </w:t>
            </w:r>
          </w:p>
          <w:p w14:paraId="724E8785" w14:textId="77777777" w:rsidR="00EC7DBC" w:rsidRPr="00945DAB" w:rsidRDefault="00EC7DBC" w:rsidP="00EC7DBC">
            <w:pPr>
              <w:pStyle w:val="ListParagraph"/>
              <w:numPr>
                <w:ilvl w:val="0"/>
                <w:numId w:val="7"/>
              </w:numPr>
              <w:ind w:left="180" w:hanging="180"/>
              <w:contextualSpacing w:val="0"/>
              <w:rPr>
                <w:color w:val="000000"/>
                <w:sz w:val="20"/>
                <w:lang w:val="es-ES"/>
              </w:rPr>
            </w:pPr>
            <w:r w:rsidRPr="00945DAB">
              <w:rPr>
                <w:color w:val="000000"/>
                <w:sz w:val="20"/>
                <w:lang w:val="es-ES"/>
              </w:rPr>
              <w:t xml:space="preserve">Puede ser beneficioso adoptar un enfoque diverso respecto de las cuestiones considerando opciones a más corto plazo y administrativamente más sencillas como parte de las recomendaciones. Esto puede incluir la renegociación de la carta de acuerdo con la UICN o un diálogo similar. </w:t>
            </w:r>
          </w:p>
          <w:p w14:paraId="49B1FD6A" w14:textId="77777777" w:rsidR="00EC7DBC" w:rsidRPr="00945DAB" w:rsidRDefault="00EC7DBC" w:rsidP="00EC7DBC">
            <w:pPr>
              <w:pStyle w:val="ListParagraph"/>
              <w:numPr>
                <w:ilvl w:val="0"/>
                <w:numId w:val="7"/>
              </w:numPr>
              <w:ind w:left="180" w:hanging="180"/>
              <w:contextualSpacing w:val="0"/>
              <w:rPr>
                <w:color w:val="000000"/>
                <w:sz w:val="20"/>
                <w:lang w:val="es-ES"/>
              </w:rPr>
            </w:pPr>
            <w:r w:rsidRPr="00945DAB">
              <w:rPr>
                <w:color w:val="000000"/>
                <w:sz w:val="20"/>
                <w:lang w:val="es-ES"/>
              </w:rPr>
              <w:t xml:space="preserve">La Secretaría se reunirá bilateralmente con otras Partes interesadas que no estuvieron presentes en las reuniones para recabar sus opiniones, de modo que el documento se beneficie de diversas perspectivas y para facilitar los debates en la SC62. </w:t>
            </w:r>
          </w:p>
          <w:p w14:paraId="4C53AE56" w14:textId="77777777" w:rsidR="00EC7DBC" w:rsidRPr="00945DAB" w:rsidRDefault="00EC7DBC" w:rsidP="00EC7DBC">
            <w:pPr>
              <w:pStyle w:val="Default"/>
              <w:numPr>
                <w:ilvl w:val="0"/>
                <w:numId w:val="7"/>
              </w:numPr>
              <w:ind w:left="180" w:hanging="180"/>
              <w:rPr>
                <w:rFonts w:asciiTheme="minorHAnsi" w:hAnsiTheme="minorHAnsi"/>
                <w:sz w:val="20"/>
                <w:lang w:val="es-ES"/>
              </w:rPr>
            </w:pPr>
            <w:r w:rsidRPr="00945DAB">
              <w:rPr>
                <w:rFonts w:asciiTheme="minorHAnsi" w:hAnsiTheme="minorHAnsi"/>
                <w:sz w:val="20"/>
                <w:lang w:val="es-ES"/>
              </w:rPr>
              <w:t xml:space="preserve">A la hora de desarrollar las recomendaciones, debe tenerse en cuenta cómo mejorarán la aplicación de la Convención, así como los riesgos potenciales asociados a la vía recomendada. </w:t>
            </w:r>
          </w:p>
          <w:p w14:paraId="4154097C" w14:textId="77777777" w:rsidR="00EC7DBC" w:rsidRPr="00945DAB" w:rsidRDefault="00EC7DBC" w:rsidP="00EC7DBC">
            <w:pPr>
              <w:pStyle w:val="Default"/>
              <w:numPr>
                <w:ilvl w:val="0"/>
                <w:numId w:val="7"/>
              </w:numPr>
              <w:ind w:left="180" w:hanging="180"/>
              <w:rPr>
                <w:rFonts w:asciiTheme="minorHAnsi" w:hAnsiTheme="minorHAnsi"/>
                <w:sz w:val="20"/>
                <w:lang w:val="es-ES"/>
              </w:rPr>
            </w:pPr>
            <w:r w:rsidRPr="00945DAB">
              <w:rPr>
                <w:rFonts w:asciiTheme="minorHAnsi" w:hAnsiTheme="minorHAnsi"/>
                <w:sz w:val="20"/>
                <w:lang w:val="es-ES"/>
              </w:rPr>
              <w:t xml:space="preserve">Implicación del Grupo de Trabajo Administrativo y del Subgrupo de Finanzas para evaluar la viabilidad de que la Secretaría contrate directamente a donantes y socios para la ejecución de proyectos. </w:t>
            </w:r>
          </w:p>
          <w:p w14:paraId="4FFCB7A2" w14:textId="77777777" w:rsidR="00EC7DBC" w:rsidRPr="00945DAB" w:rsidRDefault="00EC7DBC" w:rsidP="00EC7DBC">
            <w:pPr>
              <w:pStyle w:val="Default"/>
              <w:numPr>
                <w:ilvl w:val="0"/>
                <w:numId w:val="7"/>
              </w:numPr>
              <w:ind w:left="180" w:hanging="180"/>
              <w:rPr>
                <w:rFonts w:asciiTheme="minorHAnsi" w:hAnsiTheme="minorHAnsi"/>
                <w:sz w:val="20"/>
                <w:lang w:val="es-ES"/>
              </w:rPr>
            </w:pPr>
            <w:r w:rsidRPr="00945DAB">
              <w:rPr>
                <w:rFonts w:asciiTheme="minorHAnsi" w:hAnsiTheme="minorHAnsi"/>
                <w:sz w:val="20"/>
                <w:lang w:val="es-ES"/>
              </w:rPr>
              <w:t xml:space="preserve">Verificar con el gobierno suizo las posibles soluciones relativas a los riesgos por impago de contribuciones. </w:t>
            </w:r>
          </w:p>
          <w:p w14:paraId="5C421BC3" w14:textId="2D1D96AC" w:rsidR="00EC7DBC" w:rsidRPr="00EC7DBC" w:rsidRDefault="00EC7DBC" w:rsidP="00EC7DBC">
            <w:pPr>
              <w:pStyle w:val="Default"/>
              <w:numPr>
                <w:ilvl w:val="0"/>
                <w:numId w:val="7"/>
              </w:numPr>
              <w:ind w:left="180" w:hanging="180"/>
              <w:rPr>
                <w:rFonts w:asciiTheme="minorHAnsi" w:hAnsiTheme="minorHAnsi"/>
                <w:sz w:val="20"/>
                <w:lang w:val="fr-FR"/>
              </w:rPr>
            </w:pPr>
            <w:r w:rsidRPr="00945DAB">
              <w:rPr>
                <w:rFonts w:asciiTheme="minorHAnsi" w:hAnsiTheme="minorHAnsi"/>
                <w:sz w:val="20"/>
                <w:lang w:val="es-ES"/>
              </w:rPr>
              <w:t xml:space="preserve">Posibles acuerdos con países morosos en el pago de las contribuciones y estudiar las experiencias de otras Convenciones como las de Basilea, Rotterdam y Estocolmo (BRS) (por ejemplo, planes de pago, etc.). </w:t>
            </w:r>
          </w:p>
        </w:tc>
        <w:tc>
          <w:tcPr>
            <w:tcW w:w="2699" w:type="dxa"/>
          </w:tcPr>
          <w:p w14:paraId="5FA6C12C" w14:textId="77777777" w:rsidR="00EC7DBC" w:rsidRPr="00945DAB" w:rsidRDefault="00EC7DBC" w:rsidP="00EC7DBC">
            <w:pPr>
              <w:pStyle w:val="ListParagraph"/>
              <w:numPr>
                <w:ilvl w:val="0"/>
                <w:numId w:val="7"/>
              </w:numPr>
              <w:ind w:left="174" w:hanging="174"/>
              <w:contextualSpacing w:val="0"/>
              <w:rPr>
                <w:sz w:val="20"/>
                <w:lang w:val="es-ES"/>
              </w:rPr>
            </w:pPr>
            <w:r w:rsidRPr="00945DAB">
              <w:rPr>
                <w:sz w:val="20"/>
                <w:lang w:val="es-ES"/>
              </w:rPr>
              <w:t xml:space="preserve">Apoyar las decisiones de las Partes Contratantes sobre acuerdos de acogida alternativos para lograr una solidez organizativa que respalde la aplicación de la Convención. </w:t>
            </w:r>
          </w:p>
          <w:p w14:paraId="1B4D9079" w14:textId="67FF6609" w:rsidR="00EC7DBC" w:rsidRPr="00945DAB" w:rsidRDefault="00EC7DBC" w:rsidP="00EC7DBC">
            <w:pPr>
              <w:pStyle w:val="ListParagraph"/>
              <w:numPr>
                <w:ilvl w:val="0"/>
                <w:numId w:val="7"/>
              </w:numPr>
              <w:ind w:left="174" w:hanging="174"/>
              <w:contextualSpacing w:val="0"/>
              <w:rPr>
                <w:sz w:val="20"/>
                <w:lang w:val="es-ES"/>
              </w:rPr>
            </w:pPr>
            <w:r w:rsidRPr="00945DAB">
              <w:rPr>
                <w:sz w:val="20"/>
                <w:lang w:val="es-ES"/>
              </w:rPr>
              <w:t>Explorar con la UICN, para futuros proyectos en los que la UICN sea el representante legal, el desarrollo de un procedimiento revisado que incluya la evaluación del proyecto y la revisión del contrato, adaptado para la Secretaría de la Convención en el contexto de la delegación de autoridad/</w:t>
            </w:r>
            <w:r>
              <w:rPr>
                <w:sz w:val="20"/>
                <w:lang w:val="es-ES"/>
              </w:rPr>
              <w:t xml:space="preserve"> </w:t>
            </w:r>
            <w:r w:rsidRPr="00945DAB">
              <w:rPr>
                <w:sz w:val="20"/>
                <w:lang w:val="es-ES"/>
              </w:rPr>
              <w:t xml:space="preserve">carta de acuerdo existente. </w:t>
            </w:r>
          </w:p>
          <w:p w14:paraId="09AC437C" w14:textId="77777777" w:rsidR="00EC7DBC" w:rsidRPr="00945DAB" w:rsidRDefault="00EC7DBC" w:rsidP="00EC7DBC">
            <w:pPr>
              <w:pStyle w:val="ListParagraph"/>
              <w:numPr>
                <w:ilvl w:val="0"/>
                <w:numId w:val="7"/>
              </w:numPr>
              <w:ind w:left="174" w:hanging="174"/>
              <w:contextualSpacing w:val="0"/>
              <w:rPr>
                <w:sz w:val="20"/>
                <w:lang w:val="es-ES"/>
              </w:rPr>
            </w:pPr>
            <w:r w:rsidRPr="00945DAB">
              <w:rPr>
                <w:sz w:val="20"/>
                <w:lang w:val="es-ES"/>
              </w:rPr>
              <w:t xml:space="preserve">Trabajar con el Grupo de Trabajo Administrativo y el Subgrupo de Finanzas para evaluar la viabilidad de que la Secretaría contrate directamente a donantes y socios para la ejecución de proyectos. </w:t>
            </w:r>
          </w:p>
          <w:p w14:paraId="30A59123" w14:textId="77777777" w:rsidR="00EC7DBC" w:rsidRPr="00EC7DBC" w:rsidRDefault="00EC7DBC" w:rsidP="00EC7DBC">
            <w:pPr>
              <w:pStyle w:val="ListParagraph"/>
              <w:numPr>
                <w:ilvl w:val="0"/>
                <w:numId w:val="7"/>
              </w:numPr>
              <w:ind w:left="174" w:hanging="174"/>
              <w:contextualSpacing w:val="0"/>
              <w:rPr>
                <w:spacing w:val="-2"/>
                <w:sz w:val="20"/>
                <w:lang w:val="es-ES"/>
              </w:rPr>
            </w:pPr>
            <w:r w:rsidRPr="00EC7DBC">
              <w:rPr>
                <w:spacing w:val="-2"/>
                <w:sz w:val="20"/>
                <w:lang w:val="es-ES"/>
              </w:rPr>
              <w:t xml:space="preserve">Informar a las Partes Contratantes en las reuniones regionales sobre el proceso de consulta en curso para la preparación del informe de fortalecimiento institucional en consonancia con el párrafo 22 de la Resolución XIV.6 y fomentar la participación activa de todas las Partes en este proceso. </w:t>
            </w:r>
          </w:p>
          <w:p w14:paraId="5ABDC22E" w14:textId="77777777" w:rsidR="00EC7DBC" w:rsidRPr="00EC7DBC" w:rsidRDefault="00EC7DBC" w:rsidP="00EC7DBC">
            <w:pPr>
              <w:pStyle w:val="ListParagraph"/>
              <w:numPr>
                <w:ilvl w:val="0"/>
                <w:numId w:val="7"/>
              </w:numPr>
              <w:ind w:left="174" w:hanging="174"/>
              <w:contextualSpacing w:val="0"/>
              <w:rPr>
                <w:spacing w:val="-2"/>
                <w:sz w:val="20"/>
                <w:lang w:val="es-ES"/>
              </w:rPr>
            </w:pPr>
            <w:r w:rsidRPr="00EC7DBC">
              <w:rPr>
                <w:spacing w:val="-2"/>
                <w:sz w:val="20"/>
                <w:lang w:val="es-ES"/>
              </w:rPr>
              <w:t xml:space="preserve">Explorar con el nuevo auditor posibles enfoques alternativos para gestionar los riesgos derivados del impago de las contribuciones. </w:t>
            </w:r>
          </w:p>
          <w:p w14:paraId="3CCF5014" w14:textId="77777777" w:rsidR="00EC7DBC" w:rsidRPr="00945DAB" w:rsidRDefault="00EC7DBC" w:rsidP="00EC7DBC">
            <w:pPr>
              <w:pStyle w:val="ListParagraph"/>
              <w:numPr>
                <w:ilvl w:val="0"/>
                <w:numId w:val="7"/>
              </w:numPr>
              <w:ind w:left="174" w:hanging="174"/>
              <w:contextualSpacing w:val="0"/>
              <w:rPr>
                <w:sz w:val="20"/>
                <w:lang w:val="es-ES"/>
              </w:rPr>
            </w:pPr>
            <w:r w:rsidRPr="00945DAB">
              <w:rPr>
                <w:sz w:val="20"/>
                <w:lang w:val="es-ES"/>
              </w:rPr>
              <w:t xml:space="preserve">Seguir invitando a las Partes con contribuciones pendientes a acordar un plan de pagos de acuerdo con la Decisión SC58-15. </w:t>
            </w:r>
          </w:p>
          <w:p w14:paraId="1DB2A7BB" w14:textId="783FE248" w:rsidR="00EC7DBC" w:rsidRPr="00EC7DBC" w:rsidRDefault="00EC7DBC" w:rsidP="00EC7DBC">
            <w:pPr>
              <w:pStyle w:val="ListParagraph"/>
              <w:numPr>
                <w:ilvl w:val="0"/>
                <w:numId w:val="7"/>
              </w:numPr>
              <w:ind w:left="174" w:hanging="174"/>
              <w:contextualSpacing w:val="0"/>
              <w:rPr>
                <w:sz w:val="20"/>
                <w:lang w:val="fr-FR"/>
              </w:rPr>
            </w:pPr>
            <w:r w:rsidRPr="00945DAB">
              <w:rPr>
                <w:sz w:val="20"/>
                <w:lang w:val="es-ES"/>
              </w:rPr>
              <w:t xml:space="preserve">Revisar las experiencias de otras Convenciones como las de BRS y las Convenciones relacionadas con la biodiversidad para facilitar el pago de las contribuciones basándose en el documento SC58 Doc. 8.3. </w:t>
            </w:r>
          </w:p>
        </w:tc>
      </w:tr>
      <w:tr w:rsidR="00EC7DBC" w:rsidRPr="00EC7DBC" w14:paraId="1A13153D" w14:textId="77777777" w:rsidTr="00EC7DBC">
        <w:tc>
          <w:tcPr>
            <w:tcW w:w="1555" w:type="dxa"/>
          </w:tcPr>
          <w:p w14:paraId="565AC5E2" w14:textId="2E38DE19" w:rsidR="00EC7DBC" w:rsidRPr="00EC0F71" w:rsidRDefault="00EC7DBC" w:rsidP="00EC7DBC">
            <w:pPr>
              <w:pStyle w:val="Default"/>
              <w:rPr>
                <w:rFonts w:asciiTheme="minorHAnsi" w:hAnsiTheme="minorHAnsi"/>
                <w:sz w:val="20"/>
              </w:rPr>
            </w:pPr>
            <w:r w:rsidRPr="00945DAB">
              <w:rPr>
                <w:rFonts w:asciiTheme="minorHAnsi" w:hAnsiTheme="minorHAnsi"/>
                <w:sz w:val="20"/>
                <w:lang w:val="es-ES"/>
              </w:rPr>
              <w:t>2. Gobernanza</w:t>
            </w:r>
          </w:p>
        </w:tc>
        <w:tc>
          <w:tcPr>
            <w:tcW w:w="2126" w:type="dxa"/>
            <w:shd w:val="clear" w:color="auto" w:fill="auto"/>
          </w:tcPr>
          <w:p w14:paraId="4F45560D" w14:textId="77777777" w:rsidR="00EC7DBC" w:rsidRPr="00945DAB" w:rsidRDefault="00EC7DBC" w:rsidP="00EC7DBC">
            <w:pPr>
              <w:snapToGrid w:val="0"/>
              <w:rPr>
                <w:sz w:val="20"/>
                <w:u w:val="single"/>
                <w:lang w:val="es-ES"/>
              </w:rPr>
            </w:pPr>
            <w:r w:rsidRPr="00945DAB">
              <w:rPr>
                <w:sz w:val="20"/>
                <w:u w:val="single"/>
                <w:lang w:val="es-ES"/>
              </w:rPr>
              <w:t>Resolución XIV.3</w:t>
            </w:r>
          </w:p>
          <w:p w14:paraId="32031EB8" w14:textId="77777777" w:rsidR="00EC7DBC" w:rsidRPr="00945DAB" w:rsidRDefault="00EC7DBC" w:rsidP="00EC7DBC">
            <w:pPr>
              <w:rPr>
                <w:sz w:val="20"/>
                <w:u w:val="single"/>
                <w:lang w:val="es-ES"/>
              </w:rPr>
            </w:pPr>
            <w:r w:rsidRPr="00945DAB">
              <w:rPr>
                <w:sz w:val="20"/>
                <w:u w:val="single"/>
                <w:lang w:val="es-ES"/>
              </w:rPr>
              <w:t>Eficacia y eficiencia de la Convención sobre los Humedales</w:t>
            </w:r>
          </w:p>
          <w:p w14:paraId="3CBE4532" w14:textId="77777777" w:rsidR="00EC7DBC" w:rsidRPr="00945DAB" w:rsidRDefault="00EC7DBC" w:rsidP="00EC7DBC">
            <w:pPr>
              <w:rPr>
                <w:sz w:val="20"/>
                <w:lang w:val="es-ES"/>
              </w:rPr>
            </w:pPr>
          </w:p>
          <w:p w14:paraId="00017A02" w14:textId="6A716C86" w:rsidR="00EC7DBC" w:rsidRPr="00EC7DBC" w:rsidRDefault="00EC7DBC" w:rsidP="00EC7DBC">
            <w:pPr>
              <w:snapToGrid w:val="0"/>
              <w:rPr>
                <w:sz w:val="20"/>
                <w:lang w:val="fr-FR"/>
              </w:rPr>
            </w:pPr>
            <w:r w:rsidRPr="00945DAB">
              <w:rPr>
                <w:sz w:val="20"/>
                <w:lang w:val="es-ES"/>
              </w:rPr>
              <w:t xml:space="preserve">En línea con las instrucciones de la Resolución, la Secretaría ha preparado un informe sobre su examen y análisis de los enfoques y posibles sistemas en línea para facilitar la colaboración entre las Partes Contratantes entre sesiones, y basándose en las reacciones y las decisiones de la reunión SC62, la Secretaría tomará nuevas medidas para estudiar y, en última instancia, aplicar los sistemas y herramientas solicitados. </w:t>
            </w:r>
          </w:p>
        </w:tc>
        <w:tc>
          <w:tcPr>
            <w:tcW w:w="2126" w:type="dxa"/>
            <w:shd w:val="clear" w:color="auto" w:fill="auto"/>
          </w:tcPr>
          <w:p w14:paraId="53B247DC" w14:textId="77777777" w:rsidR="00EC7DBC" w:rsidRPr="00EC7DBC" w:rsidRDefault="00EC7DBC" w:rsidP="00EC7DBC">
            <w:pPr>
              <w:rPr>
                <w:rFonts w:cstheme="minorHAnsi"/>
                <w:sz w:val="20"/>
                <w:szCs w:val="20"/>
                <w:lang w:val="fr-FR"/>
              </w:rPr>
            </w:pPr>
          </w:p>
        </w:tc>
        <w:tc>
          <w:tcPr>
            <w:tcW w:w="2131" w:type="dxa"/>
            <w:shd w:val="clear" w:color="auto" w:fill="auto"/>
          </w:tcPr>
          <w:p w14:paraId="797BB868" w14:textId="77777777" w:rsidR="00EC7DBC" w:rsidRPr="00EC7DBC" w:rsidRDefault="00EC7DBC" w:rsidP="00EC7DBC">
            <w:pPr>
              <w:pStyle w:val="Default"/>
              <w:rPr>
                <w:rFonts w:asciiTheme="minorHAnsi" w:hAnsiTheme="minorHAnsi" w:cstheme="minorHAnsi"/>
                <w:sz w:val="20"/>
                <w:szCs w:val="20"/>
                <w:lang w:val="fr-FR"/>
              </w:rPr>
            </w:pPr>
            <w:bookmarkStart w:id="3" w:name="_GoBack"/>
            <w:bookmarkEnd w:id="3"/>
          </w:p>
        </w:tc>
        <w:tc>
          <w:tcPr>
            <w:tcW w:w="1555" w:type="dxa"/>
          </w:tcPr>
          <w:p w14:paraId="1A5E74A8" w14:textId="3F122C85" w:rsidR="00EC7DBC" w:rsidRPr="009B0E63" w:rsidRDefault="00EC7DBC" w:rsidP="00EC7DBC">
            <w:pPr>
              <w:pStyle w:val="Default"/>
              <w:rPr>
                <w:rFonts w:asciiTheme="minorHAnsi" w:hAnsiTheme="minorHAnsi" w:cstheme="minorHAnsi"/>
                <w:b/>
                <w:sz w:val="20"/>
                <w:szCs w:val="20"/>
              </w:rPr>
            </w:pPr>
            <w:r w:rsidRPr="00945DAB">
              <w:rPr>
                <w:rFonts w:asciiTheme="minorHAnsi" w:hAnsiTheme="minorHAnsi" w:cstheme="minorHAnsi"/>
                <w:b/>
                <w:sz w:val="20"/>
                <w:szCs w:val="20"/>
                <w:lang w:val="es-ES"/>
              </w:rPr>
              <w:t>1</w:t>
            </w:r>
          </w:p>
        </w:tc>
        <w:tc>
          <w:tcPr>
            <w:tcW w:w="2976" w:type="dxa"/>
          </w:tcPr>
          <w:p w14:paraId="1851F9DC" w14:textId="77777777" w:rsidR="00EC7DBC" w:rsidRPr="00945DAB" w:rsidRDefault="00EC7DBC" w:rsidP="00EC7DBC">
            <w:pPr>
              <w:pStyle w:val="Default"/>
              <w:numPr>
                <w:ilvl w:val="0"/>
                <w:numId w:val="16"/>
              </w:numPr>
              <w:ind w:left="180" w:hanging="180"/>
              <w:rPr>
                <w:rFonts w:asciiTheme="minorHAnsi" w:hAnsiTheme="minorHAnsi" w:cstheme="minorHAnsi"/>
                <w:b/>
                <w:sz w:val="20"/>
                <w:szCs w:val="20"/>
                <w:lang w:val="es-ES"/>
              </w:rPr>
            </w:pPr>
            <w:r w:rsidRPr="00945DAB">
              <w:rPr>
                <w:rFonts w:asciiTheme="minorHAnsi" w:hAnsiTheme="minorHAnsi"/>
                <w:sz w:val="20"/>
                <w:lang w:val="es-ES"/>
              </w:rPr>
              <w:t xml:space="preserve">Participación del Grupo de Trabajo Administrativo y del Subgrupo de Finanzas. </w:t>
            </w:r>
          </w:p>
          <w:p w14:paraId="1BEB2F89" w14:textId="77777777" w:rsidR="00EC7DBC" w:rsidRPr="00945DAB" w:rsidRDefault="00EC7DBC" w:rsidP="00EC7DBC">
            <w:pPr>
              <w:pStyle w:val="Default"/>
              <w:numPr>
                <w:ilvl w:val="0"/>
                <w:numId w:val="16"/>
              </w:numPr>
              <w:ind w:left="180" w:hanging="180"/>
              <w:rPr>
                <w:rFonts w:asciiTheme="minorHAnsi" w:hAnsiTheme="minorHAnsi"/>
                <w:sz w:val="20"/>
                <w:lang w:val="es-ES"/>
              </w:rPr>
            </w:pPr>
            <w:r w:rsidRPr="00945DAB">
              <w:rPr>
                <w:rFonts w:asciiTheme="minorHAnsi" w:hAnsiTheme="minorHAnsi"/>
                <w:sz w:val="20"/>
                <w:lang w:val="es-ES"/>
              </w:rPr>
              <w:t xml:space="preserve">Seguir trabajando para lograr una comunicación sólida y eficaz es esencial para compartir información y buenas prácticas y fomentar la colaboración entre las Partes Contratantes. Al mejorar los canales de comunicación, la Convención puede apoyar mejor a las Partes y fomentar un mayor sentido de comunidad entre todos los interesados. </w:t>
            </w:r>
          </w:p>
          <w:p w14:paraId="288B609B" w14:textId="77777777" w:rsidR="00EC7DBC" w:rsidRPr="00945DAB" w:rsidRDefault="00EC7DBC" w:rsidP="00EC7DBC">
            <w:pPr>
              <w:pStyle w:val="Default"/>
              <w:numPr>
                <w:ilvl w:val="0"/>
                <w:numId w:val="16"/>
              </w:numPr>
              <w:ind w:left="180" w:hanging="180"/>
              <w:rPr>
                <w:rFonts w:asciiTheme="minorHAnsi" w:hAnsiTheme="minorHAnsi"/>
                <w:sz w:val="20"/>
                <w:lang w:val="es-ES"/>
              </w:rPr>
            </w:pPr>
            <w:r w:rsidRPr="00945DAB">
              <w:rPr>
                <w:rFonts w:asciiTheme="minorHAnsi" w:hAnsiTheme="minorHAnsi"/>
                <w:sz w:val="20"/>
                <w:lang w:val="es-ES"/>
              </w:rPr>
              <w:t xml:space="preserve">Al proporcionar plataformas para que las Partes trabajen juntas entre sesiones, intercambien ideas y presenten comentarios sobre los proyectos de resolución, la Convención puede fomentar debates más productivos y, en última instancia, una toma de decisiones mejor fundamentada durante las reuniones oficiales. </w:t>
            </w:r>
          </w:p>
          <w:p w14:paraId="51175D46" w14:textId="0605D8E1" w:rsidR="00EC7DBC" w:rsidRPr="00EC7DBC" w:rsidRDefault="00EC7DBC" w:rsidP="00EC7DBC">
            <w:pPr>
              <w:pStyle w:val="Default"/>
              <w:numPr>
                <w:ilvl w:val="0"/>
                <w:numId w:val="16"/>
              </w:numPr>
              <w:ind w:left="180" w:hanging="180"/>
              <w:rPr>
                <w:rFonts w:asciiTheme="minorHAnsi" w:hAnsiTheme="minorHAnsi" w:cstheme="minorHAnsi"/>
                <w:bCs/>
                <w:sz w:val="20"/>
                <w:szCs w:val="20"/>
                <w:lang w:val="fr-FR"/>
              </w:rPr>
            </w:pPr>
            <w:r w:rsidRPr="00945DAB">
              <w:rPr>
                <w:rFonts w:asciiTheme="minorHAnsi" w:hAnsiTheme="minorHAnsi" w:cstheme="minorHAnsi"/>
                <w:bCs/>
                <w:sz w:val="20"/>
                <w:szCs w:val="20"/>
                <w:lang w:val="es-ES"/>
              </w:rPr>
              <w:t xml:space="preserve">El papel de la Secretaría en el refuerzo de las herramientas de formación, como los seminarios virtuales y los materiales de formación, es fundamental para que las Partes Contratantes apliquen eficazmente las disposiciones de la Convención a escala nacional. </w:t>
            </w:r>
          </w:p>
        </w:tc>
        <w:tc>
          <w:tcPr>
            <w:tcW w:w="2699" w:type="dxa"/>
          </w:tcPr>
          <w:p w14:paraId="295DD68E" w14:textId="77777777" w:rsidR="00EC7DBC" w:rsidRPr="00945DAB" w:rsidRDefault="00EC7DBC" w:rsidP="00EC7DBC">
            <w:pPr>
              <w:pStyle w:val="ListParagraph"/>
              <w:numPr>
                <w:ilvl w:val="0"/>
                <w:numId w:val="16"/>
              </w:numPr>
              <w:snapToGrid w:val="0"/>
              <w:ind w:left="170" w:hanging="142"/>
              <w:rPr>
                <w:rStyle w:val="cf01"/>
                <w:rFonts w:asciiTheme="minorHAnsi" w:hAnsiTheme="minorHAnsi"/>
                <w:color w:val="000000"/>
                <w:sz w:val="20"/>
                <w:lang w:val="es-ES"/>
              </w:rPr>
            </w:pPr>
            <w:r w:rsidRPr="00945DAB">
              <w:rPr>
                <w:rStyle w:val="cf01"/>
                <w:rFonts w:asciiTheme="minorHAnsi" w:hAnsiTheme="minorHAnsi"/>
                <w:sz w:val="20"/>
                <w:lang w:val="es-ES"/>
              </w:rPr>
              <w:t xml:space="preserve">Basándose en las decisiones de la SC62, la Secretaría tomará nuevas medidas para explorar y, en última instancia, aplicar los sistemas y herramientas solicitados para facilitar la colaboración entre las Partes. </w:t>
            </w:r>
          </w:p>
          <w:p w14:paraId="368B539A" w14:textId="77777777" w:rsidR="00EC7DBC" w:rsidRPr="00EC7DBC" w:rsidRDefault="00EC7DBC" w:rsidP="00EC7DBC">
            <w:pPr>
              <w:pStyle w:val="Default"/>
              <w:rPr>
                <w:rFonts w:asciiTheme="minorHAnsi" w:hAnsiTheme="minorHAnsi"/>
                <w:sz w:val="20"/>
                <w:lang w:val="fr-FR"/>
              </w:rPr>
            </w:pPr>
          </w:p>
        </w:tc>
      </w:tr>
      <w:tr w:rsidR="00EC7DBC" w:rsidRPr="00EC7DBC" w14:paraId="1CBDB251" w14:textId="77777777" w:rsidTr="00EC7DBC">
        <w:trPr>
          <w:cantSplit/>
        </w:trPr>
        <w:tc>
          <w:tcPr>
            <w:tcW w:w="1555" w:type="dxa"/>
          </w:tcPr>
          <w:p w14:paraId="692273EA" w14:textId="6DD8A688" w:rsidR="00EC7DBC" w:rsidRPr="00EC0F71" w:rsidRDefault="00EC7DBC" w:rsidP="00EC7DBC">
            <w:pPr>
              <w:pStyle w:val="Default"/>
              <w:rPr>
                <w:rFonts w:asciiTheme="minorHAnsi" w:hAnsiTheme="minorHAnsi"/>
                <w:sz w:val="20"/>
              </w:rPr>
            </w:pPr>
            <w:r w:rsidRPr="00945DAB">
              <w:rPr>
                <w:rFonts w:asciiTheme="minorHAnsi" w:hAnsiTheme="minorHAnsi"/>
                <w:sz w:val="20"/>
                <w:lang w:val="es-ES"/>
              </w:rPr>
              <w:t>3. Liderazgo</w:t>
            </w:r>
          </w:p>
        </w:tc>
        <w:tc>
          <w:tcPr>
            <w:tcW w:w="2126" w:type="dxa"/>
            <w:shd w:val="clear" w:color="auto" w:fill="auto"/>
          </w:tcPr>
          <w:p w14:paraId="7697C250" w14:textId="77777777" w:rsidR="00EC7DBC" w:rsidRPr="00945DAB" w:rsidRDefault="00EC7DBC" w:rsidP="00EC7DBC">
            <w:pPr>
              <w:snapToGrid w:val="0"/>
              <w:rPr>
                <w:sz w:val="20"/>
                <w:lang w:val="es-ES"/>
              </w:rPr>
            </w:pPr>
            <w:r w:rsidRPr="00945DAB">
              <w:rPr>
                <w:sz w:val="20"/>
                <w:u w:val="single"/>
                <w:lang w:val="es-ES"/>
              </w:rPr>
              <w:t>Decisión SC59-40</w:t>
            </w:r>
          </w:p>
          <w:p w14:paraId="3706679B" w14:textId="77777777" w:rsidR="00EC7DBC" w:rsidRPr="00945DAB" w:rsidRDefault="00EC7DBC" w:rsidP="00EC7DBC">
            <w:pPr>
              <w:snapToGrid w:val="0"/>
              <w:rPr>
                <w:sz w:val="20"/>
                <w:lang w:val="es-ES"/>
              </w:rPr>
            </w:pPr>
          </w:p>
          <w:p w14:paraId="14AA3203" w14:textId="0BC1788F" w:rsidR="00EC7DBC" w:rsidRPr="00EC7DBC" w:rsidRDefault="00EC7DBC" w:rsidP="00EC7DBC">
            <w:pPr>
              <w:snapToGrid w:val="0"/>
              <w:rPr>
                <w:sz w:val="20"/>
                <w:lang w:val="fr-FR"/>
              </w:rPr>
            </w:pPr>
            <w:r w:rsidRPr="00945DAB">
              <w:rPr>
                <w:sz w:val="20"/>
                <w:lang w:val="es-ES"/>
              </w:rPr>
              <w:t xml:space="preserve">En la Decisión SC59-40, el Comité Permanente encomendó al Grupo de Trabajo Administrativo que elaborara un proyecto de resolución para orientar el proceso de contratación de un nuevo Secretario o Secretaria General. A este respecto, no se presentó ningún proyecto de resolución en la reanudación de la sesión SC59 en mayo de 2022. </w:t>
            </w:r>
          </w:p>
        </w:tc>
        <w:tc>
          <w:tcPr>
            <w:tcW w:w="2126" w:type="dxa"/>
            <w:shd w:val="clear" w:color="auto" w:fill="auto"/>
          </w:tcPr>
          <w:p w14:paraId="604D6086" w14:textId="77777777" w:rsidR="00EC7DBC" w:rsidRPr="00EC7DBC" w:rsidRDefault="00EC7DBC" w:rsidP="00EC7DBC">
            <w:pPr>
              <w:rPr>
                <w:sz w:val="20"/>
                <w:lang w:val="fr-FR"/>
              </w:rPr>
            </w:pPr>
          </w:p>
        </w:tc>
        <w:tc>
          <w:tcPr>
            <w:tcW w:w="2131" w:type="dxa"/>
            <w:shd w:val="clear" w:color="auto" w:fill="auto"/>
          </w:tcPr>
          <w:p w14:paraId="137CE0CE" w14:textId="77777777" w:rsidR="00EC7DBC" w:rsidRPr="00EC7DBC" w:rsidRDefault="00EC7DBC" w:rsidP="00EC7DBC">
            <w:pPr>
              <w:pStyle w:val="Default"/>
              <w:rPr>
                <w:rFonts w:asciiTheme="minorHAnsi" w:hAnsiTheme="minorHAnsi" w:cstheme="minorHAnsi"/>
                <w:sz w:val="20"/>
                <w:szCs w:val="20"/>
                <w:lang w:val="fr-FR"/>
              </w:rPr>
            </w:pPr>
          </w:p>
        </w:tc>
        <w:tc>
          <w:tcPr>
            <w:tcW w:w="1555" w:type="dxa"/>
          </w:tcPr>
          <w:p w14:paraId="38C8F66F" w14:textId="1EC60955" w:rsidR="00EC7DBC" w:rsidRPr="009B0E63" w:rsidRDefault="00EC7DBC" w:rsidP="00EC7DBC">
            <w:pPr>
              <w:pStyle w:val="Default"/>
              <w:rPr>
                <w:rFonts w:asciiTheme="minorHAnsi" w:hAnsiTheme="minorHAnsi" w:cstheme="minorHAnsi"/>
                <w:b/>
                <w:sz w:val="20"/>
                <w:szCs w:val="20"/>
              </w:rPr>
            </w:pPr>
            <w:r w:rsidRPr="00945DAB">
              <w:rPr>
                <w:rFonts w:asciiTheme="minorHAnsi" w:hAnsiTheme="minorHAnsi" w:cstheme="minorHAnsi"/>
                <w:b/>
                <w:sz w:val="20"/>
                <w:szCs w:val="20"/>
                <w:lang w:val="es-ES"/>
              </w:rPr>
              <w:t>3</w:t>
            </w:r>
          </w:p>
        </w:tc>
        <w:tc>
          <w:tcPr>
            <w:tcW w:w="2976" w:type="dxa"/>
          </w:tcPr>
          <w:p w14:paraId="10A2D1A0" w14:textId="53EB5E40" w:rsidR="00EC7DBC" w:rsidRPr="00EC7DBC" w:rsidRDefault="00EC7DBC" w:rsidP="00EC7DBC">
            <w:pPr>
              <w:pStyle w:val="Default"/>
              <w:numPr>
                <w:ilvl w:val="0"/>
                <w:numId w:val="10"/>
              </w:numPr>
              <w:ind w:left="174" w:hanging="174"/>
              <w:rPr>
                <w:rFonts w:asciiTheme="minorHAnsi" w:hAnsiTheme="minorHAnsi"/>
                <w:sz w:val="20"/>
                <w:lang w:val="fr-FR"/>
              </w:rPr>
            </w:pPr>
            <w:r w:rsidRPr="00945DAB">
              <w:rPr>
                <w:rFonts w:asciiTheme="minorHAnsi" w:hAnsiTheme="minorHAnsi"/>
                <w:sz w:val="20"/>
                <w:lang w:val="es-ES"/>
              </w:rPr>
              <w:t xml:space="preserve">Solicitar al Grupo de Trabajo Administrativo que prepare un proyecto de resolución para la consideración de la SC63 que establezca el proceso de contratación de un nuevo Secretario o Secretaria General, para responder a la Decisión SC59-40. </w:t>
            </w:r>
          </w:p>
        </w:tc>
        <w:tc>
          <w:tcPr>
            <w:tcW w:w="2699" w:type="dxa"/>
          </w:tcPr>
          <w:p w14:paraId="51509DAC" w14:textId="10A3455E" w:rsidR="00EC7DBC" w:rsidRPr="00EC7DBC" w:rsidRDefault="00EC7DBC" w:rsidP="00EC7DBC">
            <w:pPr>
              <w:pStyle w:val="Default"/>
              <w:numPr>
                <w:ilvl w:val="0"/>
                <w:numId w:val="10"/>
              </w:numPr>
              <w:ind w:left="174" w:hanging="174"/>
              <w:rPr>
                <w:rFonts w:asciiTheme="minorHAnsi" w:hAnsiTheme="minorHAnsi"/>
                <w:sz w:val="20"/>
                <w:lang w:val="fr-FR"/>
              </w:rPr>
            </w:pPr>
            <w:r w:rsidRPr="00945DAB">
              <w:rPr>
                <w:rFonts w:asciiTheme="minorHAnsi" w:hAnsiTheme="minorHAnsi"/>
                <w:sz w:val="20"/>
                <w:lang w:val="es-ES"/>
              </w:rPr>
              <w:t xml:space="preserve">Apoyar al Grupo de Trabajo Administrativo en la preparación de un proyecto de resolución en respuesta a la Decisión SC59-40. </w:t>
            </w:r>
          </w:p>
        </w:tc>
      </w:tr>
      <w:tr w:rsidR="00EC7DBC" w:rsidRPr="00EC7DBC" w14:paraId="00A6E94B" w14:textId="77777777" w:rsidTr="00EC7DBC">
        <w:trPr>
          <w:cantSplit/>
        </w:trPr>
        <w:tc>
          <w:tcPr>
            <w:tcW w:w="1555" w:type="dxa"/>
          </w:tcPr>
          <w:p w14:paraId="346E974E" w14:textId="044ACD1E" w:rsidR="00EC7DBC" w:rsidRPr="00EC0F71" w:rsidRDefault="00EC7DBC" w:rsidP="00EC7DBC">
            <w:pPr>
              <w:pStyle w:val="Default"/>
              <w:rPr>
                <w:rFonts w:asciiTheme="minorHAnsi" w:hAnsiTheme="minorHAnsi"/>
                <w:sz w:val="20"/>
              </w:rPr>
            </w:pPr>
            <w:r w:rsidRPr="00945DAB">
              <w:rPr>
                <w:rFonts w:asciiTheme="minorHAnsi" w:hAnsiTheme="minorHAnsi"/>
                <w:sz w:val="20"/>
                <w:lang w:val="es-ES"/>
              </w:rPr>
              <w:t>4. Independencia de recursos humanos</w:t>
            </w:r>
          </w:p>
        </w:tc>
        <w:tc>
          <w:tcPr>
            <w:tcW w:w="2126" w:type="dxa"/>
            <w:shd w:val="clear" w:color="auto" w:fill="auto"/>
          </w:tcPr>
          <w:p w14:paraId="099AEAE3" w14:textId="77777777" w:rsidR="00EC7DBC" w:rsidRPr="00945DAB" w:rsidRDefault="00EC7DBC" w:rsidP="00EC7DBC">
            <w:pPr>
              <w:pStyle w:val="Default"/>
              <w:rPr>
                <w:rFonts w:asciiTheme="minorHAnsi" w:hAnsiTheme="minorHAnsi"/>
                <w:sz w:val="20"/>
                <w:lang w:val="es-ES"/>
              </w:rPr>
            </w:pPr>
            <w:r w:rsidRPr="00945DAB">
              <w:rPr>
                <w:rFonts w:asciiTheme="minorHAnsi" w:hAnsiTheme="minorHAnsi"/>
                <w:sz w:val="20"/>
                <w:lang w:val="es-ES"/>
              </w:rPr>
              <w:t xml:space="preserve">Algunas limitaciones experimentadas por la Secretaría debido a la falta de personalidad jurídica: </w:t>
            </w:r>
          </w:p>
          <w:p w14:paraId="1731B1ED" w14:textId="77777777" w:rsidR="00EC7DBC" w:rsidRPr="00945DAB" w:rsidRDefault="00EC7DBC" w:rsidP="00EC7DBC">
            <w:pPr>
              <w:pStyle w:val="Default"/>
              <w:rPr>
                <w:rFonts w:asciiTheme="minorHAnsi" w:hAnsiTheme="minorHAnsi"/>
                <w:sz w:val="20"/>
                <w:lang w:val="es-ES"/>
              </w:rPr>
            </w:pPr>
          </w:p>
          <w:p w14:paraId="6883920F" w14:textId="77777777" w:rsidR="00EC7DBC" w:rsidRPr="00945DAB" w:rsidRDefault="00EC7DBC" w:rsidP="00EC7DBC">
            <w:pPr>
              <w:pStyle w:val="Default"/>
              <w:numPr>
                <w:ilvl w:val="0"/>
                <w:numId w:val="17"/>
              </w:numPr>
              <w:ind w:left="177" w:hanging="177"/>
              <w:rPr>
                <w:rFonts w:asciiTheme="minorHAnsi" w:hAnsiTheme="minorHAnsi"/>
                <w:sz w:val="20"/>
                <w:lang w:val="es-ES"/>
              </w:rPr>
            </w:pPr>
            <w:r w:rsidRPr="00945DAB">
              <w:rPr>
                <w:rFonts w:asciiTheme="minorHAnsi" w:hAnsiTheme="minorHAnsi"/>
                <w:sz w:val="20"/>
                <w:lang w:val="es-ES"/>
              </w:rPr>
              <w:t xml:space="preserve">Competitividad limitada en términos de contratación de personal, en comparación con las condiciones y prestaciones de la ONU. </w:t>
            </w:r>
          </w:p>
          <w:p w14:paraId="61C513E2" w14:textId="1A8735CC" w:rsidR="00EC7DBC" w:rsidRPr="00EC7DBC" w:rsidRDefault="00EC7DBC" w:rsidP="00EC7DBC">
            <w:pPr>
              <w:pStyle w:val="Default"/>
              <w:numPr>
                <w:ilvl w:val="0"/>
                <w:numId w:val="17"/>
              </w:numPr>
              <w:ind w:left="177" w:hanging="142"/>
              <w:rPr>
                <w:rFonts w:asciiTheme="minorHAnsi" w:hAnsiTheme="minorHAnsi"/>
                <w:sz w:val="20"/>
                <w:lang w:val="fr-FR"/>
              </w:rPr>
            </w:pPr>
            <w:r w:rsidRPr="00945DAB">
              <w:rPr>
                <w:rFonts w:asciiTheme="minorHAnsi" w:hAnsiTheme="minorHAnsi"/>
                <w:sz w:val="20"/>
                <w:lang w:val="es-ES"/>
              </w:rPr>
              <w:t xml:space="preserve">La contratación y retención de personal es cada vez más importante, dado que la competitividad de los contratos de la UICN y de la ONU respecto de otros está disminuyendo. </w:t>
            </w:r>
          </w:p>
        </w:tc>
        <w:tc>
          <w:tcPr>
            <w:tcW w:w="2126" w:type="dxa"/>
            <w:shd w:val="clear" w:color="auto" w:fill="auto"/>
          </w:tcPr>
          <w:p w14:paraId="6098BCFC" w14:textId="1B230EF9" w:rsidR="00EC7DBC" w:rsidRPr="00EC7DBC" w:rsidRDefault="00EC7DBC" w:rsidP="00EC7DBC">
            <w:pPr>
              <w:rPr>
                <w:sz w:val="20"/>
                <w:lang w:val="fr-FR"/>
              </w:rPr>
            </w:pPr>
            <w:r w:rsidRPr="00945DAB">
              <w:rPr>
                <w:sz w:val="20"/>
                <w:lang w:val="es-ES"/>
              </w:rPr>
              <w:t xml:space="preserve">Desde 2017, respecto a los permisos de trabajo y residencia, los miembros expatriados del personal internacional tienen derecho a tarjetas de legitimación en lugar de permisos B o C, lo que crea algunos problemas para el personal (el personal no suizo después de dejar la UICN no puede aceptar ningún trabajo ofrecido en Suiza y tiene que volver a solicitar la obtención de un nuevo permiso suizo o de residencia). Es posible que los nuevos miembros del personal y las personas a su cargo procedentes de países no pertenecientes a la UE/AELC deban obtener un visado de entrada en Suiza. </w:t>
            </w:r>
          </w:p>
        </w:tc>
        <w:tc>
          <w:tcPr>
            <w:tcW w:w="2131" w:type="dxa"/>
            <w:shd w:val="clear" w:color="auto" w:fill="auto"/>
          </w:tcPr>
          <w:p w14:paraId="0B4AB042" w14:textId="77777777" w:rsidR="00EC7DBC" w:rsidRPr="00945DAB" w:rsidRDefault="00EC7DBC" w:rsidP="00EC7DBC">
            <w:pPr>
              <w:autoSpaceDE w:val="0"/>
              <w:autoSpaceDN w:val="0"/>
              <w:adjustRightInd w:val="0"/>
              <w:rPr>
                <w:sz w:val="20"/>
                <w:lang w:val="es-ES"/>
              </w:rPr>
            </w:pPr>
            <w:r w:rsidRPr="00945DAB">
              <w:rPr>
                <w:sz w:val="20"/>
                <w:lang w:val="es-ES"/>
              </w:rPr>
              <w:t>El propio cuadro de equivalencias de la UICN</w:t>
            </w:r>
          </w:p>
          <w:p w14:paraId="4B588667" w14:textId="77777777" w:rsidR="00EC7DBC" w:rsidRPr="00945DAB" w:rsidRDefault="00EC7DBC" w:rsidP="00EC7DBC">
            <w:pPr>
              <w:autoSpaceDE w:val="0"/>
              <w:autoSpaceDN w:val="0"/>
              <w:adjustRightInd w:val="0"/>
              <w:rPr>
                <w:sz w:val="20"/>
                <w:lang w:val="es-ES"/>
              </w:rPr>
            </w:pPr>
            <w:r w:rsidRPr="00945DAB">
              <w:rPr>
                <w:sz w:val="20"/>
                <w:lang w:val="es-ES"/>
              </w:rPr>
              <w:t>entre puestos de trabajo de la UICN y de la ONU no muestra</w:t>
            </w:r>
          </w:p>
          <w:p w14:paraId="1E2900A0" w14:textId="77777777" w:rsidR="00EC7DBC" w:rsidRPr="00945DAB" w:rsidRDefault="00EC7DBC" w:rsidP="00EC7DBC">
            <w:pPr>
              <w:autoSpaceDE w:val="0"/>
              <w:autoSpaceDN w:val="0"/>
              <w:adjustRightInd w:val="0"/>
              <w:rPr>
                <w:sz w:val="20"/>
                <w:lang w:val="es-ES"/>
              </w:rPr>
            </w:pPr>
            <w:r w:rsidRPr="00945DAB">
              <w:rPr>
                <w:sz w:val="20"/>
                <w:lang w:val="es-ES"/>
              </w:rPr>
              <w:t>equivalencias claras, sino que incluye rangos de posibles equivalencias. Por ejemplo, según el cuadro de la UICN, un puesto P1 en la</w:t>
            </w:r>
          </w:p>
          <w:p w14:paraId="2609C07C" w14:textId="77777777" w:rsidR="00EC7DBC" w:rsidRPr="00945DAB" w:rsidRDefault="00EC7DBC" w:rsidP="00EC7DBC">
            <w:pPr>
              <w:autoSpaceDE w:val="0"/>
              <w:autoSpaceDN w:val="0"/>
              <w:adjustRightInd w:val="0"/>
              <w:rPr>
                <w:sz w:val="20"/>
                <w:lang w:val="es-ES"/>
              </w:rPr>
            </w:pPr>
            <w:r w:rsidRPr="00945DAB">
              <w:rPr>
                <w:sz w:val="20"/>
                <w:lang w:val="es-ES"/>
              </w:rPr>
              <w:t xml:space="preserve">UICN puede ser equivalente a un P1 o P2 en el sistema de la ONU. </w:t>
            </w:r>
          </w:p>
          <w:p w14:paraId="005CE39B" w14:textId="2B021E21" w:rsidR="00EC7DBC" w:rsidRPr="00EC7DBC" w:rsidRDefault="00EC7DBC" w:rsidP="00EC7DBC">
            <w:pPr>
              <w:pStyle w:val="Default"/>
              <w:rPr>
                <w:rFonts w:asciiTheme="minorHAnsi" w:hAnsiTheme="minorHAnsi"/>
                <w:sz w:val="20"/>
                <w:lang w:val="fr-FR"/>
              </w:rPr>
            </w:pPr>
          </w:p>
        </w:tc>
        <w:tc>
          <w:tcPr>
            <w:tcW w:w="1555" w:type="dxa"/>
          </w:tcPr>
          <w:p w14:paraId="06945BB9" w14:textId="6DCEC93C" w:rsidR="00EC7DBC" w:rsidRPr="00C2195B" w:rsidRDefault="00EC7DBC" w:rsidP="00EC7DBC">
            <w:pPr>
              <w:pStyle w:val="Default"/>
              <w:rPr>
                <w:rFonts w:asciiTheme="minorHAnsi" w:hAnsiTheme="minorHAnsi" w:cstheme="minorHAnsi"/>
                <w:b/>
                <w:sz w:val="20"/>
                <w:szCs w:val="20"/>
              </w:rPr>
            </w:pPr>
            <w:r w:rsidRPr="00945DAB">
              <w:rPr>
                <w:rFonts w:asciiTheme="minorHAnsi" w:hAnsiTheme="minorHAnsi" w:cstheme="minorHAnsi"/>
                <w:b/>
                <w:sz w:val="20"/>
                <w:szCs w:val="20"/>
                <w:lang w:val="es-ES"/>
              </w:rPr>
              <w:t>3</w:t>
            </w:r>
          </w:p>
        </w:tc>
        <w:tc>
          <w:tcPr>
            <w:tcW w:w="2976" w:type="dxa"/>
          </w:tcPr>
          <w:p w14:paraId="09A8006A" w14:textId="77777777" w:rsidR="00EC7DBC" w:rsidRPr="00945DAB" w:rsidRDefault="00EC7DBC" w:rsidP="00EC7DBC">
            <w:pPr>
              <w:pStyle w:val="Default"/>
              <w:numPr>
                <w:ilvl w:val="0"/>
                <w:numId w:val="10"/>
              </w:numPr>
              <w:ind w:left="174" w:hanging="174"/>
              <w:rPr>
                <w:rFonts w:asciiTheme="minorHAnsi" w:hAnsiTheme="minorHAnsi"/>
                <w:sz w:val="20"/>
                <w:lang w:val="es-ES"/>
              </w:rPr>
            </w:pPr>
            <w:r w:rsidRPr="00945DAB">
              <w:rPr>
                <w:rFonts w:asciiTheme="minorHAnsi" w:hAnsiTheme="minorHAnsi"/>
                <w:sz w:val="20"/>
                <w:lang w:val="es-ES"/>
              </w:rPr>
              <w:t xml:space="preserve">Preparar comparaciones para comprender las limitaciones de la competitividad. </w:t>
            </w:r>
          </w:p>
          <w:p w14:paraId="0E6F154C" w14:textId="0D24A100" w:rsidR="00EC7DBC" w:rsidRPr="00EC0F71" w:rsidRDefault="00EC7DBC" w:rsidP="00EC7DBC">
            <w:pPr>
              <w:pStyle w:val="Default"/>
              <w:numPr>
                <w:ilvl w:val="0"/>
                <w:numId w:val="10"/>
              </w:numPr>
              <w:ind w:left="174" w:hanging="174"/>
              <w:rPr>
                <w:rFonts w:asciiTheme="minorHAnsi" w:hAnsiTheme="minorHAnsi"/>
                <w:b/>
                <w:sz w:val="20"/>
              </w:rPr>
            </w:pPr>
            <w:r w:rsidRPr="00945DAB">
              <w:rPr>
                <w:rFonts w:asciiTheme="minorHAnsi" w:hAnsiTheme="minorHAnsi"/>
                <w:sz w:val="20"/>
                <w:lang w:val="es-ES"/>
              </w:rPr>
              <w:t xml:space="preserve">Diálogo con el país anfitrión para encontrar posibles soluciones a corto plazo. </w:t>
            </w:r>
          </w:p>
        </w:tc>
        <w:tc>
          <w:tcPr>
            <w:tcW w:w="2699" w:type="dxa"/>
          </w:tcPr>
          <w:p w14:paraId="4FBC29A9" w14:textId="77777777" w:rsidR="00EC7DBC" w:rsidRPr="00945DAB" w:rsidRDefault="00EC7DBC" w:rsidP="00EC7DBC">
            <w:pPr>
              <w:pStyle w:val="Default"/>
              <w:numPr>
                <w:ilvl w:val="0"/>
                <w:numId w:val="10"/>
              </w:numPr>
              <w:ind w:left="174" w:hanging="174"/>
              <w:rPr>
                <w:rFonts w:asciiTheme="minorHAnsi" w:hAnsiTheme="minorHAnsi"/>
                <w:sz w:val="20"/>
                <w:lang w:val="es-ES"/>
              </w:rPr>
            </w:pPr>
            <w:r w:rsidRPr="00945DAB">
              <w:rPr>
                <w:rFonts w:asciiTheme="minorHAnsi" w:hAnsiTheme="minorHAnsi"/>
                <w:sz w:val="20"/>
                <w:lang w:val="es-ES"/>
              </w:rPr>
              <w:t xml:space="preserve">Debatir con la UICN cómo mejorar la competitividad de los contratos de la UICN. </w:t>
            </w:r>
          </w:p>
          <w:p w14:paraId="07C3E14D" w14:textId="00971755" w:rsidR="00EC7DBC" w:rsidRPr="00EC7DBC" w:rsidRDefault="00EC7DBC" w:rsidP="00EC7DBC">
            <w:pPr>
              <w:pStyle w:val="Default"/>
              <w:numPr>
                <w:ilvl w:val="0"/>
                <w:numId w:val="10"/>
              </w:numPr>
              <w:ind w:left="174" w:hanging="174"/>
              <w:rPr>
                <w:rFonts w:asciiTheme="minorHAnsi" w:hAnsiTheme="minorHAnsi"/>
                <w:sz w:val="20"/>
                <w:lang w:val="fr-FR"/>
              </w:rPr>
            </w:pPr>
            <w:r w:rsidRPr="00945DAB">
              <w:rPr>
                <w:rFonts w:asciiTheme="minorHAnsi" w:hAnsiTheme="minorHAnsi"/>
                <w:sz w:val="20"/>
                <w:lang w:val="es-ES"/>
              </w:rPr>
              <w:t xml:space="preserve">Solicitar a la UICN que señale equivalencias claras entre los puestos de la UICN y de la ONU. </w:t>
            </w:r>
          </w:p>
        </w:tc>
      </w:tr>
      <w:tr w:rsidR="00EC7DBC" w:rsidRPr="00EC7DBC" w14:paraId="2E2ABE3C" w14:textId="77777777" w:rsidTr="00EC7DBC">
        <w:trPr>
          <w:cantSplit/>
        </w:trPr>
        <w:tc>
          <w:tcPr>
            <w:tcW w:w="1555" w:type="dxa"/>
          </w:tcPr>
          <w:p w14:paraId="66604A8C" w14:textId="77777777" w:rsidR="00EC7DBC" w:rsidRPr="00945DAB" w:rsidRDefault="00EC7DBC" w:rsidP="00EC7DBC">
            <w:pPr>
              <w:pStyle w:val="Default"/>
              <w:rPr>
                <w:rFonts w:asciiTheme="minorHAnsi" w:hAnsiTheme="minorHAnsi"/>
                <w:sz w:val="20"/>
                <w:lang w:val="es-ES"/>
              </w:rPr>
            </w:pPr>
            <w:r w:rsidRPr="00945DAB">
              <w:rPr>
                <w:rFonts w:asciiTheme="minorHAnsi" w:hAnsiTheme="minorHAnsi"/>
                <w:sz w:val="20"/>
                <w:lang w:val="es-ES"/>
              </w:rPr>
              <w:t>5.Compromiso político de alto nivel y objetivos de visibilidad de la Convención.</w:t>
            </w:r>
          </w:p>
          <w:p w14:paraId="1718D007" w14:textId="77777777" w:rsidR="00EC7DBC" w:rsidRPr="00945DAB" w:rsidRDefault="00EC7DBC" w:rsidP="00EC7DBC">
            <w:pPr>
              <w:pStyle w:val="Default"/>
              <w:rPr>
                <w:rFonts w:asciiTheme="minorHAnsi" w:hAnsiTheme="minorHAnsi"/>
                <w:sz w:val="20"/>
                <w:lang w:val="es-ES"/>
              </w:rPr>
            </w:pPr>
          </w:p>
          <w:p w14:paraId="2A9F44EA" w14:textId="2DF156FD" w:rsidR="00EC7DBC" w:rsidRPr="00EC7DBC" w:rsidRDefault="00EC7DBC" w:rsidP="00EC7DBC">
            <w:pPr>
              <w:pStyle w:val="Default"/>
              <w:rPr>
                <w:rFonts w:asciiTheme="minorHAnsi" w:hAnsiTheme="minorHAnsi"/>
                <w:sz w:val="20"/>
                <w:lang w:val="fr-FR"/>
              </w:rPr>
            </w:pPr>
            <w:r w:rsidRPr="00945DAB">
              <w:rPr>
                <w:rFonts w:asciiTheme="minorHAnsi" w:hAnsiTheme="minorHAnsi"/>
                <w:sz w:val="20"/>
                <w:lang w:val="es-ES"/>
              </w:rPr>
              <w:t xml:space="preserve">El </w:t>
            </w:r>
            <w:r w:rsidRPr="00945DAB">
              <w:rPr>
                <w:rFonts w:asciiTheme="minorHAnsi" w:hAnsiTheme="minorHAnsi"/>
                <w:bCs/>
                <w:sz w:val="20"/>
                <w:lang w:val="es-ES"/>
              </w:rPr>
              <w:t xml:space="preserve">Grupo de trabajo sobre la condición de observador </w:t>
            </w:r>
            <w:r w:rsidRPr="00945DAB">
              <w:rPr>
                <w:rFonts w:asciiTheme="minorHAnsi" w:hAnsiTheme="minorHAnsi"/>
                <w:sz w:val="20"/>
                <w:lang w:val="es-ES"/>
              </w:rPr>
              <w:t xml:space="preserve">señaló tres cuestiones relativas a la participación internacional y la visibilidad de la Secretaría en relación con su condición jurídica. </w:t>
            </w:r>
          </w:p>
        </w:tc>
        <w:tc>
          <w:tcPr>
            <w:tcW w:w="2126" w:type="dxa"/>
            <w:shd w:val="clear" w:color="auto" w:fill="auto"/>
          </w:tcPr>
          <w:p w14:paraId="6CAF89A1" w14:textId="77777777" w:rsidR="00EC7DBC" w:rsidRPr="00945DAB" w:rsidRDefault="00EC7DBC" w:rsidP="00EC7DBC">
            <w:pPr>
              <w:pStyle w:val="Default"/>
              <w:rPr>
                <w:rFonts w:asciiTheme="minorHAnsi" w:hAnsiTheme="minorHAnsi"/>
                <w:sz w:val="20"/>
                <w:lang w:val="es-ES"/>
              </w:rPr>
            </w:pPr>
            <w:r w:rsidRPr="00945DAB">
              <w:rPr>
                <w:rFonts w:asciiTheme="minorHAnsi" w:hAnsiTheme="minorHAnsi"/>
                <w:sz w:val="20"/>
                <w:lang w:val="es-ES"/>
              </w:rPr>
              <w:t xml:space="preserve">Participación y visibilidad internacional: </w:t>
            </w:r>
          </w:p>
          <w:p w14:paraId="60C6EA1C" w14:textId="253FD68F" w:rsidR="00EC7DBC" w:rsidRPr="00EC7DBC" w:rsidRDefault="00EC7DBC" w:rsidP="00EC7DBC">
            <w:pPr>
              <w:rPr>
                <w:sz w:val="20"/>
                <w:lang w:val="fr-FR"/>
              </w:rPr>
            </w:pPr>
            <w:r w:rsidRPr="00945DAB">
              <w:rPr>
                <w:sz w:val="20"/>
                <w:lang w:val="es-ES"/>
              </w:rPr>
              <w:t xml:space="preserve">(a) Falta de posibilidad de participar en foros y eventos de alto nivel de la ONU (como las reuniones del Foro Político de Alto Nivel sobre Desarrollo Sostenible y la Asamblea General de la ONU). </w:t>
            </w:r>
          </w:p>
        </w:tc>
        <w:tc>
          <w:tcPr>
            <w:tcW w:w="2126" w:type="dxa"/>
            <w:shd w:val="clear" w:color="auto" w:fill="auto"/>
          </w:tcPr>
          <w:p w14:paraId="4A102144" w14:textId="1215E3CE" w:rsidR="00EC7DBC" w:rsidRPr="00EC7DBC" w:rsidRDefault="00EC7DBC" w:rsidP="00EC7DBC">
            <w:pPr>
              <w:pStyle w:val="Default"/>
              <w:rPr>
                <w:rFonts w:asciiTheme="minorHAnsi" w:hAnsiTheme="minorHAnsi"/>
                <w:sz w:val="20"/>
                <w:lang w:val="fr-FR"/>
              </w:rPr>
            </w:pPr>
            <w:r w:rsidRPr="00945DAB">
              <w:rPr>
                <w:rFonts w:asciiTheme="minorHAnsi" w:hAnsiTheme="minorHAnsi"/>
                <w:sz w:val="20"/>
                <w:lang w:val="es-ES"/>
              </w:rPr>
              <w:t xml:space="preserve">b) Dificultades para participar como miembro en los mecanismos de coordinación interinstitucional del sistema de las Naciones Unidas (como ECESA Plus, ONU-Océanos, ONU-Agua). </w:t>
            </w:r>
          </w:p>
        </w:tc>
        <w:tc>
          <w:tcPr>
            <w:tcW w:w="2131" w:type="dxa"/>
            <w:shd w:val="clear" w:color="auto" w:fill="auto"/>
          </w:tcPr>
          <w:p w14:paraId="67D91986" w14:textId="2DEB6ADE" w:rsidR="00EC7DBC" w:rsidRPr="00EC7DBC" w:rsidRDefault="00EC7DBC" w:rsidP="00EC7DBC">
            <w:pPr>
              <w:pStyle w:val="Default"/>
              <w:rPr>
                <w:rFonts w:asciiTheme="minorHAnsi" w:hAnsiTheme="minorHAnsi"/>
                <w:sz w:val="20"/>
                <w:lang w:val="fr-FR"/>
              </w:rPr>
            </w:pPr>
            <w:r w:rsidRPr="00945DAB">
              <w:rPr>
                <w:rFonts w:asciiTheme="minorHAnsi" w:hAnsiTheme="minorHAnsi"/>
                <w:sz w:val="20"/>
                <w:lang w:val="es-ES"/>
              </w:rPr>
              <w:t xml:space="preserve">c) Falta de visibilidad (en general) de la Convención en los procesos y reuniones de la ONU. </w:t>
            </w:r>
          </w:p>
        </w:tc>
        <w:tc>
          <w:tcPr>
            <w:tcW w:w="1555" w:type="dxa"/>
          </w:tcPr>
          <w:p w14:paraId="0EB51222" w14:textId="44B1A9FA" w:rsidR="00EC7DBC" w:rsidRPr="00C2195B" w:rsidRDefault="00EC7DBC" w:rsidP="00EC7DBC">
            <w:pPr>
              <w:pStyle w:val="Default"/>
              <w:rPr>
                <w:rFonts w:asciiTheme="minorHAnsi" w:hAnsiTheme="minorHAnsi" w:cstheme="minorHAnsi"/>
                <w:b/>
                <w:sz w:val="20"/>
                <w:szCs w:val="20"/>
              </w:rPr>
            </w:pPr>
            <w:r w:rsidRPr="00945DAB">
              <w:rPr>
                <w:rFonts w:asciiTheme="minorHAnsi" w:hAnsiTheme="minorHAnsi" w:cstheme="minorHAnsi"/>
                <w:b/>
                <w:sz w:val="20"/>
                <w:szCs w:val="20"/>
                <w:lang w:val="es-ES"/>
              </w:rPr>
              <w:t>5</w:t>
            </w:r>
          </w:p>
        </w:tc>
        <w:tc>
          <w:tcPr>
            <w:tcW w:w="2976" w:type="dxa"/>
          </w:tcPr>
          <w:p w14:paraId="26EB8AE9" w14:textId="77777777" w:rsidR="00EC7DBC" w:rsidRPr="00945DAB" w:rsidRDefault="00EC7DBC" w:rsidP="00EC7DBC">
            <w:pPr>
              <w:pStyle w:val="Default"/>
              <w:numPr>
                <w:ilvl w:val="0"/>
                <w:numId w:val="9"/>
              </w:numPr>
              <w:ind w:left="174" w:hanging="174"/>
              <w:rPr>
                <w:rFonts w:asciiTheme="minorHAnsi" w:hAnsiTheme="minorHAnsi"/>
                <w:sz w:val="20"/>
                <w:lang w:val="es-ES"/>
              </w:rPr>
            </w:pPr>
            <w:r w:rsidRPr="00945DAB">
              <w:rPr>
                <w:rFonts w:asciiTheme="minorHAnsi" w:hAnsiTheme="minorHAnsi"/>
                <w:sz w:val="20"/>
                <w:lang w:val="es-ES"/>
              </w:rPr>
              <w:t xml:space="preserve">Los problemas se resolverán cuando se solucionen los trámites administrativos. </w:t>
            </w:r>
          </w:p>
          <w:p w14:paraId="3E6B29FB" w14:textId="353CD09B" w:rsidR="00EC7DBC" w:rsidRPr="00EC7DBC" w:rsidRDefault="00EC7DBC" w:rsidP="00EC7DBC">
            <w:pPr>
              <w:pStyle w:val="ListParagraph"/>
              <w:numPr>
                <w:ilvl w:val="0"/>
                <w:numId w:val="9"/>
              </w:numPr>
              <w:ind w:left="180" w:hanging="142"/>
              <w:rPr>
                <w:sz w:val="20"/>
                <w:lang w:val="fr-FR"/>
              </w:rPr>
            </w:pPr>
            <w:r w:rsidRPr="00945DAB">
              <w:rPr>
                <w:sz w:val="20"/>
                <w:lang w:val="es-ES"/>
              </w:rPr>
              <w:t xml:space="preserve">Promover una reunión de misiones de Nueva York, Ginebra y capitales con el fin de coordinar esfuerzos para avanzar en la aprobación de la propuesta del Uruguay en la agenda de la 78ª Asamblea General de la ONU para obtener la condición de observador, siguiendo un proceso similar al que se llevó a cabo para la resolución sobre el Día Mundial de los Humedales de la ONU. </w:t>
            </w:r>
          </w:p>
        </w:tc>
        <w:tc>
          <w:tcPr>
            <w:tcW w:w="2699" w:type="dxa"/>
          </w:tcPr>
          <w:p w14:paraId="30364CBD" w14:textId="33024829" w:rsidR="00EC7DBC" w:rsidRPr="00EC7DBC" w:rsidRDefault="00EC7DBC" w:rsidP="00EC7DBC">
            <w:pPr>
              <w:pStyle w:val="Default"/>
              <w:numPr>
                <w:ilvl w:val="0"/>
                <w:numId w:val="9"/>
              </w:numPr>
              <w:ind w:left="174" w:hanging="174"/>
              <w:rPr>
                <w:rFonts w:asciiTheme="minorHAnsi" w:hAnsiTheme="minorHAnsi"/>
                <w:sz w:val="20"/>
                <w:lang w:val="fr-FR"/>
              </w:rPr>
            </w:pPr>
            <w:r w:rsidRPr="00945DAB">
              <w:rPr>
                <w:rFonts w:asciiTheme="minorHAnsi" w:hAnsiTheme="minorHAnsi"/>
                <w:sz w:val="20"/>
                <w:lang w:val="es-ES"/>
              </w:rPr>
              <w:t xml:space="preserve">Apoyar la preparación de reuniones con las misiones en Nueva York para avanzar en la propuesta del Uruguay. </w:t>
            </w:r>
          </w:p>
        </w:tc>
      </w:tr>
    </w:tbl>
    <w:p w14:paraId="3F0BF4B3" w14:textId="27F83497" w:rsidR="00AE7835" w:rsidRPr="00EC7DBC" w:rsidRDefault="00AE7835" w:rsidP="00F566A9">
      <w:pPr>
        <w:rPr>
          <w:lang w:val="fr-FR"/>
        </w:rPr>
      </w:pPr>
    </w:p>
    <w:sectPr w:rsidR="00AE7835" w:rsidRPr="00EC7DBC" w:rsidSect="00304F7C">
      <w:footerReference w:type="default" r:id="rId13"/>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19F5" w14:textId="77777777" w:rsidR="001608A4" w:rsidRDefault="001608A4" w:rsidP="00BD4E4C">
      <w:pPr>
        <w:spacing w:after="0" w:line="240" w:lineRule="auto"/>
      </w:pPr>
      <w:r>
        <w:separator/>
      </w:r>
    </w:p>
  </w:endnote>
  <w:endnote w:type="continuationSeparator" w:id="0">
    <w:p w14:paraId="4F25FEE3" w14:textId="77777777" w:rsidR="001608A4" w:rsidRDefault="001608A4" w:rsidP="00BD4E4C">
      <w:pPr>
        <w:spacing w:after="0" w:line="240" w:lineRule="auto"/>
      </w:pPr>
      <w:r>
        <w:continuationSeparator/>
      </w:r>
    </w:p>
  </w:endnote>
  <w:endnote w:type="continuationNotice" w:id="1">
    <w:p w14:paraId="21AD2A2F" w14:textId="77777777" w:rsidR="001608A4" w:rsidRDefault="00160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7D79" w14:textId="5AD8D3B4" w:rsidR="002C5AF2" w:rsidRDefault="002C5AF2">
    <w:pPr>
      <w:pStyle w:val="Footer"/>
    </w:pPr>
    <w:r w:rsidRPr="00085362">
      <w:rPr>
        <w:rFonts w:cstheme="minorHAnsi"/>
        <w:sz w:val="20"/>
        <w:szCs w:val="20"/>
      </w:rPr>
      <w:t>S</w:t>
    </w:r>
    <w:r>
      <w:rPr>
        <w:rFonts w:cstheme="minorHAnsi"/>
        <w:sz w:val="20"/>
        <w:szCs w:val="20"/>
      </w:rPr>
      <w:t>C62</w:t>
    </w:r>
    <w:r w:rsidRPr="00085362">
      <w:rPr>
        <w:rFonts w:cstheme="minorHAnsi"/>
        <w:sz w:val="20"/>
        <w:szCs w:val="20"/>
      </w:rPr>
      <w:t xml:space="preserve"> Doc.</w:t>
    </w:r>
    <w:r>
      <w:rPr>
        <w:rFonts w:cstheme="minorHAnsi"/>
        <w:sz w:val="20"/>
        <w:szCs w:val="20"/>
      </w:rPr>
      <w:t>11</w:t>
    </w:r>
    <w:r w:rsidR="00C2195B">
      <w:rPr>
        <w:rFonts w:cstheme="minorHAnsi"/>
        <w:sz w:val="20"/>
        <w:szCs w:val="20"/>
      </w:rPr>
      <w:tab/>
    </w:r>
    <w:r w:rsidR="00C2195B">
      <w:rPr>
        <w:rFonts w:cstheme="minorHAnsi"/>
        <w:sz w:val="20"/>
        <w:szCs w:val="20"/>
      </w:rPr>
      <w:tab/>
    </w:r>
    <w:r w:rsidR="00C2195B" w:rsidRPr="00C2195B">
      <w:rPr>
        <w:rFonts w:cstheme="minorHAnsi"/>
        <w:sz w:val="20"/>
        <w:szCs w:val="20"/>
      </w:rPr>
      <w:fldChar w:fldCharType="begin"/>
    </w:r>
    <w:r w:rsidR="00C2195B" w:rsidRPr="00C2195B">
      <w:rPr>
        <w:rFonts w:cstheme="minorHAnsi"/>
        <w:sz w:val="20"/>
        <w:szCs w:val="20"/>
      </w:rPr>
      <w:instrText xml:space="preserve"> PAGE   \* MERGEFORMAT </w:instrText>
    </w:r>
    <w:r w:rsidR="00C2195B" w:rsidRPr="00C2195B">
      <w:rPr>
        <w:rFonts w:cstheme="minorHAnsi"/>
        <w:sz w:val="20"/>
        <w:szCs w:val="20"/>
      </w:rPr>
      <w:fldChar w:fldCharType="separate"/>
    </w:r>
    <w:r w:rsidR="00EC7DBC">
      <w:rPr>
        <w:rFonts w:cstheme="minorHAnsi"/>
        <w:noProof/>
        <w:sz w:val="20"/>
        <w:szCs w:val="20"/>
      </w:rPr>
      <w:t>4</w:t>
    </w:r>
    <w:r w:rsidR="00C2195B" w:rsidRPr="00C2195B">
      <w:rPr>
        <w:rFonts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840D" w14:textId="2D5F863D" w:rsidR="00C2195B" w:rsidRDefault="00C2195B" w:rsidP="00EC0F71">
    <w:pPr>
      <w:pStyle w:val="Footer"/>
      <w:tabs>
        <w:tab w:val="clear" w:pos="9026"/>
        <w:tab w:val="right" w:pos="14175"/>
      </w:tabs>
    </w:pPr>
    <w:r w:rsidRPr="00085362">
      <w:rPr>
        <w:rFonts w:cstheme="minorHAnsi"/>
        <w:sz w:val="20"/>
        <w:szCs w:val="20"/>
      </w:rPr>
      <w:t>S</w:t>
    </w:r>
    <w:r>
      <w:rPr>
        <w:rFonts w:cstheme="minorHAnsi"/>
        <w:sz w:val="20"/>
        <w:szCs w:val="20"/>
      </w:rPr>
      <w:t>C62</w:t>
    </w:r>
    <w:r w:rsidRPr="00085362">
      <w:rPr>
        <w:rFonts w:cstheme="minorHAnsi"/>
        <w:sz w:val="20"/>
        <w:szCs w:val="20"/>
      </w:rPr>
      <w:t xml:space="preserve"> Doc.</w:t>
    </w:r>
    <w:r>
      <w:rPr>
        <w:rFonts w:cstheme="minorHAnsi"/>
        <w:sz w:val="20"/>
        <w:szCs w:val="20"/>
      </w:rPr>
      <w:t>11</w:t>
    </w:r>
    <w:r>
      <w:rPr>
        <w:rFonts w:cstheme="minorHAnsi"/>
        <w:sz w:val="20"/>
        <w:szCs w:val="20"/>
      </w:rPr>
      <w:tab/>
    </w:r>
    <w:r>
      <w:rPr>
        <w:rFonts w:cstheme="minorHAnsi"/>
        <w:sz w:val="20"/>
        <w:szCs w:val="20"/>
      </w:rPr>
      <w:tab/>
    </w:r>
    <w:r w:rsidRPr="00C2195B">
      <w:rPr>
        <w:rFonts w:cstheme="minorHAnsi"/>
        <w:sz w:val="20"/>
        <w:szCs w:val="20"/>
      </w:rPr>
      <w:fldChar w:fldCharType="begin"/>
    </w:r>
    <w:r w:rsidRPr="00C2195B">
      <w:rPr>
        <w:rFonts w:cstheme="minorHAnsi"/>
        <w:sz w:val="20"/>
        <w:szCs w:val="20"/>
      </w:rPr>
      <w:instrText xml:space="preserve"> PAGE   \* MERGEFORMAT </w:instrText>
    </w:r>
    <w:r w:rsidRPr="00C2195B">
      <w:rPr>
        <w:rFonts w:cstheme="minorHAnsi"/>
        <w:sz w:val="20"/>
        <w:szCs w:val="20"/>
      </w:rPr>
      <w:fldChar w:fldCharType="separate"/>
    </w:r>
    <w:r w:rsidR="00EC7DBC">
      <w:rPr>
        <w:rFonts w:cstheme="minorHAnsi"/>
        <w:noProof/>
        <w:sz w:val="20"/>
        <w:szCs w:val="20"/>
      </w:rPr>
      <w:t>6</w:t>
    </w:r>
    <w:r w:rsidRPr="00C2195B">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2A14E" w14:textId="77777777" w:rsidR="001608A4" w:rsidRDefault="001608A4" w:rsidP="00BD4E4C">
      <w:pPr>
        <w:spacing w:after="0" w:line="240" w:lineRule="auto"/>
      </w:pPr>
      <w:r>
        <w:separator/>
      </w:r>
    </w:p>
  </w:footnote>
  <w:footnote w:type="continuationSeparator" w:id="0">
    <w:p w14:paraId="15DDE413" w14:textId="77777777" w:rsidR="001608A4" w:rsidRDefault="001608A4" w:rsidP="00BD4E4C">
      <w:pPr>
        <w:spacing w:after="0" w:line="240" w:lineRule="auto"/>
      </w:pPr>
      <w:r>
        <w:continuationSeparator/>
      </w:r>
    </w:p>
  </w:footnote>
  <w:footnote w:type="continuationNotice" w:id="1">
    <w:p w14:paraId="5A009949" w14:textId="77777777" w:rsidR="001608A4" w:rsidRDefault="001608A4">
      <w:pPr>
        <w:spacing w:after="0" w:line="240" w:lineRule="auto"/>
      </w:pPr>
    </w:p>
  </w:footnote>
  <w:footnote w:id="2">
    <w:p w14:paraId="5EA752E6" w14:textId="672019F6" w:rsidR="00C14B6B" w:rsidRPr="009C4A2E" w:rsidRDefault="00C14B6B" w:rsidP="00C14B6B">
      <w:pPr>
        <w:pStyle w:val="FootnoteText"/>
        <w:rPr>
          <w:lang w:val="fr-FR"/>
        </w:rPr>
      </w:pPr>
      <w:r>
        <w:rPr>
          <w:rStyle w:val="FootnoteReference"/>
        </w:rPr>
        <w:footnoteRef/>
      </w:r>
      <w:r w:rsidRPr="009C4A2E">
        <w:rPr>
          <w:lang w:val="fr-FR"/>
        </w:rPr>
        <w:t xml:space="preserve"> Véase </w:t>
      </w:r>
      <w:hyperlink r:id="rId1" w:history="1">
        <w:r w:rsidRPr="009C4A2E">
          <w:rPr>
            <w:rStyle w:val="Hyperlink"/>
            <w:lang w:val="fr-FR"/>
          </w:rPr>
          <w:t>https://www.ramsar.org/document/independent-analysis-legal-status-secretariat-convention-wetlands-ramsar-convention</w:t>
        </w:r>
      </w:hyperlink>
      <w:r w:rsidRPr="009C4A2E">
        <w:rPr>
          <w:lang w:val="fr-FR"/>
        </w:rPr>
        <w:t xml:space="preserve">. </w:t>
      </w:r>
    </w:p>
  </w:footnote>
  <w:footnote w:id="3">
    <w:p w14:paraId="6C188AB5" w14:textId="7D52C6AD" w:rsidR="00C14B6B" w:rsidRPr="009C4A2E" w:rsidRDefault="00C14B6B" w:rsidP="00C14B6B">
      <w:pPr>
        <w:pStyle w:val="FootnoteText"/>
        <w:rPr>
          <w:lang w:val="fr-FR"/>
        </w:rPr>
      </w:pPr>
      <w:r>
        <w:rPr>
          <w:rStyle w:val="FootnoteReference"/>
        </w:rPr>
        <w:footnoteRef/>
      </w:r>
      <w:r w:rsidRPr="009C4A2E">
        <w:rPr>
          <w:lang w:val="fr-FR"/>
        </w:rPr>
        <w:t xml:space="preserve"> Véase </w:t>
      </w:r>
      <w:hyperlink r:id="rId2" w:history="1">
        <w:r w:rsidRPr="009C4A2E">
          <w:rPr>
            <w:rStyle w:val="Hyperlink"/>
            <w:lang w:val="fr-FR"/>
          </w:rPr>
          <w:t>https://www.ramsar.org/document/financial-analysis-legal-status-ramsar-secretariat</w:t>
        </w:r>
      </w:hyperlink>
      <w:r w:rsidRPr="009C4A2E">
        <w:rPr>
          <w:lang w:val="fr-FR"/>
        </w:rPr>
        <w:t xml:space="preserve">. </w:t>
      </w:r>
    </w:p>
  </w:footnote>
  <w:footnote w:id="4">
    <w:p w14:paraId="79BAE575" w14:textId="2BFF3ABC" w:rsidR="001F2639" w:rsidRPr="002238D0" w:rsidRDefault="008860FD" w:rsidP="008860FD">
      <w:pPr>
        <w:pStyle w:val="FootnoteText"/>
        <w:rPr>
          <w:lang w:val="fr-FR"/>
        </w:rPr>
      </w:pPr>
      <w:r>
        <w:rPr>
          <w:rStyle w:val="FootnoteReference"/>
        </w:rPr>
        <w:footnoteRef/>
      </w:r>
      <w:r w:rsidRPr="009C4A2E">
        <w:rPr>
          <w:lang w:val="fr-FR"/>
        </w:rPr>
        <w:t xml:space="preserve"> Véase </w:t>
      </w:r>
      <w:hyperlink r:id="rId3" w:history="1">
        <w:r w:rsidR="004C6187" w:rsidRPr="002238D0">
          <w:rPr>
            <w:rStyle w:val="Hyperlink"/>
            <w:lang w:val="fr-FR"/>
          </w:rPr>
          <w:t>https://www.ramsar.org/es/document/resolucion-xiv6-mejora-de-la-visibilidad-de-la-convencion-y-de-las-sinergias-con-otros</w:t>
        </w:r>
      </w:hyperlink>
      <w:r w:rsidR="004C6187" w:rsidRPr="002238D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4F63" w14:textId="77777777" w:rsidR="00EC0F71" w:rsidRDefault="00EC0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E5E15"/>
    <w:multiLevelType w:val="hybridMultilevel"/>
    <w:tmpl w:val="94920E94"/>
    <w:lvl w:ilvl="0" w:tplc="F774E1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5C35"/>
    <w:multiLevelType w:val="hybridMultilevel"/>
    <w:tmpl w:val="746AA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F4D13"/>
    <w:multiLevelType w:val="hybridMultilevel"/>
    <w:tmpl w:val="FCA63052"/>
    <w:lvl w:ilvl="0" w:tplc="79FC3DA2">
      <w:start w:val="1"/>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EE022C1"/>
    <w:multiLevelType w:val="hybridMultilevel"/>
    <w:tmpl w:val="3AFC351A"/>
    <w:lvl w:ilvl="0" w:tplc="665C336C">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165512F"/>
    <w:multiLevelType w:val="hybridMultilevel"/>
    <w:tmpl w:val="B1A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7F00"/>
    <w:multiLevelType w:val="hybridMultilevel"/>
    <w:tmpl w:val="D9D4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657D4"/>
    <w:multiLevelType w:val="hybridMultilevel"/>
    <w:tmpl w:val="885A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20794"/>
    <w:multiLevelType w:val="hybridMultilevel"/>
    <w:tmpl w:val="DFB243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C3C184C"/>
    <w:multiLevelType w:val="hybridMultilevel"/>
    <w:tmpl w:val="99DAEB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4DF5D04"/>
    <w:multiLevelType w:val="hybridMultilevel"/>
    <w:tmpl w:val="E4A41CC6"/>
    <w:lvl w:ilvl="0" w:tplc="6E8EB4E2">
      <w:start w:val="2"/>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1" w15:restartNumberingAfterBreak="0">
    <w:nsid w:val="47AA19C7"/>
    <w:multiLevelType w:val="hybridMultilevel"/>
    <w:tmpl w:val="5BC29B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8523622"/>
    <w:multiLevelType w:val="hybridMultilevel"/>
    <w:tmpl w:val="A2869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E0C45"/>
    <w:multiLevelType w:val="hybridMultilevel"/>
    <w:tmpl w:val="E466BDF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14" w15:restartNumberingAfterBreak="0">
    <w:nsid w:val="5296078F"/>
    <w:multiLevelType w:val="hybridMultilevel"/>
    <w:tmpl w:val="0226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7296F"/>
    <w:multiLevelType w:val="hybridMultilevel"/>
    <w:tmpl w:val="7DF4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40E22"/>
    <w:multiLevelType w:val="hybridMultilevel"/>
    <w:tmpl w:val="9220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1DC9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460A9D"/>
    <w:multiLevelType w:val="hybridMultilevel"/>
    <w:tmpl w:val="CAA46CFE"/>
    <w:lvl w:ilvl="0" w:tplc="35D8F85E">
      <w:start w:val="1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D03EB"/>
    <w:multiLevelType w:val="hybridMultilevel"/>
    <w:tmpl w:val="AE1A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903FF"/>
    <w:multiLevelType w:val="hybridMultilevel"/>
    <w:tmpl w:val="CA88811E"/>
    <w:lvl w:ilvl="0" w:tplc="E7A8D32A">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540DF"/>
    <w:multiLevelType w:val="hybridMultilevel"/>
    <w:tmpl w:val="77D46B80"/>
    <w:lvl w:ilvl="0" w:tplc="290055CA">
      <w:start w:val="2"/>
      <w:numFmt w:val="decimal"/>
      <w:lvlText w:val="%1."/>
      <w:lvlJc w:val="left"/>
      <w:pPr>
        <w:ind w:left="644" w:hanging="360"/>
      </w:pPr>
      <w:rPr>
        <w:rFonts w:eastAsiaTheme="minorEastAsia" w:cstheme="min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10"/>
  </w:num>
  <w:num w:numId="4">
    <w:abstractNumId w:val="17"/>
  </w:num>
  <w:num w:numId="5">
    <w:abstractNumId w:val="11"/>
  </w:num>
  <w:num w:numId="6">
    <w:abstractNumId w:val="6"/>
  </w:num>
  <w:num w:numId="7">
    <w:abstractNumId w:val="5"/>
  </w:num>
  <w:num w:numId="8">
    <w:abstractNumId w:val="13"/>
  </w:num>
  <w:num w:numId="9">
    <w:abstractNumId w:val="16"/>
  </w:num>
  <w:num w:numId="10">
    <w:abstractNumId w:val="7"/>
  </w:num>
  <w:num w:numId="11">
    <w:abstractNumId w:val="12"/>
  </w:num>
  <w:num w:numId="12">
    <w:abstractNumId w:val="18"/>
  </w:num>
  <w:num w:numId="13">
    <w:abstractNumId w:val="20"/>
  </w:num>
  <w:num w:numId="14">
    <w:abstractNumId w:val="21"/>
  </w:num>
  <w:num w:numId="15">
    <w:abstractNumId w:val="15"/>
  </w:num>
  <w:num w:numId="16">
    <w:abstractNumId w:val="19"/>
  </w:num>
  <w:num w:numId="17">
    <w:abstractNumId w:val="14"/>
  </w:num>
  <w:num w:numId="18">
    <w:abstractNumId w:val="2"/>
  </w:num>
  <w:num w:numId="19">
    <w:abstractNumId w:val="9"/>
  </w:num>
  <w:num w:numId="20">
    <w:abstractNumId w:val="4"/>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8F"/>
    <w:rsid w:val="000028EA"/>
    <w:rsid w:val="00004DAF"/>
    <w:rsid w:val="00005D82"/>
    <w:rsid w:val="000121AE"/>
    <w:rsid w:val="00026178"/>
    <w:rsid w:val="00033D8E"/>
    <w:rsid w:val="00040294"/>
    <w:rsid w:val="00046BD8"/>
    <w:rsid w:val="000522C2"/>
    <w:rsid w:val="00064B3C"/>
    <w:rsid w:val="00070FE7"/>
    <w:rsid w:val="00071651"/>
    <w:rsid w:val="00072711"/>
    <w:rsid w:val="00073223"/>
    <w:rsid w:val="000863D9"/>
    <w:rsid w:val="00095107"/>
    <w:rsid w:val="00095C67"/>
    <w:rsid w:val="000A09AB"/>
    <w:rsid w:val="000A143D"/>
    <w:rsid w:val="000A50B6"/>
    <w:rsid w:val="000B14C7"/>
    <w:rsid w:val="000B15F0"/>
    <w:rsid w:val="000B1F52"/>
    <w:rsid w:val="000B2DB7"/>
    <w:rsid w:val="000B4DA9"/>
    <w:rsid w:val="000B6A49"/>
    <w:rsid w:val="000D3567"/>
    <w:rsid w:val="000E51B8"/>
    <w:rsid w:val="000F4572"/>
    <w:rsid w:val="000F6CD8"/>
    <w:rsid w:val="00100944"/>
    <w:rsid w:val="00103DB7"/>
    <w:rsid w:val="001055F4"/>
    <w:rsid w:val="001076B1"/>
    <w:rsid w:val="00110E39"/>
    <w:rsid w:val="001144D7"/>
    <w:rsid w:val="00115BFC"/>
    <w:rsid w:val="00115D09"/>
    <w:rsid w:val="00124683"/>
    <w:rsid w:val="00130032"/>
    <w:rsid w:val="00136FDC"/>
    <w:rsid w:val="0014001C"/>
    <w:rsid w:val="001455D1"/>
    <w:rsid w:val="001603E0"/>
    <w:rsid w:val="001608A4"/>
    <w:rsid w:val="00166DBB"/>
    <w:rsid w:val="00170E72"/>
    <w:rsid w:val="00171C4D"/>
    <w:rsid w:val="00174892"/>
    <w:rsid w:val="00175507"/>
    <w:rsid w:val="00177AC7"/>
    <w:rsid w:val="00183D4F"/>
    <w:rsid w:val="001871D2"/>
    <w:rsid w:val="00192B6E"/>
    <w:rsid w:val="001937C2"/>
    <w:rsid w:val="001A1741"/>
    <w:rsid w:val="001A1D56"/>
    <w:rsid w:val="001A57DF"/>
    <w:rsid w:val="001B2AD3"/>
    <w:rsid w:val="001C180F"/>
    <w:rsid w:val="001C32A6"/>
    <w:rsid w:val="001C4E71"/>
    <w:rsid w:val="001C7F55"/>
    <w:rsid w:val="001D05E5"/>
    <w:rsid w:val="001E5FA5"/>
    <w:rsid w:val="001F12E4"/>
    <w:rsid w:val="001F2639"/>
    <w:rsid w:val="001F57D4"/>
    <w:rsid w:val="001F7693"/>
    <w:rsid w:val="002026F0"/>
    <w:rsid w:val="00210728"/>
    <w:rsid w:val="002238D0"/>
    <w:rsid w:val="0022750F"/>
    <w:rsid w:val="00227CEB"/>
    <w:rsid w:val="002312AD"/>
    <w:rsid w:val="00240909"/>
    <w:rsid w:val="00240FFF"/>
    <w:rsid w:val="0024648F"/>
    <w:rsid w:val="00251AE5"/>
    <w:rsid w:val="00252AC0"/>
    <w:rsid w:val="0025334F"/>
    <w:rsid w:val="0027077F"/>
    <w:rsid w:val="002845EF"/>
    <w:rsid w:val="00296005"/>
    <w:rsid w:val="002A5CD3"/>
    <w:rsid w:val="002A60A6"/>
    <w:rsid w:val="002B202F"/>
    <w:rsid w:val="002C2799"/>
    <w:rsid w:val="002C5AF2"/>
    <w:rsid w:val="002C5C95"/>
    <w:rsid w:val="002D16E1"/>
    <w:rsid w:val="002D5ADE"/>
    <w:rsid w:val="002F020F"/>
    <w:rsid w:val="002F6C06"/>
    <w:rsid w:val="002F7462"/>
    <w:rsid w:val="00304F7C"/>
    <w:rsid w:val="00321CEE"/>
    <w:rsid w:val="00324B34"/>
    <w:rsid w:val="00327CEB"/>
    <w:rsid w:val="0034081F"/>
    <w:rsid w:val="0034229F"/>
    <w:rsid w:val="00343837"/>
    <w:rsid w:val="00351998"/>
    <w:rsid w:val="003529E4"/>
    <w:rsid w:val="003574C5"/>
    <w:rsid w:val="003832FD"/>
    <w:rsid w:val="00386930"/>
    <w:rsid w:val="00387CF9"/>
    <w:rsid w:val="003A0CEC"/>
    <w:rsid w:val="003A16A9"/>
    <w:rsid w:val="003B25F2"/>
    <w:rsid w:val="003B3962"/>
    <w:rsid w:val="003B6D90"/>
    <w:rsid w:val="003C1B1A"/>
    <w:rsid w:val="003C4496"/>
    <w:rsid w:val="003C7364"/>
    <w:rsid w:val="003D2C07"/>
    <w:rsid w:val="003E1B75"/>
    <w:rsid w:val="003E4740"/>
    <w:rsid w:val="003F39E5"/>
    <w:rsid w:val="00400BF7"/>
    <w:rsid w:val="00410652"/>
    <w:rsid w:val="00412B98"/>
    <w:rsid w:val="0041461C"/>
    <w:rsid w:val="00420430"/>
    <w:rsid w:val="00421EF9"/>
    <w:rsid w:val="00423BBD"/>
    <w:rsid w:val="004258B4"/>
    <w:rsid w:val="00432420"/>
    <w:rsid w:val="00432DB7"/>
    <w:rsid w:val="00451DB0"/>
    <w:rsid w:val="00453B62"/>
    <w:rsid w:val="00456E30"/>
    <w:rsid w:val="0046033F"/>
    <w:rsid w:val="00472062"/>
    <w:rsid w:val="0047453A"/>
    <w:rsid w:val="00474D7A"/>
    <w:rsid w:val="00476D2C"/>
    <w:rsid w:val="00487EBC"/>
    <w:rsid w:val="00491A13"/>
    <w:rsid w:val="00491FA4"/>
    <w:rsid w:val="004A105A"/>
    <w:rsid w:val="004A22CF"/>
    <w:rsid w:val="004A57A4"/>
    <w:rsid w:val="004A70ED"/>
    <w:rsid w:val="004B4645"/>
    <w:rsid w:val="004B7E5C"/>
    <w:rsid w:val="004C243B"/>
    <w:rsid w:val="004C4201"/>
    <w:rsid w:val="004C5FA5"/>
    <w:rsid w:val="004C6187"/>
    <w:rsid w:val="004C66D6"/>
    <w:rsid w:val="004D4609"/>
    <w:rsid w:val="004E1709"/>
    <w:rsid w:val="004F130C"/>
    <w:rsid w:val="004F30C2"/>
    <w:rsid w:val="004F5BAA"/>
    <w:rsid w:val="004F68C7"/>
    <w:rsid w:val="005226E1"/>
    <w:rsid w:val="00530BB2"/>
    <w:rsid w:val="005326D4"/>
    <w:rsid w:val="00532C4E"/>
    <w:rsid w:val="005355B9"/>
    <w:rsid w:val="005362CF"/>
    <w:rsid w:val="00537570"/>
    <w:rsid w:val="005400FA"/>
    <w:rsid w:val="005409FC"/>
    <w:rsid w:val="0054361E"/>
    <w:rsid w:val="005441CA"/>
    <w:rsid w:val="005541D3"/>
    <w:rsid w:val="00563CFD"/>
    <w:rsid w:val="00565247"/>
    <w:rsid w:val="00565424"/>
    <w:rsid w:val="00576AF0"/>
    <w:rsid w:val="00582923"/>
    <w:rsid w:val="00586E92"/>
    <w:rsid w:val="005914D5"/>
    <w:rsid w:val="00591AB7"/>
    <w:rsid w:val="005A2D2A"/>
    <w:rsid w:val="005A6367"/>
    <w:rsid w:val="005B0DCE"/>
    <w:rsid w:val="005C650F"/>
    <w:rsid w:val="005D1BBF"/>
    <w:rsid w:val="005E4C12"/>
    <w:rsid w:val="005E7875"/>
    <w:rsid w:val="005F0112"/>
    <w:rsid w:val="005F0771"/>
    <w:rsid w:val="005F59A1"/>
    <w:rsid w:val="005F7E7A"/>
    <w:rsid w:val="0060172E"/>
    <w:rsid w:val="006255E0"/>
    <w:rsid w:val="0062680F"/>
    <w:rsid w:val="00626A36"/>
    <w:rsid w:val="00627EA0"/>
    <w:rsid w:val="00637B99"/>
    <w:rsid w:val="006419E9"/>
    <w:rsid w:val="00644943"/>
    <w:rsid w:val="00646BA2"/>
    <w:rsid w:val="00650FDD"/>
    <w:rsid w:val="00666C5B"/>
    <w:rsid w:val="00671EB5"/>
    <w:rsid w:val="00677D44"/>
    <w:rsid w:val="00684F64"/>
    <w:rsid w:val="006910FC"/>
    <w:rsid w:val="00691700"/>
    <w:rsid w:val="00692B18"/>
    <w:rsid w:val="00694185"/>
    <w:rsid w:val="006A0004"/>
    <w:rsid w:val="006A69DF"/>
    <w:rsid w:val="006B155D"/>
    <w:rsid w:val="006B1C34"/>
    <w:rsid w:val="006B5718"/>
    <w:rsid w:val="006E0AF6"/>
    <w:rsid w:val="006E4BC5"/>
    <w:rsid w:val="00701383"/>
    <w:rsid w:val="007055C1"/>
    <w:rsid w:val="00713454"/>
    <w:rsid w:val="00723694"/>
    <w:rsid w:val="00723E4F"/>
    <w:rsid w:val="007271E8"/>
    <w:rsid w:val="00731236"/>
    <w:rsid w:val="00746969"/>
    <w:rsid w:val="00750405"/>
    <w:rsid w:val="00761759"/>
    <w:rsid w:val="00762C42"/>
    <w:rsid w:val="00766CD3"/>
    <w:rsid w:val="007676E6"/>
    <w:rsid w:val="007718EA"/>
    <w:rsid w:val="00771FA6"/>
    <w:rsid w:val="00774B76"/>
    <w:rsid w:val="00776424"/>
    <w:rsid w:val="007805D5"/>
    <w:rsid w:val="007832F3"/>
    <w:rsid w:val="007857E7"/>
    <w:rsid w:val="00794173"/>
    <w:rsid w:val="007A5662"/>
    <w:rsid w:val="007B0410"/>
    <w:rsid w:val="007B205D"/>
    <w:rsid w:val="007B6E6A"/>
    <w:rsid w:val="007C06A4"/>
    <w:rsid w:val="007C192D"/>
    <w:rsid w:val="007C64D2"/>
    <w:rsid w:val="007C7F44"/>
    <w:rsid w:val="007D55D4"/>
    <w:rsid w:val="007E3FF1"/>
    <w:rsid w:val="007F5414"/>
    <w:rsid w:val="007F630F"/>
    <w:rsid w:val="00803964"/>
    <w:rsid w:val="00804891"/>
    <w:rsid w:val="00804B80"/>
    <w:rsid w:val="0081491E"/>
    <w:rsid w:val="008176DB"/>
    <w:rsid w:val="00817B26"/>
    <w:rsid w:val="0082533B"/>
    <w:rsid w:val="008266A7"/>
    <w:rsid w:val="00826909"/>
    <w:rsid w:val="008316D2"/>
    <w:rsid w:val="00831BB0"/>
    <w:rsid w:val="00834ED4"/>
    <w:rsid w:val="00841FA2"/>
    <w:rsid w:val="008526CF"/>
    <w:rsid w:val="00853114"/>
    <w:rsid w:val="0086199D"/>
    <w:rsid w:val="00866C4B"/>
    <w:rsid w:val="008706E1"/>
    <w:rsid w:val="008712A9"/>
    <w:rsid w:val="008713CB"/>
    <w:rsid w:val="00877C02"/>
    <w:rsid w:val="0088320B"/>
    <w:rsid w:val="008860FD"/>
    <w:rsid w:val="008901FA"/>
    <w:rsid w:val="00893226"/>
    <w:rsid w:val="008933FC"/>
    <w:rsid w:val="00896A5C"/>
    <w:rsid w:val="008A2060"/>
    <w:rsid w:val="008A31CF"/>
    <w:rsid w:val="008A36B5"/>
    <w:rsid w:val="008A3A3C"/>
    <w:rsid w:val="008B2F2F"/>
    <w:rsid w:val="008B6927"/>
    <w:rsid w:val="008C3BF3"/>
    <w:rsid w:val="008C4994"/>
    <w:rsid w:val="008C5EAD"/>
    <w:rsid w:val="008C65B8"/>
    <w:rsid w:val="008D1540"/>
    <w:rsid w:val="008D5A7B"/>
    <w:rsid w:val="008E1D13"/>
    <w:rsid w:val="008F461C"/>
    <w:rsid w:val="00902137"/>
    <w:rsid w:val="009066B2"/>
    <w:rsid w:val="009109B6"/>
    <w:rsid w:val="00917006"/>
    <w:rsid w:val="00917BA8"/>
    <w:rsid w:val="00920133"/>
    <w:rsid w:val="009361A1"/>
    <w:rsid w:val="00942F40"/>
    <w:rsid w:val="00945DAB"/>
    <w:rsid w:val="009530D4"/>
    <w:rsid w:val="009664EB"/>
    <w:rsid w:val="0097650A"/>
    <w:rsid w:val="00984AE2"/>
    <w:rsid w:val="0098760C"/>
    <w:rsid w:val="00990602"/>
    <w:rsid w:val="00995D84"/>
    <w:rsid w:val="009A21FF"/>
    <w:rsid w:val="009A32D9"/>
    <w:rsid w:val="009B071B"/>
    <w:rsid w:val="009B0E63"/>
    <w:rsid w:val="009C3329"/>
    <w:rsid w:val="009C46F0"/>
    <w:rsid w:val="009C4A2E"/>
    <w:rsid w:val="009C6AA2"/>
    <w:rsid w:val="009D07FE"/>
    <w:rsid w:val="009D6CFD"/>
    <w:rsid w:val="009D7A9F"/>
    <w:rsid w:val="009D7C98"/>
    <w:rsid w:val="009E1087"/>
    <w:rsid w:val="009E1CFB"/>
    <w:rsid w:val="009E2039"/>
    <w:rsid w:val="009E6501"/>
    <w:rsid w:val="009F58EA"/>
    <w:rsid w:val="00A023E8"/>
    <w:rsid w:val="00A11E59"/>
    <w:rsid w:val="00A218CB"/>
    <w:rsid w:val="00A36B9D"/>
    <w:rsid w:val="00A37E90"/>
    <w:rsid w:val="00A473C2"/>
    <w:rsid w:val="00A477B4"/>
    <w:rsid w:val="00A52174"/>
    <w:rsid w:val="00A53277"/>
    <w:rsid w:val="00A60460"/>
    <w:rsid w:val="00A62B4D"/>
    <w:rsid w:val="00A708A0"/>
    <w:rsid w:val="00A7223F"/>
    <w:rsid w:val="00A742CE"/>
    <w:rsid w:val="00A832E0"/>
    <w:rsid w:val="00A83CA6"/>
    <w:rsid w:val="00A86578"/>
    <w:rsid w:val="00A8714F"/>
    <w:rsid w:val="00A95E5F"/>
    <w:rsid w:val="00AA6200"/>
    <w:rsid w:val="00AA7C8D"/>
    <w:rsid w:val="00AC6391"/>
    <w:rsid w:val="00AE5E03"/>
    <w:rsid w:val="00AE7835"/>
    <w:rsid w:val="00AF5480"/>
    <w:rsid w:val="00B02183"/>
    <w:rsid w:val="00B04A5C"/>
    <w:rsid w:val="00B050E4"/>
    <w:rsid w:val="00B17310"/>
    <w:rsid w:val="00B22C80"/>
    <w:rsid w:val="00B369EC"/>
    <w:rsid w:val="00B37307"/>
    <w:rsid w:val="00B407BB"/>
    <w:rsid w:val="00B41F22"/>
    <w:rsid w:val="00B44446"/>
    <w:rsid w:val="00B53BC2"/>
    <w:rsid w:val="00B604E7"/>
    <w:rsid w:val="00B907F9"/>
    <w:rsid w:val="00B92BAE"/>
    <w:rsid w:val="00B9418E"/>
    <w:rsid w:val="00B9736A"/>
    <w:rsid w:val="00BA4AE6"/>
    <w:rsid w:val="00BD3EEE"/>
    <w:rsid w:val="00BD4E4C"/>
    <w:rsid w:val="00BE27D2"/>
    <w:rsid w:val="00BE3253"/>
    <w:rsid w:val="00BF07F3"/>
    <w:rsid w:val="00BF127C"/>
    <w:rsid w:val="00BF2B6D"/>
    <w:rsid w:val="00C0299A"/>
    <w:rsid w:val="00C069D1"/>
    <w:rsid w:val="00C10E00"/>
    <w:rsid w:val="00C14B6B"/>
    <w:rsid w:val="00C16AA2"/>
    <w:rsid w:val="00C1768B"/>
    <w:rsid w:val="00C211DE"/>
    <w:rsid w:val="00C2195B"/>
    <w:rsid w:val="00C21CB0"/>
    <w:rsid w:val="00C21F4B"/>
    <w:rsid w:val="00C34DE8"/>
    <w:rsid w:val="00C42A7D"/>
    <w:rsid w:val="00C44395"/>
    <w:rsid w:val="00C51275"/>
    <w:rsid w:val="00C51332"/>
    <w:rsid w:val="00C54F0A"/>
    <w:rsid w:val="00C5789F"/>
    <w:rsid w:val="00C607F4"/>
    <w:rsid w:val="00C647D0"/>
    <w:rsid w:val="00C658AD"/>
    <w:rsid w:val="00C71000"/>
    <w:rsid w:val="00C71CD8"/>
    <w:rsid w:val="00C81337"/>
    <w:rsid w:val="00C95744"/>
    <w:rsid w:val="00C96E86"/>
    <w:rsid w:val="00CA2DB0"/>
    <w:rsid w:val="00CA5FE5"/>
    <w:rsid w:val="00CC7340"/>
    <w:rsid w:val="00CD53EB"/>
    <w:rsid w:val="00CD70EE"/>
    <w:rsid w:val="00CE0227"/>
    <w:rsid w:val="00CE049B"/>
    <w:rsid w:val="00CE0639"/>
    <w:rsid w:val="00CE551C"/>
    <w:rsid w:val="00CE6BBA"/>
    <w:rsid w:val="00CF346E"/>
    <w:rsid w:val="00D005D4"/>
    <w:rsid w:val="00D100E2"/>
    <w:rsid w:val="00D12397"/>
    <w:rsid w:val="00D133FE"/>
    <w:rsid w:val="00D277B3"/>
    <w:rsid w:val="00D32183"/>
    <w:rsid w:val="00D324EE"/>
    <w:rsid w:val="00D40498"/>
    <w:rsid w:val="00D40FFE"/>
    <w:rsid w:val="00D46681"/>
    <w:rsid w:val="00D51D54"/>
    <w:rsid w:val="00D52E67"/>
    <w:rsid w:val="00D54630"/>
    <w:rsid w:val="00D55049"/>
    <w:rsid w:val="00D55C02"/>
    <w:rsid w:val="00D60AE5"/>
    <w:rsid w:val="00D90A8A"/>
    <w:rsid w:val="00D90B59"/>
    <w:rsid w:val="00D92A0B"/>
    <w:rsid w:val="00D92B57"/>
    <w:rsid w:val="00D944E3"/>
    <w:rsid w:val="00D96527"/>
    <w:rsid w:val="00DA2827"/>
    <w:rsid w:val="00DB070D"/>
    <w:rsid w:val="00DC0458"/>
    <w:rsid w:val="00DC161E"/>
    <w:rsid w:val="00DC67F8"/>
    <w:rsid w:val="00DD3376"/>
    <w:rsid w:val="00DE31FD"/>
    <w:rsid w:val="00DE4065"/>
    <w:rsid w:val="00DE7904"/>
    <w:rsid w:val="00DF1BBF"/>
    <w:rsid w:val="00DF740C"/>
    <w:rsid w:val="00E047CE"/>
    <w:rsid w:val="00E05C46"/>
    <w:rsid w:val="00E15349"/>
    <w:rsid w:val="00E17330"/>
    <w:rsid w:val="00E17945"/>
    <w:rsid w:val="00E226D4"/>
    <w:rsid w:val="00E24FFC"/>
    <w:rsid w:val="00E261BD"/>
    <w:rsid w:val="00E266C9"/>
    <w:rsid w:val="00E37013"/>
    <w:rsid w:val="00E46D77"/>
    <w:rsid w:val="00E5267E"/>
    <w:rsid w:val="00E620BA"/>
    <w:rsid w:val="00E62BEF"/>
    <w:rsid w:val="00E63C74"/>
    <w:rsid w:val="00E669A4"/>
    <w:rsid w:val="00E8280D"/>
    <w:rsid w:val="00E84F6C"/>
    <w:rsid w:val="00E86992"/>
    <w:rsid w:val="00E92F35"/>
    <w:rsid w:val="00E9328B"/>
    <w:rsid w:val="00E9363C"/>
    <w:rsid w:val="00EA3399"/>
    <w:rsid w:val="00EA35EA"/>
    <w:rsid w:val="00EC0F71"/>
    <w:rsid w:val="00EC27F9"/>
    <w:rsid w:val="00EC3536"/>
    <w:rsid w:val="00EC5F3C"/>
    <w:rsid w:val="00EC7DBC"/>
    <w:rsid w:val="00EE1D4D"/>
    <w:rsid w:val="00EE2C87"/>
    <w:rsid w:val="00EF0628"/>
    <w:rsid w:val="00EF73A9"/>
    <w:rsid w:val="00F02565"/>
    <w:rsid w:val="00F0529F"/>
    <w:rsid w:val="00F12F54"/>
    <w:rsid w:val="00F16992"/>
    <w:rsid w:val="00F22BC7"/>
    <w:rsid w:val="00F315AD"/>
    <w:rsid w:val="00F315FF"/>
    <w:rsid w:val="00F3179C"/>
    <w:rsid w:val="00F428DC"/>
    <w:rsid w:val="00F55C9A"/>
    <w:rsid w:val="00F566A9"/>
    <w:rsid w:val="00F62543"/>
    <w:rsid w:val="00F64B23"/>
    <w:rsid w:val="00F7310C"/>
    <w:rsid w:val="00F74AF4"/>
    <w:rsid w:val="00F7626A"/>
    <w:rsid w:val="00F77BE9"/>
    <w:rsid w:val="00F82848"/>
    <w:rsid w:val="00F85E71"/>
    <w:rsid w:val="00F90A21"/>
    <w:rsid w:val="00F9140F"/>
    <w:rsid w:val="00FA4A9E"/>
    <w:rsid w:val="00FA718B"/>
    <w:rsid w:val="00FA7429"/>
    <w:rsid w:val="00FB75C9"/>
    <w:rsid w:val="00FB7F02"/>
    <w:rsid w:val="00FC1EDB"/>
    <w:rsid w:val="00FC3BBB"/>
    <w:rsid w:val="00FD0249"/>
    <w:rsid w:val="00FD1F6B"/>
    <w:rsid w:val="00FD5E4D"/>
    <w:rsid w:val="00FD6E93"/>
    <w:rsid w:val="00FE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F6E"/>
  <w15:chartTrackingRefBased/>
  <w15:docId w15:val="{E9523E19-C146-4CFC-992F-C14B7E06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7B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407BB"/>
    <w:rPr>
      <w:color w:val="0000FF"/>
      <w:u w:val="single"/>
    </w:rPr>
  </w:style>
  <w:style w:type="paragraph" w:styleId="ListParagraph">
    <w:name w:val="List Paragraph"/>
    <w:aliases w:val="Rec para,Dot pt,Párrafo de lista1,Paragraphe de liste,List Paragraph12,MAIN CONTENT,List Paragraph2,List Paragraph1,Recommendation,List Paragraph11,F5 List Paragraph,List Paragraph Char Char Char,Indicator Text"/>
    <w:basedOn w:val="Normal"/>
    <w:link w:val="ListParagraphChar"/>
    <w:uiPriority w:val="34"/>
    <w:qFormat/>
    <w:rsid w:val="00B407BB"/>
    <w:pPr>
      <w:ind w:left="720"/>
      <w:contextualSpacing/>
    </w:pPr>
  </w:style>
  <w:style w:type="character" w:customStyle="1" w:styleId="cf01">
    <w:name w:val="cf01"/>
    <w:basedOn w:val="DefaultParagraphFont"/>
    <w:rsid w:val="00B407BB"/>
    <w:rPr>
      <w:rFonts w:ascii="Segoe UI" w:hAnsi="Segoe UI" w:cs="Segoe UI" w:hint="default"/>
      <w:sz w:val="18"/>
      <w:szCs w:val="18"/>
    </w:rPr>
  </w:style>
  <w:style w:type="paragraph" w:styleId="NoSpacing">
    <w:name w:val="No Spacing"/>
    <w:uiPriority w:val="1"/>
    <w:qFormat/>
    <w:rsid w:val="00B407BB"/>
    <w:pPr>
      <w:spacing w:after="0" w:line="240" w:lineRule="auto"/>
    </w:pPr>
    <w:rPr>
      <w:lang w:val="en-US"/>
    </w:rPr>
  </w:style>
  <w:style w:type="character" w:customStyle="1" w:styleId="ListParagraphChar">
    <w:name w:val="List Paragraph Char"/>
    <w:aliases w:val="Rec para Char,Dot pt Char,Párrafo de lista1 Char,Paragraphe de liste Char,List Paragraph12 Char,MAIN CONTENT Char,List Paragraph2 Char,List Paragraph1 Char,Recommendation Char,List Paragraph11 Char,F5 List Paragraph Char"/>
    <w:link w:val="ListParagraph"/>
    <w:uiPriority w:val="34"/>
    <w:qFormat/>
    <w:locked/>
    <w:rsid w:val="00B407BB"/>
    <w:rPr>
      <w:lang w:val="en-US"/>
    </w:rPr>
  </w:style>
  <w:style w:type="paragraph" w:customStyle="1" w:styleId="ColorfulList-Accent11">
    <w:name w:val="Colorful List - Accent 11"/>
    <w:basedOn w:val="Normal"/>
    <w:uiPriority w:val="34"/>
    <w:qFormat/>
    <w:rsid w:val="00B407BB"/>
    <w:pPr>
      <w:spacing w:after="0" w:line="240" w:lineRule="auto"/>
      <w:ind w:left="720" w:hanging="425"/>
      <w:contextualSpacing/>
    </w:pPr>
    <w:rPr>
      <w:rFonts w:ascii="Calibri" w:eastAsia="Calibri" w:hAnsi="Calibri" w:cs="Times New Roman"/>
      <w:lang w:val="en-GB"/>
    </w:rPr>
  </w:style>
  <w:style w:type="paragraph" w:styleId="NormalWeb">
    <w:name w:val="Normal (Web)"/>
    <w:basedOn w:val="Normal"/>
    <w:uiPriority w:val="99"/>
    <w:unhideWhenUsed/>
    <w:rsid w:val="00B407BB"/>
    <w:pPr>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uiPriority w:val="39"/>
    <w:rsid w:val="00AE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18CB"/>
    <w:rPr>
      <w:color w:val="605E5C"/>
      <w:shd w:val="clear" w:color="auto" w:fill="E1DFDD"/>
    </w:rPr>
  </w:style>
  <w:style w:type="paragraph" w:styleId="Header">
    <w:name w:val="header"/>
    <w:basedOn w:val="Normal"/>
    <w:link w:val="HeaderChar"/>
    <w:uiPriority w:val="99"/>
    <w:unhideWhenUsed/>
    <w:rsid w:val="00BD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4C"/>
    <w:rPr>
      <w:lang w:val="en-US"/>
    </w:rPr>
  </w:style>
  <w:style w:type="paragraph" w:styleId="Footer">
    <w:name w:val="footer"/>
    <w:basedOn w:val="Normal"/>
    <w:link w:val="FooterChar"/>
    <w:uiPriority w:val="99"/>
    <w:unhideWhenUsed/>
    <w:rsid w:val="00BD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4C"/>
    <w:rPr>
      <w:lang w:val="en-US"/>
    </w:rPr>
  </w:style>
  <w:style w:type="paragraph" w:styleId="BalloonText">
    <w:name w:val="Balloon Text"/>
    <w:basedOn w:val="Normal"/>
    <w:link w:val="BalloonTextChar"/>
    <w:uiPriority w:val="99"/>
    <w:semiHidden/>
    <w:unhideWhenUsed/>
    <w:rsid w:val="0024090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40909"/>
    <w:rPr>
      <w:rFonts w:ascii="Arial" w:hAnsi="Arial" w:cs="Arial"/>
      <w:sz w:val="18"/>
      <w:szCs w:val="18"/>
      <w:lang w:val="en-US"/>
    </w:rPr>
  </w:style>
  <w:style w:type="character" w:styleId="CommentReference">
    <w:name w:val="annotation reference"/>
    <w:basedOn w:val="DefaultParagraphFont"/>
    <w:uiPriority w:val="99"/>
    <w:semiHidden/>
    <w:unhideWhenUsed/>
    <w:rsid w:val="00990602"/>
    <w:rPr>
      <w:sz w:val="16"/>
      <w:szCs w:val="16"/>
    </w:rPr>
  </w:style>
  <w:style w:type="paragraph" w:styleId="CommentText">
    <w:name w:val="annotation text"/>
    <w:basedOn w:val="Normal"/>
    <w:link w:val="CommentTextChar"/>
    <w:uiPriority w:val="99"/>
    <w:unhideWhenUsed/>
    <w:rsid w:val="00990602"/>
    <w:pPr>
      <w:spacing w:line="240" w:lineRule="auto"/>
    </w:pPr>
    <w:rPr>
      <w:sz w:val="20"/>
      <w:szCs w:val="20"/>
    </w:rPr>
  </w:style>
  <w:style w:type="character" w:customStyle="1" w:styleId="CommentTextChar">
    <w:name w:val="Comment Text Char"/>
    <w:basedOn w:val="DefaultParagraphFont"/>
    <w:link w:val="CommentText"/>
    <w:uiPriority w:val="99"/>
    <w:rsid w:val="00990602"/>
    <w:rPr>
      <w:sz w:val="20"/>
      <w:szCs w:val="20"/>
      <w:lang w:val="en-US"/>
    </w:rPr>
  </w:style>
  <w:style w:type="paragraph" w:styleId="CommentSubject">
    <w:name w:val="annotation subject"/>
    <w:basedOn w:val="CommentText"/>
    <w:next w:val="CommentText"/>
    <w:link w:val="CommentSubjectChar"/>
    <w:uiPriority w:val="99"/>
    <w:semiHidden/>
    <w:unhideWhenUsed/>
    <w:rsid w:val="00990602"/>
    <w:rPr>
      <w:b/>
      <w:bCs/>
    </w:rPr>
  </w:style>
  <w:style w:type="character" w:customStyle="1" w:styleId="CommentSubjectChar">
    <w:name w:val="Comment Subject Char"/>
    <w:basedOn w:val="CommentTextChar"/>
    <w:link w:val="CommentSubject"/>
    <w:uiPriority w:val="99"/>
    <w:semiHidden/>
    <w:rsid w:val="00990602"/>
    <w:rPr>
      <w:b/>
      <w:bCs/>
      <w:sz w:val="20"/>
      <w:szCs w:val="20"/>
      <w:lang w:val="en-US"/>
    </w:rPr>
  </w:style>
  <w:style w:type="paragraph" w:styleId="Revision">
    <w:name w:val="Revision"/>
    <w:hidden/>
    <w:uiPriority w:val="99"/>
    <w:semiHidden/>
    <w:rsid w:val="00746969"/>
    <w:pPr>
      <w:spacing w:after="0" w:line="240" w:lineRule="auto"/>
    </w:pPr>
    <w:rPr>
      <w:lang w:val="en-US"/>
    </w:rPr>
  </w:style>
  <w:style w:type="character" w:styleId="FollowedHyperlink">
    <w:name w:val="FollowedHyperlink"/>
    <w:basedOn w:val="DefaultParagraphFont"/>
    <w:uiPriority w:val="99"/>
    <w:semiHidden/>
    <w:unhideWhenUsed/>
    <w:rsid w:val="001C180F"/>
    <w:rPr>
      <w:color w:val="954F72" w:themeColor="followedHyperlink"/>
      <w:u w:val="single"/>
    </w:rPr>
  </w:style>
  <w:style w:type="paragraph" w:styleId="FootnoteText">
    <w:name w:val="footnote text"/>
    <w:basedOn w:val="Normal"/>
    <w:link w:val="FootnoteTextChar"/>
    <w:uiPriority w:val="99"/>
    <w:semiHidden/>
    <w:unhideWhenUsed/>
    <w:rsid w:val="001C1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80F"/>
    <w:rPr>
      <w:sz w:val="20"/>
      <w:szCs w:val="20"/>
      <w:lang w:val="en-US"/>
    </w:rPr>
  </w:style>
  <w:style w:type="character" w:styleId="FootnoteReference">
    <w:name w:val="footnote reference"/>
    <w:basedOn w:val="DefaultParagraphFont"/>
    <w:uiPriority w:val="99"/>
    <w:semiHidden/>
    <w:unhideWhenUsed/>
    <w:rsid w:val="001C180F"/>
    <w:rPr>
      <w:vertAlign w:val="superscript"/>
    </w:rPr>
  </w:style>
  <w:style w:type="character" w:customStyle="1" w:styleId="UnresolvedMention">
    <w:name w:val="Unresolved Mention"/>
    <w:basedOn w:val="DefaultParagraphFont"/>
    <w:uiPriority w:val="99"/>
    <w:semiHidden/>
    <w:unhideWhenUsed/>
    <w:rsid w:val="00886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4542">
      <w:bodyDiv w:val="1"/>
      <w:marLeft w:val="0"/>
      <w:marRight w:val="0"/>
      <w:marTop w:val="0"/>
      <w:marBottom w:val="0"/>
      <w:divBdr>
        <w:top w:val="none" w:sz="0" w:space="0" w:color="auto"/>
        <w:left w:val="none" w:sz="0" w:space="0" w:color="auto"/>
        <w:bottom w:val="none" w:sz="0" w:space="0" w:color="auto"/>
        <w:right w:val="none" w:sz="0" w:space="0" w:color="auto"/>
      </w:divBdr>
    </w:div>
    <w:div w:id="587203198">
      <w:bodyDiv w:val="1"/>
      <w:marLeft w:val="0"/>
      <w:marRight w:val="0"/>
      <w:marTop w:val="0"/>
      <w:marBottom w:val="0"/>
      <w:divBdr>
        <w:top w:val="none" w:sz="0" w:space="0" w:color="auto"/>
        <w:left w:val="none" w:sz="0" w:space="0" w:color="auto"/>
        <w:bottom w:val="none" w:sz="0" w:space="0" w:color="auto"/>
        <w:right w:val="none" w:sz="0" w:space="0" w:color="auto"/>
      </w:divBdr>
    </w:div>
    <w:div w:id="1628311981">
      <w:bodyDiv w:val="1"/>
      <w:marLeft w:val="0"/>
      <w:marRight w:val="0"/>
      <w:marTop w:val="0"/>
      <w:marBottom w:val="0"/>
      <w:divBdr>
        <w:top w:val="none" w:sz="0" w:space="0" w:color="auto"/>
        <w:left w:val="none" w:sz="0" w:space="0" w:color="auto"/>
        <w:bottom w:val="none" w:sz="0" w:space="0" w:color="auto"/>
        <w:right w:val="none" w:sz="0" w:space="0" w:color="auto"/>
      </w:divBdr>
    </w:div>
    <w:div w:id="17237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resolucion-xiv6-mejora-de-la-visibilidad-de-la-convencion-y-de-las-sinergias-con-otros" TargetMode="External"/><Relationship Id="rId2" Type="http://schemas.openxmlformats.org/officeDocument/2006/relationships/hyperlink" Target="https://www.ramsar.org/document/financial-analysis-legal-status-ramsar-secretariat" TargetMode="External"/><Relationship Id="rId1" Type="http://schemas.openxmlformats.org/officeDocument/2006/relationships/hyperlink" Target="https://www.ramsar.org/document/independent-analysis-legal-status-secretariat-convention-wetlands-ramsar-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6660-F413-45DE-94DC-9EEF929DD15C}">
  <ds:schemaRefs>
    <ds:schemaRef ds:uri="http://purl.org/dc/elements/1.1/"/>
    <ds:schemaRef ds:uri="aedd258d-19a7-41ba-8260-b0918f25313d"/>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8c0b6b05-eb82-4bda-97e8-cd82d0d6b45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AFF2C28-AC2E-4424-933E-1FA0354E1D19}">
  <ds:schemaRefs>
    <ds:schemaRef ds:uri="http://schemas.microsoft.com/sharepoint/v3/contenttype/forms"/>
  </ds:schemaRefs>
</ds:datastoreItem>
</file>

<file path=customXml/itemProps3.xml><?xml version="1.0" encoding="utf-8"?>
<ds:datastoreItem xmlns:ds="http://schemas.openxmlformats.org/officeDocument/2006/customXml" ds:itemID="{A39B0D9F-A8D0-41DC-8BFF-BB4BF110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BA590-05CE-4BD3-A047-23D19F91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dcterms:created xsi:type="dcterms:W3CDTF">2023-08-04T14:01:00Z</dcterms:created>
  <dcterms:modified xsi:type="dcterms:W3CDTF">2023-08-04T14:01:00Z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