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52E" w14:textId="77777777" w:rsidR="00463FB1" w:rsidRPr="005F3F7B"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rPr>
      </w:pPr>
      <w:r w:rsidRPr="005F3F7B">
        <w:rPr>
          <w:bCs/>
        </w:rPr>
        <w:t>THE CONVENTION ON WETLANDS</w:t>
      </w:r>
    </w:p>
    <w:p w14:paraId="63FCB56F" w14:textId="77777777" w:rsidR="00463FB1"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rPr>
      </w:pPr>
      <w:r>
        <w:rPr>
          <w:bCs/>
        </w:rPr>
        <w:t>62nd</w:t>
      </w:r>
      <w:r w:rsidRPr="005F3F7B">
        <w:rPr>
          <w:bCs/>
        </w:rPr>
        <w:t xml:space="preserve"> </w:t>
      </w:r>
      <w:r>
        <w:rPr>
          <w:bCs/>
        </w:rPr>
        <w:t>m</w:t>
      </w:r>
      <w:r w:rsidRPr="005F3F7B">
        <w:rPr>
          <w:bCs/>
        </w:rPr>
        <w:t>eeting of the Standing Committee</w:t>
      </w:r>
    </w:p>
    <w:p w14:paraId="70C9475A" w14:textId="77777777" w:rsidR="00463FB1" w:rsidRPr="00A22100"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sz w:val="24"/>
          <w:szCs w:val="24"/>
          <w:lang w:val="de-DE"/>
        </w:rPr>
      </w:pPr>
      <w:r w:rsidRPr="00A22100">
        <w:rPr>
          <w:bCs/>
          <w:lang w:val="de-DE"/>
        </w:rPr>
        <w:t>Gland, Switzerland, 4-8 September 2023</w:t>
      </w:r>
    </w:p>
    <w:p w14:paraId="74C33457" w14:textId="4B255235" w:rsidR="00BA35CD" w:rsidRPr="00A22100" w:rsidRDefault="00BA35CD" w:rsidP="006B4246">
      <w:pPr>
        <w:spacing w:after="0" w:line="240" w:lineRule="auto"/>
        <w:ind w:right="4490"/>
        <w:outlineLvl w:val="0"/>
        <w:rPr>
          <w:rFonts w:cs="Arial"/>
          <w:b/>
          <w:sz w:val="28"/>
          <w:szCs w:val="28"/>
          <w:lang w:val="de-DE"/>
        </w:rPr>
      </w:pPr>
    </w:p>
    <w:p w14:paraId="34EDF444" w14:textId="3166F5ED" w:rsidR="00BB591C" w:rsidRPr="00A22100" w:rsidRDefault="00BB591C" w:rsidP="00BA35CD">
      <w:pPr>
        <w:spacing w:after="0" w:line="240" w:lineRule="auto"/>
        <w:jc w:val="right"/>
        <w:rPr>
          <w:rFonts w:cs="Arial"/>
          <w:b/>
          <w:sz w:val="28"/>
          <w:szCs w:val="28"/>
          <w:lang w:val="de-DE"/>
        </w:rPr>
      </w:pPr>
      <w:r w:rsidRPr="00A22100">
        <w:rPr>
          <w:rFonts w:cs="Arial"/>
          <w:b/>
          <w:sz w:val="28"/>
          <w:szCs w:val="28"/>
          <w:lang w:val="de-DE"/>
        </w:rPr>
        <w:t>SC62 Doc.</w:t>
      </w:r>
      <w:r w:rsidR="004F65D4" w:rsidRPr="00A22100">
        <w:rPr>
          <w:rFonts w:cs="Arial"/>
          <w:b/>
          <w:sz w:val="28"/>
          <w:szCs w:val="28"/>
          <w:lang w:val="de-DE"/>
        </w:rPr>
        <w:t>12</w:t>
      </w:r>
    </w:p>
    <w:p w14:paraId="751A11CE" w14:textId="4A774EE0" w:rsidR="008D32A6" w:rsidRPr="004F65D4" w:rsidRDefault="004F65D4" w:rsidP="006B4246">
      <w:pPr>
        <w:spacing w:after="0" w:line="240" w:lineRule="auto"/>
        <w:jc w:val="center"/>
        <w:rPr>
          <w:rFonts w:ascii="Verdana" w:eastAsia="Times New Roman" w:hAnsi="Verdana" w:cs="Times New Roman"/>
          <w:color w:val="363A2F"/>
          <w:sz w:val="21"/>
          <w:szCs w:val="21"/>
          <w:lang w:eastAsia="en-GB"/>
        </w:rPr>
      </w:pPr>
      <w:r w:rsidRPr="00A10B6E">
        <w:rPr>
          <w:rFonts w:ascii="Verdana" w:eastAsia="Times New Roman" w:hAnsi="Verdana" w:cs="Times New Roman"/>
          <w:color w:val="363A2F"/>
          <w:sz w:val="21"/>
          <w:szCs w:val="21"/>
          <w:lang w:val="en-US" w:eastAsia="en-GB"/>
        </w:rPr>
        <w:br/>
      </w:r>
      <w:r w:rsidRPr="004F65D4">
        <w:rPr>
          <w:rFonts w:eastAsia="Times New Roman" w:cstheme="minorHAnsi"/>
          <w:b/>
          <w:color w:val="363A2F"/>
          <w:sz w:val="28"/>
          <w:szCs w:val="28"/>
          <w:lang w:eastAsia="en-GB"/>
        </w:rPr>
        <w:t xml:space="preserve">Report of the Secretariat on enhancing the effectiveness and efficiency </w:t>
      </w:r>
      <w:r w:rsidR="005C25A1">
        <w:rPr>
          <w:rFonts w:eastAsia="Times New Roman" w:cstheme="minorHAnsi"/>
          <w:b/>
          <w:color w:val="363A2F"/>
          <w:sz w:val="28"/>
          <w:szCs w:val="28"/>
          <w:lang w:eastAsia="en-GB"/>
        </w:rPr>
        <w:br/>
      </w:r>
      <w:r w:rsidR="005F013B">
        <w:rPr>
          <w:rFonts w:eastAsia="Times New Roman" w:cstheme="minorHAnsi"/>
          <w:b/>
          <w:color w:val="363A2F"/>
          <w:sz w:val="28"/>
          <w:szCs w:val="28"/>
          <w:lang w:eastAsia="en-GB"/>
        </w:rPr>
        <w:t>of the Convention</w:t>
      </w:r>
      <w:bookmarkStart w:id="0" w:name="_GoBack"/>
      <w:bookmarkEnd w:id="0"/>
    </w:p>
    <w:p w14:paraId="1A8CE157" w14:textId="77777777" w:rsidR="00BA35CD" w:rsidRPr="00463FB1" w:rsidRDefault="00BA35CD" w:rsidP="00BA35CD">
      <w:pPr>
        <w:spacing w:after="0" w:line="240" w:lineRule="auto"/>
        <w:jc w:val="center"/>
        <w:rPr>
          <w:rFonts w:cs="Arial"/>
          <w:b/>
          <w:sz w:val="28"/>
          <w:szCs w:val="28"/>
        </w:rPr>
      </w:pPr>
    </w:p>
    <w:p w14:paraId="6D7113EC" w14:textId="6282D3BA" w:rsidR="00BB591C" w:rsidRDefault="00BA35CD" w:rsidP="00BA35CD">
      <w:pPr>
        <w:spacing w:after="0" w:line="240" w:lineRule="auto"/>
      </w:pPr>
      <w:r>
        <w:rPr>
          <w:noProof/>
          <w:lang w:eastAsia="en-GB"/>
        </w:rPr>
        <mc:AlternateContent>
          <mc:Choice Requires="wps">
            <w:drawing>
              <wp:inline distT="0" distB="0" distL="0" distR="0" wp14:anchorId="50017A69" wp14:editId="6F84A619">
                <wp:extent cx="5731510" cy="10382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38225"/>
                        </a:xfrm>
                        <a:prstGeom prst="rect">
                          <a:avLst/>
                        </a:prstGeom>
                        <a:solidFill>
                          <a:srgbClr val="FFFFFF"/>
                        </a:solidFill>
                        <a:ln w="9525">
                          <a:solidFill>
                            <a:srgbClr val="000000"/>
                          </a:solidFill>
                          <a:miter lim="800000"/>
                          <a:headEnd/>
                          <a:tailEnd/>
                        </a:ln>
                      </wps:spPr>
                      <wps:txbx>
                        <w:txbxContent>
                          <w:p w14:paraId="1722927F" w14:textId="77777777" w:rsidR="006815DB" w:rsidRDefault="006815DB" w:rsidP="00BA35CD">
                            <w:pPr>
                              <w:spacing w:after="0" w:line="240" w:lineRule="auto"/>
                              <w:rPr>
                                <w:b/>
                                <w:bCs/>
                              </w:rPr>
                            </w:pPr>
                            <w:r>
                              <w:rPr>
                                <w:b/>
                                <w:bCs/>
                              </w:rPr>
                              <w:t xml:space="preserve">Actions requested: </w:t>
                            </w:r>
                          </w:p>
                          <w:p w14:paraId="245AC35E" w14:textId="77777777" w:rsidR="006815DB" w:rsidRDefault="006815DB" w:rsidP="00BA35CD">
                            <w:pPr>
                              <w:pStyle w:val="ColorfulList-Accent11"/>
                              <w:ind w:left="0"/>
                            </w:pPr>
                          </w:p>
                          <w:p w14:paraId="7FE1E9F5" w14:textId="18118D5A" w:rsidR="006815DB" w:rsidRDefault="006B4246" w:rsidP="00450786">
                            <w:pPr>
                              <w:spacing w:after="0" w:line="240" w:lineRule="auto"/>
                            </w:pPr>
                            <w:r>
                              <w:t xml:space="preserve">The </w:t>
                            </w:r>
                            <w:r w:rsidR="00450786">
                              <w:t>Standing Committee is invited to consider two possible approaches to enhance collaboration between Contracting Parties intersessionally</w:t>
                            </w:r>
                            <w:r w:rsidR="0079360F">
                              <w:t xml:space="preserve">, and instruct the Secretariat </w:t>
                            </w:r>
                            <w:r w:rsidR="00881FCB">
                              <w:t xml:space="preserve">on </w:t>
                            </w:r>
                            <w:r w:rsidR="0079360F">
                              <w:t>which approach to follow in preparing a plan to be presented to the 63rd meeting of the Standing Committee</w:t>
                            </w:r>
                            <w:r w:rsidR="00A366C1">
                              <w:t>.</w:t>
                            </w:r>
                            <w:r w:rsidR="00881FCB" w:rsidRPr="00881FCB">
                              <w:t xml:space="preserve"> </w:t>
                            </w:r>
                          </w:p>
                        </w:txbxContent>
                      </wps:txbx>
                      <wps:bodyPr rot="0" vert="horz" wrap="square" lIns="91440" tIns="45720" rIns="91440" bIns="45720" anchor="t" anchorCtr="0" upright="1">
                        <a:noAutofit/>
                      </wps:bodyPr>
                    </wps:wsp>
                  </a:graphicData>
                </a:graphic>
              </wp:inline>
            </w:drawing>
          </mc:Choice>
          <mc:Fallback>
            <w:pict>
              <v:shapetype w14:anchorId="50017A69" id="_x0000_t202" coordsize="21600,21600" o:spt="202" path="m,l,21600r21600,l21600,xe">
                <v:stroke joinstyle="miter"/>
                <v:path gradientshapeok="t" o:connecttype="rect"/>
              </v:shapetype>
              <v:shape id="Text Box 1" o:spid="_x0000_s1026" type="#_x0000_t202" style="width:451.3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">
                <v:textbox>
                  <w:txbxContent>
                    <w:p w14:paraId="1722927F" w14:textId="77777777" w:rsidR="006815DB" w:rsidRDefault="006815DB" w:rsidP="00BA35CD">
                      <w:pPr>
                        <w:spacing w:after="0" w:line="240" w:lineRule="auto"/>
                        <w:rPr>
                          <w:b/>
                          <w:bCs/>
                        </w:rPr>
                      </w:pPr>
                      <w:r>
                        <w:rPr>
                          <w:b/>
                          <w:bCs/>
                        </w:rPr>
                        <w:t xml:space="preserve">Actions requested: </w:t>
                      </w:r>
                    </w:p>
                    <w:p w14:paraId="245AC35E" w14:textId="77777777" w:rsidR="006815DB" w:rsidRDefault="006815DB" w:rsidP="00BA35CD">
                      <w:pPr>
                        <w:pStyle w:val="ColorfulList-Accent11"/>
                        <w:ind w:left="0"/>
                      </w:pPr>
                    </w:p>
                    <w:p w14:paraId="7FE1E9F5" w14:textId="18118D5A" w:rsidR="006815DB" w:rsidRDefault="006B4246" w:rsidP="00450786">
                      <w:pPr>
                        <w:spacing w:after="0" w:line="240" w:lineRule="auto"/>
                      </w:pPr>
                      <w:r>
                        <w:t xml:space="preserve">The </w:t>
                      </w:r>
                      <w:r w:rsidR="00450786">
                        <w:t>Standing Committee is invited to consider two possible approaches to enhance collaboration between Contracting Parties inter</w:t>
                      </w:r>
                      <w:bookmarkStart w:id="1" w:name="_GoBack"/>
                      <w:bookmarkEnd w:id="1"/>
                      <w:r w:rsidR="00450786">
                        <w:t>sessionally</w:t>
                      </w:r>
                      <w:r w:rsidR="0079360F">
                        <w:t xml:space="preserve">, and instruct the Secretariat </w:t>
                      </w:r>
                      <w:r w:rsidR="00881FCB">
                        <w:t xml:space="preserve">on </w:t>
                      </w:r>
                      <w:r w:rsidR="0079360F">
                        <w:t>which approach to follow in preparing a plan to be presented to the 63rd meeting of the Standing Committee</w:t>
                      </w:r>
                      <w:r w:rsidR="00A366C1">
                        <w:t>.</w:t>
                      </w:r>
                      <w:r w:rsidR="00881FCB" w:rsidRPr="00881FCB">
                        <w:t xml:space="preserve"> </w:t>
                      </w:r>
                    </w:p>
                  </w:txbxContent>
                </v:textbox>
                <w10:anchorlock/>
              </v:shape>
            </w:pict>
          </mc:Fallback>
        </mc:AlternateContent>
      </w:r>
    </w:p>
    <w:p w14:paraId="31FD7B46" w14:textId="35B1A6F8" w:rsidR="00E16356" w:rsidRDefault="00E16356" w:rsidP="00E16356">
      <w:pPr>
        <w:spacing w:after="0" w:line="240" w:lineRule="auto"/>
      </w:pPr>
    </w:p>
    <w:p w14:paraId="7B5F492A" w14:textId="77777777" w:rsidR="0079360F" w:rsidRPr="00BB591C" w:rsidRDefault="0079360F" w:rsidP="00E16356">
      <w:pPr>
        <w:spacing w:after="0" w:line="240" w:lineRule="auto"/>
      </w:pPr>
    </w:p>
    <w:p w14:paraId="759FDDA9" w14:textId="6BA753B8" w:rsidR="00BB591C" w:rsidRDefault="00BB591C" w:rsidP="00A45EC2">
      <w:pPr>
        <w:spacing w:after="0" w:line="240" w:lineRule="auto"/>
        <w:rPr>
          <w:b/>
        </w:rPr>
      </w:pPr>
      <w:r w:rsidRPr="00BB591C">
        <w:rPr>
          <w:b/>
        </w:rPr>
        <w:t>Background</w:t>
      </w:r>
    </w:p>
    <w:p w14:paraId="1947E687" w14:textId="77777777" w:rsidR="00E16356" w:rsidRPr="00BB591C" w:rsidRDefault="00E16356" w:rsidP="00A45EC2">
      <w:pPr>
        <w:spacing w:after="0" w:line="240" w:lineRule="auto"/>
        <w:rPr>
          <w:b/>
        </w:rPr>
      </w:pPr>
    </w:p>
    <w:p w14:paraId="6BD36E7D" w14:textId="24F7D433" w:rsidR="00852049" w:rsidRPr="00F60096" w:rsidRDefault="00463FB1" w:rsidP="00A45EC2">
      <w:pPr>
        <w:spacing w:after="0" w:line="240" w:lineRule="auto"/>
        <w:ind w:left="426" w:right="16" w:hanging="426"/>
        <w:rPr>
          <w:rFonts w:eastAsia="Times New Roman"/>
          <w:b/>
          <w:bCs/>
          <w:sz w:val="28"/>
          <w:szCs w:val="28"/>
        </w:rPr>
      </w:pPr>
      <w:r>
        <w:t>1.</w:t>
      </w:r>
      <w:r>
        <w:tab/>
      </w:r>
      <w:r w:rsidR="000E0868">
        <w:t>This report provides a</w:t>
      </w:r>
      <w:r w:rsidR="00F60096">
        <w:t xml:space="preserve"> response to the request made</w:t>
      </w:r>
      <w:r w:rsidR="000E0868">
        <w:t xml:space="preserve"> </w:t>
      </w:r>
      <w:r w:rsidR="00F60096">
        <w:t>in</w:t>
      </w:r>
      <w:r w:rsidR="000E0868">
        <w:t xml:space="preserve"> </w:t>
      </w:r>
      <w:r w:rsidR="000E0868" w:rsidRPr="006B4246">
        <w:t>Resolution XIV.</w:t>
      </w:r>
      <w:r w:rsidR="00F60096" w:rsidRPr="006B4246">
        <w:t>3</w:t>
      </w:r>
      <w:r w:rsidR="00CE148C" w:rsidRPr="00F60096">
        <w:rPr>
          <w:i/>
        </w:rPr>
        <w:t xml:space="preserve"> </w:t>
      </w:r>
      <w:r w:rsidR="006B4246" w:rsidRPr="006B4246">
        <w:rPr>
          <w:rFonts w:eastAsia="Times New Roman" w:cstheme="minorHAnsi"/>
          <w:bCs/>
        </w:rPr>
        <w:t>on</w:t>
      </w:r>
      <w:r w:rsidR="006B4246">
        <w:rPr>
          <w:rFonts w:eastAsia="Times New Roman" w:cstheme="minorHAnsi"/>
          <w:bCs/>
          <w:i/>
        </w:rPr>
        <w:t xml:space="preserve"> </w:t>
      </w:r>
      <w:r w:rsidR="00F60096" w:rsidRPr="00F60096">
        <w:rPr>
          <w:rFonts w:eastAsia="Times New Roman" w:cstheme="minorHAnsi"/>
          <w:bCs/>
          <w:i/>
        </w:rPr>
        <w:t>The effectiveness and efficiency of the Convention on Wetlands</w:t>
      </w:r>
      <w:r w:rsidR="00F60096">
        <w:rPr>
          <w:rFonts w:eastAsia="Times New Roman" w:cstheme="minorHAnsi"/>
          <w:bCs/>
        </w:rPr>
        <w:t>, paragraph 12, which:</w:t>
      </w:r>
    </w:p>
    <w:p w14:paraId="66E0CDBD" w14:textId="77777777" w:rsidR="00A45EC2" w:rsidRDefault="00A45EC2" w:rsidP="00A45EC2">
      <w:pPr>
        <w:spacing w:after="0" w:line="240" w:lineRule="auto"/>
        <w:ind w:left="851" w:right="16"/>
        <w:rPr>
          <w:rFonts w:eastAsiaTheme="minorEastAsia"/>
          <w:i/>
        </w:rPr>
      </w:pPr>
    </w:p>
    <w:p w14:paraId="11159B28" w14:textId="11DD03A0" w:rsidR="004F4195" w:rsidRDefault="00F60096" w:rsidP="00A45EC2">
      <w:pPr>
        <w:spacing w:after="0" w:line="240" w:lineRule="auto"/>
        <w:ind w:left="851" w:right="16"/>
        <w:rPr>
          <w:rFonts w:eastAsiaTheme="minorEastAsia"/>
          <w:i/>
        </w:rPr>
      </w:pPr>
      <w:r w:rsidRPr="00F60096">
        <w:rPr>
          <w:rFonts w:eastAsiaTheme="minorEastAsia"/>
          <w:i/>
        </w:rPr>
        <w:t>INSTRUCTS the Secretariat to propose approaches, including possible online systems, and in particular a closed members</w:t>
      </w:r>
      <w:r w:rsidR="00DC49BD">
        <w:rPr>
          <w:rFonts w:eastAsiaTheme="minorEastAsia"/>
          <w:i/>
        </w:rPr>
        <w:t>’</w:t>
      </w:r>
      <w:r w:rsidRPr="00F60096">
        <w:rPr>
          <w:rFonts w:eastAsiaTheme="minorEastAsia"/>
          <w:i/>
        </w:rPr>
        <w:t xml:space="preserve"> portal, continuously updated member address lists, and further improved access to online documents that would enhance collaboration between Contracting Parties intersessionally, including, but not limited to, in working groups, and in the preparation of draft resolutions by allowing Parties to submit and provide comments on draft resolutions. The Secretariat is instructed to report its proposals about such technologies, including the costs and benefits of such systems and how the proposal manages any risk of creating a participation gap between Parties with different levels of internet access, to SC62, so that Parties can assess whether there is interest in investing Convention resources in implementing such technologies as a means to enhance the efficiency and effectiveness of the Convention, and if so, recommend this matter is given priority in the deliberations of the Subgroup on Finance;</w:t>
      </w:r>
    </w:p>
    <w:p w14:paraId="3551571D" w14:textId="77777777" w:rsidR="00BA3956" w:rsidRPr="00BA3956" w:rsidRDefault="00BA3956" w:rsidP="00A45EC2">
      <w:pPr>
        <w:spacing w:after="0" w:line="240" w:lineRule="auto"/>
        <w:ind w:right="16"/>
        <w:rPr>
          <w:rFonts w:eastAsiaTheme="minorEastAsia"/>
          <w:iCs/>
        </w:rPr>
      </w:pPr>
    </w:p>
    <w:p w14:paraId="43C5CD38" w14:textId="60E11D40" w:rsidR="00A6268A" w:rsidRDefault="6844E8B4" w:rsidP="00A45EC2">
      <w:pPr>
        <w:spacing w:after="0" w:line="240" w:lineRule="auto"/>
        <w:ind w:left="426" w:hanging="426"/>
      </w:pPr>
      <w:r>
        <w:t>2.</w:t>
      </w:r>
      <w:r w:rsidR="2A4B3A7F">
        <w:tab/>
      </w:r>
      <w:r w:rsidR="23521973">
        <w:t>T</w:t>
      </w:r>
      <w:r w:rsidR="277F49F9">
        <w:t xml:space="preserve">he request made in paragraph 12 </w:t>
      </w:r>
      <w:r w:rsidR="45268FB8">
        <w:t>of Resolution XIV.3</w:t>
      </w:r>
      <w:r w:rsidR="00927251">
        <w:t xml:space="preserve"> </w:t>
      </w:r>
      <w:r w:rsidR="277F49F9">
        <w:t>covers a wide range of potential technologies and processes</w:t>
      </w:r>
      <w:r w:rsidR="6D72D870">
        <w:t>.</w:t>
      </w:r>
      <w:r w:rsidR="277F49F9">
        <w:t xml:space="preserve"> </w:t>
      </w:r>
      <w:r w:rsidR="23521973">
        <w:t xml:space="preserve">The Secretariat has therefore secured the services of </w:t>
      </w:r>
      <w:r w:rsidR="00317253">
        <w:t>OneOff-Tech</w:t>
      </w:r>
      <w:r w:rsidR="00927251">
        <w:t>,</w:t>
      </w:r>
      <w:r w:rsidR="23521973">
        <w:t xml:space="preserve"> </w:t>
      </w:r>
      <w:r w:rsidR="00317253">
        <w:t xml:space="preserve">a firm that specializes </w:t>
      </w:r>
      <w:r w:rsidR="23521973">
        <w:t xml:space="preserve">in the implementation of digital technologies for knowledge management with </w:t>
      </w:r>
      <w:r w:rsidR="0F31F392">
        <w:t>relevant</w:t>
      </w:r>
      <w:r w:rsidR="23521973">
        <w:t xml:space="preserve"> experience with multinational </w:t>
      </w:r>
      <w:r w:rsidR="0F31F392">
        <w:t>organizations and processes.</w:t>
      </w:r>
    </w:p>
    <w:p w14:paraId="48C36D79" w14:textId="77777777" w:rsidR="00A6268A" w:rsidRDefault="00A6268A" w:rsidP="00A45EC2">
      <w:pPr>
        <w:spacing w:after="0" w:line="240" w:lineRule="auto"/>
        <w:ind w:left="426" w:hanging="426"/>
      </w:pPr>
    </w:p>
    <w:p w14:paraId="276FA623" w14:textId="0E224DE4" w:rsidR="00317253" w:rsidRDefault="5AF569C8" w:rsidP="00A45EC2">
      <w:pPr>
        <w:spacing w:after="0" w:line="240" w:lineRule="auto"/>
        <w:ind w:left="426" w:hanging="426"/>
        <w:rPr>
          <w:rStyle w:val="normaltextrun"/>
          <w:shd w:val="clear" w:color="auto" w:fill="FFFFFF"/>
        </w:rPr>
      </w:pPr>
      <w:r>
        <w:t>3.</w:t>
      </w:r>
      <w:r w:rsidR="00A6268A">
        <w:tab/>
      </w:r>
      <w:r>
        <w:t xml:space="preserve">Resolution XIV.12 authorized the </w:t>
      </w:r>
      <w:r>
        <w:rPr>
          <w:rStyle w:val="normaltextrun"/>
          <w:shd w:val="clear" w:color="auto" w:fill="FFFFFF"/>
        </w:rPr>
        <w:t>use of</w:t>
      </w:r>
      <w:r w:rsidRPr="009F025F">
        <w:rPr>
          <w:rStyle w:val="normaltextrun"/>
          <w:rFonts w:cs="Calibri"/>
          <w:shd w:val="clear" w:color="auto" w:fill="FFFFFF"/>
        </w:rPr>
        <w:t xml:space="preserve"> CHF 10,000</w:t>
      </w:r>
      <w:r>
        <w:rPr>
          <w:rStyle w:val="normaltextrun"/>
          <w:rFonts w:cs="Calibri"/>
          <w:shd w:val="clear" w:color="auto" w:fill="FFFFFF"/>
        </w:rPr>
        <w:t xml:space="preserve"> </w:t>
      </w:r>
      <w:r w:rsidR="008213CE">
        <w:rPr>
          <w:rStyle w:val="normaltextrun"/>
          <w:rFonts w:cs="Calibri"/>
          <w:shd w:val="clear" w:color="auto" w:fill="FFFFFF"/>
        </w:rPr>
        <w:t>from</w:t>
      </w:r>
      <w:r w:rsidRPr="009F025F">
        <w:rPr>
          <w:rStyle w:val="normaltextrun"/>
          <w:rFonts w:cs="Calibri"/>
          <w:shd w:val="clear" w:color="auto" w:fill="FFFFFF"/>
        </w:rPr>
        <w:t xml:space="preserve"> the unspent funds </w:t>
      </w:r>
      <w:r w:rsidR="006F77F0">
        <w:rPr>
          <w:rStyle w:val="normaltextrun"/>
          <w:rFonts w:cs="Calibri"/>
          <w:shd w:val="clear" w:color="auto" w:fill="FFFFFF"/>
        </w:rPr>
        <w:t xml:space="preserve">allocated to </w:t>
      </w:r>
      <w:r w:rsidR="006B4246">
        <w:rPr>
          <w:rStyle w:val="normaltextrun"/>
          <w:rFonts w:cs="Calibri"/>
          <w:shd w:val="clear" w:color="auto" w:fill="FFFFFF"/>
        </w:rPr>
        <w:t>the work of</w:t>
      </w:r>
      <w:r w:rsidRPr="009F025F">
        <w:rPr>
          <w:rStyle w:val="normaltextrun"/>
          <w:rFonts w:cs="Calibri"/>
          <w:shd w:val="clear" w:color="auto" w:fill="FFFFFF"/>
        </w:rPr>
        <w:t xml:space="preserve"> the Effectiveness Working Group for the 2019-2021 triennium</w:t>
      </w:r>
      <w:r w:rsidRPr="7B66E596">
        <w:rPr>
          <w:rFonts w:eastAsiaTheme="minorEastAsia"/>
        </w:rPr>
        <w:t xml:space="preserve"> </w:t>
      </w:r>
      <w:r w:rsidRPr="00655F0A">
        <w:rPr>
          <w:rStyle w:val="normaltextrun"/>
          <w:shd w:val="clear" w:color="auto" w:fill="FFFFFF"/>
        </w:rPr>
        <w:t xml:space="preserve">to fulfil the mandate of </w:t>
      </w:r>
      <w:r>
        <w:rPr>
          <w:rStyle w:val="normaltextrun"/>
          <w:shd w:val="clear" w:color="auto" w:fill="FFFFFF"/>
        </w:rPr>
        <w:t>the R</w:t>
      </w:r>
      <w:r w:rsidRPr="00655F0A">
        <w:rPr>
          <w:rStyle w:val="normaltextrun"/>
          <w:shd w:val="clear" w:color="auto" w:fill="FFFFFF"/>
        </w:rPr>
        <w:t>esolution</w:t>
      </w:r>
      <w:r w:rsidR="004C3FA6">
        <w:rPr>
          <w:rStyle w:val="normaltextrun"/>
          <w:shd w:val="clear" w:color="auto" w:fill="FFFFFF"/>
        </w:rPr>
        <w:t xml:space="preserve"> XIV.3</w:t>
      </w:r>
      <w:r w:rsidRPr="00655F0A">
        <w:rPr>
          <w:rStyle w:val="normaltextrun"/>
          <w:shd w:val="clear" w:color="auto" w:fill="FFFFFF"/>
        </w:rPr>
        <w:t>.</w:t>
      </w:r>
      <w:r>
        <w:rPr>
          <w:rStyle w:val="normaltextrun"/>
          <w:shd w:val="clear" w:color="auto" w:fill="FFFFFF"/>
        </w:rPr>
        <w:t xml:space="preserve"> </w:t>
      </w:r>
    </w:p>
    <w:p w14:paraId="5A09DA78" w14:textId="77777777" w:rsidR="00317253" w:rsidRDefault="00317253" w:rsidP="00A45EC2">
      <w:pPr>
        <w:spacing w:after="0" w:line="240" w:lineRule="auto"/>
        <w:ind w:left="426" w:hanging="426"/>
        <w:rPr>
          <w:rStyle w:val="normaltextrun"/>
          <w:shd w:val="clear" w:color="auto" w:fill="FFFFFF"/>
        </w:rPr>
      </w:pPr>
    </w:p>
    <w:p w14:paraId="5291DE04" w14:textId="07185FC9" w:rsidR="00A361D9" w:rsidRDefault="00317253" w:rsidP="00A45EC2">
      <w:pPr>
        <w:spacing w:after="0" w:line="240" w:lineRule="auto"/>
        <w:ind w:left="426" w:hanging="426"/>
        <w:rPr>
          <w:rStyle w:val="normaltextrun"/>
          <w:shd w:val="clear" w:color="auto" w:fill="FFFFFF"/>
        </w:rPr>
      </w:pPr>
      <w:r>
        <w:rPr>
          <w:rStyle w:val="normaltextrun"/>
          <w:shd w:val="clear" w:color="auto" w:fill="FFFFFF"/>
        </w:rPr>
        <w:t>4.</w:t>
      </w:r>
      <w:r>
        <w:rPr>
          <w:rStyle w:val="normaltextrun"/>
          <w:shd w:val="clear" w:color="auto" w:fill="FFFFFF"/>
        </w:rPr>
        <w:tab/>
      </w:r>
      <w:r w:rsidR="5AF569C8">
        <w:rPr>
          <w:rStyle w:val="normaltextrun"/>
          <w:shd w:val="clear" w:color="auto" w:fill="FFFFFF"/>
        </w:rPr>
        <w:t>A call for proposals to undertake an analysis as described in paragraph 12 of Resolution</w:t>
      </w:r>
      <w:r>
        <w:rPr>
          <w:rStyle w:val="normaltextrun"/>
          <w:shd w:val="clear" w:color="auto" w:fill="FFFFFF"/>
        </w:rPr>
        <w:t xml:space="preserve"> XIV.3</w:t>
      </w:r>
      <w:r w:rsidR="5AF569C8">
        <w:rPr>
          <w:rStyle w:val="normaltextrun"/>
          <w:shd w:val="clear" w:color="auto" w:fill="FFFFFF"/>
        </w:rPr>
        <w:t xml:space="preserve"> was advertised through the Convention and IUCN websites. Proposals were submitted by five entities. The Secretariat evaluated the proposals based </w:t>
      </w:r>
      <w:r w:rsidR="11E48686" w:rsidRPr="00C60A5F">
        <w:rPr>
          <w:rStyle w:val="normaltextrun"/>
          <w:shd w:val="clear" w:color="auto" w:fill="FFFFFF"/>
        </w:rPr>
        <w:t>on</w:t>
      </w:r>
      <w:r w:rsidR="11E48686">
        <w:rPr>
          <w:rStyle w:val="normaltextrun"/>
          <w:shd w:val="clear" w:color="auto" w:fill="FFFFFF"/>
        </w:rPr>
        <w:t xml:space="preserve"> </w:t>
      </w:r>
      <w:r w:rsidR="002D2B78">
        <w:rPr>
          <w:rStyle w:val="normaltextrun"/>
          <w:shd w:val="clear" w:color="auto" w:fill="FFFFFF"/>
        </w:rPr>
        <w:t>their</w:t>
      </w:r>
      <w:r w:rsidR="5AF569C8">
        <w:rPr>
          <w:rStyle w:val="normaltextrun"/>
          <w:shd w:val="clear" w:color="auto" w:fill="FFFFFF"/>
        </w:rPr>
        <w:t xml:space="preserve"> relevant experience, capacity to deliver and value for money</w:t>
      </w:r>
      <w:r w:rsidR="00FD5F17">
        <w:rPr>
          <w:rStyle w:val="normaltextrun"/>
          <w:shd w:val="clear" w:color="auto" w:fill="FFFFFF"/>
        </w:rPr>
        <w:t xml:space="preserve">, </w:t>
      </w:r>
      <w:r w:rsidR="5AF569C8">
        <w:rPr>
          <w:rStyle w:val="normaltextrun"/>
          <w:shd w:val="clear" w:color="auto" w:fill="FFFFFF"/>
        </w:rPr>
        <w:t>following IUCN</w:t>
      </w:r>
      <w:r w:rsidR="00DC49BD">
        <w:rPr>
          <w:rStyle w:val="normaltextrun"/>
          <w:shd w:val="clear" w:color="auto" w:fill="FFFFFF"/>
        </w:rPr>
        <w:t>’</w:t>
      </w:r>
      <w:r w:rsidR="5AF569C8">
        <w:rPr>
          <w:rStyle w:val="normaltextrun"/>
          <w:shd w:val="clear" w:color="auto" w:fill="FFFFFF"/>
        </w:rPr>
        <w:t xml:space="preserve">s procurement policies and guidelines. </w:t>
      </w:r>
      <w:r w:rsidR="4C4249A8">
        <w:rPr>
          <w:rStyle w:val="normaltextrun"/>
          <w:shd w:val="clear" w:color="auto" w:fill="FFFFFF"/>
        </w:rPr>
        <w:t>OneOff-</w:t>
      </w:r>
      <w:r w:rsidR="4C4249A8">
        <w:rPr>
          <w:rStyle w:val="normaltextrun"/>
          <w:shd w:val="clear" w:color="auto" w:fill="FFFFFF"/>
        </w:rPr>
        <w:lastRenderedPageBreak/>
        <w:t xml:space="preserve">Tech </w:t>
      </w:r>
      <w:r w:rsidR="21E0949A">
        <w:rPr>
          <w:rStyle w:val="normaltextrun"/>
          <w:shd w:val="clear" w:color="auto" w:fill="FFFFFF"/>
        </w:rPr>
        <w:t>had the highest score during the evaluation process and was subsequently contracted for the assignment.</w:t>
      </w:r>
    </w:p>
    <w:p w14:paraId="7CA8D505" w14:textId="74010E5C" w:rsidR="00A6268A" w:rsidRDefault="00A6268A" w:rsidP="00A45EC2">
      <w:pPr>
        <w:spacing w:after="0" w:line="240" w:lineRule="auto"/>
        <w:ind w:left="426" w:hanging="426"/>
      </w:pPr>
    </w:p>
    <w:p w14:paraId="4932F4E7" w14:textId="07D2677E" w:rsidR="006B5670" w:rsidRDefault="00277D16" w:rsidP="00A45EC2">
      <w:pPr>
        <w:spacing w:after="0" w:line="240" w:lineRule="auto"/>
        <w:ind w:left="426" w:hanging="426"/>
      </w:pPr>
      <w:r>
        <w:t>5</w:t>
      </w:r>
      <w:r w:rsidR="21A66F87">
        <w:t>.</w:t>
      </w:r>
      <w:r w:rsidR="12FAB1B2">
        <w:tab/>
      </w:r>
      <w:r w:rsidR="3034CF1F">
        <w:t>A</w:t>
      </w:r>
      <w:r w:rsidR="3034CF1F" w:rsidRPr="7B66E596">
        <w:rPr>
          <w:rFonts w:eastAsiaTheme="minorEastAsia"/>
        </w:rPr>
        <w:t xml:space="preserve">s part of its assignment, </w:t>
      </w:r>
      <w:r w:rsidR="21A66F87" w:rsidRPr="7B66E596">
        <w:rPr>
          <w:rFonts w:eastAsiaTheme="minorEastAsia"/>
        </w:rPr>
        <w:t xml:space="preserve">OneOff-Tech </w:t>
      </w:r>
      <w:r w:rsidR="3034CF1F" w:rsidRPr="7B66E596">
        <w:rPr>
          <w:rFonts w:eastAsiaTheme="minorEastAsia"/>
        </w:rPr>
        <w:t xml:space="preserve">undertook </w:t>
      </w:r>
      <w:r w:rsidR="61579B7E" w:rsidRPr="7B66E596">
        <w:rPr>
          <w:rFonts w:eastAsiaTheme="minorEastAsia"/>
        </w:rPr>
        <w:t xml:space="preserve">a review of </w:t>
      </w:r>
      <w:r w:rsidR="006B4246">
        <w:rPr>
          <w:rFonts w:eastAsiaTheme="minorEastAsia"/>
        </w:rPr>
        <w:t>m</w:t>
      </w:r>
      <w:r w:rsidR="006B4246" w:rsidRPr="7B66E596">
        <w:rPr>
          <w:rFonts w:eastAsiaTheme="minorEastAsia"/>
        </w:rPr>
        <w:t xml:space="preserve">ultilateral </w:t>
      </w:r>
      <w:r w:rsidR="006B4246">
        <w:rPr>
          <w:rFonts w:eastAsiaTheme="minorEastAsia"/>
        </w:rPr>
        <w:t>e</w:t>
      </w:r>
      <w:r w:rsidR="006B4246" w:rsidRPr="7B66E596">
        <w:rPr>
          <w:rFonts w:eastAsiaTheme="minorEastAsia"/>
        </w:rPr>
        <w:t xml:space="preserve">nvironmental </w:t>
      </w:r>
      <w:r w:rsidR="006B4246">
        <w:rPr>
          <w:rFonts w:eastAsiaTheme="minorEastAsia"/>
        </w:rPr>
        <w:t>a</w:t>
      </w:r>
      <w:r w:rsidR="006B4246" w:rsidRPr="7B66E596">
        <w:rPr>
          <w:rFonts w:eastAsiaTheme="minorEastAsia"/>
        </w:rPr>
        <w:t xml:space="preserve">greements </w:t>
      </w:r>
      <w:r w:rsidR="61579B7E" w:rsidRPr="7B66E596">
        <w:rPr>
          <w:rFonts w:eastAsiaTheme="minorEastAsia"/>
        </w:rPr>
        <w:t xml:space="preserve">(MEAs) and other similar organizations </w:t>
      </w:r>
      <w:r w:rsidR="57D41452" w:rsidRPr="7B66E596">
        <w:rPr>
          <w:rFonts w:eastAsiaTheme="minorEastAsia"/>
        </w:rPr>
        <w:t xml:space="preserve">to </w:t>
      </w:r>
      <w:r w:rsidR="00610FA9">
        <w:rPr>
          <w:rFonts w:eastAsiaTheme="minorEastAsia"/>
        </w:rPr>
        <w:t>understand</w:t>
      </w:r>
      <w:r w:rsidR="00610FA9" w:rsidRPr="7B66E596">
        <w:rPr>
          <w:rFonts w:eastAsiaTheme="minorEastAsia"/>
        </w:rPr>
        <w:t xml:space="preserve"> </w:t>
      </w:r>
      <w:r w:rsidR="57D41452" w:rsidRPr="7B66E596">
        <w:rPr>
          <w:rFonts w:eastAsiaTheme="minorEastAsia"/>
        </w:rPr>
        <w:t xml:space="preserve">how they </w:t>
      </w:r>
      <w:r w:rsidR="61579B7E" w:rsidRPr="7B66E596">
        <w:rPr>
          <w:rFonts w:eastAsiaTheme="minorEastAsia"/>
        </w:rPr>
        <w:t xml:space="preserve">have addressed the </w:t>
      </w:r>
      <w:r w:rsidR="00730569">
        <w:rPr>
          <w:rFonts w:eastAsiaTheme="minorEastAsia"/>
        </w:rPr>
        <w:t xml:space="preserve">collaboration </w:t>
      </w:r>
      <w:r w:rsidR="61579B7E" w:rsidRPr="7B66E596">
        <w:rPr>
          <w:rFonts w:eastAsiaTheme="minorEastAsia"/>
        </w:rPr>
        <w:t xml:space="preserve">challenges expressed by </w:t>
      </w:r>
      <w:r w:rsidR="006B4246">
        <w:rPr>
          <w:rFonts w:eastAsiaTheme="minorEastAsia"/>
        </w:rPr>
        <w:t xml:space="preserve">Contracting </w:t>
      </w:r>
      <w:r w:rsidR="61579B7E" w:rsidRPr="7B66E596">
        <w:rPr>
          <w:rFonts w:eastAsiaTheme="minorEastAsia"/>
        </w:rPr>
        <w:t xml:space="preserve">Parties to the Convention on Wetlands. </w:t>
      </w:r>
      <w:r w:rsidR="56B74DBE" w:rsidRPr="7B66E596">
        <w:rPr>
          <w:rFonts w:eastAsiaTheme="minorEastAsia"/>
        </w:rPr>
        <w:t>The review revealed that e</w:t>
      </w:r>
      <w:r w:rsidR="764DDCC0" w:rsidRPr="7B66E596">
        <w:rPr>
          <w:rFonts w:eastAsiaTheme="minorEastAsia"/>
        </w:rPr>
        <w:t xml:space="preserve">ach MEA </w:t>
      </w:r>
      <w:r w:rsidR="00A67069" w:rsidRPr="7B66E596">
        <w:rPr>
          <w:rFonts w:eastAsiaTheme="minorEastAsia"/>
        </w:rPr>
        <w:t>utili</w:t>
      </w:r>
      <w:r w:rsidR="00A67069">
        <w:rPr>
          <w:rFonts w:eastAsiaTheme="minorEastAsia"/>
        </w:rPr>
        <w:t>z</w:t>
      </w:r>
      <w:r w:rsidR="00A67069" w:rsidRPr="7B66E596">
        <w:rPr>
          <w:rFonts w:eastAsiaTheme="minorEastAsia"/>
        </w:rPr>
        <w:t xml:space="preserve">es </w:t>
      </w:r>
      <w:r w:rsidR="6968931C" w:rsidRPr="7B66E596">
        <w:rPr>
          <w:rFonts w:eastAsiaTheme="minorEastAsia"/>
        </w:rPr>
        <w:t>different</w:t>
      </w:r>
      <w:r w:rsidR="764DDCC0" w:rsidRPr="7B66E596">
        <w:rPr>
          <w:rFonts w:eastAsiaTheme="minorEastAsia"/>
        </w:rPr>
        <w:t xml:space="preserve"> digital tools for supporting the processes of drafting</w:t>
      </w:r>
      <w:r w:rsidR="4C338497" w:rsidRPr="7B66E596">
        <w:rPr>
          <w:rFonts w:eastAsiaTheme="minorEastAsia"/>
        </w:rPr>
        <w:t xml:space="preserve">, </w:t>
      </w:r>
      <w:r w:rsidR="764DDCC0" w:rsidRPr="7B66E596">
        <w:rPr>
          <w:rFonts w:eastAsiaTheme="minorEastAsia"/>
        </w:rPr>
        <w:t xml:space="preserve">editing </w:t>
      </w:r>
      <w:r w:rsidR="6AE25D74" w:rsidRPr="7B66E596">
        <w:rPr>
          <w:rFonts w:eastAsiaTheme="minorEastAsia"/>
        </w:rPr>
        <w:t xml:space="preserve">and </w:t>
      </w:r>
      <w:r w:rsidR="764DDCC0" w:rsidRPr="7B66E596">
        <w:rPr>
          <w:rFonts w:eastAsiaTheme="minorEastAsia"/>
        </w:rPr>
        <w:t xml:space="preserve">commenting </w:t>
      </w:r>
      <w:r w:rsidR="5A6D3E63" w:rsidRPr="7B66E596">
        <w:rPr>
          <w:rFonts w:eastAsiaTheme="minorEastAsia"/>
        </w:rPr>
        <w:t xml:space="preserve">on </w:t>
      </w:r>
      <w:r w:rsidR="764DDCC0" w:rsidRPr="7B66E596">
        <w:rPr>
          <w:rFonts w:eastAsiaTheme="minorEastAsia"/>
        </w:rPr>
        <w:t xml:space="preserve">documents, </w:t>
      </w:r>
      <w:r w:rsidR="742AF2F4" w:rsidRPr="7B66E596">
        <w:rPr>
          <w:rFonts w:eastAsiaTheme="minorEastAsia"/>
        </w:rPr>
        <w:t xml:space="preserve">and for </w:t>
      </w:r>
      <w:r w:rsidR="764DDCC0" w:rsidRPr="7B66E596">
        <w:rPr>
          <w:rFonts w:eastAsiaTheme="minorEastAsia"/>
        </w:rPr>
        <w:t xml:space="preserve">searching </w:t>
      </w:r>
      <w:r w:rsidR="00A67069">
        <w:rPr>
          <w:rFonts w:eastAsiaTheme="minorEastAsia"/>
        </w:rPr>
        <w:t xml:space="preserve">for </w:t>
      </w:r>
      <w:r w:rsidR="0F69170B" w:rsidRPr="7B66E596">
        <w:rPr>
          <w:rFonts w:eastAsiaTheme="minorEastAsia"/>
        </w:rPr>
        <w:t>and</w:t>
      </w:r>
      <w:r w:rsidR="764DDCC0" w:rsidRPr="7B66E596">
        <w:rPr>
          <w:rFonts w:eastAsiaTheme="minorEastAsia"/>
        </w:rPr>
        <w:t xml:space="preserve"> retrieving information and collaborating within </w:t>
      </w:r>
      <w:r w:rsidR="00A67069">
        <w:rPr>
          <w:rFonts w:eastAsiaTheme="minorEastAsia"/>
        </w:rPr>
        <w:t>w</w:t>
      </w:r>
      <w:r w:rsidR="00A67069" w:rsidRPr="7B66E596">
        <w:rPr>
          <w:rFonts w:eastAsiaTheme="minorEastAsia"/>
        </w:rPr>
        <w:t xml:space="preserve">orking </w:t>
      </w:r>
      <w:r w:rsidR="00A67069">
        <w:rPr>
          <w:rFonts w:eastAsiaTheme="minorEastAsia"/>
        </w:rPr>
        <w:t>g</w:t>
      </w:r>
      <w:r w:rsidR="00A67069" w:rsidRPr="7B66E596">
        <w:rPr>
          <w:rFonts w:eastAsiaTheme="minorEastAsia"/>
        </w:rPr>
        <w:t>roup</w:t>
      </w:r>
      <w:r w:rsidR="00A67069">
        <w:rPr>
          <w:rFonts w:eastAsiaTheme="minorEastAsia"/>
        </w:rPr>
        <w:t>s</w:t>
      </w:r>
      <w:r w:rsidR="764DDCC0" w:rsidRPr="7B66E596">
        <w:rPr>
          <w:rFonts w:eastAsiaTheme="minorEastAsia"/>
        </w:rPr>
        <w:t>. However, none of the</w:t>
      </w:r>
      <w:r w:rsidR="0F939DAE" w:rsidRPr="7B66E596">
        <w:rPr>
          <w:rFonts w:eastAsiaTheme="minorEastAsia"/>
        </w:rPr>
        <w:t xml:space="preserve"> MEAs</w:t>
      </w:r>
      <w:r w:rsidR="764DDCC0" w:rsidRPr="7B66E596">
        <w:rPr>
          <w:rFonts w:eastAsiaTheme="minorEastAsia"/>
        </w:rPr>
        <w:t xml:space="preserve"> </w:t>
      </w:r>
      <w:r w:rsidR="6F9E4C3F" w:rsidRPr="7B66E596">
        <w:rPr>
          <w:rFonts w:eastAsiaTheme="minorEastAsia"/>
        </w:rPr>
        <w:t>has</w:t>
      </w:r>
      <w:r w:rsidR="764DDCC0" w:rsidRPr="7B66E596">
        <w:rPr>
          <w:rFonts w:eastAsiaTheme="minorEastAsia"/>
        </w:rPr>
        <w:t xml:space="preserve"> comprehensively solve</w:t>
      </w:r>
      <w:r w:rsidR="289E66A5" w:rsidRPr="7B66E596">
        <w:rPr>
          <w:rFonts w:eastAsiaTheme="minorEastAsia"/>
        </w:rPr>
        <w:t>d</w:t>
      </w:r>
      <w:r w:rsidR="764DDCC0" w:rsidRPr="7B66E596">
        <w:rPr>
          <w:rFonts w:eastAsiaTheme="minorEastAsia"/>
        </w:rPr>
        <w:t xml:space="preserve"> the issue of streamlining remote co</w:t>
      </w:r>
      <w:r w:rsidR="40BC6E08" w:rsidRPr="7B66E596">
        <w:rPr>
          <w:rFonts w:eastAsiaTheme="minorEastAsia"/>
        </w:rPr>
        <w:t>llaboration</w:t>
      </w:r>
      <w:r w:rsidR="764DDCC0" w:rsidRPr="7B66E596">
        <w:rPr>
          <w:rFonts w:eastAsiaTheme="minorEastAsia"/>
        </w:rPr>
        <w:t xml:space="preserve"> through digital technologies. </w:t>
      </w:r>
      <w:r w:rsidR="61579B7E" w:rsidRPr="7B66E596">
        <w:rPr>
          <w:rFonts w:eastAsiaTheme="minorEastAsia"/>
        </w:rPr>
        <w:t>The findings of th</w:t>
      </w:r>
      <w:r w:rsidR="53D68B87" w:rsidRPr="7B66E596">
        <w:rPr>
          <w:rFonts w:eastAsiaTheme="minorEastAsia"/>
        </w:rPr>
        <w:t>is</w:t>
      </w:r>
      <w:r w:rsidR="61579B7E" w:rsidRPr="7B66E596">
        <w:rPr>
          <w:rFonts w:eastAsiaTheme="minorEastAsia"/>
        </w:rPr>
        <w:t xml:space="preserve"> review </w:t>
      </w:r>
      <w:r w:rsidR="0000071E">
        <w:rPr>
          <w:rFonts w:eastAsiaTheme="minorEastAsia"/>
        </w:rPr>
        <w:t>are included</w:t>
      </w:r>
      <w:r w:rsidR="61579B7E" w:rsidRPr="7B66E596">
        <w:rPr>
          <w:rFonts w:eastAsiaTheme="minorEastAsia"/>
        </w:rPr>
        <w:t xml:space="preserve"> in the </w:t>
      </w:r>
      <w:r w:rsidR="6BE87F61" w:rsidRPr="7B66E596">
        <w:rPr>
          <w:rFonts w:eastAsiaTheme="minorEastAsia"/>
        </w:rPr>
        <w:t>Report</w:t>
      </w:r>
      <w:r w:rsidR="00D57667">
        <w:rPr>
          <w:rFonts w:eastAsiaTheme="minorEastAsia"/>
        </w:rPr>
        <w:t xml:space="preserve"> </w:t>
      </w:r>
      <w:r w:rsidR="6BE87F61" w:rsidRPr="00D57667">
        <w:rPr>
          <w:rFonts w:eastAsiaTheme="minorEastAsia"/>
          <w:i/>
          <w:iCs/>
        </w:rPr>
        <w:t>Review of the mechanisms to facilitate virtual collaboration among the Convention on Wetlands</w:t>
      </w:r>
      <w:r w:rsidR="00DC49BD">
        <w:rPr>
          <w:rFonts w:eastAsiaTheme="minorEastAsia"/>
          <w:i/>
          <w:iCs/>
        </w:rPr>
        <w:t>’</w:t>
      </w:r>
      <w:r w:rsidR="6BE87F61" w:rsidRPr="00D57667">
        <w:rPr>
          <w:rFonts w:eastAsiaTheme="minorEastAsia"/>
          <w:i/>
          <w:iCs/>
        </w:rPr>
        <w:t xml:space="preserve"> Contracting Parties</w:t>
      </w:r>
      <w:r w:rsidR="00491D07" w:rsidRPr="00491D07">
        <w:rPr>
          <w:rStyle w:val="FootnoteReference"/>
          <w:rFonts w:eastAsiaTheme="minorEastAsia"/>
          <w:iCs/>
        </w:rPr>
        <w:footnoteReference w:id="2"/>
      </w:r>
      <w:r w:rsidR="6BE87F61" w:rsidRPr="7B66E596">
        <w:rPr>
          <w:rFonts w:eastAsiaTheme="minorEastAsia"/>
        </w:rPr>
        <w:t>.</w:t>
      </w:r>
    </w:p>
    <w:p w14:paraId="2B06F1A0" w14:textId="7C1BEEC8" w:rsidR="7B66E596" w:rsidRDefault="7B66E596" w:rsidP="00A45EC2">
      <w:pPr>
        <w:spacing w:after="0" w:line="240" w:lineRule="auto"/>
        <w:ind w:left="426" w:hanging="426"/>
        <w:rPr>
          <w:rFonts w:eastAsiaTheme="minorEastAsia"/>
        </w:rPr>
      </w:pPr>
    </w:p>
    <w:p w14:paraId="7B7C6271" w14:textId="11009158" w:rsidR="2C3CC6F3" w:rsidRDefault="00277D16" w:rsidP="00A45EC2">
      <w:pPr>
        <w:spacing w:after="0" w:line="240" w:lineRule="auto"/>
        <w:ind w:left="426" w:hanging="426"/>
        <w:rPr>
          <w:rFonts w:eastAsiaTheme="minorEastAsia"/>
        </w:rPr>
      </w:pPr>
      <w:r>
        <w:rPr>
          <w:rFonts w:eastAsiaTheme="minorEastAsia"/>
        </w:rPr>
        <w:t>6</w:t>
      </w:r>
      <w:r w:rsidR="2C3CC6F3" w:rsidRPr="7B66E596">
        <w:rPr>
          <w:rFonts w:eastAsiaTheme="minorEastAsia"/>
        </w:rPr>
        <w:t>.</w:t>
      </w:r>
      <w:r w:rsidR="00516B3F">
        <w:rPr>
          <w:rFonts w:eastAsiaTheme="minorEastAsia"/>
        </w:rPr>
        <w:tab/>
      </w:r>
      <w:r w:rsidR="00E23D29">
        <w:rPr>
          <w:rFonts w:eastAsiaTheme="minorEastAsia"/>
        </w:rPr>
        <w:t>T</w:t>
      </w:r>
      <w:r w:rsidR="2C3CC6F3" w:rsidRPr="7B66E596">
        <w:rPr>
          <w:rFonts w:eastAsiaTheme="minorEastAsia"/>
        </w:rPr>
        <w:t xml:space="preserve">he Secretariat </w:t>
      </w:r>
      <w:r w:rsidR="00B97415">
        <w:rPr>
          <w:rFonts w:eastAsiaTheme="minorEastAsia"/>
        </w:rPr>
        <w:t>explored</w:t>
      </w:r>
      <w:r w:rsidR="41E32C43" w:rsidRPr="7B66E596">
        <w:rPr>
          <w:rFonts w:eastAsiaTheme="minorEastAsia"/>
        </w:rPr>
        <w:t xml:space="preserve"> </w:t>
      </w:r>
      <w:r w:rsidR="2C3CC6F3" w:rsidRPr="7B66E596">
        <w:rPr>
          <w:rFonts w:eastAsiaTheme="minorEastAsia"/>
        </w:rPr>
        <w:t>the IUCN Mo</w:t>
      </w:r>
      <w:r w:rsidR="369B6583" w:rsidRPr="7B66E596">
        <w:rPr>
          <w:rFonts w:eastAsiaTheme="minorEastAsia"/>
        </w:rPr>
        <w:t>tions Platform</w:t>
      </w:r>
      <w:r w:rsidR="00EA6FB4">
        <w:rPr>
          <w:rFonts w:eastAsiaTheme="minorEastAsia"/>
        </w:rPr>
        <w:t>, which is</w:t>
      </w:r>
      <w:r w:rsidR="00516B3F">
        <w:rPr>
          <w:rFonts w:eastAsiaTheme="minorEastAsia"/>
        </w:rPr>
        <w:t xml:space="preserve"> </w:t>
      </w:r>
      <w:r w:rsidR="00A67069" w:rsidRPr="7B66E596">
        <w:rPr>
          <w:rFonts w:eastAsiaTheme="minorEastAsia"/>
        </w:rPr>
        <w:t>custom</w:t>
      </w:r>
      <w:r w:rsidR="00A67069">
        <w:rPr>
          <w:rFonts w:eastAsiaTheme="minorEastAsia"/>
        </w:rPr>
        <w:t>-</w:t>
      </w:r>
      <w:r w:rsidR="49C71F82" w:rsidRPr="7B66E596">
        <w:rPr>
          <w:rFonts w:eastAsiaTheme="minorEastAsia"/>
        </w:rPr>
        <w:t>built specifically for IUCN needs and process</w:t>
      </w:r>
      <w:r w:rsidR="63A4B051" w:rsidRPr="7B66E596">
        <w:rPr>
          <w:rFonts w:eastAsiaTheme="minorEastAsia"/>
        </w:rPr>
        <w:t>es</w:t>
      </w:r>
      <w:r w:rsidR="0053020E">
        <w:rPr>
          <w:rFonts w:eastAsiaTheme="minorEastAsia"/>
        </w:rPr>
        <w:t>. The</w:t>
      </w:r>
      <w:r w:rsidR="49C71F82" w:rsidRPr="7B66E596">
        <w:rPr>
          <w:rFonts w:eastAsiaTheme="minorEastAsia"/>
        </w:rPr>
        <w:t xml:space="preserve"> Secretariat </w:t>
      </w:r>
      <w:r w:rsidR="0053020E">
        <w:rPr>
          <w:rFonts w:eastAsiaTheme="minorEastAsia"/>
        </w:rPr>
        <w:t xml:space="preserve">concluded </w:t>
      </w:r>
      <w:r w:rsidR="49C71F82" w:rsidRPr="7B66E596">
        <w:rPr>
          <w:rFonts w:eastAsiaTheme="minorEastAsia"/>
        </w:rPr>
        <w:t xml:space="preserve">that </w:t>
      </w:r>
      <w:r w:rsidR="3120C12F" w:rsidRPr="7B66E596">
        <w:rPr>
          <w:rFonts w:eastAsiaTheme="minorEastAsia"/>
        </w:rPr>
        <w:t xml:space="preserve">it </w:t>
      </w:r>
      <w:r w:rsidR="59E51622" w:rsidRPr="7B66E596">
        <w:rPr>
          <w:rFonts w:eastAsiaTheme="minorEastAsia"/>
        </w:rPr>
        <w:t>does</w:t>
      </w:r>
      <w:r w:rsidR="3120C12F" w:rsidRPr="7B66E596">
        <w:rPr>
          <w:rFonts w:eastAsiaTheme="minorEastAsia"/>
        </w:rPr>
        <w:t xml:space="preserve"> not meet the needs of the </w:t>
      </w:r>
      <w:r w:rsidR="6FC5A660" w:rsidRPr="7B66E596">
        <w:rPr>
          <w:rFonts w:eastAsiaTheme="minorEastAsia"/>
        </w:rPr>
        <w:t xml:space="preserve">Convention as described in paragraph 12 of Resolution XIV.3. However, </w:t>
      </w:r>
      <w:r w:rsidR="2BB455F5" w:rsidRPr="7B66E596">
        <w:rPr>
          <w:rFonts w:eastAsiaTheme="minorEastAsia"/>
        </w:rPr>
        <w:t xml:space="preserve">the Secretariat has </w:t>
      </w:r>
      <w:r w:rsidR="00A67069">
        <w:rPr>
          <w:rFonts w:eastAsiaTheme="minorEastAsia"/>
        </w:rPr>
        <w:t>taken</w:t>
      </w:r>
      <w:r w:rsidR="00A67069" w:rsidRPr="7B66E596">
        <w:rPr>
          <w:rFonts w:eastAsiaTheme="minorEastAsia"/>
        </w:rPr>
        <w:t xml:space="preserve"> </w:t>
      </w:r>
      <w:r w:rsidR="2BB455F5" w:rsidRPr="7B66E596">
        <w:rPr>
          <w:rFonts w:eastAsiaTheme="minorEastAsia"/>
        </w:rPr>
        <w:t xml:space="preserve">several </w:t>
      </w:r>
      <w:r w:rsidR="00A67069">
        <w:rPr>
          <w:rFonts w:eastAsiaTheme="minorEastAsia"/>
        </w:rPr>
        <w:t xml:space="preserve">lessons </w:t>
      </w:r>
      <w:r w:rsidR="2BB455F5" w:rsidRPr="7B66E596">
        <w:rPr>
          <w:rFonts w:eastAsiaTheme="minorEastAsia"/>
        </w:rPr>
        <w:t>and ideas from discussions with IUCN</w:t>
      </w:r>
      <w:r w:rsidR="6F6B8705" w:rsidRPr="7B66E596">
        <w:rPr>
          <w:rFonts w:eastAsiaTheme="minorEastAsia"/>
        </w:rPr>
        <w:t>,</w:t>
      </w:r>
      <w:r w:rsidR="372D3838" w:rsidRPr="7B66E596">
        <w:rPr>
          <w:rFonts w:eastAsiaTheme="minorEastAsia"/>
        </w:rPr>
        <w:t xml:space="preserve"> such as the use of an online submission form for draft </w:t>
      </w:r>
      <w:r w:rsidR="5F6C0B28" w:rsidRPr="7B66E596">
        <w:rPr>
          <w:rFonts w:eastAsiaTheme="minorEastAsia"/>
        </w:rPr>
        <w:t>resolutions</w:t>
      </w:r>
      <w:r w:rsidR="242D9A34" w:rsidRPr="7B66E596">
        <w:rPr>
          <w:rFonts w:eastAsiaTheme="minorEastAsia"/>
        </w:rPr>
        <w:t>,</w:t>
      </w:r>
      <w:r w:rsidR="2BB455F5" w:rsidRPr="7B66E596">
        <w:rPr>
          <w:rFonts w:eastAsiaTheme="minorEastAsia"/>
        </w:rPr>
        <w:t xml:space="preserve"> </w:t>
      </w:r>
      <w:r w:rsidR="00317253">
        <w:rPr>
          <w:rFonts w:eastAsiaTheme="minorEastAsia"/>
        </w:rPr>
        <w:t>to inform the</w:t>
      </w:r>
      <w:r w:rsidR="174FC334" w:rsidRPr="7B66E596">
        <w:rPr>
          <w:rFonts w:eastAsiaTheme="minorEastAsia"/>
        </w:rPr>
        <w:t xml:space="preserve"> </w:t>
      </w:r>
      <w:r w:rsidR="002777C7">
        <w:rPr>
          <w:rFonts w:eastAsiaTheme="minorEastAsia"/>
        </w:rPr>
        <w:t xml:space="preserve">proposed </w:t>
      </w:r>
      <w:r w:rsidR="5B06F444" w:rsidRPr="7B66E596">
        <w:rPr>
          <w:rFonts w:eastAsiaTheme="minorEastAsia"/>
        </w:rPr>
        <w:t>process of submitting draft resolutions to COP15.</w:t>
      </w:r>
    </w:p>
    <w:p w14:paraId="43148EC8" w14:textId="35F4A4D9" w:rsidR="25F2B2DB" w:rsidRDefault="25F2B2DB" w:rsidP="00A45EC2">
      <w:pPr>
        <w:spacing w:after="0" w:line="240" w:lineRule="auto"/>
        <w:ind w:left="426" w:hanging="426"/>
      </w:pPr>
    </w:p>
    <w:p w14:paraId="28044C80" w14:textId="1F76D508" w:rsidR="006B5670" w:rsidRDefault="00277D16" w:rsidP="00A45EC2">
      <w:pPr>
        <w:spacing w:after="0" w:line="240" w:lineRule="auto"/>
        <w:ind w:left="426" w:hanging="426"/>
      </w:pPr>
      <w:r>
        <w:t>7</w:t>
      </w:r>
      <w:r w:rsidR="2E6A8B92">
        <w:t>.</w:t>
      </w:r>
      <w:r w:rsidR="006B5670">
        <w:tab/>
      </w:r>
      <w:r w:rsidR="2E6A8B92">
        <w:t xml:space="preserve">The </w:t>
      </w:r>
      <w:r w:rsidR="49ABADBF">
        <w:t>consultant</w:t>
      </w:r>
      <w:r w:rsidR="00DC49BD">
        <w:t>’</w:t>
      </w:r>
      <w:r w:rsidR="49ABADBF">
        <w:t xml:space="preserve">s </w:t>
      </w:r>
      <w:r w:rsidR="2E6A8B92">
        <w:t>project report</w:t>
      </w:r>
      <w:r w:rsidR="5F411D1D">
        <w:t xml:space="preserve"> and </w:t>
      </w:r>
      <w:r w:rsidR="30D543E2">
        <w:t xml:space="preserve">the </w:t>
      </w:r>
      <w:r w:rsidR="00A67069">
        <w:t>Secretariat</w:t>
      </w:r>
      <w:r w:rsidR="00DC49BD">
        <w:t>’</w:t>
      </w:r>
      <w:r w:rsidR="00A67069">
        <w:t xml:space="preserve">s </w:t>
      </w:r>
      <w:r w:rsidR="5F411D1D">
        <w:t>review of the IUCN Motions Platform have</w:t>
      </w:r>
      <w:r w:rsidR="2E6A8B92">
        <w:t xml:space="preserve"> provided an expert view and recommendations on which the Secretariat has based </w:t>
      </w:r>
      <w:r w:rsidR="5358189B">
        <w:t>two possible</w:t>
      </w:r>
      <w:r w:rsidR="2E6A8B92">
        <w:t xml:space="preserve"> approach</w:t>
      </w:r>
      <w:r w:rsidR="0C5B7B93">
        <w:t>es</w:t>
      </w:r>
      <w:r w:rsidR="2E6A8B92">
        <w:t xml:space="preserve"> and </w:t>
      </w:r>
      <w:r w:rsidR="3202C1E3">
        <w:t>next steps</w:t>
      </w:r>
      <w:r w:rsidR="2E6A8B92">
        <w:t xml:space="preserve"> for consideration by the Standing Committ</w:t>
      </w:r>
      <w:r w:rsidR="79D3F5B4">
        <w:t>ee</w:t>
      </w:r>
      <w:r w:rsidR="00516B3F">
        <w:t>.</w:t>
      </w:r>
    </w:p>
    <w:p w14:paraId="5C2B82F3" w14:textId="0C4B93D9" w:rsidR="006B5670" w:rsidRDefault="006B5670" w:rsidP="00A45EC2">
      <w:pPr>
        <w:spacing w:after="0" w:line="240" w:lineRule="auto"/>
        <w:ind w:left="426" w:hanging="426"/>
      </w:pPr>
    </w:p>
    <w:p w14:paraId="10C265F9" w14:textId="5130009F" w:rsidR="006B5670" w:rsidRDefault="006B5670" w:rsidP="00A45EC2">
      <w:pPr>
        <w:spacing w:after="0" w:line="240" w:lineRule="auto"/>
        <w:ind w:left="426" w:hanging="426"/>
        <w:rPr>
          <w:b/>
          <w:bCs/>
        </w:rPr>
      </w:pPr>
      <w:r w:rsidRPr="75414F64">
        <w:rPr>
          <w:b/>
          <w:bCs/>
        </w:rPr>
        <w:t>Proposed approach</w:t>
      </w:r>
      <w:r w:rsidR="263D4715" w:rsidRPr="75414F64">
        <w:rPr>
          <w:b/>
          <w:bCs/>
        </w:rPr>
        <w:t>es</w:t>
      </w:r>
    </w:p>
    <w:p w14:paraId="6FC99A55" w14:textId="2432A258" w:rsidR="006B5670" w:rsidRDefault="006B5670" w:rsidP="00A45EC2">
      <w:pPr>
        <w:spacing w:after="0" w:line="240" w:lineRule="auto"/>
        <w:ind w:left="426" w:hanging="426"/>
        <w:rPr>
          <w:b/>
        </w:rPr>
      </w:pPr>
    </w:p>
    <w:p w14:paraId="458AE05C" w14:textId="39A7F68B" w:rsidR="006B5670" w:rsidRDefault="00277D16" w:rsidP="00A45EC2">
      <w:pPr>
        <w:spacing w:after="0" w:line="240" w:lineRule="auto"/>
        <w:ind w:left="426" w:hanging="426"/>
      </w:pPr>
      <w:r>
        <w:t>8</w:t>
      </w:r>
      <w:r w:rsidR="4889CAB1">
        <w:t>.</w:t>
      </w:r>
      <w:r w:rsidR="00516B3F">
        <w:tab/>
      </w:r>
      <w:r w:rsidR="0723F915">
        <w:t xml:space="preserve">The Secretariat </w:t>
      </w:r>
      <w:r w:rsidR="003B0575">
        <w:t xml:space="preserve">acknowledges the </w:t>
      </w:r>
      <w:r w:rsidR="00416E10">
        <w:t>v</w:t>
      </w:r>
      <w:r w:rsidR="003B0575">
        <w:t>a</w:t>
      </w:r>
      <w:r w:rsidR="00F35A0A">
        <w:t xml:space="preserve">rying opinions among Parties regarding </w:t>
      </w:r>
      <w:r w:rsidR="0723F915">
        <w:t xml:space="preserve">the </w:t>
      </w:r>
      <w:r w:rsidR="66D78C1C">
        <w:t>desired</w:t>
      </w:r>
      <w:r w:rsidR="0723F915">
        <w:t xml:space="preserve"> </w:t>
      </w:r>
      <w:r w:rsidR="384426E5">
        <w:t>functionality</w:t>
      </w:r>
      <w:r w:rsidR="632364EE">
        <w:t>, ease of use</w:t>
      </w:r>
      <w:r w:rsidR="00AA7576">
        <w:t>,</w:t>
      </w:r>
      <w:r w:rsidR="632364EE">
        <w:t xml:space="preserve"> and cost</w:t>
      </w:r>
      <w:r w:rsidR="20DE6BCA">
        <w:t>s</w:t>
      </w:r>
      <w:r w:rsidR="632364EE">
        <w:t xml:space="preserve"> </w:t>
      </w:r>
      <w:r w:rsidR="00AA7576">
        <w:t xml:space="preserve">associated with </w:t>
      </w:r>
      <w:r w:rsidR="3BA90C01">
        <w:t>an o</w:t>
      </w:r>
      <w:r w:rsidR="632364EE">
        <w:t xml:space="preserve">nline </w:t>
      </w:r>
      <w:r w:rsidR="00E35E1C">
        <w:t xml:space="preserve">collaboration </w:t>
      </w:r>
      <w:r w:rsidR="4E08106F">
        <w:t>system</w:t>
      </w:r>
      <w:r w:rsidR="632364EE">
        <w:t xml:space="preserve">. </w:t>
      </w:r>
      <w:r w:rsidR="00E35E1C">
        <w:t>T</w:t>
      </w:r>
      <w:r w:rsidR="0027712F">
        <w:t>o</w:t>
      </w:r>
      <w:r w:rsidR="00E35E1C">
        <w:t xml:space="preserve"> address this, </w:t>
      </w:r>
      <w:r w:rsidR="0027712F">
        <w:t>t</w:t>
      </w:r>
      <w:r w:rsidR="632364EE">
        <w:t xml:space="preserve">he Secretariat proposes </w:t>
      </w:r>
      <w:r w:rsidR="6C08A62D">
        <w:t xml:space="preserve">two </w:t>
      </w:r>
      <w:r w:rsidR="0027712F">
        <w:t>dis</w:t>
      </w:r>
      <w:r w:rsidR="000719E4">
        <w:t>tinct</w:t>
      </w:r>
      <w:r w:rsidR="0027712F">
        <w:t xml:space="preserve"> </w:t>
      </w:r>
      <w:r w:rsidR="6C08A62D">
        <w:t>approaches</w:t>
      </w:r>
      <w:r w:rsidR="596DFF35">
        <w:t xml:space="preserve"> for consideration</w:t>
      </w:r>
      <w:r w:rsidR="1F1CB07F">
        <w:t xml:space="preserve"> by the Standing Committee</w:t>
      </w:r>
      <w:r w:rsidR="000719E4">
        <w:t>. The first</w:t>
      </w:r>
      <w:r w:rsidR="596DFF35">
        <w:t xml:space="preserve"> </w:t>
      </w:r>
      <w:r w:rsidR="214ADF56">
        <w:t xml:space="preserve">approach </w:t>
      </w:r>
      <w:r w:rsidR="000719E4">
        <w:t xml:space="preserve">leverages </w:t>
      </w:r>
      <w:r w:rsidR="005F7735">
        <w:t xml:space="preserve">existing systems </w:t>
      </w:r>
      <w:r w:rsidR="29C9704C">
        <w:t>within the Secretariat</w:t>
      </w:r>
      <w:r w:rsidR="007C6DAC">
        <w:t>,</w:t>
      </w:r>
      <w:r w:rsidR="596DFF35">
        <w:t xml:space="preserve"> </w:t>
      </w:r>
      <w:r w:rsidR="005F7735">
        <w:t>enabling</w:t>
      </w:r>
      <w:r w:rsidR="005B3596">
        <w:t xml:space="preserve"> </w:t>
      </w:r>
      <w:r w:rsidR="005F7735">
        <w:t>rapid</w:t>
      </w:r>
      <w:r w:rsidR="005B3596">
        <w:t xml:space="preserve"> </w:t>
      </w:r>
      <w:r w:rsidR="00516B3F">
        <w:t>implementation</w:t>
      </w:r>
      <w:r w:rsidR="596DFF35">
        <w:t xml:space="preserve"> </w:t>
      </w:r>
      <w:r w:rsidR="001C358B">
        <w:t xml:space="preserve">at a </w:t>
      </w:r>
      <w:r w:rsidR="00220C55">
        <w:t xml:space="preserve">minimal </w:t>
      </w:r>
      <w:r w:rsidR="596DFF35">
        <w:t>cost</w:t>
      </w:r>
      <w:r w:rsidR="00220C55">
        <w:t xml:space="preserve">. The </w:t>
      </w:r>
      <w:r w:rsidR="001C358B">
        <w:t xml:space="preserve">second </w:t>
      </w:r>
      <w:r w:rsidR="766D68D0">
        <w:t xml:space="preserve">approach </w:t>
      </w:r>
      <w:r w:rsidR="006D59F4">
        <w:t>offers a more integrated solution with enhanced functionality</w:t>
      </w:r>
      <w:r w:rsidR="004A4221">
        <w:t>, but</w:t>
      </w:r>
      <w:r w:rsidR="5AF9BB58">
        <w:t xml:space="preserve"> would require </w:t>
      </w:r>
      <w:r w:rsidR="6E0C680F">
        <w:t>invest</w:t>
      </w:r>
      <w:r w:rsidR="74708011">
        <w:t>ment</w:t>
      </w:r>
      <w:r w:rsidR="6E0C680F">
        <w:t xml:space="preserve"> and piloting before full implementation.</w:t>
      </w:r>
    </w:p>
    <w:p w14:paraId="0FD543D7" w14:textId="03984090" w:rsidR="006B5670" w:rsidRDefault="006B5670" w:rsidP="00A45EC2">
      <w:pPr>
        <w:spacing w:after="0" w:line="240" w:lineRule="auto"/>
        <w:ind w:left="426" w:hanging="426"/>
      </w:pPr>
    </w:p>
    <w:p w14:paraId="502ABC19" w14:textId="4E2EDC2A" w:rsidR="25F2B2DB" w:rsidRDefault="00277D16" w:rsidP="00A45EC2">
      <w:pPr>
        <w:spacing w:after="0" w:line="240" w:lineRule="auto"/>
        <w:ind w:left="426" w:hanging="426"/>
      </w:pPr>
      <w:r>
        <w:t>9</w:t>
      </w:r>
      <w:r w:rsidR="61579B7E">
        <w:t>.</w:t>
      </w:r>
      <w:r w:rsidR="00056DFB">
        <w:tab/>
      </w:r>
      <w:r w:rsidR="00562FBA">
        <w:t xml:space="preserve">Under </w:t>
      </w:r>
      <w:r w:rsidR="00D628FA">
        <w:t>t</w:t>
      </w:r>
      <w:r w:rsidR="29F330CA">
        <w:t>he first approach</w:t>
      </w:r>
      <w:r w:rsidR="17EFCF03">
        <w:t xml:space="preserve"> (approach 1)</w:t>
      </w:r>
      <w:r w:rsidR="00D628FA">
        <w:t xml:space="preserve">, </w:t>
      </w:r>
      <w:r w:rsidR="002F21FD">
        <w:t>relevant contact</w:t>
      </w:r>
      <w:r w:rsidR="29419E53">
        <w:t xml:space="preserve"> </w:t>
      </w:r>
      <w:r w:rsidR="1724D897">
        <w:t xml:space="preserve">information </w:t>
      </w:r>
      <w:r w:rsidR="00AF50FE">
        <w:t xml:space="preserve">of </w:t>
      </w:r>
      <w:r w:rsidR="12336796">
        <w:t>individuals</w:t>
      </w:r>
      <w:r w:rsidR="36330D0E">
        <w:t xml:space="preserve"> within </w:t>
      </w:r>
      <w:r w:rsidR="002777C7">
        <w:t xml:space="preserve">a </w:t>
      </w:r>
      <w:r w:rsidR="36330D0E">
        <w:t>defined group</w:t>
      </w:r>
      <w:r w:rsidR="002777C7">
        <w:t xml:space="preserve"> (e.g. </w:t>
      </w:r>
      <w:r w:rsidR="00AE7568">
        <w:t>working groups</w:t>
      </w:r>
      <w:r w:rsidR="002777C7">
        <w:t xml:space="preserve">, groups of interested </w:t>
      </w:r>
      <w:r w:rsidR="00AE7568">
        <w:t xml:space="preserve">Contracting </w:t>
      </w:r>
      <w:r w:rsidR="002777C7">
        <w:t>Parties, all Parties)</w:t>
      </w:r>
      <w:r w:rsidR="00975E35">
        <w:t xml:space="preserve"> would be made accessible</w:t>
      </w:r>
      <w:r w:rsidR="29419E53">
        <w:t>, including</w:t>
      </w:r>
      <w:r w:rsidR="69FD2291">
        <w:t xml:space="preserve"> address lists of</w:t>
      </w:r>
      <w:r w:rsidR="29419E53">
        <w:t xml:space="preserve"> </w:t>
      </w:r>
      <w:r w:rsidR="00975E35">
        <w:t xml:space="preserve">group </w:t>
      </w:r>
      <w:r w:rsidR="29419E53">
        <w:t>members</w:t>
      </w:r>
      <w:r w:rsidR="00C1752C">
        <w:t>. This would facilitate</w:t>
      </w:r>
      <w:r w:rsidR="00780E79">
        <w:t xml:space="preserve"> </w:t>
      </w:r>
      <w:r w:rsidR="29419E53">
        <w:t xml:space="preserve">communication through </w:t>
      </w:r>
      <w:r w:rsidR="00780E79">
        <w:t xml:space="preserve">conventional </w:t>
      </w:r>
      <w:r w:rsidR="29419E53">
        <w:t xml:space="preserve">means </w:t>
      </w:r>
      <w:r w:rsidR="00780E79">
        <w:t xml:space="preserve">such as </w:t>
      </w:r>
      <w:r w:rsidR="29419E53">
        <w:t>email</w:t>
      </w:r>
      <w:r w:rsidR="070E6298">
        <w:t>, phone</w:t>
      </w:r>
      <w:r w:rsidR="53B747A5">
        <w:t xml:space="preserve"> </w:t>
      </w:r>
      <w:r w:rsidR="29419E53">
        <w:t>calls</w:t>
      </w:r>
      <w:r w:rsidR="008E5627">
        <w:t>,</w:t>
      </w:r>
      <w:r w:rsidR="19273893">
        <w:t xml:space="preserve"> and video meetings</w:t>
      </w:r>
      <w:r w:rsidR="0207F084">
        <w:t>.</w:t>
      </w:r>
      <w:r w:rsidR="29419E53">
        <w:t xml:space="preserve"> </w:t>
      </w:r>
      <w:r w:rsidR="008E5627">
        <w:t xml:space="preserve">For </w:t>
      </w:r>
      <w:r w:rsidR="4728A03E">
        <w:t>collaborati</w:t>
      </w:r>
      <w:r w:rsidR="008E5627">
        <w:t>ve</w:t>
      </w:r>
      <w:r w:rsidR="4728A03E">
        <w:t xml:space="preserve"> </w:t>
      </w:r>
      <w:r w:rsidR="2904C1E8">
        <w:t>document</w:t>
      </w:r>
      <w:r w:rsidR="00EA4545">
        <w:t xml:space="preserve"> preparation</w:t>
      </w:r>
      <w:r w:rsidR="2904C1E8">
        <w:t>,</w:t>
      </w:r>
      <w:r w:rsidR="29419E53">
        <w:t xml:space="preserve"> the </w:t>
      </w:r>
      <w:r w:rsidR="27EE42B4">
        <w:t>S</w:t>
      </w:r>
      <w:r w:rsidR="29419E53">
        <w:t xml:space="preserve">ecretariat would </w:t>
      </w:r>
      <w:r w:rsidR="00C21ABB">
        <w:t>use</w:t>
      </w:r>
      <w:r w:rsidR="29419E53">
        <w:t xml:space="preserve"> SharePoint</w:t>
      </w:r>
      <w:r w:rsidR="0034FAD6">
        <w:t>, a widely used web-based application</w:t>
      </w:r>
      <w:r w:rsidR="002777C7">
        <w:t xml:space="preserve"> that would enable Parties to submit and provide comments on  </w:t>
      </w:r>
      <w:r w:rsidR="004B22AF">
        <w:t xml:space="preserve">documents </w:t>
      </w:r>
      <w:r w:rsidR="002777C7">
        <w:t xml:space="preserve">in an open space where comments </w:t>
      </w:r>
      <w:r w:rsidR="00C65CC5">
        <w:t>would be</w:t>
      </w:r>
      <w:r w:rsidR="002777C7">
        <w:t xml:space="preserve"> visible and accessible to all members of a defined group.</w:t>
      </w:r>
    </w:p>
    <w:p w14:paraId="7677B86C" w14:textId="77777777" w:rsidR="005E554B" w:rsidRDefault="005E554B" w:rsidP="00A45EC2">
      <w:pPr>
        <w:spacing w:after="0" w:line="240" w:lineRule="auto"/>
        <w:ind w:left="426" w:hanging="426"/>
      </w:pPr>
    </w:p>
    <w:p w14:paraId="4D7F74E3" w14:textId="248F1073" w:rsidR="61422BC0" w:rsidRDefault="00277D16" w:rsidP="00A45EC2">
      <w:pPr>
        <w:spacing w:after="0" w:line="240" w:lineRule="auto"/>
        <w:ind w:left="426" w:hanging="426"/>
      </w:pPr>
      <w:r>
        <w:t>10</w:t>
      </w:r>
      <w:r w:rsidR="7C038C36">
        <w:t>.</w:t>
      </w:r>
      <w:r w:rsidR="00056DFB">
        <w:tab/>
      </w:r>
      <w:r w:rsidR="3F67EE08">
        <w:t>As an example, for the preparation of a draft resolution submitted by a Party</w:t>
      </w:r>
      <w:r w:rsidR="63A46D78">
        <w:t xml:space="preserve"> or </w:t>
      </w:r>
      <w:r w:rsidR="00AE7568">
        <w:t>working group</w:t>
      </w:r>
      <w:r w:rsidR="3F67EE08">
        <w:t xml:space="preserve">, this approach would </w:t>
      </w:r>
      <w:r w:rsidR="004E14DB">
        <w:t>follow these steps</w:t>
      </w:r>
      <w:r w:rsidR="32DB069F">
        <w:t>:</w:t>
      </w:r>
    </w:p>
    <w:p w14:paraId="447423CB" w14:textId="4C745BB7" w:rsidR="61422BC0" w:rsidRDefault="32DB069F" w:rsidP="00A45EC2">
      <w:pPr>
        <w:spacing w:after="0" w:line="240" w:lineRule="auto"/>
        <w:ind w:left="851" w:hanging="425"/>
      </w:pPr>
      <w:r>
        <w:t>a</w:t>
      </w:r>
      <w:r w:rsidR="00004CF8">
        <w:t>.</w:t>
      </w:r>
      <w:r w:rsidR="00004CF8">
        <w:tab/>
      </w:r>
      <w:r w:rsidR="004C3FA6">
        <w:t>T</w:t>
      </w:r>
      <w:r w:rsidR="00004CF8">
        <w:t xml:space="preserve">he </w:t>
      </w:r>
      <w:r w:rsidR="51092A16">
        <w:t xml:space="preserve">Secretariat </w:t>
      </w:r>
      <w:r w:rsidR="004E14DB">
        <w:t xml:space="preserve">creates </w:t>
      </w:r>
      <w:r w:rsidR="51092A16">
        <w:t xml:space="preserve">a </w:t>
      </w:r>
      <w:r w:rsidR="4C55B9F0">
        <w:t xml:space="preserve">dedicated </w:t>
      </w:r>
      <w:r w:rsidR="51092A16">
        <w:t>space on SharePoint</w:t>
      </w:r>
      <w:r w:rsidR="02C282CB">
        <w:t xml:space="preserve"> and </w:t>
      </w:r>
      <w:r w:rsidR="0D0A3C8F">
        <w:t xml:space="preserve">grants </w:t>
      </w:r>
      <w:r w:rsidR="02C282CB">
        <w:t xml:space="preserve">access to the </w:t>
      </w:r>
      <w:r w:rsidR="6FF0AFF3">
        <w:t>lead</w:t>
      </w:r>
      <w:r w:rsidR="1E5F8691">
        <w:t xml:space="preserve"> author</w:t>
      </w:r>
      <w:r w:rsidR="6FF0AFF3">
        <w:t xml:space="preserve"> of </w:t>
      </w:r>
      <w:r w:rsidR="02C282CB">
        <w:t>a</w:t>
      </w:r>
      <w:r w:rsidR="6FF0AFF3">
        <w:t xml:space="preserve"> draft resolution</w:t>
      </w:r>
      <w:r w:rsidR="00616C7F">
        <w:t>;</w:t>
      </w:r>
    </w:p>
    <w:p w14:paraId="73E3A625" w14:textId="4413D43C" w:rsidR="61422BC0" w:rsidRDefault="32DB069F" w:rsidP="00A45EC2">
      <w:pPr>
        <w:spacing w:after="0" w:line="240" w:lineRule="auto"/>
        <w:ind w:left="851" w:hanging="425"/>
      </w:pPr>
      <w:r>
        <w:t>b</w:t>
      </w:r>
      <w:r w:rsidR="00004CF8">
        <w:t>.</w:t>
      </w:r>
      <w:r w:rsidR="00004CF8">
        <w:tab/>
      </w:r>
      <w:r w:rsidR="004C3FA6">
        <w:t>T</w:t>
      </w:r>
      <w:r w:rsidR="15728E5B">
        <w:t xml:space="preserve">he </w:t>
      </w:r>
      <w:r w:rsidR="02C282CB">
        <w:t>lead</w:t>
      </w:r>
      <w:r w:rsidR="2CD16D46">
        <w:t xml:space="preserve"> </w:t>
      </w:r>
      <w:r w:rsidR="00D60AFC">
        <w:t xml:space="preserve">author </w:t>
      </w:r>
      <w:r w:rsidR="2CD16D46">
        <w:t xml:space="preserve">uploads </w:t>
      </w:r>
      <w:r w:rsidR="0AA1ED4F">
        <w:t>a first draft</w:t>
      </w:r>
      <w:r w:rsidR="75240AC9">
        <w:t xml:space="preserve"> and </w:t>
      </w:r>
      <w:r w:rsidR="5C2A7A9B">
        <w:t>generates</w:t>
      </w:r>
      <w:r w:rsidR="75240AC9">
        <w:t xml:space="preserve"> </w:t>
      </w:r>
      <w:r w:rsidR="790A52E0">
        <w:t>a</w:t>
      </w:r>
      <w:r w:rsidR="75240AC9">
        <w:t xml:space="preserve"> link to the online document</w:t>
      </w:r>
      <w:r w:rsidR="00616C7F">
        <w:t>;</w:t>
      </w:r>
    </w:p>
    <w:p w14:paraId="2FC77A42" w14:textId="34919753" w:rsidR="61422BC0" w:rsidRDefault="126C44FF" w:rsidP="00A45EC2">
      <w:pPr>
        <w:spacing w:after="0" w:line="240" w:lineRule="auto"/>
        <w:ind w:left="851" w:hanging="425"/>
      </w:pPr>
      <w:r>
        <w:t>c</w:t>
      </w:r>
      <w:r w:rsidR="00004CF8">
        <w:t>.</w:t>
      </w:r>
      <w:r w:rsidR="00004CF8">
        <w:tab/>
      </w:r>
      <w:r w:rsidR="004C3FA6">
        <w:t>T</w:t>
      </w:r>
      <w:r w:rsidR="2CD16D46">
        <w:t xml:space="preserve">he lead </w:t>
      </w:r>
      <w:r w:rsidR="00616C7F">
        <w:t xml:space="preserve">author </w:t>
      </w:r>
      <w:r w:rsidR="0108B479">
        <w:t>determines</w:t>
      </w:r>
      <w:r w:rsidR="1D08DA90">
        <w:t xml:space="preserve"> the</w:t>
      </w:r>
      <w:r w:rsidR="0108B479">
        <w:t xml:space="preserve"> </w:t>
      </w:r>
      <w:r w:rsidR="548D6DAC">
        <w:t xml:space="preserve">recipient </w:t>
      </w:r>
      <w:r w:rsidR="0108B479">
        <w:t xml:space="preserve">list(s) </w:t>
      </w:r>
      <w:r w:rsidR="34075E8B">
        <w:t>to</w:t>
      </w:r>
      <w:r w:rsidR="2122B23E">
        <w:t xml:space="preserve"> </w:t>
      </w:r>
      <w:r w:rsidR="007254CD">
        <w:t xml:space="preserve">whom </w:t>
      </w:r>
      <w:r w:rsidR="0CEFCF80">
        <w:t>the</w:t>
      </w:r>
      <w:r w:rsidR="32DB069F">
        <w:t xml:space="preserve"> link</w:t>
      </w:r>
      <w:r w:rsidR="63189312">
        <w:t xml:space="preserve"> </w:t>
      </w:r>
      <w:r w:rsidR="007254CD">
        <w:t>will be sent</w:t>
      </w:r>
      <w:r w:rsidR="002E6BD4">
        <w:t xml:space="preserve"> </w:t>
      </w:r>
      <w:r w:rsidR="63189312">
        <w:t>for commenting</w:t>
      </w:r>
      <w:r w:rsidR="3F4FD90F">
        <w:t xml:space="preserve"> on the document</w:t>
      </w:r>
      <w:r w:rsidR="002E6BD4">
        <w:t>;</w:t>
      </w:r>
    </w:p>
    <w:p w14:paraId="4F00063A" w14:textId="0D97FD73" w:rsidR="61422BC0" w:rsidRDefault="72EEF191" w:rsidP="00A45EC2">
      <w:pPr>
        <w:spacing w:after="0" w:line="240" w:lineRule="auto"/>
        <w:ind w:left="851" w:hanging="425"/>
      </w:pPr>
      <w:r>
        <w:lastRenderedPageBreak/>
        <w:t>d</w:t>
      </w:r>
      <w:r w:rsidR="00004CF8">
        <w:t>.</w:t>
      </w:r>
      <w:r w:rsidR="00004CF8">
        <w:tab/>
      </w:r>
      <w:r w:rsidR="004C3FA6">
        <w:t>T</w:t>
      </w:r>
      <w:r w:rsidR="002E6BD4">
        <w:t xml:space="preserve">he </w:t>
      </w:r>
      <w:r w:rsidR="7DB32E05">
        <w:t>selected</w:t>
      </w:r>
      <w:r w:rsidR="6278A691">
        <w:t xml:space="preserve"> </w:t>
      </w:r>
      <w:r w:rsidR="22470560">
        <w:t xml:space="preserve">individuals and/or groups open the link and </w:t>
      </w:r>
      <w:r w:rsidR="7E4072AF">
        <w:t xml:space="preserve">provide their </w:t>
      </w:r>
      <w:r w:rsidR="6278A691">
        <w:t xml:space="preserve">comments </w:t>
      </w:r>
      <w:r w:rsidR="1EA24BA8">
        <w:t>to</w:t>
      </w:r>
      <w:r w:rsidR="6278A691">
        <w:t xml:space="preserve"> the document online</w:t>
      </w:r>
      <w:r w:rsidR="00614166">
        <w:t>;</w:t>
      </w:r>
      <w:r w:rsidR="00004CF8">
        <w:t xml:space="preserve"> and</w:t>
      </w:r>
    </w:p>
    <w:p w14:paraId="2A024784" w14:textId="6A40ACB0" w:rsidR="61422BC0" w:rsidRDefault="45DDADA5" w:rsidP="00A45EC2">
      <w:pPr>
        <w:spacing w:after="0" w:line="240" w:lineRule="auto"/>
        <w:ind w:left="851" w:hanging="425"/>
      </w:pPr>
      <w:r>
        <w:t>e</w:t>
      </w:r>
      <w:r w:rsidR="00004CF8">
        <w:t>.</w:t>
      </w:r>
      <w:r w:rsidR="00004CF8">
        <w:tab/>
      </w:r>
      <w:r w:rsidR="004C3FA6">
        <w:t>T</w:t>
      </w:r>
      <w:r>
        <w:t xml:space="preserve">he lead </w:t>
      </w:r>
      <w:r w:rsidR="673A9FC6">
        <w:t xml:space="preserve">author </w:t>
      </w:r>
      <w:r w:rsidR="7A042608">
        <w:t xml:space="preserve">incorporates </w:t>
      </w:r>
      <w:r w:rsidR="3557C114">
        <w:t xml:space="preserve">the </w:t>
      </w:r>
      <w:r w:rsidR="00047FE0">
        <w:t xml:space="preserve">received </w:t>
      </w:r>
      <w:r w:rsidR="7A042608">
        <w:t xml:space="preserve">comments and updates the document accordingly. </w:t>
      </w:r>
      <w:r w:rsidR="323E73AF">
        <w:t xml:space="preserve">Depending on the complexity of the document and the </w:t>
      </w:r>
      <w:r w:rsidR="00D268B7">
        <w:t>exten</w:t>
      </w:r>
      <w:r w:rsidR="00BF6DA4">
        <w:t>t</w:t>
      </w:r>
      <w:r w:rsidR="00D268B7">
        <w:t xml:space="preserve"> </w:t>
      </w:r>
      <w:r w:rsidR="323E73AF">
        <w:t xml:space="preserve">of comments received, subsequent rounds of editing may be </w:t>
      </w:r>
      <w:r w:rsidR="477F9D4E">
        <w:t>necessary</w:t>
      </w:r>
      <w:r w:rsidR="323E73AF">
        <w:t>.</w:t>
      </w:r>
    </w:p>
    <w:p w14:paraId="5CCB01F7" w14:textId="2E01C5C6" w:rsidR="75414F64" w:rsidRDefault="75414F64" w:rsidP="00A45EC2">
      <w:pPr>
        <w:spacing w:after="0" w:line="240" w:lineRule="auto"/>
        <w:ind w:left="426" w:hanging="426"/>
      </w:pPr>
    </w:p>
    <w:p w14:paraId="46F48003" w14:textId="34B01464" w:rsidR="1C824B67" w:rsidRDefault="00C658C5" w:rsidP="00A45EC2">
      <w:pPr>
        <w:tabs>
          <w:tab w:val="left" w:pos="450"/>
        </w:tabs>
        <w:spacing w:after="0" w:line="240" w:lineRule="auto"/>
        <w:ind w:left="426" w:hanging="426"/>
      </w:pPr>
      <w:r>
        <w:t>1</w:t>
      </w:r>
      <w:r w:rsidR="00277D16">
        <w:t>1</w:t>
      </w:r>
      <w:r w:rsidR="7C3354A1">
        <w:t>.</w:t>
      </w:r>
      <w:r w:rsidR="00056DFB">
        <w:tab/>
      </w:r>
      <w:r w:rsidR="7C3354A1">
        <w:t>The benefits of this approach would be that it could be implemented quickly at low cost</w:t>
      </w:r>
      <w:r w:rsidR="002E475D">
        <w:t>,</w:t>
      </w:r>
      <w:r w:rsidR="7C3354A1">
        <w:t xml:space="preserve"> </w:t>
      </w:r>
      <w:r w:rsidR="02BDA6BE">
        <w:t>leveraging</w:t>
      </w:r>
      <w:r w:rsidR="1D4C5565">
        <w:t xml:space="preserve"> existing tools, specifically the </w:t>
      </w:r>
      <w:r w:rsidR="000D57C8">
        <w:t>constituent</w:t>
      </w:r>
      <w:r w:rsidR="1D4C5565">
        <w:t xml:space="preserve"> relationship management (</w:t>
      </w:r>
      <w:r w:rsidR="6D2F600C">
        <w:t xml:space="preserve">CRM) </w:t>
      </w:r>
      <w:r w:rsidR="6EFC2555">
        <w:t xml:space="preserve">system </w:t>
      </w:r>
      <w:r w:rsidR="683DCAEB">
        <w:t>which the Secretariat currently uses to manage contact information, mailings and meeting registration</w:t>
      </w:r>
      <w:r w:rsidR="35179533">
        <w:t>,</w:t>
      </w:r>
      <w:r w:rsidR="683DCAEB">
        <w:t xml:space="preserve"> and </w:t>
      </w:r>
      <w:r w:rsidR="5EFAB1A6">
        <w:t xml:space="preserve">Office 365 in conjunction with </w:t>
      </w:r>
      <w:r w:rsidR="6ADA805B">
        <w:t>SharePoint</w:t>
      </w:r>
      <w:r w:rsidR="4281BB3A">
        <w:t xml:space="preserve"> for which the </w:t>
      </w:r>
      <w:r w:rsidR="564795CA">
        <w:t>Secretariat</w:t>
      </w:r>
      <w:r w:rsidR="4281BB3A">
        <w:t xml:space="preserve"> has a global license. This approach would be </w:t>
      </w:r>
      <w:r w:rsidR="7769BE8E">
        <w:t>user-friendly</w:t>
      </w:r>
      <w:r w:rsidR="00620F01">
        <w:t xml:space="preserve">, requiring no additional </w:t>
      </w:r>
      <w:r w:rsidR="3BE95168">
        <w:t>logins</w:t>
      </w:r>
      <w:r w:rsidR="00620F01">
        <w:t xml:space="preserve">, </w:t>
      </w:r>
      <w:r w:rsidR="44195A96">
        <w:t>credentials,</w:t>
      </w:r>
      <w:r w:rsidR="3BE95168">
        <w:t xml:space="preserve"> </w:t>
      </w:r>
      <w:r w:rsidR="693D26DD">
        <w:t xml:space="preserve">or training </w:t>
      </w:r>
      <w:r w:rsidR="00250EBD">
        <w:t>for Parties</w:t>
      </w:r>
      <w:r w:rsidR="27C2B34F">
        <w:t>.</w:t>
      </w:r>
    </w:p>
    <w:p w14:paraId="6CD3966A" w14:textId="75C9F66D" w:rsidR="75414F64" w:rsidRDefault="75414F64" w:rsidP="00A45EC2">
      <w:pPr>
        <w:spacing w:after="0" w:line="240" w:lineRule="auto"/>
        <w:ind w:left="426" w:hanging="426"/>
      </w:pPr>
    </w:p>
    <w:p w14:paraId="052AF3F6" w14:textId="5CEAF49D" w:rsidR="7B6C581D" w:rsidRDefault="2E96B9E9" w:rsidP="00A45EC2">
      <w:pPr>
        <w:spacing w:after="0" w:line="240" w:lineRule="auto"/>
        <w:ind w:left="426" w:hanging="426"/>
      </w:pPr>
      <w:r>
        <w:t>1</w:t>
      </w:r>
      <w:r w:rsidR="00277D16">
        <w:t>2</w:t>
      </w:r>
      <w:r w:rsidR="27C2B34F">
        <w:t>.</w:t>
      </w:r>
      <w:r w:rsidR="00056DFB">
        <w:tab/>
      </w:r>
      <w:r w:rsidR="27C2B34F">
        <w:t xml:space="preserve">The second approach </w:t>
      </w:r>
      <w:r w:rsidR="45A8AE5C">
        <w:t xml:space="preserve">(approach 2) </w:t>
      </w:r>
      <w:r w:rsidR="27C2B34F">
        <w:t xml:space="preserve">would </w:t>
      </w:r>
      <w:r w:rsidR="2B7094FF">
        <w:t>provide relevant contacts</w:t>
      </w:r>
      <w:r w:rsidR="4FAE4E48">
        <w:t xml:space="preserve"> (individual</w:t>
      </w:r>
      <w:r w:rsidR="18BFE766">
        <w:t xml:space="preserve"> members within a define</w:t>
      </w:r>
      <w:r w:rsidR="00427066">
        <w:t>d</w:t>
      </w:r>
      <w:r w:rsidR="18BFE766">
        <w:t xml:space="preserve"> group</w:t>
      </w:r>
      <w:r w:rsidR="4FAE4E48">
        <w:t>)</w:t>
      </w:r>
      <w:r w:rsidR="2B7094FF">
        <w:t xml:space="preserve"> with access to a </w:t>
      </w:r>
      <w:r w:rsidR="00622655">
        <w:t xml:space="preserve">secure </w:t>
      </w:r>
      <w:r w:rsidR="2B7094FF">
        <w:t xml:space="preserve">platform </w:t>
      </w:r>
      <w:r w:rsidR="003D1BF2">
        <w:t xml:space="preserve">that requires </w:t>
      </w:r>
      <w:r w:rsidR="4F384B36">
        <w:t>controlled</w:t>
      </w:r>
      <w:r w:rsidR="2B7094FF">
        <w:t xml:space="preserve"> login </w:t>
      </w:r>
      <w:r w:rsidR="4533D0E9">
        <w:t>credentials</w:t>
      </w:r>
      <w:r w:rsidR="00B27EB1">
        <w:t>. This platform would ensure</w:t>
      </w:r>
      <w:r w:rsidR="00BC4A84">
        <w:t xml:space="preserve"> a </w:t>
      </w:r>
      <w:r w:rsidR="4533D0E9">
        <w:t xml:space="preserve">secure </w:t>
      </w:r>
      <w:r w:rsidR="2B7094FF">
        <w:t xml:space="preserve">access </w:t>
      </w:r>
      <w:r w:rsidR="00BC4A84">
        <w:t xml:space="preserve">to </w:t>
      </w:r>
      <w:r w:rsidR="00427134">
        <w:t xml:space="preserve">both </w:t>
      </w:r>
      <w:r w:rsidR="0CEEBF49">
        <w:t>contacts and documents</w:t>
      </w:r>
      <w:r w:rsidR="5DEA07EB">
        <w:t>.</w:t>
      </w:r>
      <w:r w:rsidR="2B7094FF">
        <w:t xml:space="preserve"> </w:t>
      </w:r>
      <w:r w:rsidR="00427134">
        <w:t>Within this</w:t>
      </w:r>
      <w:r w:rsidR="2B7094FF">
        <w:t xml:space="preserve"> platform</w:t>
      </w:r>
      <w:r w:rsidR="00427134">
        <w:t xml:space="preserve">, </w:t>
      </w:r>
      <w:r w:rsidR="009173A2">
        <w:t>members</w:t>
      </w:r>
      <w:r w:rsidR="002777C7">
        <w:t xml:space="preserve"> of groups</w:t>
      </w:r>
      <w:r w:rsidR="009173A2">
        <w:t xml:space="preserve"> </w:t>
      </w:r>
      <w:r w:rsidR="3FB96481">
        <w:t xml:space="preserve">would </w:t>
      </w:r>
      <w:r w:rsidR="009173A2">
        <w:t xml:space="preserve">be able to </w:t>
      </w:r>
      <w:r w:rsidR="2B7094FF">
        <w:t>communicat</w:t>
      </w:r>
      <w:r w:rsidR="009173A2">
        <w:t>e</w:t>
      </w:r>
      <w:r w:rsidR="2B7094FF">
        <w:t xml:space="preserve"> through chat</w:t>
      </w:r>
      <w:r w:rsidR="00EF645E">
        <w:t xml:space="preserve"> and</w:t>
      </w:r>
      <w:r w:rsidR="2B7094FF">
        <w:t xml:space="preserve"> </w:t>
      </w:r>
      <w:r w:rsidR="00EF645E">
        <w:t>posts</w:t>
      </w:r>
      <w:r w:rsidR="006E791E">
        <w:t xml:space="preserve">, specifically </w:t>
      </w:r>
      <w:r w:rsidR="04B18A17">
        <w:t xml:space="preserve">within the context of </w:t>
      </w:r>
      <w:r w:rsidR="00551EF6">
        <w:t xml:space="preserve">a </w:t>
      </w:r>
      <w:r w:rsidR="2B7094FF">
        <w:t>task</w:t>
      </w:r>
      <w:r w:rsidR="00551EF6">
        <w:t>(s)</w:t>
      </w:r>
      <w:r w:rsidR="4C50967E">
        <w:t xml:space="preserve"> or document</w:t>
      </w:r>
      <w:r w:rsidR="2A74C019">
        <w:t>(s)</w:t>
      </w:r>
      <w:r w:rsidR="00E35E27">
        <w:t xml:space="preserve">. Additionally, </w:t>
      </w:r>
      <w:r w:rsidR="4C50967E">
        <w:t xml:space="preserve">a </w:t>
      </w:r>
      <w:r w:rsidR="2B7094FF">
        <w:t xml:space="preserve">collaborative </w:t>
      </w:r>
      <w:r w:rsidR="00DC49BD">
        <w:t>document-</w:t>
      </w:r>
      <w:r w:rsidR="2B7094FF">
        <w:t>editing</w:t>
      </w:r>
      <w:r w:rsidR="3B2B06D3">
        <w:t xml:space="preserve"> </w:t>
      </w:r>
      <w:r w:rsidR="00E35E27">
        <w:t>feature</w:t>
      </w:r>
      <w:r w:rsidR="002D13A5">
        <w:t xml:space="preserve"> would be available</w:t>
      </w:r>
      <w:r w:rsidR="000F5B4C">
        <w:t>.</w:t>
      </w:r>
      <w:r w:rsidR="007273A8">
        <w:t xml:space="preserve"> </w:t>
      </w:r>
      <w:r w:rsidR="002D13A5">
        <w:t xml:space="preserve">To maintain </w:t>
      </w:r>
      <w:r w:rsidR="000F3A6C">
        <w:t>control and privacy, a</w:t>
      </w:r>
      <w:r w:rsidR="007273A8">
        <w:t>ccess levels could be defined for members</w:t>
      </w:r>
      <w:r w:rsidR="002D6962">
        <w:t xml:space="preserve">, </w:t>
      </w:r>
      <w:r w:rsidR="000F3A6C">
        <w:t xml:space="preserve">granting </w:t>
      </w:r>
      <w:r w:rsidR="002D6962">
        <w:t xml:space="preserve">them </w:t>
      </w:r>
      <w:r w:rsidR="00215910">
        <w:t xml:space="preserve">the ability </w:t>
      </w:r>
      <w:r w:rsidR="002D6962">
        <w:t>to comment and/or directly edit text</w:t>
      </w:r>
      <w:r w:rsidR="00215910">
        <w:t xml:space="preserve"> based on their designated permissions</w:t>
      </w:r>
      <w:r w:rsidR="74D7F23F">
        <w:t>.</w:t>
      </w:r>
    </w:p>
    <w:p w14:paraId="43942F14" w14:textId="023207B8" w:rsidR="25F2B2DB" w:rsidRDefault="25F2B2DB" w:rsidP="00A45EC2">
      <w:pPr>
        <w:spacing w:after="0" w:line="240" w:lineRule="auto"/>
        <w:ind w:left="426" w:hanging="426"/>
      </w:pPr>
    </w:p>
    <w:p w14:paraId="4DBBBE34" w14:textId="7C3C17DC" w:rsidR="77BD0A2D" w:rsidRDefault="6262D256" w:rsidP="00A45EC2">
      <w:pPr>
        <w:tabs>
          <w:tab w:val="left" w:pos="450"/>
        </w:tabs>
        <w:spacing w:after="0" w:line="240" w:lineRule="auto"/>
        <w:ind w:left="426" w:hanging="426"/>
      </w:pPr>
      <w:r>
        <w:t>1</w:t>
      </w:r>
      <w:r w:rsidR="00277D16">
        <w:t>3</w:t>
      </w:r>
      <w:r w:rsidR="49F8A558">
        <w:t>.</w:t>
      </w:r>
      <w:r w:rsidR="00056DFB">
        <w:tab/>
      </w:r>
      <w:r w:rsidR="49F8A558">
        <w:t>As an example, for the preparation of a draft resolution submitted by a Party</w:t>
      </w:r>
      <w:r w:rsidR="0F28FB37">
        <w:t xml:space="preserve"> or </w:t>
      </w:r>
      <w:r w:rsidR="00AE7568">
        <w:t>working group</w:t>
      </w:r>
      <w:r w:rsidR="49F8A558">
        <w:t>, this approach would follow</w:t>
      </w:r>
      <w:r w:rsidR="00B001B0">
        <w:t xml:space="preserve"> these steps</w:t>
      </w:r>
      <w:r w:rsidR="00056DFB">
        <w:t>:</w:t>
      </w:r>
    </w:p>
    <w:p w14:paraId="130B31C2" w14:textId="55043F4E" w:rsidR="77BD0A2D" w:rsidRDefault="764A396E" w:rsidP="00A45EC2">
      <w:pPr>
        <w:spacing w:after="0" w:line="240" w:lineRule="auto"/>
        <w:ind w:left="851" w:hanging="425"/>
      </w:pPr>
      <w:r>
        <w:t>a</w:t>
      </w:r>
      <w:r w:rsidR="00B6258D">
        <w:t>.</w:t>
      </w:r>
      <w:r w:rsidR="00B6258D">
        <w:tab/>
      </w:r>
      <w:r>
        <w:t xml:space="preserve">The lead </w:t>
      </w:r>
      <w:r w:rsidR="475F1C9B">
        <w:t xml:space="preserve">author </w:t>
      </w:r>
      <w:r>
        <w:t>of a draft resolution log</w:t>
      </w:r>
      <w:r w:rsidR="25FBCABA">
        <w:t>s</w:t>
      </w:r>
      <w:r>
        <w:t xml:space="preserve"> </w:t>
      </w:r>
      <w:r w:rsidR="62B30EE6">
        <w:t>into</w:t>
      </w:r>
      <w:r>
        <w:t xml:space="preserve"> the platform</w:t>
      </w:r>
      <w:r w:rsidR="00056DFB">
        <w:t>;</w:t>
      </w:r>
    </w:p>
    <w:p w14:paraId="7A32D36C" w14:textId="370A4104" w:rsidR="77BD0A2D" w:rsidRDefault="764A396E" w:rsidP="00A45EC2">
      <w:pPr>
        <w:spacing w:after="0" w:line="240" w:lineRule="auto"/>
        <w:ind w:left="851" w:hanging="425"/>
      </w:pPr>
      <w:r>
        <w:t>b</w:t>
      </w:r>
      <w:r w:rsidR="00B6258D">
        <w:t>.</w:t>
      </w:r>
      <w:r w:rsidR="00B6258D">
        <w:tab/>
      </w:r>
      <w:r w:rsidR="000D57C8">
        <w:t>T</w:t>
      </w:r>
      <w:r>
        <w:t xml:space="preserve">he lead </w:t>
      </w:r>
      <w:r w:rsidR="00B001B0">
        <w:t xml:space="preserve">author </w:t>
      </w:r>
      <w:r>
        <w:t>upload</w:t>
      </w:r>
      <w:r w:rsidR="45B7E98A">
        <w:t>s</w:t>
      </w:r>
      <w:r>
        <w:t xml:space="preserve"> a first draft of a resolution to a dedicated space </w:t>
      </w:r>
      <w:r w:rsidR="45B7E98A">
        <w:t>on that platform</w:t>
      </w:r>
      <w:r w:rsidR="00633738">
        <w:t>, which has been</w:t>
      </w:r>
      <w:r w:rsidR="45B7E98A">
        <w:t xml:space="preserve"> </w:t>
      </w:r>
      <w:r>
        <w:t xml:space="preserve">prepared by the </w:t>
      </w:r>
      <w:r w:rsidR="79CB484E">
        <w:t>S</w:t>
      </w:r>
      <w:r>
        <w:t>ecretariat</w:t>
      </w:r>
      <w:r w:rsidR="00056DFB">
        <w:t>;</w:t>
      </w:r>
    </w:p>
    <w:p w14:paraId="246E9F57" w14:textId="7474A898" w:rsidR="77BD0A2D" w:rsidRDefault="764A396E" w:rsidP="00A45EC2">
      <w:pPr>
        <w:spacing w:after="0" w:line="240" w:lineRule="auto"/>
        <w:ind w:left="851" w:hanging="425"/>
      </w:pPr>
      <w:r>
        <w:t>c</w:t>
      </w:r>
      <w:r w:rsidR="00B6258D">
        <w:t>.</w:t>
      </w:r>
      <w:r w:rsidR="00B6258D">
        <w:tab/>
      </w:r>
      <w:r w:rsidR="000D57C8">
        <w:t>T</w:t>
      </w:r>
      <w:r>
        <w:t xml:space="preserve">he lead </w:t>
      </w:r>
      <w:r w:rsidR="00FE0322">
        <w:t xml:space="preserve">author </w:t>
      </w:r>
      <w:r>
        <w:t>define</w:t>
      </w:r>
      <w:r w:rsidR="45B7E98A">
        <w:t>s</w:t>
      </w:r>
      <w:r>
        <w:t xml:space="preserve"> </w:t>
      </w:r>
      <w:r w:rsidR="00FE0322">
        <w:t xml:space="preserve">the access rights of </w:t>
      </w:r>
      <w:r>
        <w:t>other members (users of the platform) to the draft, defining the</w:t>
      </w:r>
      <w:r w:rsidR="5B7FBCDB">
        <w:t>ir</w:t>
      </w:r>
      <w:r>
        <w:t xml:space="preserve"> level of access </w:t>
      </w:r>
      <w:r w:rsidR="00326AC0">
        <w:t xml:space="preserve">to the document </w:t>
      </w:r>
      <w:r>
        <w:t>(read</w:t>
      </w:r>
      <w:r w:rsidR="000D57C8">
        <w:t>/</w:t>
      </w:r>
      <w:r>
        <w:t>write</w:t>
      </w:r>
      <w:r w:rsidR="000D57C8">
        <w:t>/</w:t>
      </w:r>
      <w:r>
        <w:t>comment)</w:t>
      </w:r>
      <w:r w:rsidR="00056DFB">
        <w:t>;</w:t>
      </w:r>
    </w:p>
    <w:p w14:paraId="1D8834F6" w14:textId="09F72158" w:rsidR="77BD0A2D" w:rsidRDefault="764A396E" w:rsidP="00A45EC2">
      <w:pPr>
        <w:spacing w:after="0" w:line="240" w:lineRule="auto"/>
        <w:ind w:left="851" w:hanging="425"/>
      </w:pPr>
      <w:r>
        <w:t>d</w:t>
      </w:r>
      <w:r w:rsidR="00B6258D">
        <w:t>.</w:t>
      </w:r>
      <w:r w:rsidR="00B6258D">
        <w:tab/>
      </w:r>
      <w:r w:rsidR="000D57C8">
        <w:t>T</w:t>
      </w:r>
      <w:r>
        <w:t xml:space="preserve">he lead </w:t>
      </w:r>
      <w:r w:rsidR="00326AC0">
        <w:t xml:space="preserve">author </w:t>
      </w:r>
      <w:r>
        <w:t>post</w:t>
      </w:r>
      <w:r w:rsidR="45B7E98A">
        <w:t>s</w:t>
      </w:r>
      <w:r>
        <w:t xml:space="preserve"> a message </w:t>
      </w:r>
      <w:r w:rsidR="00326AC0">
        <w:t xml:space="preserve">on </w:t>
      </w:r>
      <w:r>
        <w:t xml:space="preserve">the </w:t>
      </w:r>
      <w:r w:rsidR="5D1C33FF">
        <w:t xml:space="preserve">platform </w:t>
      </w:r>
      <w:r>
        <w:t xml:space="preserve">to notify the </w:t>
      </w:r>
      <w:r w:rsidR="04226206">
        <w:t>identified members</w:t>
      </w:r>
      <w:r>
        <w:t xml:space="preserve"> about the </w:t>
      </w:r>
      <w:r w:rsidR="2E8934CE">
        <w:t xml:space="preserve">availability of the </w:t>
      </w:r>
      <w:r>
        <w:t>draft</w:t>
      </w:r>
      <w:r w:rsidR="03E135C4">
        <w:t xml:space="preserve"> and </w:t>
      </w:r>
      <w:r w:rsidR="00962486">
        <w:t xml:space="preserve">provide </w:t>
      </w:r>
      <w:r w:rsidR="003A571A">
        <w:t xml:space="preserve">instructions on </w:t>
      </w:r>
      <w:r w:rsidR="03E135C4">
        <w:t xml:space="preserve">how to </w:t>
      </w:r>
      <w:r w:rsidR="45B7E98A">
        <w:t>access</w:t>
      </w:r>
      <w:r>
        <w:t xml:space="preserve"> </w:t>
      </w:r>
      <w:r w:rsidR="003A571A">
        <w:t>it</w:t>
      </w:r>
      <w:r w:rsidR="00056DFB">
        <w:t>;</w:t>
      </w:r>
    </w:p>
    <w:p w14:paraId="0F7A7C05" w14:textId="669DAA6F" w:rsidR="77BD0A2D" w:rsidRDefault="59EE73DD" w:rsidP="00A45EC2">
      <w:pPr>
        <w:spacing w:after="0" w:line="240" w:lineRule="auto"/>
        <w:ind w:left="851" w:hanging="425"/>
      </w:pPr>
      <w:r>
        <w:t>e</w:t>
      </w:r>
      <w:r w:rsidR="00B6258D">
        <w:t>.</w:t>
      </w:r>
      <w:r w:rsidR="00B6258D">
        <w:tab/>
      </w:r>
      <w:r w:rsidR="000D57C8">
        <w:t>D</w:t>
      </w:r>
      <w:r w:rsidR="764A396E">
        <w:t xml:space="preserve">epending on </w:t>
      </w:r>
      <w:r w:rsidR="4C55F463">
        <w:t>a member</w:t>
      </w:r>
      <w:r w:rsidR="00DC49BD">
        <w:t>’</w:t>
      </w:r>
      <w:r w:rsidR="4C55F463">
        <w:t>s</w:t>
      </w:r>
      <w:r w:rsidR="764A396E">
        <w:t xml:space="preserve"> level of access, they </w:t>
      </w:r>
      <w:r w:rsidR="4034EB60">
        <w:t xml:space="preserve">may </w:t>
      </w:r>
      <w:r w:rsidR="45B7E98A">
        <w:t>edit</w:t>
      </w:r>
      <w:r w:rsidR="764A396E">
        <w:t xml:space="preserve"> or comment</w:t>
      </w:r>
      <w:r w:rsidR="001F51C1">
        <w:t xml:space="preserve"> on the draft</w:t>
      </w:r>
      <w:r w:rsidR="00056DFB">
        <w:t>;</w:t>
      </w:r>
    </w:p>
    <w:p w14:paraId="49636771" w14:textId="02845050" w:rsidR="77BD0A2D" w:rsidRDefault="31EEF03A" w:rsidP="00A45EC2">
      <w:pPr>
        <w:spacing w:after="0" w:line="240" w:lineRule="auto"/>
        <w:ind w:left="851" w:hanging="425"/>
      </w:pPr>
      <w:r>
        <w:t>f</w:t>
      </w:r>
      <w:r w:rsidR="00B6258D">
        <w:t>.</w:t>
      </w:r>
      <w:r w:rsidR="00B6258D">
        <w:tab/>
      </w:r>
      <w:r w:rsidR="000D57C8">
        <w:t>C</w:t>
      </w:r>
      <w:r w:rsidR="45B7E98A">
        <w:t xml:space="preserve">ommunication </w:t>
      </w:r>
      <w:r w:rsidR="5EA730C5">
        <w:t>concerning the</w:t>
      </w:r>
      <w:r w:rsidR="45B7E98A">
        <w:t xml:space="preserve"> draft </w:t>
      </w:r>
      <w:r w:rsidR="454C3DBA">
        <w:t>takes place</w:t>
      </w:r>
      <w:r w:rsidR="001F51C1">
        <w:t xml:space="preserve"> </w:t>
      </w:r>
      <w:r w:rsidR="45B7E98A">
        <w:t>through discussion threads</w:t>
      </w:r>
      <w:r w:rsidR="00EF645E">
        <w:t xml:space="preserve"> and chats</w:t>
      </w:r>
      <w:r w:rsidR="23681133">
        <w:t xml:space="preserve"> within the platform</w:t>
      </w:r>
      <w:r w:rsidR="00056DFB">
        <w:t>;</w:t>
      </w:r>
      <w:r w:rsidR="00B6258D">
        <w:t xml:space="preserve"> and</w:t>
      </w:r>
    </w:p>
    <w:p w14:paraId="5B0F4CF8" w14:textId="155947D3" w:rsidR="77BD0A2D" w:rsidRDefault="338A4DD4" w:rsidP="00A45EC2">
      <w:pPr>
        <w:spacing w:after="0" w:line="240" w:lineRule="auto"/>
        <w:ind w:left="851" w:hanging="425"/>
      </w:pPr>
      <w:r>
        <w:t>g</w:t>
      </w:r>
      <w:r w:rsidR="00B6258D">
        <w:t>.</w:t>
      </w:r>
      <w:r w:rsidR="00B6258D">
        <w:tab/>
      </w:r>
      <w:r w:rsidR="000D57C8">
        <w:t>O</w:t>
      </w:r>
      <w:r w:rsidR="0F85AAE2">
        <w:t xml:space="preserve">nce a defined period of time </w:t>
      </w:r>
      <w:r w:rsidR="00D20275">
        <w:t xml:space="preserve">for edits and comments </w:t>
      </w:r>
      <w:r w:rsidR="0F85AAE2">
        <w:t xml:space="preserve">has ended, </w:t>
      </w:r>
      <w:r w:rsidR="764A396E">
        <w:t xml:space="preserve">the lead </w:t>
      </w:r>
      <w:r w:rsidR="00D20275">
        <w:t xml:space="preserve">author </w:t>
      </w:r>
      <w:r w:rsidR="764A396E">
        <w:t>consolidates and finalizes the document.</w:t>
      </w:r>
    </w:p>
    <w:p w14:paraId="5943EC74" w14:textId="13CED805" w:rsidR="75414F64" w:rsidRDefault="75414F64" w:rsidP="00A45EC2">
      <w:pPr>
        <w:spacing w:after="0" w:line="240" w:lineRule="auto"/>
      </w:pPr>
    </w:p>
    <w:p w14:paraId="1795D379" w14:textId="16487FCB" w:rsidR="7B6C581D" w:rsidRDefault="27C2B34F" w:rsidP="00A45EC2">
      <w:pPr>
        <w:spacing w:after="0" w:line="240" w:lineRule="auto"/>
        <w:ind w:left="426" w:hanging="426"/>
      </w:pPr>
      <w:r>
        <w:t>1</w:t>
      </w:r>
      <w:r w:rsidR="00277D16">
        <w:t>4</w:t>
      </w:r>
      <w:r>
        <w:t>.</w:t>
      </w:r>
      <w:r w:rsidR="00450786">
        <w:tab/>
      </w:r>
      <w:r>
        <w:t xml:space="preserve">The benefits of this </w:t>
      </w:r>
      <w:r w:rsidR="2EB67DE8">
        <w:t xml:space="preserve">second </w:t>
      </w:r>
      <w:r w:rsidR="0818CDF6">
        <w:t>approach</w:t>
      </w:r>
      <w:r>
        <w:t xml:space="preserve"> </w:t>
      </w:r>
      <w:r w:rsidR="6D0E08A9">
        <w:t xml:space="preserve">would </w:t>
      </w:r>
      <w:r w:rsidR="750C4D95">
        <w:t>be enhanced</w:t>
      </w:r>
      <w:r w:rsidR="6D0E08A9">
        <w:t xml:space="preserve"> functionality that would enable Parties to access multiple documents</w:t>
      </w:r>
      <w:r w:rsidR="009A58D8">
        <w:t xml:space="preserve"> within the same space</w:t>
      </w:r>
      <w:r w:rsidR="6D0E08A9">
        <w:t xml:space="preserve">, both comment </w:t>
      </w:r>
      <w:r w:rsidR="62D6AE7B">
        <w:t xml:space="preserve">on </w:t>
      </w:r>
      <w:r w:rsidR="6D0E08A9">
        <w:t>and edit documents</w:t>
      </w:r>
      <w:r w:rsidR="04E2C669">
        <w:t xml:space="preserve">, and engage in </w:t>
      </w:r>
      <w:r w:rsidR="6D0E08A9">
        <w:t xml:space="preserve">discussion </w:t>
      </w:r>
      <w:r w:rsidR="5C8BD057">
        <w:t>threads.</w:t>
      </w:r>
      <w:r w:rsidR="00317253">
        <w:t xml:space="preserve"> The ability to edit documents would be the key element of enhanced functionality</w:t>
      </w:r>
      <w:r w:rsidR="00C65CC5">
        <w:t xml:space="preserve"> available with this approach</w:t>
      </w:r>
      <w:r w:rsidR="00317253">
        <w:t>.</w:t>
      </w:r>
      <w:r w:rsidR="5C8BD057">
        <w:t xml:space="preserve"> </w:t>
      </w:r>
      <w:r w:rsidR="4A9D74EE">
        <w:t xml:space="preserve">This approach would require </w:t>
      </w:r>
      <w:r w:rsidR="0FDA4F6F">
        <w:t>setting up a suite of tools that integrate communication (written</w:t>
      </w:r>
      <w:r w:rsidR="275663AF">
        <w:t>,</w:t>
      </w:r>
      <w:r w:rsidR="0FDA4F6F">
        <w:t xml:space="preserve"> </w:t>
      </w:r>
      <w:r w:rsidR="009A58D8">
        <w:t xml:space="preserve">potentially </w:t>
      </w:r>
      <w:r w:rsidR="0FDA4F6F">
        <w:t>voice and video)</w:t>
      </w:r>
      <w:r w:rsidR="00A4089F">
        <w:t xml:space="preserve">, </w:t>
      </w:r>
      <w:r w:rsidR="009A58D8">
        <w:t xml:space="preserve">maintaining </w:t>
      </w:r>
      <w:r w:rsidR="0FDA4F6F">
        <w:t>spaces for</w:t>
      </w:r>
      <w:r w:rsidR="3B2B06D3">
        <w:t xml:space="preserve"> contact lists and</w:t>
      </w:r>
      <w:r w:rsidR="0FDA4F6F">
        <w:t xml:space="preserve"> document storage</w:t>
      </w:r>
      <w:r w:rsidR="6515F89C">
        <w:t>. It would invol</w:t>
      </w:r>
      <w:r w:rsidR="009A58D8">
        <w:t>v</w:t>
      </w:r>
      <w:r w:rsidR="6515F89C">
        <w:t>e</w:t>
      </w:r>
      <w:r w:rsidR="00F67D99">
        <w:t xml:space="preserve"> </w:t>
      </w:r>
      <w:r w:rsidR="3B2B06D3">
        <w:t xml:space="preserve">creating </w:t>
      </w:r>
      <w:r w:rsidR="0B42C4C6">
        <w:t xml:space="preserve">user </w:t>
      </w:r>
      <w:r w:rsidR="3B2B06D3">
        <w:t xml:space="preserve">logins </w:t>
      </w:r>
      <w:r w:rsidR="68067836">
        <w:t>with</w:t>
      </w:r>
      <w:r w:rsidR="0FDA4F6F">
        <w:t xml:space="preserve"> control</w:t>
      </w:r>
      <w:r w:rsidR="68067836">
        <w:t>led</w:t>
      </w:r>
      <w:r w:rsidR="0FDA4F6F">
        <w:t xml:space="preserve"> access rights </w:t>
      </w:r>
      <w:r w:rsidR="275663AF">
        <w:t xml:space="preserve">based on </w:t>
      </w:r>
      <w:r w:rsidR="00416E10">
        <w:t xml:space="preserve">defined </w:t>
      </w:r>
      <w:r w:rsidR="275663AF">
        <w:t>user roles</w:t>
      </w:r>
      <w:r w:rsidR="7221BCA2">
        <w:t xml:space="preserve"> such as the ability to edit</w:t>
      </w:r>
      <w:r w:rsidR="0FDA4F6F">
        <w:t xml:space="preserve">. </w:t>
      </w:r>
      <w:r w:rsidR="4D75EEAF">
        <w:t>Due to its</w:t>
      </w:r>
      <w:r w:rsidR="6FF2ED04">
        <w:t xml:space="preserve"> higher complexity</w:t>
      </w:r>
      <w:r w:rsidR="5D07A549">
        <w:t>,</w:t>
      </w:r>
      <w:r w:rsidR="6FF2ED04">
        <w:t xml:space="preserve"> a</w:t>
      </w:r>
      <w:r w:rsidR="3B2B06D3">
        <w:t xml:space="preserve"> clear definition of processes </w:t>
      </w:r>
      <w:r w:rsidR="72C2E794">
        <w:t>would be</w:t>
      </w:r>
      <w:r w:rsidR="3B2B06D3">
        <w:t xml:space="preserve"> necessary, including </w:t>
      </w:r>
      <w:r w:rsidR="57A8E451">
        <w:t xml:space="preserve">a </w:t>
      </w:r>
      <w:r w:rsidR="68067836">
        <w:t>rights matrix</w:t>
      </w:r>
      <w:r w:rsidR="00317253">
        <w:t xml:space="preserve"> which would define </w:t>
      </w:r>
      <w:r w:rsidR="003D25C5">
        <w:t>which individuals had which rights (e.g. the right to edit)</w:t>
      </w:r>
      <w:r w:rsidR="68067836">
        <w:t xml:space="preserve">, </w:t>
      </w:r>
      <w:r w:rsidR="3B2B06D3">
        <w:t xml:space="preserve">review </w:t>
      </w:r>
      <w:r w:rsidR="51F56080">
        <w:t xml:space="preserve">of </w:t>
      </w:r>
      <w:r w:rsidR="3B2B06D3">
        <w:t xml:space="preserve">workflows and naming conventions. </w:t>
      </w:r>
      <w:r w:rsidR="6FF2ED04">
        <w:t>M</w:t>
      </w:r>
      <w:r w:rsidR="275663AF">
        <w:t xml:space="preserve">aintaining such a system </w:t>
      </w:r>
      <w:r w:rsidR="283AF79B">
        <w:t xml:space="preserve">would </w:t>
      </w:r>
      <w:r w:rsidR="275663AF">
        <w:t xml:space="preserve">require resources from the </w:t>
      </w:r>
      <w:r w:rsidR="19B04095">
        <w:t>S</w:t>
      </w:r>
      <w:r w:rsidR="275663AF">
        <w:t>ecretariat</w:t>
      </w:r>
      <w:r w:rsidR="00A92F3E">
        <w:t xml:space="preserve">, </w:t>
      </w:r>
      <w:r w:rsidR="275663AF">
        <w:t xml:space="preserve">training and </w:t>
      </w:r>
      <w:r w:rsidR="68989DA9">
        <w:t>ongoing</w:t>
      </w:r>
      <w:r w:rsidR="275663AF">
        <w:t xml:space="preserve"> support </w:t>
      </w:r>
      <w:r w:rsidR="39115BEE">
        <w:t>to</w:t>
      </w:r>
      <w:r w:rsidR="275663AF">
        <w:t xml:space="preserve"> users. Depending on the choice of tools</w:t>
      </w:r>
      <w:r w:rsidR="1DCCC7EF">
        <w:t>,</w:t>
      </w:r>
      <w:r w:rsidR="275663AF">
        <w:t xml:space="preserve"> additional license</w:t>
      </w:r>
      <w:r w:rsidR="3342B702">
        <w:t>s</w:t>
      </w:r>
      <w:r w:rsidR="275663AF">
        <w:t xml:space="preserve"> and/or hosting fees</w:t>
      </w:r>
      <w:r w:rsidR="0486E89E">
        <w:t xml:space="preserve"> would</w:t>
      </w:r>
      <w:r w:rsidR="275663AF">
        <w:t xml:space="preserve"> occur</w:t>
      </w:r>
      <w:r w:rsidR="4A9D74EE">
        <w:t xml:space="preserve">. Should Parties want to pursue this approach, it is recommended that </w:t>
      </w:r>
      <w:r w:rsidR="278B90A8">
        <w:t>the approach be piloted by a</w:t>
      </w:r>
      <w:r w:rsidR="005E6C4C">
        <w:t>n established</w:t>
      </w:r>
      <w:r w:rsidR="278B90A8">
        <w:t xml:space="preserve"> </w:t>
      </w:r>
      <w:r w:rsidR="00AE7568">
        <w:t xml:space="preserve">working group </w:t>
      </w:r>
      <w:r w:rsidR="278B90A8">
        <w:t xml:space="preserve">to </w:t>
      </w:r>
      <w:r w:rsidR="278B90A8">
        <w:lastRenderedPageBreak/>
        <w:t>assess the utilization</w:t>
      </w:r>
      <w:r w:rsidR="4D45DFB5">
        <w:t xml:space="preserve"> of available tools</w:t>
      </w:r>
      <w:r w:rsidR="41BBA720">
        <w:t xml:space="preserve">, </w:t>
      </w:r>
      <w:r w:rsidR="5C773343">
        <w:t xml:space="preserve">overall </w:t>
      </w:r>
      <w:r w:rsidR="278B90A8">
        <w:t>value provided</w:t>
      </w:r>
      <w:r w:rsidR="18D29731">
        <w:t>,</w:t>
      </w:r>
      <w:r w:rsidR="6CC9623C">
        <w:t xml:space="preserve"> and user feedback of the approach to determine </w:t>
      </w:r>
      <w:r w:rsidR="094FC790">
        <w:t>the suitability of the approach</w:t>
      </w:r>
      <w:r w:rsidR="6CC9623C">
        <w:t xml:space="preserve"> </w:t>
      </w:r>
      <w:r w:rsidR="00D45C4D">
        <w:t>before broader implementation</w:t>
      </w:r>
      <w:r w:rsidR="6CC9623C">
        <w:t>.</w:t>
      </w:r>
    </w:p>
    <w:p w14:paraId="2D7DFA50" w14:textId="60BC601F" w:rsidR="76E3F2D8" w:rsidRDefault="76E3F2D8" w:rsidP="00A45EC2">
      <w:pPr>
        <w:spacing w:after="0" w:line="240" w:lineRule="auto"/>
        <w:ind w:left="426" w:hanging="426"/>
      </w:pPr>
    </w:p>
    <w:p w14:paraId="1CD52BBE" w14:textId="3E90FA35" w:rsidR="6B98A8DA" w:rsidRDefault="6BCAF129" w:rsidP="00A45EC2">
      <w:pPr>
        <w:spacing w:after="0" w:line="240" w:lineRule="auto"/>
        <w:ind w:left="426" w:hanging="426"/>
      </w:pPr>
      <w:r>
        <w:t>1</w:t>
      </w:r>
      <w:r w:rsidR="00277D16">
        <w:t>5</w:t>
      </w:r>
      <w:r>
        <w:t>.</w:t>
      </w:r>
      <w:r w:rsidR="6B98A8DA">
        <w:tab/>
      </w:r>
      <w:r>
        <w:t>A matrix comparing the functionality, costs and support required for the two options is presented as Annex 1</w:t>
      </w:r>
      <w:r w:rsidR="2A54FD25">
        <w:t>.</w:t>
      </w:r>
    </w:p>
    <w:p w14:paraId="5ADCF37A" w14:textId="765CE92F" w:rsidR="75414F64" w:rsidRDefault="75414F64" w:rsidP="00A45EC2">
      <w:pPr>
        <w:spacing w:after="0" w:line="240" w:lineRule="auto"/>
        <w:ind w:left="426" w:hanging="426"/>
      </w:pPr>
    </w:p>
    <w:p w14:paraId="2E9EDBD3" w14:textId="4CB7B15E" w:rsidR="00F87AAF" w:rsidRDefault="6CC9623C" w:rsidP="00A45EC2">
      <w:pPr>
        <w:spacing w:after="0" w:line="240" w:lineRule="auto"/>
        <w:ind w:left="426" w:hanging="426"/>
      </w:pPr>
      <w:r>
        <w:t>1</w:t>
      </w:r>
      <w:r w:rsidR="00277D16">
        <w:t>6</w:t>
      </w:r>
      <w:r>
        <w:t>.</w:t>
      </w:r>
      <w:r w:rsidR="7EE289AD">
        <w:tab/>
      </w:r>
      <w:r>
        <w:t xml:space="preserve">It is important to note that neither approach fully overcomes the challenge </w:t>
      </w:r>
      <w:r w:rsidR="00057F1B">
        <w:t>of</w:t>
      </w:r>
      <w:r>
        <w:t xml:space="preserve"> working in </w:t>
      </w:r>
      <w:r w:rsidR="00057F1B">
        <w:t xml:space="preserve">the </w:t>
      </w:r>
      <w:r>
        <w:t xml:space="preserve">three </w:t>
      </w:r>
      <w:r w:rsidR="00057F1B">
        <w:t xml:space="preserve">official </w:t>
      </w:r>
      <w:r>
        <w:t>languages</w:t>
      </w:r>
      <w:r w:rsidR="00057F1B">
        <w:t xml:space="preserve"> of the </w:t>
      </w:r>
      <w:r w:rsidR="00AF5895">
        <w:t>Convention</w:t>
      </w:r>
      <w:r>
        <w:t xml:space="preserve">. </w:t>
      </w:r>
      <w:r w:rsidR="45CC3DAD">
        <w:t xml:space="preserve">While there are multiple solutions for live interpretation of virtual meetings including </w:t>
      </w:r>
      <w:r w:rsidR="30C6A1D4">
        <w:t>Kudo</w:t>
      </w:r>
      <w:r w:rsidR="00863691">
        <w:t xml:space="preserve"> </w:t>
      </w:r>
      <w:r w:rsidR="45CC3DAD">
        <w:t>and Zoom</w:t>
      </w:r>
      <w:r w:rsidR="00057F1B">
        <w:t>,</w:t>
      </w:r>
      <w:r w:rsidR="45CC3DAD">
        <w:t xml:space="preserve"> </w:t>
      </w:r>
      <w:r w:rsidR="584228BD">
        <w:t>which</w:t>
      </w:r>
      <w:r w:rsidR="45CC3DAD">
        <w:t xml:space="preserve"> have been used by the Secretariat, </w:t>
      </w:r>
      <w:r w:rsidR="71442298">
        <w:t xml:space="preserve">online collaboration </w:t>
      </w:r>
      <w:r w:rsidR="0091579B">
        <w:t xml:space="preserve">on document </w:t>
      </w:r>
      <w:r w:rsidR="71442298">
        <w:t>in multiple languages remains difficult. T</w:t>
      </w:r>
      <w:r w:rsidR="03F2CC3C">
        <w:t>o the knowledge of the Secretariat, OneOff-Tech and the interviewed MEAs</w:t>
      </w:r>
      <w:r w:rsidR="0015404B">
        <w:t>,</w:t>
      </w:r>
      <w:r w:rsidR="03F2CC3C">
        <w:t xml:space="preserve"> </w:t>
      </w:r>
      <w:r w:rsidR="00F24477">
        <w:t>no such tools are available.</w:t>
      </w:r>
    </w:p>
    <w:p w14:paraId="581945A1" w14:textId="77777777" w:rsidR="00F87AAF" w:rsidRDefault="00F87AAF" w:rsidP="00A45EC2">
      <w:pPr>
        <w:spacing w:after="0" w:line="240" w:lineRule="auto"/>
      </w:pPr>
    </w:p>
    <w:p w14:paraId="26FCA63C" w14:textId="18926085" w:rsidR="1124270D" w:rsidRDefault="28A400FD" w:rsidP="00A45EC2">
      <w:pPr>
        <w:spacing w:after="0" w:line="240" w:lineRule="auto"/>
        <w:rPr>
          <w:b/>
          <w:bCs/>
        </w:rPr>
      </w:pPr>
      <w:r w:rsidRPr="7B66E596">
        <w:rPr>
          <w:b/>
          <w:bCs/>
        </w:rPr>
        <w:t>Recommendation of the Secretariat</w:t>
      </w:r>
    </w:p>
    <w:p w14:paraId="7663072B" w14:textId="5F4EC6B4" w:rsidR="7B66E596" w:rsidRDefault="7B66E596" w:rsidP="00A45EC2">
      <w:pPr>
        <w:spacing w:after="0" w:line="240" w:lineRule="auto"/>
        <w:rPr>
          <w:b/>
          <w:bCs/>
        </w:rPr>
      </w:pPr>
    </w:p>
    <w:p w14:paraId="55246124" w14:textId="0EC9CB48" w:rsidR="00646DB2" w:rsidRDefault="310031ED" w:rsidP="00A45EC2">
      <w:pPr>
        <w:spacing w:after="0" w:line="240" w:lineRule="auto"/>
        <w:ind w:left="426" w:hanging="426"/>
        <w:rPr>
          <w:b/>
          <w:bCs/>
        </w:rPr>
      </w:pPr>
      <w:r w:rsidRPr="00450786">
        <w:t>1</w:t>
      </w:r>
      <w:r w:rsidR="00277D16">
        <w:t>7</w:t>
      </w:r>
      <w:r w:rsidRPr="00B6258D">
        <w:rPr>
          <w:bCs/>
        </w:rPr>
        <w:t>.</w:t>
      </w:r>
      <w:r>
        <w:tab/>
      </w:r>
      <w:r w:rsidR="58C6B7AF">
        <w:t>It is the view of the Secretariat that the needs and interests of Parties</w:t>
      </w:r>
      <w:r w:rsidR="00265AD4">
        <w:t>,</w:t>
      </w:r>
      <w:r w:rsidR="58C6B7AF">
        <w:t xml:space="preserve"> as described in paragraph 12 of Resolution XIV.3</w:t>
      </w:r>
      <w:r w:rsidR="00265AD4">
        <w:t>,</w:t>
      </w:r>
      <w:r w:rsidR="58C6B7AF">
        <w:t xml:space="preserve"> can </w:t>
      </w:r>
      <w:r w:rsidR="00265AD4">
        <w:t xml:space="preserve">be </w:t>
      </w:r>
      <w:r w:rsidR="58C6B7AF">
        <w:t>largely met through approach</w:t>
      </w:r>
      <w:r w:rsidR="7ADCB3EF">
        <w:t xml:space="preserve"> 1</w:t>
      </w:r>
      <w:r w:rsidR="58C6B7AF">
        <w:t xml:space="preserve"> utili</w:t>
      </w:r>
      <w:r w:rsidR="6B7648B9">
        <w:t>zing existing tools and resources. The Secretariat propose</w:t>
      </w:r>
      <w:r w:rsidR="7407D9DC">
        <w:t>s, subject to Standing Committee approval,</w:t>
      </w:r>
      <w:r w:rsidR="6B7648B9">
        <w:t xml:space="preserve"> </w:t>
      </w:r>
      <w:r w:rsidR="0023498E">
        <w:t xml:space="preserve">presenting a plan </w:t>
      </w:r>
      <w:r w:rsidR="00517D62">
        <w:t xml:space="preserve">to </w:t>
      </w:r>
      <w:r w:rsidR="0079360F">
        <w:t>the 63rd meeting of the Standing Committee (</w:t>
      </w:r>
      <w:r w:rsidR="00517D62">
        <w:t>SC63</w:t>
      </w:r>
      <w:r w:rsidR="0079360F">
        <w:t>)</w:t>
      </w:r>
      <w:r w:rsidR="00517D62">
        <w:t xml:space="preserve"> </w:t>
      </w:r>
      <w:r w:rsidR="0023498E">
        <w:t xml:space="preserve">for </w:t>
      </w:r>
      <w:r w:rsidR="000C1FBD">
        <w:t>implementing and utilizing this approach</w:t>
      </w:r>
      <w:r w:rsidR="00517D62">
        <w:t xml:space="preserve"> </w:t>
      </w:r>
      <w:r w:rsidR="2919FA05">
        <w:t xml:space="preserve">to enhance collaboration </w:t>
      </w:r>
      <w:r w:rsidR="39135572">
        <w:t>in the preparation of draft resolutions for consideration by COP15.</w:t>
      </w:r>
      <w:r w:rsidR="00646DB2">
        <w:rPr>
          <w:b/>
          <w:bCs/>
        </w:rPr>
        <w:br w:type="page"/>
      </w:r>
    </w:p>
    <w:p w14:paraId="2E3BD407" w14:textId="6AF6A83E" w:rsidR="75414F64" w:rsidRPr="005E6C4C" w:rsidRDefault="00AB497F" w:rsidP="75414F64">
      <w:pPr>
        <w:spacing w:after="0" w:line="240" w:lineRule="auto"/>
        <w:rPr>
          <w:b/>
          <w:bCs/>
          <w:sz w:val="24"/>
          <w:szCs w:val="24"/>
        </w:rPr>
      </w:pPr>
      <w:r w:rsidRPr="005E6C4C">
        <w:rPr>
          <w:b/>
          <w:bCs/>
          <w:sz w:val="24"/>
          <w:szCs w:val="24"/>
        </w:rPr>
        <w:lastRenderedPageBreak/>
        <w:t>Annex 1</w:t>
      </w:r>
    </w:p>
    <w:p w14:paraId="13A13FC6" w14:textId="2934A844" w:rsidR="00AB497F" w:rsidRPr="005E6C4C" w:rsidRDefault="00AB497F" w:rsidP="75414F64">
      <w:pPr>
        <w:spacing w:after="0" w:line="240" w:lineRule="auto"/>
        <w:rPr>
          <w:b/>
          <w:bCs/>
          <w:sz w:val="24"/>
          <w:szCs w:val="24"/>
        </w:rPr>
      </w:pPr>
      <w:r w:rsidRPr="005E6C4C">
        <w:rPr>
          <w:b/>
          <w:bCs/>
          <w:sz w:val="24"/>
          <w:szCs w:val="24"/>
        </w:rPr>
        <w:t>Matrix comparing the functionality, costs and support required for the two proposed approaches</w:t>
      </w:r>
    </w:p>
    <w:p w14:paraId="466B7897" w14:textId="77777777" w:rsidR="00AB497F" w:rsidRDefault="00AB497F" w:rsidP="75414F64">
      <w:pPr>
        <w:spacing w:after="0" w:line="240" w:lineRule="auto"/>
        <w:rPr>
          <w:b/>
          <w:bCs/>
        </w:rPr>
      </w:pPr>
    </w:p>
    <w:p w14:paraId="3D966470" w14:textId="7D9E548A" w:rsidR="75414F64" w:rsidRDefault="75414F64" w:rsidP="75414F64">
      <w:pPr>
        <w:spacing w:after="0" w:line="240" w:lineRule="auto"/>
        <w:ind w:left="426" w:hanging="426"/>
      </w:pPr>
    </w:p>
    <w:tbl>
      <w:tblPr>
        <w:tblStyle w:val="ListTable4-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13"/>
        <w:gridCol w:w="1813"/>
        <w:gridCol w:w="1814"/>
        <w:gridCol w:w="1813"/>
        <w:gridCol w:w="1814"/>
      </w:tblGrid>
      <w:tr w:rsidR="004C4299" w:rsidRPr="00DC49BD" w14:paraId="188D118C" w14:textId="77777777" w:rsidTr="00DC4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7B098A69" w14:textId="77777777" w:rsidR="004C4299" w:rsidRPr="00DC49BD" w:rsidRDefault="004C4299" w:rsidP="00DC49BD">
            <w:pPr>
              <w:jc w:val="center"/>
            </w:pPr>
          </w:p>
        </w:tc>
        <w:tc>
          <w:tcPr>
            <w:tcW w:w="1813" w:type="dxa"/>
          </w:tcPr>
          <w:p w14:paraId="380FD43B" w14:textId="58F8AC0F" w:rsidR="004C4299" w:rsidRPr="00DC49BD" w:rsidRDefault="004C4299" w:rsidP="00DC49BD">
            <w:pPr>
              <w:jc w:val="center"/>
              <w:cnfStyle w:val="100000000000" w:firstRow="1" w:lastRow="0" w:firstColumn="0" w:lastColumn="0" w:oddVBand="0" w:evenVBand="0" w:oddHBand="0" w:evenHBand="0" w:firstRowFirstColumn="0" w:firstRowLastColumn="0" w:lastRowFirstColumn="0" w:lastRowLastColumn="0"/>
            </w:pPr>
            <w:r w:rsidRPr="00DC49BD">
              <w:t>Approach</w:t>
            </w:r>
            <w:r w:rsidR="00AB497F" w:rsidRPr="00DC49BD">
              <w:t xml:space="preserve"> 1</w:t>
            </w:r>
          </w:p>
        </w:tc>
        <w:tc>
          <w:tcPr>
            <w:tcW w:w="1814" w:type="dxa"/>
          </w:tcPr>
          <w:p w14:paraId="524DBF76" w14:textId="6609BD25" w:rsidR="004C4299" w:rsidRPr="00DC49BD" w:rsidRDefault="009F00A3" w:rsidP="00DC49BD">
            <w:pPr>
              <w:jc w:val="center"/>
              <w:cnfStyle w:val="100000000000" w:firstRow="1" w:lastRow="0" w:firstColumn="0" w:lastColumn="0" w:oddVBand="0" w:evenVBand="0" w:oddHBand="0" w:evenHBand="0" w:firstRowFirstColumn="0" w:firstRowLastColumn="0" w:lastRowFirstColumn="0" w:lastRowLastColumn="0"/>
            </w:pPr>
            <w:r w:rsidRPr="00DC49BD">
              <w:t xml:space="preserve">Required </w:t>
            </w:r>
            <w:r w:rsidR="002777C7" w:rsidRPr="00DC49BD">
              <w:t>s</w:t>
            </w:r>
            <w:r w:rsidRPr="00DC49BD">
              <w:t>upport</w:t>
            </w:r>
          </w:p>
        </w:tc>
        <w:tc>
          <w:tcPr>
            <w:tcW w:w="1813" w:type="dxa"/>
          </w:tcPr>
          <w:p w14:paraId="0BB6FE84" w14:textId="56ED99B5" w:rsidR="004C4299" w:rsidRPr="00DC49BD" w:rsidRDefault="004C4299" w:rsidP="00DC49BD">
            <w:pPr>
              <w:jc w:val="center"/>
              <w:cnfStyle w:val="100000000000" w:firstRow="1" w:lastRow="0" w:firstColumn="0" w:lastColumn="0" w:oddVBand="0" w:evenVBand="0" w:oddHBand="0" w:evenHBand="0" w:firstRowFirstColumn="0" w:firstRowLastColumn="0" w:lastRowFirstColumn="0" w:lastRowLastColumn="0"/>
            </w:pPr>
            <w:r w:rsidRPr="00DC49BD">
              <w:t>Approach</w:t>
            </w:r>
            <w:r w:rsidR="00AB497F" w:rsidRPr="00DC49BD">
              <w:t xml:space="preserve"> 2</w:t>
            </w:r>
          </w:p>
        </w:tc>
        <w:tc>
          <w:tcPr>
            <w:tcW w:w="1814" w:type="dxa"/>
          </w:tcPr>
          <w:p w14:paraId="064ECFF8" w14:textId="1EAA2F8D" w:rsidR="004C4299" w:rsidRPr="00DC49BD" w:rsidRDefault="009F00A3" w:rsidP="00DC49BD">
            <w:pPr>
              <w:jc w:val="center"/>
              <w:cnfStyle w:val="100000000000" w:firstRow="1" w:lastRow="0" w:firstColumn="0" w:lastColumn="0" w:oddVBand="0" w:evenVBand="0" w:oddHBand="0" w:evenHBand="0" w:firstRowFirstColumn="0" w:firstRowLastColumn="0" w:lastRowFirstColumn="0" w:lastRowLastColumn="0"/>
            </w:pPr>
            <w:r w:rsidRPr="00DC49BD">
              <w:t xml:space="preserve">Required </w:t>
            </w:r>
            <w:r w:rsidR="002777C7" w:rsidRPr="00DC49BD">
              <w:t>s</w:t>
            </w:r>
            <w:r w:rsidRPr="00DC49BD">
              <w:t>upport</w:t>
            </w:r>
          </w:p>
        </w:tc>
      </w:tr>
      <w:tr w:rsidR="002E021B" w:rsidRPr="00DC49BD" w14:paraId="25FDFC1F" w14:textId="77777777" w:rsidTr="00DC49BD">
        <w:tc>
          <w:tcPr>
            <w:cnfStyle w:val="001000000000" w:firstRow="0" w:lastRow="0" w:firstColumn="1" w:lastColumn="0" w:oddVBand="0" w:evenVBand="0" w:oddHBand="0" w:evenHBand="0" w:firstRowFirstColumn="0" w:firstRowLastColumn="0" w:lastRowFirstColumn="0" w:lastRowLastColumn="0"/>
            <w:tcW w:w="1813" w:type="dxa"/>
          </w:tcPr>
          <w:p w14:paraId="2F89F71E" w14:textId="77777777" w:rsidR="002E021B" w:rsidRPr="00DC49BD" w:rsidRDefault="002E021B" w:rsidP="005D6A22">
            <w:r w:rsidRPr="00DC49BD">
              <w:t>Contacts</w:t>
            </w:r>
          </w:p>
        </w:tc>
        <w:tc>
          <w:tcPr>
            <w:tcW w:w="1813" w:type="dxa"/>
            <w:shd w:val="clear" w:color="auto" w:fill="D9E2F3" w:themeFill="accent1" w:themeFillTint="33"/>
          </w:tcPr>
          <w:p w14:paraId="5ADA0114" w14:textId="77777777" w:rsidR="002E021B" w:rsidRPr="00DC49BD" w:rsidRDefault="002E021B" w:rsidP="00D005C3">
            <w:pPr>
              <w:cnfStyle w:val="000000000000" w:firstRow="0" w:lastRow="0" w:firstColumn="0" w:lastColumn="0" w:oddVBand="0" w:evenVBand="0" w:oddHBand="0" w:evenHBand="0" w:firstRowFirstColumn="0" w:firstRowLastColumn="0" w:lastRowFirstColumn="0" w:lastRowLastColumn="0"/>
            </w:pPr>
            <w:r w:rsidRPr="00DC49BD">
              <w:t>Contacts available on the CRM</w:t>
            </w:r>
          </w:p>
        </w:tc>
        <w:tc>
          <w:tcPr>
            <w:tcW w:w="1814" w:type="dxa"/>
          </w:tcPr>
          <w:p w14:paraId="78684B88" w14:textId="77777777" w:rsidR="002E021B" w:rsidRPr="00DC49BD" w:rsidRDefault="002E021B" w:rsidP="00D005C3">
            <w:pPr>
              <w:cnfStyle w:val="000000000000" w:firstRow="0" w:lastRow="0" w:firstColumn="0" w:lastColumn="0" w:oddVBand="0" w:evenVBand="0" w:oddHBand="0" w:evenHBand="0" w:firstRowFirstColumn="0" w:firstRowLastColumn="0" w:lastRowFirstColumn="0" w:lastRowLastColumn="0"/>
            </w:pPr>
            <w:r w:rsidRPr="00DC49BD">
              <w:t>Medium - Creation of online lists for consultation</w:t>
            </w:r>
          </w:p>
        </w:tc>
        <w:tc>
          <w:tcPr>
            <w:tcW w:w="1813" w:type="dxa"/>
            <w:shd w:val="clear" w:color="auto" w:fill="D9E2F3" w:themeFill="accent1" w:themeFillTint="33"/>
          </w:tcPr>
          <w:p w14:paraId="5426967E" w14:textId="77777777" w:rsidR="002E021B" w:rsidRPr="00DC49BD" w:rsidRDefault="002E021B" w:rsidP="00D005C3">
            <w:pPr>
              <w:cnfStyle w:val="000000000000" w:firstRow="0" w:lastRow="0" w:firstColumn="0" w:lastColumn="0" w:oddVBand="0" w:evenVBand="0" w:oddHBand="0" w:evenHBand="0" w:firstRowFirstColumn="0" w:firstRowLastColumn="0" w:lastRowFirstColumn="0" w:lastRowLastColumn="0"/>
            </w:pPr>
            <w:r w:rsidRPr="00DC49BD">
              <w:t>Contacts available in platform linked to users</w:t>
            </w:r>
          </w:p>
        </w:tc>
        <w:tc>
          <w:tcPr>
            <w:tcW w:w="1814" w:type="dxa"/>
          </w:tcPr>
          <w:p w14:paraId="676843CD" w14:textId="77777777" w:rsidR="002E021B" w:rsidRPr="00DC49BD" w:rsidRDefault="002E021B" w:rsidP="00D005C3">
            <w:pPr>
              <w:cnfStyle w:val="000000000000" w:firstRow="0" w:lastRow="0" w:firstColumn="0" w:lastColumn="0" w:oddVBand="0" w:evenVBand="0" w:oddHBand="0" w:evenHBand="0" w:firstRowFirstColumn="0" w:firstRowLastColumn="0" w:lastRowFirstColumn="0" w:lastRowLastColumn="0"/>
            </w:pPr>
            <w:r w:rsidRPr="00DC49BD">
              <w:t>High - Synchronization of lists from CRM to platform</w:t>
            </w:r>
          </w:p>
        </w:tc>
      </w:tr>
      <w:tr w:rsidR="004C4299" w:rsidRPr="00DC49BD" w14:paraId="6990A8EA" w14:textId="77777777" w:rsidTr="00DC49BD">
        <w:tc>
          <w:tcPr>
            <w:cnfStyle w:val="001000000000" w:firstRow="0" w:lastRow="0" w:firstColumn="1" w:lastColumn="0" w:oddVBand="0" w:evenVBand="0" w:oddHBand="0" w:evenHBand="0" w:firstRowFirstColumn="0" w:firstRowLastColumn="0" w:lastRowFirstColumn="0" w:lastRowLastColumn="0"/>
            <w:tcW w:w="1813" w:type="dxa"/>
          </w:tcPr>
          <w:p w14:paraId="76E6E107" w14:textId="77777777" w:rsidR="004C4299" w:rsidRPr="00DC49BD" w:rsidRDefault="004C4299" w:rsidP="005D6A22">
            <w:r w:rsidRPr="00DC49BD">
              <w:t>Access</w:t>
            </w:r>
          </w:p>
        </w:tc>
        <w:tc>
          <w:tcPr>
            <w:tcW w:w="1813" w:type="dxa"/>
            <w:shd w:val="clear" w:color="auto" w:fill="D9E2F3" w:themeFill="accent1" w:themeFillTint="33"/>
          </w:tcPr>
          <w:p w14:paraId="1253BA17" w14:textId="55FD8785"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Link gives access</w:t>
            </w:r>
          </w:p>
        </w:tc>
        <w:tc>
          <w:tcPr>
            <w:tcW w:w="1814" w:type="dxa"/>
          </w:tcPr>
          <w:p w14:paraId="3116B13D"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Low – Creation of link</w:t>
            </w:r>
          </w:p>
        </w:tc>
        <w:tc>
          <w:tcPr>
            <w:tcW w:w="1813" w:type="dxa"/>
            <w:shd w:val="clear" w:color="auto" w:fill="D9E2F3" w:themeFill="accent1" w:themeFillTint="33"/>
          </w:tcPr>
          <w:p w14:paraId="4E9A436E"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Login to a platform</w:t>
            </w:r>
          </w:p>
        </w:tc>
        <w:tc>
          <w:tcPr>
            <w:tcW w:w="1814" w:type="dxa"/>
          </w:tcPr>
          <w:p w14:paraId="0F19BDBD"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High - User management and support</w:t>
            </w:r>
          </w:p>
        </w:tc>
      </w:tr>
      <w:tr w:rsidR="004C4299" w:rsidRPr="00DC49BD" w14:paraId="094DE641" w14:textId="77777777" w:rsidTr="00DC49BD">
        <w:tc>
          <w:tcPr>
            <w:cnfStyle w:val="001000000000" w:firstRow="0" w:lastRow="0" w:firstColumn="1" w:lastColumn="0" w:oddVBand="0" w:evenVBand="0" w:oddHBand="0" w:evenHBand="0" w:firstRowFirstColumn="0" w:firstRowLastColumn="0" w:lastRowFirstColumn="0" w:lastRowLastColumn="0"/>
            <w:tcW w:w="1813" w:type="dxa"/>
          </w:tcPr>
          <w:p w14:paraId="6DAD0E1E" w14:textId="77777777" w:rsidR="004C4299" w:rsidRPr="00DC49BD" w:rsidRDefault="004C4299" w:rsidP="005D6A22">
            <w:r w:rsidRPr="00DC49BD">
              <w:t>Upload draft</w:t>
            </w:r>
          </w:p>
        </w:tc>
        <w:tc>
          <w:tcPr>
            <w:tcW w:w="1813" w:type="dxa"/>
            <w:shd w:val="clear" w:color="auto" w:fill="D9E2F3" w:themeFill="accent1" w:themeFillTint="33"/>
          </w:tcPr>
          <w:p w14:paraId="2303916E"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Upload through link</w:t>
            </w:r>
          </w:p>
        </w:tc>
        <w:tc>
          <w:tcPr>
            <w:tcW w:w="1814" w:type="dxa"/>
          </w:tcPr>
          <w:p w14:paraId="5AEEFE9A"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Low</w:t>
            </w:r>
          </w:p>
        </w:tc>
        <w:tc>
          <w:tcPr>
            <w:tcW w:w="1813" w:type="dxa"/>
            <w:shd w:val="clear" w:color="auto" w:fill="D9E2F3" w:themeFill="accent1" w:themeFillTint="33"/>
          </w:tcPr>
          <w:p w14:paraId="1DAA4B64"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Upload to platform</w:t>
            </w:r>
          </w:p>
        </w:tc>
        <w:tc>
          <w:tcPr>
            <w:tcW w:w="1814" w:type="dxa"/>
          </w:tcPr>
          <w:p w14:paraId="291AEEF5"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Low</w:t>
            </w:r>
          </w:p>
        </w:tc>
      </w:tr>
      <w:tr w:rsidR="004C4299" w:rsidRPr="00DC49BD" w14:paraId="03F6B028" w14:textId="77777777" w:rsidTr="00DC49BD">
        <w:tc>
          <w:tcPr>
            <w:cnfStyle w:val="001000000000" w:firstRow="0" w:lastRow="0" w:firstColumn="1" w:lastColumn="0" w:oddVBand="0" w:evenVBand="0" w:oddHBand="0" w:evenHBand="0" w:firstRowFirstColumn="0" w:firstRowLastColumn="0" w:lastRowFirstColumn="0" w:lastRowLastColumn="0"/>
            <w:tcW w:w="1813" w:type="dxa"/>
          </w:tcPr>
          <w:p w14:paraId="0C86F667" w14:textId="77777777" w:rsidR="004C4299" w:rsidRPr="00DC49BD" w:rsidRDefault="004C4299" w:rsidP="005D6A22">
            <w:r w:rsidRPr="00DC49BD">
              <w:t>Enable commenting / editing</w:t>
            </w:r>
          </w:p>
        </w:tc>
        <w:tc>
          <w:tcPr>
            <w:tcW w:w="1813" w:type="dxa"/>
            <w:shd w:val="clear" w:color="auto" w:fill="D9E2F3" w:themeFill="accent1" w:themeFillTint="33"/>
          </w:tcPr>
          <w:p w14:paraId="30A77608" w14:textId="01EEF869"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 xml:space="preserve">Link gives access to commenting </w:t>
            </w:r>
          </w:p>
        </w:tc>
        <w:tc>
          <w:tcPr>
            <w:tcW w:w="1814" w:type="dxa"/>
          </w:tcPr>
          <w:p w14:paraId="2367D59E"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Low – Definition of rights per link</w:t>
            </w:r>
          </w:p>
        </w:tc>
        <w:tc>
          <w:tcPr>
            <w:tcW w:w="1813" w:type="dxa"/>
            <w:shd w:val="clear" w:color="auto" w:fill="D9E2F3" w:themeFill="accent1" w:themeFillTint="33"/>
          </w:tcPr>
          <w:p w14:paraId="617AD787" w14:textId="2AEF52FB" w:rsidR="004C4299" w:rsidRPr="00DC49BD" w:rsidRDefault="00134E44" w:rsidP="00D005C3">
            <w:pPr>
              <w:cnfStyle w:val="000000000000" w:firstRow="0" w:lastRow="0" w:firstColumn="0" w:lastColumn="0" w:oddVBand="0" w:evenVBand="0" w:oddHBand="0" w:evenHBand="0" w:firstRowFirstColumn="0" w:firstRowLastColumn="0" w:lastRowFirstColumn="0" w:lastRowLastColumn="0"/>
            </w:pPr>
            <w:r w:rsidRPr="00DC49BD">
              <w:t xml:space="preserve">Commenting and editing based on </w:t>
            </w:r>
            <w:r w:rsidR="00BB44FB" w:rsidRPr="00DC49BD">
              <w:t>assigned role</w:t>
            </w:r>
          </w:p>
        </w:tc>
        <w:tc>
          <w:tcPr>
            <w:tcW w:w="1814" w:type="dxa"/>
          </w:tcPr>
          <w:p w14:paraId="40AB3AAC"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Medium – Maintenance of roles and training for lead</w:t>
            </w:r>
          </w:p>
        </w:tc>
      </w:tr>
      <w:tr w:rsidR="004C4299" w:rsidRPr="00DC49BD" w14:paraId="31029FAB" w14:textId="77777777" w:rsidTr="00DC49BD">
        <w:tc>
          <w:tcPr>
            <w:cnfStyle w:val="001000000000" w:firstRow="0" w:lastRow="0" w:firstColumn="1" w:lastColumn="0" w:oddVBand="0" w:evenVBand="0" w:oddHBand="0" w:evenHBand="0" w:firstRowFirstColumn="0" w:firstRowLastColumn="0" w:lastRowFirstColumn="0" w:lastRowLastColumn="0"/>
            <w:tcW w:w="1813" w:type="dxa"/>
          </w:tcPr>
          <w:p w14:paraId="41EDD472" w14:textId="77777777" w:rsidR="004C4299" w:rsidRPr="00DC49BD" w:rsidRDefault="004C4299" w:rsidP="005D6A22">
            <w:r w:rsidRPr="00DC49BD">
              <w:t>Communication</w:t>
            </w:r>
          </w:p>
        </w:tc>
        <w:tc>
          <w:tcPr>
            <w:tcW w:w="1813" w:type="dxa"/>
            <w:shd w:val="clear" w:color="auto" w:fill="D9E2F3" w:themeFill="accent1" w:themeFillTint="33"/>
          </w:tcPr>
          <w:p w14:paraId="5BFBEA7C" w14:textId="15A8708C" w:rsidR="004C4299" w:rsidRPr="00DC49BD" w:rsidRDefault="00BB44FB" w:rsidP="00D005C3">
            <w:pPr>
              <w:cnfStyle w:val="000000000000" w:firstRow="0" w:lastRow="0" w:firstColumn="0" w:lastColumn="0" w:oddVBand="0" w:evenVBand="0" w:oddHBand="0" w:evenHBand="0" w:firstRowFirstColumn="0" w:firstRowLastColumn="0" w:lastRowFirstColumn="0" w:lastRowLastColumn="0"/>
            </w:pPr>
            <w:r w:rsidRPr="00DC49BD">
              <w:t>Email and online meeting</w:t>
            </w:r>
            <w:r w:rsidR="00723878" w:rsidRPr="00DC49BD">
              <w:t>s</w:t>
            </w:r>
          </w:p>
        </w:tc>
        <w:tc>
          <w:tcPr>
            <w:tcW w:w="1814" w:type="dxa"/>
          </w:tcPr>
          <w:p w14:paraId="6A5F856A"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Medium – Known communication methods</w:t>
            </w:r>
          </w:p>
        </w:tc>
        <w:tc>
          <w:tcPr>
            <w:tcW w:w="1813" w:type="dxa"/>
            <w:shd w:val="clear" w:color="auto" w:fill="D9E2F3" w:themeFill="accent1" w:themeFillTint="33"/>
          </w:tcPr>
          <w:p w14:paraId="6D8E22B3" w14:textId="7B1DAC5A" w:rsidR="004C4299" w:rsidRPr="00DC49BD" w:rsidRDefault="00BB44FB" w:rsidP="00D005C3">
            <w:pPr>
              <w:cnfStyle w:val="000000000000" w:firstRow="0" w:lastRow="0" w:firstColumn="0" w:lastColumn="0" w:oddVBand="0" w:evenVBand="0" w:oddHBand="0" w:evenHBand="0" w:firstRowFirstColumn="0" w:firstRowLastColumn="0" w:lastRowFirstColumn="0" w:lastRowLastColumn="0"/>
            </w:pPr>
            <w:r w:rsidRPr="00DC49BD">
              <w:t>Discussion threads within the platform</w:t>
            </w:r>
          </w:p>
        </w:tc>
        <w:tc>
          <w:tcPr>
            <w:tcW w:w="1814" w:type="dxa"/>
          </w:tcPr>
          <w:p w14:paraId="00D61C26" w14:textId="77777777" w:rsidR="004C4299" w:rsidRPr="00DC49BD" w:rsidRDefault="004C4299" w:rsidP="00D005C3">
            <w:pPr>
              <w:cnfStyle w:val="000000000000" w:firstRow="0" w:lastRow="0" w:firstColumn="0" w:lastColumn="0" w:oddVBand="0" w:evenVBand="0" w:oddHBand="0" w:evenHBand="0" w:firstRowFirstColumn="0" w:firstRowLastColumn="0" w:lastRowFirstColumn="0" w:lastRowLastColumn="0"/>
            </w:pPr>
            <w:r w:rsidRPr="00DC49BD">
              <w:t>High - Training and support for all users</w:t>
            </w:r>
          </w:p>
        </w:tc>
      </w:tr>
    </w:tbl>
    <w:p w14:paraId="49346B6A" w14:textId="77777777" w:rsidR="004C4299" w:rsidRDefault="004C4299" w:rsidP="75414F64">
      <w:pPr>
        <w:spacing w:after="0" w:line="240" w:lineRule="auto"/>
        <w:ind w:left="426" w:hanging="426"/>
      </w:pPr>
    </w:p>
    <w:sectPr w:rsidR="004C4299" w:rsidSect="006B5670">
      <w:footerReference w:type="default" r:id="rId11"/>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48474" w16cex:dateUtc="2023-06-02T13:08:00Z"/>
  <w16cex:commentExtensible w16cex:durableId="28248500" w16cex:dateUtc="2023-06-02T13:10:00Z"/>
  <w16cex:commentExtensible w16cex:durableId="2824849B" w16cex:dateUtc="2023-06-02T13:09:00Z"/>
  <w16cex:commentExtensible w16cex:durableId="65E4004B" w16cex:dateUtc="2023-05-25T06:22:00Z"/>
  <w16cex:commentExtensible w16cex:durableId="26918B60" w16cex:dateUtc="2023-05-29T13:59:00Z"/>
  <w16cex:commentExtensible w16cex:durableId="28248607" w16cex:dateUtc="2023-06-02T13:15:00Z"/>
  <w16cex:commentExtensible w16cex:durableId="280DE806" w16cex:dateUtc="2023-05-16T09:31:00Z"/>
  <w16cex:commentExtensible w16cex:durableId="282487D4" w16cex:dateUtc="2023-06-02T13:23:00Z"/>
  <w16cex:commentExtensible w16cex:durableId="280DE92F" w16cex:dateUtc="2023-05-16T09:36:00Z"/>
  <w16cex:commentExtensible w16cex:durableId="280DE955" w16cex:dateUtc="2023-05-16T09:36:00Z"/>
  <w16cex:commentExtensible w16cex:durableId="2824889A" w16cex:dateUtc="2023-06-02T13:26:00Z"/>
  <w16cex:commentExtensible w16cex:durableId="2A45E88E" w16cex:dateUtc="2023-05-31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A8C54" w16cid:durableId="2836F543"/>
  <w16cid:commentId w16cid:paraId="3012A158" w16cid:durableId="2836F575"/>
  <w16cid:commentId w16cid:paraId="02B1C7E9" w16cid:durableId="65E4004B"/>
  <w16cid:commentId w16cid:paraId="44957519" w16cid:durableId="2836F545"/>
  <w16cid:commentId w16cid:paraId="13C37947" w16cid:durableId="2836F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269D" w14:textId="77777777" w:rsidR="00A45AA8" w:rsidRDefault="00A45AA8" w:rsidP="008F3DCA">
      <w:pPr>
        <w:spacing w:after="0" w:line="240" w:lineRule="auto"/>
      </w:pPr>
      <w:r>
        <w:separator/>
      </w:r>
    </w:p>
  </w:endnote>
  <w:endnote w:type="continuationSeparator" w:id="0">
    <w:p w14:paraId="61EFAD55" w14:textId="77777777" w:rsidR="00A45AA8" w:rsidRDefault="00A45AA8" w:rsidP="008F3DCA">
      <w:pPr>
        <w:spacing w:after="0" w:line="240" w:lineRule="auto"/>
      </w:pPr>
      <w:r>
        <w:continuationSeparator/>
      </w:r>
    </w:p>
  </w:endnote>
  <w:endnote w:type="continuationNotice" w:id="1">
    <w:p w14:paraId="2E880A83" w14:textId="77777777" w:rsidR="00A45AA8" w:rsidRDefault="00A45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497B" w14:textId="679AA11D" w:rsidR="00AB497F" w:rsidRPr="00AB497F" w:rsidRDefault="00AB497F" w:rsidP="00AB497F">
    <w:pPr>
      <w:tabs>
        <w:tab w:val="left" w:pos="8789"/>
      </w:tabs>
      <w:spacing w:after="0" w:line="240" w:lineRule="auto"/>
      <w:rPr>
        <w:rFonts w:cs="Arial"/>
        <w:sz w:val="20"/>
        <w:szCs w:val="20"/>
        <w:lang w:val="de-DE"/>
      </w:rPr>
    </w:pPr>
    <w:r w:rsidRPr="00AB497F">
      <w:rPr>
        <w:rFonts w:cs="Arial"/>
        <w:sz w:val="20"/>
        <w:szCs w:val="20"/>
        <w:lang w:val="de-DE"/>
      </w:rPr>
      <w:t>SC62 Doc.12</w:t>
    </w:r>
    <w:r>
      <w:rPr>
        <w:rFonts w:cs="Arial"/>
        <w:sz w:val="20"/>
        <w:szCs w:val="20"/>
        <w:lang w:val="de-DE"/>
      </w:rPr>
      <w:tab/>
    </w:r>
    <w:r w:rsidRPr="00AB497F">
      <w:rPr>
        <w:rFonts w:cs="Arial"/>
        <w:sz w:val="20"/>
        <w:szCs w:val="20"/>
        <w:lang w:val="de-DE"/>
      </w:rPr>
      <w:fldChar w:fldCharType="begin"/>
    </w:r>
    <w:r w:rsidRPr="00AB497F">
      <w:rPr>
        <w:rFonts w:cs="Arial"/>
        <w:sz w:val="20"/>
        <w:szCs w:val="20"/>
        <w:lang w:val="de-DE"/>
      </w:rPr>
      <w:instrText xml:space="preserve"> PAGE   \* MERGEFORMAT </w:instrText>
    </w:r>
    <w:r w:rsidRPr="00AB497F">
      <w:rPr>
        <w:rFonts w:cs="Arial"/>
        <w:sz w:val="20"/>
        <w:szCs w:val="20"/>
        <w:lang w:val="de-DE"/>
      </w:rPr>
      <w:fldChar w:fldCharType="separate"/>
    </w:r>
    <w:r w:rsidR="005F013B">
      <w:rPr>
        <w:rFonts w:cs="Arial"/>
        <w:noProof/>
        <w:sz w:val="20"/>
        <w:szCs w:val="20"/>
        <w:lang w:val="de-DE"/>
      </w:rPr>
      <w:t>2</w:t>
    </w:r>
    <w:r w:rsidRPr="00AB497F">
      <w:rPr>
        <w:rFonts w:cs="Arial"/>
        <w:noProof/>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13B4" w14:textId="77777777" w:rsidR="00A45AA8" w:rsidRDefault="00A45AA8" w:rsidP="008F3DCA">
      <w:pPr>
        <w:spacing w:after="0" w:line="240" w:lineRule="auto"/>
      </w:pPr>
      <w:r>
        <w:separator/>
      </w:r>
    </w:p>
  </w:footnote>
  <w:footnote w:type="continuationSeparator" w:id="0">
    <w:p w14:paraId="2600264D" w14:textId="77777777" w:rsidR="00A45AA8" w:rsidRDefault="00A45AA8" w:rsidP="008F3DCA">
      <w:pPr>
        <w:spacing w:after="0" w:line="240" w:lineRule="auto"/>
      </w:pPr>
      <w:r>
        <w:continuationSeparator/>
      </w:r>
    </w:p>
  </w:footnote>
  <w:footnote w:type="continuationNotice" w:id="1">
    <w:p w14:paraId="5D225307" w14:textId="77777777" w:rsidR="00A45AA8" w:rsidRDefault="00A45AA8">
      <w:pPr>
        <w:spacing w:after="0" w:line="240" w:lineRule="auto"/>
      </w:pPr>
    </w:p>
  </w:footnote>
  <w:footnote w:id="2">
    <w:p w14:paraId="3F966F65" w14:textId="5361F69C" w:rsidR="00491D07" w:rsidRDefault="00491D07">
      <w:pPr>
        <w:pStyle w:val="FootnoteText"/>
      </w:pPr>
      <w:r>
        <w:rPr>
          <w:rStyle w:val="FootnoteReference"/>
        </w:rPr>
        <w:footnoteRef/>
      </w:r>
      <w:r>
        <w:t xml:space="preserve"> See </w:t>
      </w:r>
      <w:hyperlink r:id="rId1" w:history="1">
        <w:r w:rsidRPr="00DB5025">
          <w:rPr>
            <w:rStyle w:val="Hyperlink"/>
          </w:rPr>
          <w:t>https://www.ramsar.org/document/review-of-the-mechanisms-to-facilitate-virtual-collaboration-among-the-convention-on</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7"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1C"/>
    <w:rsid w:val="0000071E"/>
    <w:rsid w:val="00003BE7"/>
    <w:rsid w:val="00004CF8"/>
    <w:rsid w:val="00010489"/>
    <w:rsid w:val="00024602"/>
    <w:rsid w:val="00027D95"/>
    <w:rsid w:val="00033FBA"/>
    <w:rsid w:val="00034380"/>
    <w:rsid w:val="00037674"/>
    <w:rsid w:val="000414A2"/>
    <w:rsid w:val="00041FE8"/>
    <w:rsid w:val="00042D7A"/>
    <w:rsid w:val="000469A8"/>
    <w:rsid w:val="00047FE0"/>
    <w:rsid w:val="00050E70"/>
    <w:rsid w:val="00051ED2"/>
    <w:rsid w:val="00052D3F"/>
    <w:rsid w:val="00056839"/>
    <w:rsid w:val="00056DFB"/>
    <w:rsid w:val="00057F1B"/>
    <w:rsid w:val="00064D0C"/>
    <w:rsid w:val="00065665"/>
    <w:rsid w:val="000719E4"/>
    <w:rsid w:val="000735E9"/>
    <w:rsid w:val="00086358"/>
    <w:rsid w:val="000863F6"/>
    <w:rsid w:val="0009197B"/>
    <w:rsid w:val="00091F03"/>
    <w:rsid w:val="000A1F6D"/>
    <w:rsid w:val="000A5693"/>
    <w:rsid w:val="000B0B93"/>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81C5E"/>
    <w:rsid w:val="00184B13"/>
    <w:rsid w:val="001856E9"/>
    <w:rsid w:val="001864DF"/>
    <w:rsid w:val="00195056"/>
    <w:rsid w:val="00195B2E"/>
    <w:rsid w:val="001A15CC"/>
    <w:rsid w:val="001A2904"/>
    <w:rsid w:val="001A36D0"/>
    <w:rsid w:val="001A455A"/>
    <w:rsid w:val="001A5343"/>
    <w:rsid w:val="001B7154"/>
    <w:rsid w:val="001C004E"/>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3385"/>
    <w:rsid w:val="0023498E"/>
    <w:rsid w:val="00236DD6"/>
    <w:rsid w:val="00241E87"/>
    <w:rsid w:val="00243825"/>
    <w:rsid w:val="002440D7"/>
    <w:rsid w:val="00244EFD"/>
    <w:rsid w:val="00250EBD"/>
    <w:rsid w:val="00262D8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3CCF"/>
    <w:rsid w:val="002C1060"/>
    <w:rsid w:val="002C57C9"/>
    <w:rsid w:val="002C70F3"/>
    <w:rsid w:val="002C7739"/>
    <w:rsid w:val="002D13A5"/>
    <w:rsid w:val="002D13C0"/>
    <w:rsid w:val="002D1584"/>
    <w:rsid w:val="002D2B78"/>
    <w:rsid w:val="002D44A0"/>
    <w:rsid w:val="002D6962"/>
    <w:rsid w:val="002E021B"/>
    <w:rsid w:val="002E0BB3"/>
    <w:rsid w:val="002E4745"/>
    <w:rsid w:val="002E475D"/>
    <w:rsid w:val="002E699E"/>
    <w:rsid w:val="002E6BD4"/>
    <w:rsid w:val="002F21FD"/>
    <w:rsid w:val="002F31DE"/>
    <w:rsid w:val="002F455D"/>
    <w:rsid w:val="003023A9"/>
    <w:rsid w:val="003037F8"/>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E0E"/>
    <w:rsid w:val="00375EC9"/>
    <w:rsid w:val="00382C65"/>
    <w:rsid w:val="00391395"/>
    <w:rsid w:val="00391B31"/>
    <w:rsid w:val="00391C3B"/>
    <w:rsid w:val="003A0A75"/>
    <w:rsid w:val="003A1409"/>
    <w:rsid w:val="003A4027"/>
    <w:rsid w:val="003A571A"/>
    <w:rsid w:val="003B0575"/>
    <w:rsid w:val="003B4280"/>
    <w:rsid w:val="003D0691"/>
    <w:rsid w:val="003D0826"/>
    <w:rsid w:val="003D0D40"/>
    <w:rsid w:val="003D1BF2"/>
    <w:rsid w:val="003D1F8E"/>
    <w:rsid w:val="003D25C5"/>
    <w:rsid w:val="003D6DBE"/>
    <w:rsid w:val="003D775D"/>
    <w:rsid w:val="003E04AF"/>
    <w:rsid w:val="003F0D4A"/>
    <w:rsid w:val="003F2B0D"/>
    <w:rsid w:val="003F6CAC"/>
    <w:rsid w:val="003F7B35"/>
    <w:rsid w:val="0040262C"/>
    <w:rsid w:val="00402E30"/>
    <w:rsid w:val="00406821"/>
    <w:rsid w:val="00407487"/>
    <w:rsid w:val="004076E1"/>
    <w:rsid w:val="00411890"/>
    <w:rsid w:val="00412311"/>
    <w:rsid w:val="0041312E"/>
    <w:rsid w:val="004147BC"/>
    <w:rsid w:val="00416E10"/>
    <w:rsid w:val="00427066"/>
    <w:rsid w:val="00427134"/>
    <w:rsid w:val="00427194"/>
    <w:rsid w:val="0043308C"/>
    <w:rsid w:val="0044526C"/>
    <w:rsid w:val="00450154"/>
    <w:rsid w:val="00450786"/>
    <w:rsid w:val="00453D4A"/>
    <w:rsid w:val="0046064D"/>
    <w:rsid w:val="0046172E"/>
    <w:rsid w:val="00461874"/>
    <w:rsid w:val="004624F5"/>
    <w:rsid w:val="00463FB1"/>
    <w:rsid w:val="00471053"/>
    <w:rsid w:val="00471EED"/>
    <w:rsid w:val="00476C50"/>
    <w:rsid w:val="004833C8"/>
    <w:rsid w:val="0048537C"/>
    <w:rsid w:val="0048748A"/>
    <w:rsid w:val="00491D07"/>
    <w:rsid w:val="004937A1"/>
    <w:rsid w:val="004A2F6A"/>
    <w:rsid w:val="004A4221"/>
    <w:rsid w:val="004B0B51"/>
    <w:rsid w:val="004B17ED"/>
    <w:rsid w:val="004B2209"/>
    <w:rsid w:val="004B22AF"/>
    <w:rsid w:val="004C3FA6"/>
    <w:rsid w:val="004C4299"/>
    <w:rsid w:val="004D2607"/>
    <w:rsid w:val="004D2C9F"/>
    <w:rsid w:val="004E14DB"/>
    <w:rsid w:val="004E1EB5"/>
    <w:rsid w:val="004E4046"/>
    <w:rsid w:val="004E7615"/>
    <w:rsid w:val="004F0734"/>
    <w:rsid w:val="004F3697"/>
    <w:rsid w:val="004F4195"/>
    <w:rsid w:val="004F65D4"/>
    <w:rsid w:val="004F6CCD"/>
    <w:rsid w:val="005007DA"/>
    <w:rsid w:val="0050176B"/>
    <w:rsid w:val="0050330A"/>
    <w:rsid w:val="00503D5E"/>
    <w:rsid w:val="00504886"/>
    <w:rsid w:val="0050584A"/>
    <w:rsid w:val="00505A88"/>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FA0"/>
    <w:rsid w:val="0054105D"/>
    <w:rsid w:val="0054244D"/>
    <w:rsid w:val="00551EF6"/>
    <w:rsid w:val="005544D8"/>
    <w:rsid w:val="00554917"/>
    <w:rsid w:val="00555199"/>
    <w:rsid w:val="00562FBA"/>
    <w:rsid w:val="00565C88"/>
    <w:rsid w:val="00567E59"/>
    <w:rsid w:val="00572F1B"/>
    <w:rsid w:val="00573952"/>
    <w:rsid w:val="0057683B"/>
    <w:rsid w:val="00580653"/>
    <w:rsid w:val="00584E59"/>
    <w:rsid w:val="00592BC9"/>
    <w:rsid w:val="00592EE0"/>
    <w:rsid w:val="005B2580"/>
    <w:rsid w:val="005B2B81"/>
    <w:rsid w:val="005B301E"/>
    <w:rsid w:val="005B3596"/>
    <w:rsid w:val="005C25A1"/>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3738"/>
    <w:rsid w:val="00641755"/>
    <w:rsid w:val="0064218F"/>
    <w:rsid w:val="00642639"/>
    <w:rsid w:val="00643958"/>
    <w:rsid w:val="00644296"/>
    <w:rsid w:val="00646DB2"/>
    <w:rsid w:val="006477E7"/>
    <w:rsid w:val="00653EE8"/>
    <w:rsid w:val="0066552C"/>
    <w:rsid w:val="00667941"/>
    <w:rsid w:val="00671FEC"/>
    <w:rsid w:val="006814BE"/>
    <w:rsid w:val="006815DB"/>
    <w:rsid w:val="00687001"/>
    <w:rsid w:val="00687344"/>
    <w:rsid w:val="0069313B"/>
    <w:rsid w:val="006973DD"/>
    <w:rsid w:val="006A0DDA"/>
    <w:rsid w:val="006A3819"/>
    <w:rsid w:val="006B14C7"/>
    <w:rsid w:val="006B1799"/>
    <w:rsid w:val="006B410D"/>
    <w:rsid w:val="006B4246"/>
    <w:rsid w:val="006B5670"/>
    <w:rsid w:val="006B5815"/>
    <w:rsid w:val="006C0D08"/>
    <w:rsid w:val="006C4F64"/>
    <w:rsid w:val="006C70F6"/>
    <w:rsid w:val="006D2C55"/>
    <w:rsid w:val="006D340D"/>
    <w:rsid w:val="006D52A3"/>
    <w:rsid w:val="006D59F4"/>
    <w:rsid w:val="006D65EE"/>
    <w:rsid w:val="006E45EB"/>
    <w:rsid w:val="006E484C"/>
    <w:rsid w:val="006E52C1"/>
    <w:rsid w:val="006E582E"/>
    <w:rsid w:val="006E791E"/>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51D7"/>
    <w:rsid w:val="00745A2F"/>
    <w:rsid w:val="00757290"/>
    <w:rsid w:val="00761D11"/>
    <w:rsid w:val="007676C6"/>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52BF"/>
    <w:rsid w:val="007C6935"/>
    <w:rsid w:val="007C6DAC"/>
    <w:rsid w:val="007D2ADB"/>
    <w:rsid w:val="007D38EC"/>
    <w:rsid w:val="007D55C4"/>
    <w:rsid w:val="007E52DF"/>
    <w:rsid w:val="007E6472"/>
    <w:rsid w:val="007E7152"/>
    <w:rsid w:val="007E79AE"/>
    <w:rsid w:val="007E7C5E"/>
    <w:rsid w:val="007F08C6"/>
    <w:rsid w:val="007F3D0F"/>
    <w:rsid w:val="007F483D"/>
    <w:rsid w:val="007F4C66"/>
    <w:rsid w:val="008138D3"/>
    <w:rsid w:val="00816B0B"/>
    <w:rsid w:val="008213CE"/>
    <w:rsid w:val="00822A39"/>
    <w:rsid w:val="0082508E"/>
    <w:rsid w:val="00827605"/>
    <w:rsid w:val="008301B0"/>
    <w:rsid w:val="008319B1"/>
    <w:rsid w:val="00835450"/>
    <w:rsid w:val="00837BE5"/>
    <w:rsid w:val="00841802"/>
    <w:rsid w:val="0084376A"/>
    <w:rsid w:val="00847C70"/>
    <w:rsid w:val="0085146F"/>
    <w:rsid w:val="00852049"/>
    <w:rsid w:val="00855921"/>
    <w:rsid w:val="008625A6"/>
    <w:rsid w:val="00863691"/>
    <w:rsid w:val="00865B00"/>
    <w:rsid w:val="00871D04"/>
    <w:rsid w:val="00871EC0"/>
    <w:rsid w:val="00881D60"/>
    <w:rsid w:val="00881FCB"/>
    <w:rsid w:val="00886578"/>
    <w:rsid w:val="00886CDF"/>
    <w:rsid w:val="00887F09"/>
    <w:rsid w:val="0089209B"/>
    <w:rsid w:val="00895285"/>
    <w:rsid w:val="00897C77"/>
    <w:rsid w:val="008A0624"/>
    <w:rsid w:val="008A19F9"/>
    <w:rsid w:val="008A2426"/>
    <w:rsid w:val="008A4E7B"/>
    <w:rsid w:val="008C2217"/>
    <w:rsid w:val="008C2424"/>
    <w:rsid w:val="008C250E"/>
    <w:rsid w:val="008C27BD"/>
    <w:rsid w:val="008D1FDD"/>
    <w:rsid w:val="008D32A6"/>
    <w:rsid w:val="008D3D01"/>
    <w:rsid w:val="008D4F27"/>
    <w:rsid w:val="008E0A79"/>
    <w:rsid w:val="008E1792"/>
    <w:rsid w:val="008E20BE"/>
    <w:rsid w:val="008E3022"/>
    <w:rsid w:val="008E3BF3"/>
    <w:rsid w:val="008E5627"/>
    <w:rsid w:val="008E687F"/>
    <w:rsid w:val="008E6F5F"/>
    <w:rsid w:val="008E7C5A"/>
    <w:rsid w:val="008F0174"/>
    <w:rsid w:val="008F1085"/>
    <w:rsid w:val="008F3DCA"/>
    <w:rsid w:val="008F5CD8"/>
    <w:rsid w:val="008F6DF8"/>
    <w:rsid w:val="00900E4A"/>
    <w:rsid w:val="00907FF3"/>
    <w:rsid w:val="009149AC"/>
    <w:rsid w:val="0091579B"/>
    <w:rsid w:val="009159C5"/>
    <w:rsid w:val="009173A2"/>
    <w:rsid w:val="00924744"/>
    <w:rsid w:val="00924E8D"/>
    <w:rsid w:val="00927251"/>
    <w:rsid w:val="00927670"/>
    <w:rsid w:val="0093135D"/>
    <w:rsid w:val="00931551"/>
    <w:rsid w:val="00933413"/>
    <w:rsid w:val="00943837"/>
    <w:rsid w:val="00944EF5"/>
    <w:rsid w:val="00957A69"/>
    <w:rsid w:val="00962486"/>
    <w:rsid w:val="00962E67"/>
    <w:rsid w:val="00965CBF"/>
    <w:rsid w:val="009716E6"/>
    <w:rsid w:val="00972AF9"/>
    <w:rsid w:val="00975E35"/>
    <w:rsid w:val="00977CCB"/>
    <w:rsid w:val="00980683"/>
    <w:rsid w:val="009859ED"/>
    <w:rsid w:val="0099126B"/>
    <w:rsid w:val="009977A8"/>
    <w:rsid w:val="009A0FC2"/>
    <w:rsid w:val="009A377E"/>
    <w:rsid w:val="009A58D8"/>
    <w:rsid w:val="009B1333"/>
    <w:rsid w:val="009B3E15"/>
    <w:rsid w:val="009B4EEC"/>
    <w:rsid w:val="009C0FB3"/>
    <w:rsid w:val="009C2BA6"/>
    <w:rsid w:val="009C3685"/>
    <w:rsid w:val="009D57CB"/>
    <w:rsid w:val="009E4616"/>
    <w:rsid w:val="009F00A3"/>
    <w:rsid w:val="009F0E1F"/>
    <w:rsid w:val="009F4F8F"/>
    <w:rsid w:val="00A00898"/>
    <w:rsid w:val="00A03249"/>
    <w:rsid w:val="00A03B2C"/>
    <w:rsid w:val="00A05E68"/>
    <w:rsid w:val="00A10353"/>
    <w:rsid w:val="00A10B6E"/>
    <w:rsid w:val="00A11D47"/>
    <w:rsid w:val="00A14521"/>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268A"/>
    <w:rsid w:val="00A63BE0"/>
    <w:rsid w:val="00A67069"/>
    <w:rsid w:val="00A720F2"/>
    <w:rsid w:val="00A83D32"/>
    <w:rsid w:val="00A85B22"/>
    <w:rsid w:val="00A86470"/>
    <w:rsid w:val="00A86901"/>
    <w:rsid w:val="00A92F3E"/>
    <w:rsid w:val="00AA49B5"/>
    <w:rsid w:val="00AA7576"/>
    <w:rsid w:val="00AB2258"/>
    <w:rsid w:val="00AB401B"/>
    <w:rsid w:val="00AB497F"/>
    <w:rsid w:val="00AC253F"/>
    <w:rsid w:val="00AD1FF8"/>
    <w:rsid w:val="00AD3CC1"/>
    <w:rsid w:val="00AD3CD7"/>
    <w:rsid w:val="00AD3ED2"/>
    <w:rsid w:val="00AE7568"/>
    <w:rsid w:val="00AF2CBA"/>
    <w:rsid w:val="00AF50FE"/>
    <w:rsid w:val="00AF5895"/>
    <w:rsid w:val="00AF5C49"/>
    <w:rsid w:val="00AF69F8"/>
    <w:rsid w:val="00AF78A9"/>
    <w:rsid w:val="00B001B0"/>
    <w:rsid w:val="00B09961"/>
    <w:rsid w:val="00B13602"/>
    <w:rsid w:val="00B2601A"/>
    <w:rsid w:val="00B27EB1"/>
    <w:rsid w:val="00B31109"/>
    <w:rsid w:val="00B35AB1"/>
    <w:rsid w:val="00B36A9D"/>
    <w:rsid w:val="00B404B0"/>
    <w:rsid w:val="00B5498F"/>
    <w:rsid w:val="00B556CB"/>
    <w:rsid w:val="00B55E7B"/>
    <w:rsid w:val="00B61809"/>
    <w:rsid w:val="00B6258D"/>
    <w:rsid w:val="00B667C8"/>
    <w:rsid w:val="00B70297"/>
    <w:rsid w:val="00B73342"/>
    <w:rsid w:val="00B7655C"/>
    <w:rsid w:val="00B767A7"/>
    <w:rsid w:val="00B90401"/>
    <w:rsid w:val="00B93A86"/>
    <w:rsid w:val="00B95B73"/>
    <w:rsid w:val="00B97415"/>
    <w:rsid w:val="00BA1600"/>
    <w:rsid w:val="00BA1631"/>
    <w:rsid w:val="00BA35CD"/>
    <w:rsid w:val="00BA3956"/>
    <w:rsid w:val="00BB25D1"/>
    <w:rsid w:val="00BB3111"/>
    <w:rsid w:val="00BB44FB"/>
    <w:rsid w:val="00BB591C"/>
    <w:rsid w:val="00BC4A84"/>
    <w:rsid w:val="00BD2DA3"/>
    <w:rsid w:val="00BD43F3"/>
    <w:rsid w:val="00BE0B23"/>
    <w:rsid w:val="00BE6490"/>
    <w:rsid w:val="00BF0785"/>
    <w:rsid w:val="00BF2409"/>
    <w:rsid w:val="00BF390A"/>
    <w:rsid w:val="00BF426D"/>
    <w:rsid w:val="00BF4495"/>
    <w:rsid w:val="00BF6DA4"/>
    <w:rsid w:val="00C02934"/>
    <w:rsid w:val="00C06EC0"/>
    <w:rsid w:val="00C13B22"/>
    <w:rsid w:val="00C14845"/>
    <w:rsid w:val="00C159BA"/>
    <w:rsid w:val="00C1752C"/>
    <w:rsid w:val="00C21A7D"/>
    <w:rsid w:val="00C21ABB"/>
    <w:rsid w:val="00C27846"/>
    <w:rsid w:val="00C31A22"/>
    <w:rsid w:val="00C32B6F"/>
    <w:rsid w:val="00C33802"/>
    <w:rsid w:val="00C40604"/>
    <w:rsid w:val="00C430FE"/>
    <w:rsid w:val="00C47550"/>
    <w:rsid w:val="00C521C3"/>
    <w:rsid w:val="00C55E65"/>
    <w:rsid w:val="00C60724"/>
    <w:rsid w:val="00C60A5F"/>
    <w:rsid w:val="00C626FB"/>
    <w:rsid w:val="00C63ADB"/>
    <w:rsid w:val="00C658C5"/>
    <w:rsid w:val="00C65CC5"/>
    <w:rsid w:val="00C65DE5"/>
    <w:rsid w:val="00C67B80"/>
    <w:rsid w:val="00C708DD"/>
    <w:rsid w:val="00C74B0D"/>
    <w:rsid w:val="00C75F38"/>
    <w:rsid w:val="00C845F9"/>
    <w:rsid w:val="00C86958"/>
    <w:rsid w:val="00C91DF4"/>
    <w:rsid w:val="00C9200D"/>
    <w:rsid w:val="00C948AF"/>
    <w:rsid w:val="00CA1E80"/>
    <w:rsid w:val="00CA2A14"/>
    <w:rsid w:val="00CA2F77"/>
    <w:rsid w:val="00CA7FD3"/>
    <w:rsid w:val="00CB35F9"/>
    <w:rsid w:val="00CB70B3"/>
    <w:rsid w:val="00CC3D3C"/>
    <w:rsid w:val="00CD0E69"/>
    <w:rsid w:val="00CE148C"/>
    <w:rsid w:val="00CE4D97"/>
    <w:rsid w:val="00CE57E2"/>
    <w:rsid w:val="00CF2B0D"/>
    <w:rsid w:val="00CF4643"/>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5B2C"/>
    <w:rsid w:val="00D45C01"/>
    <w:rsid w:val="00D45C4D"/>
    <w:rsid w:val="00D465BE"/>
    <w:rsid w:val="00D51ACD"/>
    <w:rsid w:val="00D54ADA"/>
    <w:rsid w:val="00D56BF4"/>
    <w:rsid w:val="00D57667"/>
    <w:rsid w:val="00D60AFC"/>
    <w:rsid w:val="00D628FA"/>
    <w:rsid w:val="00D63CE5"/>
    <w:rsid w:val="00D64ED7"/>
    <w:rsid w:val="00D71236"/>
    <w:rsid w:val="00D759A1"/>
    <w:rsid w:val="00D842F8"/>
    <w:rsid w:val="00D86806"/>
    <w:rsid w:val="00D9475F"/>
    <w:rsid w:val="00DB34E3"/>
    <w:rsid w:val="00DB39C8"/>
    <w:rsid w:val="00DB415F"/>
    <w:rsid w:val="00DC0E03"/>
    <w:rsid w:val="00DC404E"/>
    <w:rsid w:val="00DC49BD"/>
    <w:rsid w:val="00DC5A40"/>
    <w:rsid w:val="00DE06D5"/>
    <w:rsid w:val="00DE418B"/>
    <w:rsid w:val="00DE6788"/>
    <w:rsid w:val="00DE77D1"/>
    <w:rsid w:val="00DF4A4E"/>
    <w:rsid w:val="00E0535F"/>
    <w:rsid w:val="00E13009"/>
    <w:rsid w:val="00E15A64"/>
    <w:rsid w:val="00E16356"/>
    <w:rsid w:val="00E16EFD"/>
    <w:rsid w:val="00E23D29"/>
    <w:rsid w:val="00E35E1C"/>
    <w:rsid w:val="00E35E27"/>
    <w:rsid w:val="00E37813"/>
    <w:rsid w:val="00E43FD2"/>
    <w:rsid w:val="00E5746A"/>
    <w:rsid w:val="00E60B76"/>
    <w:rsid w:val="00E71126"/>
    <w:rsid w:val="00E7130B"/>
    <w:rsid w:val="00E71B70"/>
    <w:rsid w:val="00E7234F"/>
    <w:rsid w:val="00E72942"/>
    <w:rsid w:val="00E7495F"/>
    <w:rsid w:val="00E74B3C"/>
    <w:rsid w:val="00E76A08"/>
    <w:rsid w:val="00E80F81"/>
    <w:rsid w:val="00E8322C"/>
    <w:rsid w:val="00EA07B9"/>
    <w:rsid w:val="00EA34A7"/>
    <w:rsid w:val="00EA4545"/>
    <w:rsid w:val="00EA6FB4"/>
    <w:rsid w:val="00EA726F"/>
    <w:rsid w:val="00EA7741"/>
    <w:rsid w:val="00EB034E"/>
    <w:rsid w:val="00EB2A1D"/>
    <w:rsid w:val="00EB3095"/>
    <w:rsid w:val="00EB606B"/>
    <w:rsid w:val="00EC3E91"/>
    <w:rsid w:val="00EE16CE"/>
    <w:rsid w:val="00EE3C48"/>
    <w:rsid w:val="00EE544E"/>
    <w:rsid w:val="00EE56AB"/>
    <w:rsid w:val="00EE78FA"/>
    <w:rsid w:val="00EE7E28"/>
    <w:rsid w:val="00EF173B"/>
    <w:rsid w:val="00EF3012"/>
    <w:rsid w:val="00EF34E1"/>
    <w:rsid w:val="00EF5218"/>
    <w:rsid w:val="00EF5AA6"/>
    <w:rsid w:val="00EF645E"/>
    <w:rsid w:val="00EF7188"/>
    <w:rsid w:val="00F0247D"/>
    <w:rsid w:val="00F045FF"/>
    <w:rsid w:val="00F11853"/>
    <w:rsid w:val="00F11C43"/>
    <w:rsid w:val="00F12029"/>
    <w:rsid w:val="00F1558D"/>
    <w:rsid w:val="00F2289A"/>
    <w:rsid w:val="00F24477"/>
    <w:rsid w:val="00F26F27"/>
    <w:rsid w:val="00F27C24"/>
    <w:rsid w:val="00F27D26"/>
    <w:rsid w:val="00F30E7F"/>
    <w:rsid w:val="00F318DF"/>
    <w:rsid w:val="00F35A0A"/>
    <w:rsid w:val="00F37359"/>
    <w:rsid w:val="00F40B41"/>
    <w:rsid w:val="00F463BE"/>
    <w:rsid w:val="00F56D28"/>
    <w:rsid w:val="00F60096"/>
    <w:rsid w:val="00F623EF"/>
    <w:rsid w:val="00F62B59"/>
    <w:rsid w:val="00F672A9"/>
    <w:rsid w:val="00F67D99"/>
    <w:rsid w:val="00F73B28"/>
    <w:rsid w:val="00F741DF"/>
    <w:rsid w:val="00F76382"/>
    <w:rsid w:val="00F804FB"/>
    <w:rsid w:val="00F81BE8"/>
    <w:rsid w:val="00F83BD9"/>
    <w:rsid w:val="00F862E3"/>
    <w:rsid w:val="00F86486"/>
    <w:rsid w:val="00F86D64"/>
    <w:rsid w:val="00F87AAF"/>
    <w:rsid w:val="00F90649"/>
    <w:rsid w:val="00F93207"/>
    <w:rsid w:val="00F94D32"/>
    <w:rsid w:val="00F9589D"/>
    <w:rsid w:val="00F965A9"/>
    <w:rsid w:val="00FA1C6F"/>
    <w:rsid w:val="00FA34DE"/>
    <w:rsid w:val="00FA4ED5"/>
    <w:rsid w:val="00FB3EFC"/>
    <w:rsid w:val="00FB70BB"/>
    <w:rsid w:val="00FBCBD4"/>
    <w:rsid w:val="00FC139F"/>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66D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semiHidden/>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semiHidden/>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review-of-the-mechanisms-to-facilitate-virtual-collaboration-among-the-conventio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ABBF-3D57-42FA-BF02-DB66E424FCDE}">
  <ds:schemaRef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8c0b6b05-eb82-4bda-97e8-cd82d0d6b453"/>
    <ds:schemaRef ds:uri="aedd258d-19a7-41ba-8260-b0918f25313d"/>
    <ds:schemaRef ds:uri="http://purl.org/dc/elements/1.1/"/>
  </ds:schemaRefs>
</ds:datastoreItem>
</file>

<file path=customXml/itemProps2.xml><?xml version="1.0" encoding="utf-8"?>
<ds:datastoreItem xmlns:ds="http://schemas.openxmlformats.org/officeDocument/2006/customXml" ds:itemID="{AD4A713D-4372-4834-89BF-9CC344C5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4.xml><?xml version="1.0" encoding="utf-8"?>
<ds:datastoreItem xmlns:ds="http://schemas.openxmlformats.org/officeDocument/2006/customXml" ds:itemID="{319C5E7C-3ACF-416C-AF6A-FC22A85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cp:lastPrinted>2023-06-16T14:01:00Z</cp:lastPrinted>
  <dcterms:created xsi:type="dcterms:W3CDTF">2023-06-21T15:26:00Z</dcterms:created>
  <dcterms:modified xsi:type="dcterms:W3CDTF">2023-08-21T15:02:00Z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