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36BB3" w14:textId="77777777" w:rsidR="00542AE9" w:rsidRPr="00542AE9" w:rsidRDefault="00542AE9" w:rsidP="00542AE9">
      <w:pPr>
        <w:ind w:right="17"/>
        <w:jc w:val="center"/>
        <w:outlineLvl w:val="0"/>
        <w:rPr>
          <w:rFonts w:asciiTheme="majorHAnsi" w:eastAsia="Times New Roman" w:hAnsiTheme="majorHAnsi" w:cstheme="majorHAnsi"/>
          <w:b/>
          <w:bCs/>
        </w:rPr>
      </w:pPr>
      <w:r>
        <w:rPr>
          <w:rFonts w:asciiTheme="majorHAnsi" w:hAnsiTheme="majorHAnsi"/>
          <w:b/>
        </w:rPr>
        <w:t>14ª Reunión de la Conferencia de las Partes Contratantes</w:t>
      </w:r>
    </w:p>
    <w:p w14:paraId="49C771CB" w14:textId="77777777" w:rsidR="00542AE9" w:rsidRPr="00542AE9" w:rsidRDefault="00542AE9" w:rsidP="00542AE9">
      <w:pPr>
        <w:ind w:right="17"/>
        <w:jc w:val="center"/>
        <w:outlineLvl w:val="0"/>
        <w:rPr>
          <w:rFonts w:asciiTheme="majorHAnsi" w:eastAsia="Times New Roman" w:hAnsiTheme="majorHAnsi" w:cstheme="majorHAnsi"/>
          <w:b/>
          <w:bCs/>
        </w:rPr>
      </w:pPr>
      <w:r>
        <w:rPr>
          <w:rFonts w:asciiTheme="majorHAnsi" w:hAnsiTheme="majorHAnsi"/>
          <w:b/>
        </w:rPr>
        <w:t>en la Convención de Ramsar sobre los Humedales</w:t>
      </w:r>
    </w:p>
    <w:p w14:paraId="03654254" w14:textId="77777777" w:rsidR="00542AE9" w:rsidRPr="00932F11" w:rsidRDefault="00542AE9" w:rsidP="00542AE9">
      <w:pPr>
        <w:ind w:right="17"/>
        <w:jc w:val="center"/>
        <w:outlineLvl w:val="0"/>
        <w:rPr>
          <w:rFonts w:asciiTheme="majorHAnsi" w:eastAsia="Times New Roman" w:hAnsiTheme="majorHAnsi" w:cstheme="majorHAnsi"/>
          <w:b/>
          <w:bCs/>
        </w:rPr>
      </w:pPr>
    </w:p>
    <w:p w14:paraId="5EAE523A" w14:textId="77777777" w:rsidR="00542AE9" w:rsidRPr="00542AE9" w:rsidRDefault="00542AE9" w:rsidP="00542AE9">
      <w:pPr>
        <w:ind w:right="17"/>
        <w:jc w:val="center"/>
        <w:outlineLvl w:val="0"/>
        <w:rPr>
          <w:rFonts w:asciiTheme="majorHAnsi" w:eastAsia="Times New Roman" w:hAnsiTheme="majorHAnsi" w:cstheme="majorHAnsi"/>
          <w:b/>
          <w:bCs/>
        </w:rPr>
      </w:pPr>
      <w:r>
        <w:rPr>
          <w:rFonts w:asciiTheme="majorHAnsi" w:hAnsiTheme="majorHAnsi"/>
          <w:b/>
        </w:rPr>
        <w:t>“Acciones en favor de los humedales para las personas y la naturaleza”</w:t>
      </w:r>
    </w:p>
    <w:p w14:paraId="0ACAC69B" w14:textId="21A1863D" w:rsidR="00C50F56" w:rsidRPr="00542AE9" w:rsidRDefault="00542AE9" w:rsidP="00542AE9">
      <w:pPr>
        <w:ind w:right="17"/>
        <w:jc w:val="center"/>
        <w:outlineLvl w:val="0"/>
        <w:rPr>
          <w:rFonts w:asciiTheme="majorHAnsi" w:eastAsia="Times New Roman" w:hAnsiTheme="majorHAnsi" w:cstheme="majorHAnsi"/>
          <w:b/>
          <w:bCs/>
        </w:rPr>
      </w:pPr>
      <w:r>
        <w:rPr>
          <w:rFonts w:asciiTheme="majorHAnsi" w:hAnsiTheme="majorHAnsi"/>
          <w:b/>
        </w:rPr>
        <w:t>Wuhan (China) y Ginebra (Suiza), 5 a 13 de noviembre de 2022</w:t>
      </w:r>
    </w:p>
    <w:p w14:paraId="4CA7A5B4" w14:textId="77777777" w:rsidR="00542AE9" w:rsidRPr="00542AE9" w:rsidRDefault="00542AE9" w:rsidP="00542AE9">
      <w:pPr>
        <w:ind w:right="17"/>
        <w:jc w:val="center"/>
        <w:outlineLvl w:val="0"/>
        <w:rPr>
          <w:rFonts w:asciiTheme="majorHAnsi" w:eastAsia="Times New Roman" w:hAnsiTheme="majorHAnsi" w:cstheme="majorHAnsi"/>
          <w:b/>
          <w:bC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C50F56" w:rsidRPr="00542AE9" w14:paraId="778891CD" w14:textId="77777777" w:rsidTr="00D7748F">
        <w:tc>
          <w:tcPr>
            <w:tcW w:w="4708" w:type="dxa"/>
          </w:tcPr>
          <w:p w14:paraId="2031E082" w14:textId="77777777" w:rsidR="00C50F56" w:rsidRPr="00932F11" w:rsidRDefault="00C50F56" w:rsidP="004C3670">
            <w:pPr>
              <w:ind w:right="17"/>
              <w:jc w:val="center"/>
              <w:outlineLvl w:val="0"/>
              <w:rPr>
                <w:rFonts w:asciiTheme="majorHAnsi" w:eastAsia="Times New Roman" w:hAnsiTheme="majorHAnsi" w:cstheme="majorHAnsi"/>
                <w:b/>
                <w:bCs/>
                <w:sz w:val="22"/>
                <w:szCs w:val="22"/>
              </w:rPr>
            </w:pPr>
          </w:p>
        </w:tc>
        <w:tc>
          <w:tcPr>
            <w:tcW w:w="4652" w:type="dxa"/>
          </w:tcPr>
          <w:p w14:paraId="347E978B" w14:textId="2EE742C0" w:rsidR="00C50F56" w:rsidRPr="00542AE9" w:rsidRDefault="00C50F56" w:rsidP="009C1141">
            <w:pPr>
              <w:ind w:right="67"/>
              <w:jc w:val="right"/>
              <w:outlineLvl w:val="0"/>
              <w:rPr>
                <w:rFonts w:asciiTheme="majorHAnsi" w:eastAsia="Times New Roman" w:hAnsiTheme="majorHAnsi" w:cstheme="majorHAnsi"/>
                <w:b/>
                <w:bCs/>
              </w:rPr>
            </w:pPr>
            <w:r>
              <w:rPr>
                <w:rFonts w:asciiTheme="majorHAnsi" w:hAnsiTheme="majorHAnsi"/>
                <w:b/>
              </w:rPr>
              <w:t>Ramsar COP14 Doc.11</w:t>
            </w:r>
          </w:p>
        </w:tc>
      </w:tr>
    </w:tbl>
    <w:p w14:paraId="4D4E4B4D" w14:textId="3B247AF0" w:rsidR="00C50F56" w:rsidRDefault="00C50F56" w:rsidP="004C3670">
      <w:pPr>
        <w:rPr>
          <w:rFonts w:asciiTheme="majorHAnsi" w:hAnsiTheme="majorHAnsi"/>
          <w:b/>
          <w:sz w:val="22"/>
          <w:szCs w:val="22"/>
          <w:lang w:val="en-GB"/>
        </w:rPr>
      </w:pPr>
    </w:p>
    <w:p w14:paraId="018D1A30" w14:textId="77777777" w:rsidR="00542AE9" w:rsidRPr="007D0D4B" w:rsidRDefault="00542AE9" w:rsidP="004C3670">
      <w:pPr>
        <w:rPr>
          <w:rFonts w:asciiTheme="majorHAnsi" w:hAnsiTheme="majorHAnsi"/>
          <w:b/>
          <w:sz w:val="22"/>
          <w:szCs w:val="22"/>
          <w:lang w:val="en-GB"/>
        </w:rPr>
      </w:pPr>
    </w:p>
    <w:p w14:paraId="6C79032B" w14:textId="7DD98BA1" w:rsidR="005825FD" w:rsidRPr="00E32C50" w:rsidRDefault="005825FD" w:rsidP="004C3670">
      <w:pPr>
        <w:autoSpaceDE w:val="0"/>
        <w:autoSpaceDN w:val="0"/>
        <w:adjustRightInd w:val="0"/>
        <w:ind w:right="288"/>
        <w:jc w:val="center"/>
        <w:rPr>
          <w:rFonts w:asciiTheme="majorHAnsi" w:hAnsiTheme="majorHAnsi" w:cs="Calibri"/>
          <w:b/>
          <w:bCs/>
          <w:sz w:val="28"/>
          <w:szCs w:val="28"/>
        </w:rPr>
      </w:pPr>
      <w:r>
        <w:rPr>
          <w:rFonts w:asciiTheme="majorHAnsi" w:hAnsiTheme="majorHAnsi"/>
          <w:b/>
          <w:color w:val="000000"/>
          <w:sz w:val="28"/>
        </w:rPr>
        <w:t>Informe sobre la aplicación del Programa de CECoP 2016-2024</w:t>
      </w:r>
    </w:p>
    <w:p w14:paraId="797B7770" w14:textId="77777777" w:rsidR="005825FD" w:rsidRPr="007D0D4B" w:rsidRDefault="005825FD" w:rsidP="004C3670">
      <w:pPr>
        <w:autoSpaceDE w:val="0"/>
        <w:autoSpaceDN w:val="0"/>
        <w:adjustRightInd w:val="0"/>
        <w:ind w:right="288"/>
        <w:rPr>
          <w:rFonts w:asciiTheme="majorHAnsi" w:hAnsiTheme="majorHAnsi" w:cs="Calibri"/>
          <w:b/>
          <w:bCs/>
          <w:sz w:val="22"/>
          <w:szCs w:val="22"/>
        </w:rPr>
      </w:pPr>
    </w:p>
    <w:p w14:paraId="78C0075B" w14:textId="77777777" w:rsidR="00C50F56" w:rsidRPr="007D0D4B" w:rsidRDefault="00C50F56" w:rsidP="004C3670">
      <w:pPr>
        <w:autoSpaceDE w:val="0"/>
        <w:autoSpaceDN w:val="0"/>
        <w:adjustRightInd w:val="0"/>
        <w:ind w:right="288"/>
        <w:rPr>
          <w:rFonts w:asciiTheme="majorHAnsi" w:hAnsiTheme="majorHAnsi" w:cs="Calibri"/>
          <w:b/>
          <w:bCs/>
          <w:sz w:val="22"/>
          <w:szCs w:val="22"/>
        </w:rPr>
      </w:pPr>
    </w:p>
    <w:p w14:paraId="15FE2855" w14:textId="77777777" w:rsidR="00C64326" w:rsidRPr="00C64326" w:rsidRDefault="00C64326" w:rsidP="00A4794E">
      <w:pPr>
        <w:autoSpaceDE w:val="0"/>
        <w:autoSpaceDN w:val="0"/>
        <w:adjustRightInd w:val="0"/>
        <w:rPr>
          <w:rFonts w:asciiTheme="majorHAnsi" w:hAnsiTheme="majorHAnsi" w:cs="Calibri"/>
          <w:bCs/>
          <w:sz w:val="22"/>
          <w:szCs w:val="22"/>
          <w:u w:val="single"/>
        </w:rPr>
      </w:pPr>
      <w:r>
        <w:rPr>
          <w:rFonts w:asciiTheme="majorHAnsi" w:hAnsiTheme="majorHAnsi"/>
          <w:sz w:val="22"/>
          <w:u w:val="single"/>
        </w:rPr>
        <w:t>Resumen</w:t>
      </w:r>
    </w:p>
    <w:p w14:paraId="16704F2D" w14:textId="77777777" w:rsidR="00013A20" w:rsidRDefault="00013A20" w:rsidP="00A4794E">
      <w:pPr>
        <w:pStyle w:val="BodyText"/>
        <w:widowControl/>
        <w:tabs>
          <w:tab w:val="left" w:pos="544"/>
        </w:tabs>
        <w:ind w:left="425" w:hanging="425"/>
        <w:rPr>
          <w:rFonts w:asciiTheme="majorHAnsi" w:hAnsiTheme="majorHAnsi"/>
        </w:rPr>
      </w:pPr>
    </w:p>
    <w:p w14:paraId="525DFBCD" w14:textId="0F269D3F" w:rsidR="00C64326" w:rsidRPr="00C64326" w:rsidRDefault="00013A20" w:rsidP="00A4794E">
      <w:pPr>
        <w:pStyle w:val="BodyText"/>
        <w:widowControl/>
        <w:tabs>
          <w:tab w:val="left" w:pos="544"/>
        </w:tabs>
        <w:ind w:left="425" w:hanging="425"/>
        <w:rPr>
          <w:rFonts w:asciiTheme="majorHAnsi" w:hAnsiTheme="majorHAnsi" w:cs="Times New Roman"/>
        </w:rPr>
      </w:pPr>
      <w:r>
        <w:rPr>
          <w:rFonts w:asciiTheme="majorHAnsi" w:hAnsiTheme="majorHAnsi"/>
        </w:rPr>
        <w:t>1.</w:t>
      </w:r>
      <w:r>
        <w:rPr>
          <w:rFonts w:asciiTheme="majorHAnsi" w:hAnsiTheme="majorHAnsi"/>
        </w:rPr>
        <w:tab/>
        <w:t>El presente documento contiene un examen de los progresos realizados en la aplicación del Programa sobre comunicación, fomento de capacidad, educación, concienciación y participación (CECoP) durante el período 2019-2022, así como recomendaciones del Grupo de supervisión de las actividades de CECoP sobre un nuevo enfoque en la aplicación de la CECoP.</w:t>
      </w:r>
    </w:p>
    <w:p w14:paraId="50778250" w14:textId="77777777" w:rsidR="00013A20" w:rsidRPr="00932F11" w:rsidRDefault="00013A20" w:rsidP="00A4794E">
      <w:pPr>
        <w:pStyle w:val="BodyText"/>
        <w:widowControl/>
        <w:tabs>
          <w:tab w:val="left" w:pos="544"/>
        </w:tabs>
        <w:ind w:left="425" w:hanging="425"/>
        <w:rPr>
          <w:rFonts w:asciiTheme="majorHAnsi" w:hAnsiTheme="majorHAnsi" w:cs="Times New Roman"/>
        </w:rPr>
      </w:pPr>
    </w:p>
    <w:p w14:paraId="7A91C6C7" w14:textId="607B36D0" w:rsidR="00C64326" w:rsidRPr="00C64326" w:rsidRDefault="00013A20" w:rsidP="00A4794E">
      <w:pPr>
        <w:pStyle w:val="BodyText"/>
        <w:widowControl/>
        <w:ind w:left="425" w:hanging="425"/>
        <w:rPr>
          <w:rFonts w:asciiTheme="majorHAnsi" w:hAnsiTheme="majorHAnsi" w:cs="Times New Roman"/>
        </w:rPr>
      </w:pPr>
      <w:r>
        <w:rPr>
          <w:rFonts w:asciiTheme="majorHAnsi" w:hAnsiTheme="majorHAnsi"/>
        </w:rPr>
        <w:t>2.</w:t>
      </w:r>
      <w:r>
        <w:rPr>
          <w:rFonts w:asciiTheme="majorHAnsi" w:hAnsiTheme="majorHAnsi"/>
        </w:rPr>
        <w:tab/>
        <w:t xml:space="preserve">Durante el período que abarca el informe (2019-2022), se han realizado muchas actividades en el marco de los nueve objetivos del Programa de CECoP, con logros en cuanto al aumento de la visibilidad y el conocimiento de los humedales, apoyo y fomento de la capacidad para administradores de sitios, participación de nuevos interesados, el aprovechamiento del Día Mundial de los Humedales y otras campañas y la disponibilidad de diversos materiales educativos y de promoción. </w:t>
      </w:r>
    </w:p>
    <w:p w14:paraId="084710EC" w14:textId="77777777" w:rsidR="00013A20" w:rsidRDefault="00013A20" w:rsidP="00A4794E">
      <w:pPr>
        <w:pStyle w:val="BodyText"/>
        <w:widowControl/>
        <w:tabs>
          <w:tab w:val="left" w:pos="544"/>
        </w:tabs>
        <w:ind w:left="425" w:hanging="425"/>
        <w:rPr>
          <w:rFonts w:asciiTheme="majorHAnsi" w:hAnsiTheme="majorHAnsi"/>
        </w:rPr>
      </w:pPr>
    </w:p>
    <w:p w14:paraId="4583C24B" w14:textId="05EEE706" w:rsidR="00C64326" w:rsidRPr="00C64326" w:rsidRDefault="6E36AE80" w:rsidP="00A4794E">
      <w:pPr>
        <w:pStyle w:val="BodyText"/>
        <w:widowControl/>
        <w:tabs>
          <w:tab w:val="left" w:pos="544"/>
        </w:tabs>
        <w:ind w:left="425" w:hanging="425"/>
        <w:rPr>
          <w:rFonts w:asciiTheme="majorHAnsi" w:hAnsiTheme="majorHAnsi" w:cs="Times New Roman"/>
        </w:rPr>
      </w:pPr>
      <w:r>
        <w:rPr>
          <w:rFonts w:asciiTheme="majorHAnsi" w:hAnsiTheme="majorHAnsi"/>
        </w:rPr>
        <w:t>3.</w:t>
      </w:r>
      <w:r>
        <w:tab/>
      </w:r>
      <w:r>
        <w:rPr>
          <w:rFonts w:asciiTheme="majorHAnsi" w:hAnsiTheme="majorHAnsi"/>
        </w:rPr>
        <w:t>Se han elaborado recomendaciones sobre un nuevo enfoque de CECoP que sirvieron de base para un proyecto de resolución para la 14ª reunión de la Conferencia de las Partes (COP14) sobre el futuro de la CECoP e hicieron aportaciones para el examen del Plan Estratégico de Ramsar y del Programa de CECoP, así como el enfoque más amplio de la aplicación de la Convención después de 2024.</w:t>
      </w:r>
    </w:p>
    <w:p w14:paraId="02F33967" w14:textId="77777777" w:rsidR="00013A20" w:rsidRPr="00932F11" w:rsidRDefault="00013A20" w:rsidP="00011870">
      <w:pPr>
        <w:rPr>
          <w:rFonts w:asciiTheme="majorHAnsi" w:eastAsiaTheme="majorEastAsia" w:hAnsiTheme="majorHAnsi" w:cstheme="majorBidi"/>
          <w:bCs/>
          <w:iCs/>
          <w:sz w:val="22"/>
          <w:szCs w:val="22"/>
        </w:rPr>
      </w:pPr>
    </w:p>
    <w:p w14:paraId="313E345E" w14:textId="77777777" w:rsidR="00C64326" w:rsidRPr="00C64326" w:rsidRDefault="00C64326" w:rsidP="00A4794E">
      <w:pPr>
        <w:autoSpaceDE w:val="0"/>
        <w:autoSpaceDN w:val="0"/>
        <w:adjustRightInd w:val="0"/>
        <w:rPr>
          <w:rFonts w:asciiTheme="majorHAnsi" w:hAnsiTheme="majorHAnsi" w:cs="Calibri"/>
          <w:bCs/>
          <w:sz w:val="22"/>
          <w:szCs w:val="22"/>
          <w:u w:val="single"/>
        </w:rPr>
      </w:pPr>
      <w:r>
        <w:rPr>
          <w:rFonts w:asciiTheme="majorHAnsi" w:hAnsiTheme="majorHAnsi"/>
          <w:sz w:val="22"/>
          <w:u w:val="single"/>
        </w:rPr>
        <w:t>Introducción</w:t>
      </w:r>
    </w:p>
    <w:p w14:paraId="47EDCA1B" w14:textId="77777777" w:rsidR="00013A20" w:rsidRDefault="00013A20" w:rsidP="00A4794E">
      <w:pPr>
        <w:pStyle w:val="BodyText"/>
        <w:widowControl/>
        <w:tabs>
          <w:tab w:val="left" w:pos="544"/>
        </w:tabs>
        <w:ind w:left="0" w:firstLine="0"/>
        <w:rPr>
          <w:rFonts w:asciiTheme="majorHAnsi" w:hAnsiTheme="majorHAnsi"/>
        </w:rPr>
      </w:pPr>
    </w:p>
    <w:p w14:paraId="3A6BCBE5" w14:textId="57060746" w:rsidR="00C64326" w:rsidRPr="00C64326" w:rsidRDefault="002D6FBD" w:rsidP="00A4794E">
      <w:pPr>
        <w:pStyle w:val="BodyText"/>
        <w:widowControl/>
        <w:tabs>
          <w:tab w:val="left" w:pos="544"/>
        </w:tabs>
        <w:ind w:left="425" w:hanging="425"/>
        <w:rPr>
          <w:rFonts w:asciiTheme="majorHAnsi" w:hAnsiTheme="majorHAnsi" w:cs="Times New Roman"/>
        </w:rPr>
      </w:pPr>
      <w:r>
        <w:rPr>
          <w:rFonts w:asciiTheme="majorHAnsi" w:hAnsiTheme="majorHAnsi"/>
        </w:rPr>
        <w:t>4.</w:t>
      </w:r>
      <w:r>
        <w:rPr>
          <w:rFonts w:asciiTheme="majorHAnsi" w:hAnsiTheme="majorHAnsi"/>
        </w:rPr>
        <w:tab/>
        <w:t>Las actividades de comunicación, fomento de capacidad, educación, concienciación y participación (CECoP) tienen una larga historia en la Convención, habiendo evolucionado desde el Programa de Promoción de 1999 hasta los programas de CECoP de 2009-2015 y el programa actual para 2016-2024.</w:t>
      </w:r>
    </w:p>
    <w:p w14:paraId="55A30727" w14:textId="77777777" w:rsidR="00207F77" w:rsidRDefault="00207F77" w:rsidP="00A4794E">
      <w:pPr>
        <w:pStyle w:val="BodyText"/>
        <w:widowControl/>
        <w:tabs>
          <w:tab w:val="left" w:pos="544"/>
        </w:tabs>
        <w:ind w:left="425" w:hanging="425"/>
        <w:rPr>
          <w:rFonts w:asciiTheme="majorHAnsi" w:hAnsiTheme="majorHAnsi"/>
        </w:rPr>
      </w:pPr>
    </w:p>
    <w:p w14:paraId="5479F08C" w14:textId="6ECDDD41" w:rsidR="00C64326" w:rsidRPr="00C64326" w:rsidRDefault="002D6FBD" w:rsidP="00A4794E">
      <w:pPr>
        <w:pStyle w:val="BodyText"/>
        <w:widowControl/>
        <w:tabs>
          <w:tab w:val="left" w:pos="544"/>
        </w:tabs>
        <w:ind w:left="425" w:hanging="425"/>
        <w:rPr>
          <w:rFonts w:asciiTheme="majorHAnsi" w:hAnsiTheme="majorHAnsi" w:cs="Times New Roman"/>
        </w:rPr>
      </w:pPr>
      <w:r>
        <w:rPr>
          <w:rFonts w:asciiTheme="majorHAnsi" w:hAnsiTheme="majorHAnsi"/>
        </w:rPr>
        <w:t>5.</w:t>
      </w:r>
      <w:r>
        <w:rPr>
          <w:rFonts w:asciiTheme="majorHAnsi" w:hAnsiTheme="majorHAnsi"/>
        </w:rPr>
        <w:tab/>
        <w:t>Las resoluciones de la Convención sobre los Humedales (entre otras, las resoluciones VII.9, X.8 y XII.9) muestran que las Partes Contratantes reconocen claramente el importante papel de la CECoP en la aplicación de la Convención y su Plan Estratégico haciendo participar a las personas, involucrándolas y capacitándolas para que actúen en pro de la conservación y el uso racional de los humedales.</w:t>
      </w:r>
    </w:p>
    <w:p w14:paraId="0A9D19D3" w14:textId="77777777" w:rsidR="00207F77" w:rsidRDefault="00207F77" w:rsidP="00A4794E">
      <w:pPr>
        <w:pStyle w:val="BodyText"/>
        <w:widowControl/>
        <w:tabs>
          <w:tab w:val="left" w:pos="544"/>
        </w:tabs>
        <w:ind w:left="425" w:hanging="425"/>
        <w:rPr>
          <w:rFonts w:asciiTheme="majorHAnsi" w:hAnsiTheme="majorHAnsi"/>
        </w:rPr>
      </w:pPr>
    </w:p>
    <w:p w14:paraId="650E1B53" w14:textId="39C7EA9B" w:rsidR="00C64326" w:rsidRPr="00C64326" w:rsidRDefault="002D6FBD" w:rsidP="00A4794E">
      <w:pPr>
        <w:pStyle w:val="BodyText"/>
        <w:widowControl/>
        <w:tabs>
          <w:tab w:val="left" w:pos="544"/>
        </w:tabs>
        <w:ind w:left="425" w:hanging="425"/>
        <w:rPr>
          <w:rFonts w:asciiTheme="majorHAnsi" w:hAnsiTheme="majorHAnsi" w:cs="Times New Roman"/>
        </w:rPr>
      </w:pPr>
      <w:r>
        <w:rPr>
          <w:rFonts w:asciiTheme="majorHAnsi" w:hAnsiTheme="majorHAnsi"/>
        </w:rPr>
        <w:t>6.</w:t>
      </w:r>
      <w:r>
        <w:rPr>
          <w:rFonts w:asciiTheme="majorHAnsi" w:hAnsiTheme="majorHAnsi"/>
        </w:rPr>
        <w:tab/>
        <w:t>En la COP12, celebrada en 2015, las Partes Contratantes aprobaron un nuevo Programa de CECoP para 2016-2024 a través de la</w:t>
      </w:r>
      <w:r>
        <w:t xml:space="preserve"> </w:t>
      </w:r>
      <w:hyperlink r:id="rId11" w:history="1">
        <w:r>
          <w:rPr>
            <w:rFonts w:asciiTheme="majorHAnsi" w:hAnsiTheme="majorHAnsi"/>
          </w:rPr>
          <w:t>Resolución XII.9</w:t>
        </w:r>
      </w:hyperlink>
      <w:r>
        <w:t>.</w:t>
      </w:r>
      <w:r>
        <w:rPr>
          <w:rFonts w:asciiTheme="majorHAnsi" w:hAnsiTheme="majorHAnsi"/>
        </w:rPr>
        <w:t xml:space="preserve"> El Programa contiene nueve objetivos y 43 metas en materia de CECoP.</w:t>
      </w:r>
    </w:p>
    <w:p w14:paraId="0478E1EF" w14:textId="77777777" w:rsidR="00207F77" w:rsidRDefault="00207F77" w:rsidP="00A4794E">
      <w:pPr>
        <w:pStyle w:val="BodyText"/>
        <w:widowControl/>
        <w:tabs>
          <w:tab w:val="left" w:pos="544"/>
        </w:tabs>
        <w:ind w:left="425" w:hanging="425"/>
        <w:rPr>
          <w:rFonts w:asciiTheme="majorHAnsi" w:hAnsiTheme="majorHAnsi"/>
        </w:rPr>
      </w:pPr>
    </w:p>
    <w:p w14:paraId="693B31A4" w14:textId="074A075C" w:rsidR="00C64326" w:rsidRPr="00C64326" w:rsidRDefault="002D6FBD" w:rsidP="00A4794E">
      <w:pPr>
        <w:pStyle w:val="BodyText"/>
        <w:widowControl/>
        <w:tabs>
          <w:tab w:val="left" w:pos="544"/>
        </w:tabs>
        <w:ind w:left="425" w:hanging="425"/>
        <w:rPr>
          <w:rFonts w:asciiTheme="majorHAnsi" w:hAnsiTheme="majorHAnsi" w:cs="Times New Roman"/>
        </w:rPr>
      </w:pPr>
      <w:r>
        <w:rPr>
          <w:rFonts w:asciiTheme="majorHAnsi" w:hAnsiTheme="majorHAnsi"/>
        </w:rPr>
        <w:lastRenderedPageBreak/>
        <w:t>7.</w:t>
      </w:r>
      <w:r>
        <w:rPr>
          <w:rFonts w:asciiTheme="majorHAnsi" w:hAnsiTheme="majorHAnsi"/>
        </w:rPr>
        <w:tab/>
        <w:t>Las responsabilidades en materia de aplicación son compartidas entre las Partes Contratantes, la Secretaría de la Convención, las Organizaciones Internacionales Asociadas a la Convención (OIA), las ONG, las organizaciones comunitarias y otros interesados. Las Partes Contratantes son los principales responsables de la aplicación del Programa de CECoP, a través de sus coordinadores nacionales, coordinadores de CECoP, organizaciones comunitarias, iniciativas regionales de Ramsar y centros de educación sobre humedales. Se invita a las Partes Contratantes a formular planes de acción nacionales de CECoP para determinar las actividades prioritarias en materia de CECoP y a informar sobre sus avances mediante los informes nacionales a la COP.</w:t>
      </w:r>
    </w:p>
    <w:p w14:paraId="4F4D5908" w14:textId="77777777" w:rsidR="00207F77" w:rsidRPr="00932F11" w:rsidRDefault="00207F77" w:rsidP="00A4794E">
      <w:pPr>
        <w:pStyle w:val="BodyText"/>
        <w:widowControl/>
        <w:tabs>
          <w:tab w:val="left" w:pos="544"/>
        </w:tabs>
        <w:ind w:left="425" w:hanging="425"/>
        <w:rPr>
          <w:rFonts w:asciiTheme="majorHAnsi" w:hAnsiTheme="majorHAnsi" w:cs="Times New Roman"/>
        </w:rPr>
      </w:pPr>
    </w:p>
    <w:p w14:paraId="1EEC4F66" w14:textId="4F0FDD59" w:rsidR="00C64326" w:rsidRPr="00C64326" w:rsidRDefault="002D6FBD" w:rsidP="00A4794E">
      <w:pPr>
        <w:pStyle w:val="BodyText"/>
        <w:widowControl/>
        <w:tabs>
          <w:tab w:val="left" w:pos="544"/>
        </w:tabs>
        <w:ind w:left="425" w:hanging="425"/>
        <w:rPr>
          <w:rFonts w:asciiTheme="majorHAnsi" w:hAnsiTheme="majorHAnsi" w:cs="Times New Roman"/>
        </w:rPr>
      </w:pPr>
      <w:r>
        <w:rPr>
          <w:rFonts w:asciiTheme="majorHAnsi" w:hAnsiTheme="majorHAnsi"/>
        </w:rPr>
        <w:t>8.</w:t>
      </w:r>
      <w:r>
        <w:rPr>
          <w:rFonts w:asciiTheme="majorHAnsi" w:hAnsiTheme="majorHAnsi"/>
        </w:rPr>
        <w:tab/>
        <w:t>La Secretaría apoya la aplicación de la CECoP y elaboró un Plan de Acción de CECoP para 2016-2018 a fin de guiar sus actividades. El plan fue revisado para mejorar su enfoque y, en la 53ª reunión del Comité Permanente (SC53), se publicó un</w:t>
      </w:r>
      <w:r>
        <w:t xml:space="preserve"> </w:t>
      </w:r>
      <w:hyperlink r:id="rId12" w:history="1">
        <w:r>
          <w:rPr>
            <w:rFonts w:asciiTheme="majorHAnsi" w:hAnsiTheme="majorHAnsi"/>
            <w:color w:val="0000FF"/>
            <w:u w:val="single"/>
          </w:rPr>
          <w:t>informe sobre los avances en la aplicación del Plan de acción</w:t>
        </w:r>
      </w:hyperlink>
      <w:r>
        <w:t>.</w:t>
      </w:r>
      <w:r>
        <w:rPr>
          <w:rFonts w:asciiTheme="majorHAnsi" w:hAnsiTheme="majorHAnsi"/>
        </w:rPr>
        <w:t xml:space="preserve"> En aras de un enfoque más coherente, el Plan de acción de CECoP se integró en los planes de trabajo anuales y trienales de la Secretaría. </w:t>
      </w:r>
    </w:p>
    <w:p w14:paraId="519C50B1" w14:textId="77777777" w:rsidR="004C3670" w:rsidRDefault="004C3670" w:rsidP="00A4794E">
      <w:pPr>
        <w:pStyle w:val="BodyText"/>
        <w:widowControl/>
        <w:tabs>
          <w:tab w:val="left" w:pos="544"/>
        </w:tabs>
        <w:ind w:left="425" w:hanging="425"/>
        <w:rPr>
          <w:rFonts w:asciiTheme="majorHAnsi" w:hAnsiTheme="majorHAnsi"/>
        </w:rPr>
      </w:pPr>
    </w:p>
    <w:p w14:paraId="6AAEC854" w14:textId="22343B22" w:rsidR="00C64326" w:rsidRDefault="002D6FBD" w:rsidP="00A4794E">
      <w:pPr>
        <w:pStyle w:val="BodyText"/>
        <w:widowControl/>
        <w:tabs>
          <w:tab w:val="left" w:pos="544"/>
        </w:tabs>
        <w:ind w:left="425" w:hanging="425"/>
        <w:rPr>
          <w:rFonts w:asciiTheme="majorHAnsi" w:hAnsiTheme="majorHAnsi" w:cs="Times New Roman"/>
        </w:rPr>
      </w:pPr>
      <w:r>
        <w:rPr>
          <w:rFonts w:asciiTheme="majorHAnsi" w:hAnsiTheme="majorHAnsi"/>
        </w:rPr>
        <w:t>9.</w:t>
      </w:r>
      <w:r>
        <w:rPr>
          <w:rFonts w:asciiTheme="majorHAnsi" w:hAnsiTheme="majorHAnsi"/>
        </w:rPr>
        <w:tab/>
        <w:t>Las OIA (Birdlife International, el Instituto Internacional para el Manejo del Agua, la UICN, Wetlands International, Wildfowl and Wetlands Trust y WWF) han jugado un papel activo en la promoción de la Convención y la ejecución del Plan Estratégico de la Convención.</w:t>
      </w:r>
    </w:p>
    <w:p w14:paraId="7BD26217" w14:textId="77777777" w:rsidR="004C3670" w:rsidRPr="00932F11" w:rsidRDefault="004C3670" w:rsidP="00A4794E">
      <w:pPr>
        <w:pStyle w:val="BodyText"/>
        <w:widowControl/>
        <w:tabs>
          <w:tab w:val="left" w:pos="544"/>
        </w:tabs>
        <w:ind w:left="425" w:hanging="425"/>
        <w:rPr>
          <w:rFonts w:asciiTheme="majorHAnsi" w:hAnsiTheme="majorHAnsi" w:cs="Times New Roman"/>
        </w:rPr>
      </w:pPr>
    </w:p>
    <w:p w14:paraId="4E483B45" w14:textId="02FDC838" w:rsidR="00C64326" w:rsidRPr="00C64326" w:rsidRDefault="004C3670" w:rsidP="00A4794E">
      <w:pPr>
        <w:pStyle w:val="BodyText"/>
        <w:widowControl/>
        <w:tabs>
          <w:tab w:val="left" w:pos="544"/>
        </w:tabs>
        <w:ind w:left="425" w:hanging="425"/>
        <w:rPr>
          <w:rFonts w:asciiTheme="majorHAnsi" w:hAnsiTheme="majorHAnsi" w:cs="Times New Roman"/>
        </w:rPr>
      </w:pPr>
      <w:r>
        <w:rPr>
          <w:rFonts w:asciiTheme="majorHAnsi" w:hAnsiTheme="majorHAnsi"/>
        </w:rPr>
        <w:t>10.</w:t>
      </w:r>
      <w:r>
        <w:rPr>
          <w:rFonts w:asciiTheme="majorHAnsi" w:hAnsiTheme="majorHAnsi"/>
        </w:rPr>
        <w:tab/>
        <w:t>El Grupo de supervisión de las actividades de CECoP fue creado en 2006 (por la 34ª reunión del Comité Permanente, con arreglo a la Resolución IX.18) para realizar un seguimiento y presentar informes sobre las cuestiones de CECoP a escala nacional y también sobre los avances en la aplicación del Programa de CECoP. El Grupo de supervisión de las actividades de CECoP ha supervisado activamente la ejecución de las actividades de CECoP y ha aportado información para el nuevo enfoque de CECoP y la nueva gobernanza del Grupo.</w:t>
      </w:r>
    </w:p>
    <w:p w14:paraId="0A48936C" w14:textId="77777777" w:rsidR="004C3670" w:rsidRPr="00932F11" w:rsidRDefault="004C3670" w:rsidP="00A4794E">
      <w:pPr>
        <w:pStyle w:val="BodyText"/>
        <w:widowControl/>
        <w:tabs>
          <w:tab w:val="left" w:pos="544"/>
        </w:tabs>
        <w:ind w:left="425" w:hanging="425"/>
        <w:rPr>
          <w:rFonts w:asciiTheme="majorHAnsi" w:hAnsiTheme="majorHAnsi" w:cs="Times New Roman"/>
        </w:rPr>
      </w:pPr>
    </w:p>
    <w:p w14:paraId="4416B077" w14:textId="6CC6F149" w:rsidR="00C64326" w:rsidRDefault="004C3670" w:rsidP="00A4794E">
      <w:pPr>
        <w:pStyle w:val="BodyText"/>
        <w:widowControl/>
        <w:tabs>
          <w:tab w:val="left" w:pos="544"/>
        </w:tabs>
        <w:ind w:left="425" w:hanging="425"/>
        <w:rPr>
          <w:rFonts w:asciiTheme="majorHAnsi" w:hAnsiTheme="majorHAnsi" w:cs="Times New Roman"/>
        </w:rPr>
      </w:pPr>
      <w:r>
        <w:rPr>
          <w:rFonts w:asciiTheme="majorHAnsi" w:hAnsiTheme="majorHAnsi"/>
        </w:rPr>
        <w:t>11.</w:t>
      </w:r>
      <w:r>
        <w:rPr>
          <w:rFonts w:asciiTheme="majorHAnsi" w:hAnsiTheme="majorHAnsi"/>
        </w:rPr>
        <w:tab/>
        <w:t>La Secretaría y la Presidencia del Grupo de supervisión de las actividades de CECoP han realizado aportaciones para el presente informe.</w:t>
      </w:r>
    </w:p>
    <w:p w14:paraId="1D4C5507" w14:textId="77777777" w:rsidR="004C3670" w:rsidRPr="00932F11" w:rsidRDefault="004C3670" w:rsidP="00A4794E">
      <w:pPr>
        <w:pStyle w:val="BodyText"/>
        <w:widowControl/>
        <w:tabs>
          <w:tab w:val="left" w:pos="544"/>
        </w:tabs>
        <w:ind w:left="425" w:hanging="425"/>
        <w:rPr>
          <w:rFonts w:asciiTheme="majorHAnsi" w:hAnsiTheme="majorHAnsi" w:cs="Times New Roman"/>
        </w:rPr>
      </w:pPr>
    </w:p>
    <w:p w14:paraId="357C9C5F" w14:textId="1F31A933" w:rsidR="00C64326" w:rsidRPr="00C64326" w:rsidRDefault="00C64326" w:rsidP="00A4794E">
      <w:pPr>
        <w:autoSpaceDE w:val="0"/>
        <w:autoSpaceDN w:val="0"/>
        <w:adjustRightInd w:val="0"/>
        <w:rPr>
          <w:rFonts w:asciiTheme="majorHAnsi" w:hAnsiTheme="majorHAnsi" w:cs="Calibri"/>
          <w:bCs/>
          <w:sz w:val="22"/>
          <w:szCs w:val="22"/>
          <w:u w:val="single"/>
        </w:rPr>
      </w:pPr>
      <w:r>
        <w:rPr>
          <w:rFonts w:asciiTheme="majorHAnsi" w:hAnsiTheme="majorHAnsi"/>
          <w:sz w:val="22"/>
          <w:u w:val="single"/>
        </w:rPr>
        <w:t>Logros obtenidos en materia de CECoP durante el período 2019-2022</w:t>
      </w:r>
    </w:p>
    <w:p w14:paraId="41784043" w14:textId="77777777" w:rsidR="004C3670" w:rsidRDefault="004C3670" w:rsidP="00A4794E">
      <w:pPr>
        <w:pStyle w:val="BodyText"/>
        <w:widowControl/>
        <w:tabs>
          <w:tab w:val="left" w:pos="544"/>
        </w:tabs>
        <w:ind w:left="425" w:hanging="425"/>
        <w:rPr>
          <w:rFonts w:asciiTheme="majorHAnsi" w:hAnsiTheme="majorHAnsi"/>
        </w:rPr>
      </w:pPr>
    </w:p>
    <w:p w14:paraId="0887CBDF" w14:textId="079DCC4E" w:rsidR="00C64326" w:rsidRDefault="004C3670" w:rsidP="00A4794E">
      <w:pPr>
        <w:pStyle w:val="BodyText"/>
        <w:widowControl/>
        <w:tabs>
          <w:tab w:val="left" w:pos="544"/>
        </w:tabs>
        <w:ind w:left="425" w:hanging="425"/>
        <w:rPr>
          <w:rFonts w:asciiTheme="majorHAnsi" w:hAnsiTheme="majorHAnsi" w:cs="Times New Roman"/>
        </w:rPr>
      </w:pPr>
      <w:r>
        <w:rPr>
          <w:rFonts w:asciiTheme="majorHAnsi" w:hAnsiTheme="majorHAnsi"/>
        </w:rPr>
        <w:t>12.</w:t>
      </w:r>
      <w:r>
        <w:rPr>
          <w:rFonts w:asciiTheme="majorHAnsi" w:hAnsiTheme="majorHAnsi"/>
        </w:rPr>
        <w:tab/>
        <w:t>El siguiente examen de los progresos realizados en la aplicación del Programa de CECoP se basa en un análisis de los informes nacionales presentados por las Partes Contratantes a la COP14 y la información proporcionada a la Secretaría por los interesados directos que apoyan el Programa de CECoP.</w:t>
      </w:r>
    </w:p>
    <w:p w14:paraId="3EFEF9DA" w14:textId="56C4074C" w:rsidR="003A5887" w:rsidRPr="00932F11" w:rsidRDefault="003A5887" w:rsidP="00A4794E">
      <w:pPr>
        <w:pStyle w:val="BodyText"/>
        <w:widowControl/>
        <w:tabs>
          <w:tab w:val="left" w:pos="544"/>
        </w:tabs>
        <w:ind w:left="425" w:hanging="425"/>
        <w:rPr>
          <w:rFonts w:asciiTheme="majorHAnsi" w:hAnsiTheme="majorHAnsi" w:cs="Times New Roman"/>
        </w:rPr>
      </w:pPr>
    </w:p>
    <w:p w14:paraId="3958C60D" w14:textId="4BB38116" w:rsidR="003A5887" w:rsidRDefault="003A5887" w:rsidP="00A4794E">
      <w:pPr>
        <w:pStyle w:val="BodyText"/>
        <w:widowControl/>
        <w:tabs>
          <w:tab w:val="left" w:pos="544"/>
        </w:tabs>
        <w:ind w:left="425" w:hanging="425"/>
        <w:rPr>
          <w:rFonts w:asciiTheme="majorHAnsi" w:hAnsiTheme="majorHAnsi" w:cs="Times New Roman"/>
        </w:rPr>
      </w:pPr>
      <w:r>
        <w:rPr>
          <w:rFonts w:asciiTheme="majorHAnsi" w:hAnsiTheme="majorHAnsi"/>
        </w:rPr>
        <w:t>13.</w:t>
      </w:r>
      <w:r>
        <w:rPr>
          <w:rFonts w:asciiTheme="majorHAnsi" w:hAnsiTheme="majorHAnsi"/>
        </w:rPr>
        <w:tab/>
        <w:t>De los informes nacionales, se desprende la siguiente información sobre la aplicación del Programa de CECoP:</w:t>
      </w:r>
    </w:p>
    <w:p w14:paraId="25CEAEA2" w14:textId="77777777" w:rsidR="00A4794E" w:rsidRPr="00932F11" w:rsidRDefault="00A4794E" w:rsidP="00A4794E">
      <w:pPr>
        <w:pStyle w:val="BodyText"/>
        <w:widowControl/>
        <w:tabs>
          <w:tab w:val="left" w:pos="544"/>
        </w:tabs>
        <w:ind w:left="425" w:hanging="425"/>
        <w:rPr>
          <w:rFonts w:asciiTheme="majorHAnsi" w:hAnsiTheme="majorHAnsi" w:cs="Times New Roman"/>
        </w:rPr>
      </w:pPr>
    </w:p>
    <w:p w14:paraId="51E37BA8" w14:textId="5D0A8E1C" w:rsidR="003A5887" w:rsidRDefault="003A5887" w:rsidP="00A4794E">
      <w:pPr>
        <w:numPr>
          <w:ilvl w:val="0"/>
          <w:numId w:val="1"/>
        </w:numPr>
        <w:ind w:left="851" w:hanging="425"/>
        <w:contextualSpacing/>
        <w:rPr>
          <w:rFonts w:asciiTheme="majorHAnsi" w:eastAsia="Calibri" w:hAnsiTheme="majorHAnsi" w:cs="Times New Roman"/>
          <w:sz w:val="22"/>
          <w:szCs w:val="22"/>
        </w:rPr>
      </w:pPr>
      <w:r>
        <w:rPr>
          <w:rFonts w:asciiTheme="majorHAnsi" w:hAnsiTheme="majorHAnsi"/>
          <w:sz w:val="22"/>
        </w:rPr>
        <w:t xml:space="preserve">Existen planes de acción para la CECoP en materia de humedales en el 35 % de las Partes Contratantes (un cambio del 45 % respecto del 24 % indicado en la COP13). Es probable que esta mejora en la planificación de la CECoP a escala nacional contribuya a centrarse mejor en las prioridades esenciales. </w:t>
      </w:r>
    </w:p>
    <w:p w14:paraId="41B12467" w14:textId="77777777" w:rsidR="00A4794E" w:rsidRPr="00932F11" w:rsidRDefault="00A4794E" w:rsidP="00A4794E">
      <w:pPr>
        <w:contextualSpacing/>
        <w:rPr>
          <w:rFonts w:asciiTheme="majorHAnsi" w:eastAsia="Calibri" w:hAnsiTheme="majorHAnsi" w:cs="Times New Roman"/>
          <w:sz w:val="22"/>
          <w:szCs w:val="22"/>
        </w:rPr>
      </w:pPr>
    </w:p>
    <w:p w14:paraId="1F0BCD66" w14:textId="429079FA" w:rsidR="003A5887" w:rsidRDefault="003A5887" w:rsidP="00A4794E">
      <w:pPr>
        <w:numPr>
          <w:ilvl w:val="0"/>
          <w:numId w:val="1"/>
        </w:numPr>
        <w:ind w:left="851" w:hanging="425"/>
        <w:contextualSpacing/>
        <w:rPr>
          <w:rFonts w:asciiTheme="majorHAnsi" w:eastAsia="Calibri" w:hAnsiTheme="majorHAnsi" w:cs="Times New Roman"/>
          <w:sz w:val="22"/>
          <w:szCs w:val="22"/>
        </w:rPr>
      </w:pPr>
      <w:r>
        <w:rPr>
          <w:rFonts w:asciiTheme="majorHAnsi" w:hAnsiTheme="majorHAnsi"/>
          <w:sz w:val="22"/>
        </w:rPr>
        <w:t xml:space="preserve">El 61 % de las Partes informan que disponen de mecanismos de comunicación para compartir las orientaciones y la información de la Convención con los administradores de sitios, los coordinadores nacionales de otros acuerdos multilaterales sobre el medio ambiente (AMMA) y otros ministerios, departamentos y organismos. Esta cifra, si bien indica una mejora del 50 % respecto de la COP13, sigue siendo preocupante, ya que estos mecanismos son cruciales para apoyar a los administradores de sitios en su tarea de </w:t>
      </w:r>
      <w:r>
        <w:rPr>
          <w:rFonts w:asciiTheme="majorHAnsi" w:hAnsiTheme="majorHAnsi"/>
          <w:sz w:val="22"/>
        </w:rPr>
        <w:lastRenderedPageBreak/>
        <w:t>manejo de los Humedales de Importancia Internacional y para atraer a los organismos pertinentes a fin de que entiendan y apliquen la Convención.</w:t>
      </w:r>
    </w:p>
    <w:p w14:paraId="50977D22" w14:textId="77777777" w:rsidR="00A4794E" w:rsidRPr="00932F11" w:rsidRDefault="00A4794E" w:rsidP="00A4794E">
      <w:pPr>
        <w:contextualSpacing/>
        <w:rPr>
          <w:rFonts w:asciiTheme="majorHAnsi" w:eastAsia="Calibri" w:hAnsiTheme="majorHAnsi" w:cs="Times New Roman"/>
          <w:sz w:val="22"/>
          <w:szCs w:val="22"/>
        </w:rPr>
      </w:pPr>
    </w:p>
    <w:p w14:paraId="22D39514" w14:textId="5FAFE679" w:rsidR="003A5887" w:rsidRDefault="003A5887" w:rsidP="00A4794E">
      <w:pPr>
        <w:numPr>
          <w:ilvl w:val="0"/>
          <w:numId w:val="1"/>
        </w:numPr>
        <w:ind w:left="851" w:hanging="425"/>
        <w:contextualSpacing/>
        <w:rPr>
          <w:rFonts w:asciiTheme="majorHAnsi" w:eastAsia="Calibri" w:hAnsiTheme="majorHAnsi" w:cs="Times New Roman"/>
          <w:sz w:val="22"/>
          <w:szCs w:val="22"/>
        </w:rPr>
      </w:pPr>
      <w:r>
        <w:rPr>
          <w:rFonts w:asciiTheme="majorHAnsi" w:hAnsiTheme="majorHAnsi"/>
          <w:sz w:val="22"/>
        </w:rPr>
        <w:t>En cuanto a los comités nacionales de Ramsar o de humedales que están operativos y abarcan distintos sectores, se ha indicado una disminución con el paso del tiempo, del 63 % en la COP12 a un 49 % en la COP13 y un 46 % en el período que abarca el presente informe. Esto también es preocupante, dado que estos comités son una herramienta importante para integrar la conservación y el uso racional de los humedales en las consideraciones sobre políticas nacionales y para garantizar que en la toma de decisiones se tengan en cuenta los servicios ecológicos que brindan los humedales. Concretamente, las metas 1 y 13 del Plan Estratégico alientan a las Partes Contratantes a integrar los beneficios de los humedales en las políticas y planes nacionales o locales relativos a sectores clave y a incrementar la sostenibilidad de sectores clave cuando estos afectan a los humedales.</w:t>
      </w:r>
    </w:p>
    <w:p w14:paraId="3685324E" w14:textId="77777777" w:rsidR="004C3670" w:rsidRPr="00932F11" w:rsidRDefault="004C3670" w:rsidP="00A4794E">
      <w:pPr>
        <w:pStyle w:val="BodyText"/>
        <w:widowControl/>
        <w:tabs>
          <w:tab w:val="left" w:pos="544"/>
        </w:tabs>
        <w:ind w:left="0" w:firstLine="0"/>
        <w:rPr>
          <w:rFonts w:asciiTheme="majorHAnsi" w:hAnsiTheme="majorHAnsi" w:cs="Times New Roman"/>
        </w:rPr>
      </w:pPr>
    </w:p>
    <w:p w14:paraId="5CA4D7F1" w14:textId="1952D51B" w:rsidR="00C64326" w:rsidRDefault="004C3670" w:rsidP="00A4794E">
      <w:pPr>
        <w:pStyle w:val="BodyText"/>
        <w:widowControl/>
        <w:ind w:left="425" w:hanging="425"/>
        <w:rPr>
          <w:rFonts w:asciiTheme="majorHAnsi" w:hAnsiTheme="majorHAnsi" w:cs="Times New Roman"/>
        </w:rPr>
      </w:pPr>
      <w:r>
        <w:rPr>
          <w:rFonts w:asciiTheme="majorHAnsi" w:hAnsiTheme="majorHAnsi"/>
        </w:rPr>
        <w:t>14.</w:t>
      </w:r>
      <w:r>
        <w:rPr>
          <w:rFonts w:asciiTheme="majorHAnsi" w:hAnsiTheme="majorHAnsi"/>
        </w:rPr>
        <w:tab/>
        <w:t>Para los nueve objetivos del Programa de CECoP 2016-2024, se señalan a continuación medidas y logros para el período 2018-2022.</w:t>
      </w:r>
    </w:p>
    <w:p w14:paraId="07827058" w14:textId="77777777" w:rsidR="004C3670" w:rsidRPr="00932F11" w:rsidRDefault="004C3670" w:rsidP="00A4794E">
      <w:pPr>
        <w:pStyle w:val="BodyText"/>
        <w:widowControl/>
        <w:tabs>
          <w:tab w:val="left" w:pos="544"/>
        </w:tabs>
        <w:ind w:left="425" w:hanging="425"/>
        <w:rPr>
          <w:rFonts w:asciiTheme="majorHAnsi" w:hAnsiTheme="majorHAnsi" w:cs="Times New Roman"/>
        </w:rPr>
      </w:pPr>
    </w:p>
    <w:p w14:paraId="3AFD1FA7" w14:textId="430110F6" w:rsidR="00C64326" w:rsidRDefault="00C64326" w:rsidP="00D7748F">
      <w:pPr>
        <w:ind w:firstLine="425"/>
        <w:rPr>
          <w:rFonts w:asciiTheme="majorHAnsi" w:eastAsia="Calibri" w:hAnsiTheme="majorHAnsi" w:cs="Times New Roman"/>
          <w:i/>
          <w:sz w:val="22"/>
          <w:szCs w:val="22"/>
        </w:rPr>
      </w:pPr>
      <w:r>
        <w:rPr>
          <w:rFonts w:asciiTheme="majorHAnsi" w:hAnsiTheme="majorHAnsi"/>
          <w:i/>
          <w:sz w:val="22"/>
        </w:rPr>
        <w:t>Objetivo 1 – Liderazgo, apoyo institucional y redes</w:t>
      </w:r>
    </w:p>
    <w:p w14:paraId="1AF47CDE" w14:textId="77777777" w:rsidR="00A4794E" w:rsidRPr="00932F11" w:rsidRDefault="00A4794E" w:rsidP="00A4794E">
      <w:pPr>
        <w:rPr>
          <w:rFonts w:asciiTheme="majorHAnsi" w:eastAsia="Calibri" w:hAnsiTheme="majorHAnsi" w:cs="Times New Roman"/>
          <w:sz w:val="22"/>
          <w:szCs w:val="22"/>
        </w:rPr>
      </w:pPr>
    </w:p>
    <w:p w14:paraId="287F3BE4" w14:textId="4792FE5A" w:rsidR="00F20F62" w:rsidRDefault="00C64326" w:rsidP="00D7748F">
      <w:pPr>
        <w:numPr>
          <w:ilvl w:val="0"/>
          <w:numId w:val="1"/>
        </w:numPr>
        <w:ind w:left="851" w:hanging="426"/>
        <w:contextualSpacing/>
        <w:rPr>
          <w:rFonts w:asciiTheme="majorHAnsi" w:eastAsia="Calibri" w:hAnsiTheme="majorHAnsi" w:cs="Times New Roman"/>
          <w:sz w:val="22"/>
          <w:szCs w:val="22"/>
        </w:rPr>
      </w:pPr>
      <w:r>
        <w:rPr>
          <w:rFonts w:asciiTheme="majorHAnsi" w:hAnsiTheme="majorHAnsi"/>
          <w:sz w:val="22"/>
        </w:rPr>
        <w:t>La Secretaria General y las Partes Contratantes aumentaron la visibilidad de la Convención y mejoraron la participación en procesos estratégicos de formulación de políticas mediante contribuciones a los indicadores de los Objetivos de Desarrollo Sostenible (ODS). Entre los aspectos más destacados se incluye la participación en los actos siguientes:</w:t>
      </w:r>
    </w:p>
    <w:p w14:paraId="43461C09" w14:textId="2ADF619D" w:rsidR="003E5348" w:rsidRDefault="00F20F62"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reuniones 8ª, 10ª y 12ª del Grupo Interinstitucional y de Expertos sobre los Indicadores de los Objetivos de Desarrollo Sostenible (2018, 2019, 2022)</w:t>
      </w:r>
    </w:p>
    <w:p w14:paraId="6606AD33" w14:textId="2513A4A1" w:rsidR="006E0AE9" w:rsidRDefault="003E5348"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 xml:space="preserve">Cumbre sobre los ODS (septiembre de 2019) </w:t>
      </w:r>
    </w:p>
    <w:p w14:paraId="451E0C42" w14:textId="61EC91F2" w:rsidR="00C30EC4" w:rsidRDefault="00F8687A"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reuniones 13ª y 14ª del Grupo de Enlace de los Convenios Relacionados con la Diversidad Biológica (2018, 2021)</w:t>
      </w:r>
    </w:p>
    <w:p w14:paraId="79CA7891" w14:textId="1A260F98" w:rsidR="00993921" w:rsidRPr="00993921" w:rsidRDefault="005F0A7E"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períodos de sesiones 24º, 25º y 26º de la Conferencia de las Partes en la Convención Marco de las Naciones Unidas sobre el Cambio Climático (CMNUCC) (2018, 2019, 2021)</w:t>
      </w:r>
    </w:p>
    <w:p w14:paraId="112EAE70" w14:textId="30B84929" w:rsidR="00C30EC4" w:rsidRDefault="00950696"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13ª reunión de la Conferencia de las Partes en la Convención sobre las Especies Migratorias (febrero de 2020)</w:t>
      </w:r>
    </w:p>
    <w:p w14:paraId="6087F61D" w14:textId="22500AB9" w:rsidR="00AE1057" w:rsidRDefault="009F09D0"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14º período de sesiones de la Conferencia de las Partes en la Convención de las Naciones Unidas de Lucha contra la Desertificación (CNULD) (febrero de 2019)</w:t>
      </w:r>
    </w:p>
    <w:p w14:paraId="349128D4" w14:textId="1B0351DD" w:rsidR="00AE1057" w:rsidRDefault="00BE2207"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períodos de sesiones 4º y 5º de la Asamblea de las Naciones Unidas sobre el Medio Ambiente (2019, 2022)</w:t>
      </w:r>
    </w:p>
    <w:p w14:paraId="6154BCDE" w14:textId="6CE1D07B" w:rsidR="00AE1057" w:rsidRDefault="00AE1057"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Congreso Mundial de la Naturaleza de la UICN (2021)</w:t>
      </w:r>
    </w:p>
    <w:p w14:paraId="073C03FB" w14:textId="77777777" w:rsidR="00624D6A" w:rsidRDefault="00624D6A"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15ª reunión de la Conferencia de las Partes en el Convenio sobre la Diversidad Biológica (CDB) (Parte 1);</w:t>
      </w:r>
    </w:p>
    <w:p w14:paraId="02E99059" w14:textId="26BD437C" w:rsidR="00BD68C4" w:rsidRDefault="00126734"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reuniones del Grupo de trabajo de composición abierta sobre el Marco Mundial de la Diversidad Biológica posterior a 2020 y reuniones del Órgano Subsidiario de Asesoramiento Científico, Técnico y Tecnológico y del Órgano Subsidiario sobre la Aplicación (2019-2022)</w:t>
      </w:r>
    </w:p>
    <w:p w14:paraId="26D74354" w14:textId="3271B6F5" w:rsidR="00CB65CB" w:rsidRPr="00C30EC4" w:rsidRDefault="00A45C3E" w:rsidP="00D7748F">
      <w:pPr>
        <w:numPr>
          <w:ilvl w:val="0"/>
          <w:numId w:val="11"/>
        </w:numPr>
        <w:ind w:left="1276" w:hanging="425"/>
        <w:contextualSpacing/>
        <w:rPr>
          <w:rFonts w:asciiTheme="majorHAnsi" w:eastAsia="Calibri" w:hAnsiTheme="majorHAnsi" w:cs="Times New Roman"/>
          <w:sz w:val="22"/>
          <w:szCs w:val="22"/>
        </w:rPr>
      </w:pPr>
      <w:r>
        <w:rPr>
          <w:rFonts w:asciiTheme="majorHAnsi" w:hAnsiTheme="majorHAnsi"/>
          <w:sz w:val="22"/>
        </w:rPr>
        <w:t>Conferencia de las Naciones Unidas sobre los Océanos (junio de 2022).</w:t>
      </w:r>
    </w:p>
    <w:p w14:paraId="5E6EB74B" w14:textId="77777777" w:rsidR="00BB13FC" w:rsidRPr="00932F11" w:rsidRDefault="00BB13FC" w:rsidP="00011870">
      <w:pPr>
        <w:rPr>
          <w:rFonts w:asciiTheme="majorHAnsi" w:eastAsiaTheme="majorEastAsia" w:hAnsiTheme="majorHAnsi" w:cstheme="majorBidi"/>
          <w:bCs/>
          <w:iCs/>
          <w:sz w:val="22"/>
          <w:szCs w:val="22"/>
        </w:rPr>
      </w:pPr>
    </w:p>
    <w:p w14:paraId="68670809" w14:textId="36A430D7" w:rsidR="00C64326" w:rsidRPr="00C64326" w:rsidRDefault="00C64326" w:rsidP="00D7748F">
      <w:pPr>
        <w:numPr>
          <w:ilvl w:val="0"/>
          <w:numId w:val="1"/>
        </w:numPr>
        <w:ind w:left="851" w:hanging="426"/>
        <w:contextualSpacing/>
        <w:rPr>
          <w:rFonts w:asciiTheme="majorHAnsi" w:eastAsia="Calibri" w:hAnsiTheme="majorHAnsi" w:cs="Times New Roman"/>
          <w:sz w:val="22"/>
          <w:szCs w:val="22"/>
        </w:rPr>
      </w:pPr>
      <w:bookmarkStart w:id="0" w:name="_Hlk111457907"/>
      <w:r>
        <w:rPr>
          <w:rFonts w:asciiTheme="majorHAnsi" w:hAnsiTheme="majorHAnsi"/>
          <w:sz w:val="22"/>
        </w:rPr>
        <w:t xml:space="preserve">Se aumenta la visibilidad de la Convención gracias a InforMEA, el portal de información de las Naciones Unidas sobre los acuerdos multilaterales sobre el medio ambiente (AMMA). El portal incluye actualmente 17 AMMA correspondientes a 12 secretarías. Está abierto a los observadores que participan en la información y gestión de datos de los AMMA. En lo que </w:t>
      </w:r>
      <w:r>
        <w:rPr>
          <w:rFonts w:asciiTheme="majorHAnsi" w:hAnsiTheme="majorHAnsi"/>
          <w:sz w:val="22"/>
        </w:rPr>
        <w:lastRenderedPageBreak/>
        <w:t>se refiere a la Convención sobre los Humedales, el portal InforMEA presenta las decisiones y resoluciones de la COP, los países miembros, los coordinadores nacionales, los informes nacionales y los sitios Ramsar (véase</w:t>
      </w:r>
      <w:r>
        <w:t xml:space="preserve"> </w:t>
      </w:r>
      <w:hyperlink r:id="rId13" w:history="1">
        <w:r>
          <w:rPr>
            <w:rStyle w:val="Hyperlink"/>
            <w:rFonts w:asciiTheme="majorHAnsi" w:hAnsiTheme="majorHAnsi"/>
            <w:sz w:val="22"/>
          </w:rPr>
          <w:t>www.informea.org/en/treaties/ramsar</w:t>
        </w:r>
      </w:hyperlink>
      <w:r>
        <w:t>).</w:t>
      </w:r>
      <w:r>
        <w:rPr>
          <w:rFonts w:asciiTheme="majorHAnsi" w:hAnsiTheme="majorHAnsi"/>
          <w:sz w:val="22"/>
        </w:rPr>
        <w:t xml:space="preserve"> La plataforma de aprendizaje de InforMEA incluye un curso de introducción a la Convención, de gran difusión, en el que se inscribieron 1.773 personas, de las cuales 1.001 recibieron certificados de finalización durante el período que abarca el informe. La Secretaría está actualizando y ampliando el contenido de los cursos, con un nuevo curso de introducción a la Convención que estará disponible en la plataforma y en el sitio web de la Convención sobre los Humedales en el último trimestre de 2022. </w:t>
      </w:r>
    </w:p>
    <w:bookmarkEnd w:id="0"/>
    <w:p w14:paraId="1BD34DAB" w14:textId="77777777" w:rsidR="00EB0248" w:rsidRPr="00932F11" w:rsidRDefault="00EB0248" w:rsidP="00A4794E">
      <w:pPr>
        <w:contextualSpacing/>
        <w:rPr>
          <w:rFonts w:asciiTheme="majorHAnsi" w:eastAsia="Calibri" w:hAnsiTheme="majorHAnsi" w:cs="Times New Roman"/>
          <w:sz w:val="22"/>
          <w:szCs w:val="22"/>
        </w:rPr>
      </w:pPr>
    </w:p>
    <w:p w14:paraId="64C7EF59" w14:textId="446A9FAE" w:rsidR="00C64326" w:rsidRDefault="00C64326" w:rsidP="00D7748F">
      <w:pPr>
        <w:ind w:left="426"/>
        <w:rPr>
          <w:rFonts w:asciiTheme="majorHAnsi" w:eastAsia="Calibri" w:hAnsiTheme="majorHAnsi" w:cs="Times New Roman"/>
          <w:i/>
          <w:sz w:val="22"/>
          <w:szCs w:val="22"/>
        </w:rPr>
      </w:pPr>
      <w:r>
        <w:rPr>
          <w:rFonts w:asciiTheme="majorHAnsi" w:hAnsiTheme="majorHAnsi"/>
          <w:i/>
          <w:sz w:val="22"/>
        </w:rPr>
        <w:t>Objetivo 2 – Integración de la CECoP en las actividades de la Convención</w:t>
      </w:r>
    </w:p>
    <w:p w14:paraId="497CA449" w14:textId="77777777" w:rsidR="00A4794E" w:rsidRPr="00932F11" w:rsidRDefault="00A4794E" w:rsidP="00A4794E">
      <w:pPr>
        <w:rPr>
          <w:rFonts w:asciiTheme="majorHAnsi" w:eastAsia="Calibri" w:hAnsiTheme="majorHAnsi" w:cs="Times New Roman"/>
          <w:sz w:val="22"/>
          <w:szCs w:val="22"/>
        </w:rPr>
      </w:pPr>
    </w:p>
    <w:p w14:paraId="679213BF" w14:textId="7BF0A183" w:rsidR="00A4794E" w:rsidRPr="00A4794E" w:rsidRDefault="00C64326" w:rsidP="00D7748F">
      <w:pPr>
        <w:numPr>
          <w:ilvl w:val="0"/>
          <w:numId w:val="3"/>
        </w:numPr>
        <w:ind w:left="851" w:hanging="426"/>
        <w:contextualSpacing/>
        <w:rPr>
          <w:rFonts w:asciiTheme="majorHAnsi" w:eastAsia="Calibri" w:hAnsiTheme="majorHAnsi" w:cs="Times New Roman"/>
          <w:sz w:val="22"/>
          <w:szCs w:val="22"/>
        </w:rPr>
      </w:pPr>
      <w:r>
        <w:rPr>
          <w:rFonts w:asciiTheme="majorHAnsi" w:hAnsiTheme="majorHAnsi"/>
          <w:sz w:val="22"/>
        </w:rPr>
        <w:t>La CECoP forma parte integral de la aplicación de la Convención y juega un papel esencial en la promoción de los valores de los humedales, la implicación de los administradores de humedales y la comunidad en general en la conservación y el uso racional de los humedales, el fomento de la capacidad para entender y gestionar los humedales y hacer frente a las cuestiones emergentes y la presentación de informes a escala local y mundial sobre los avances.</w:t>
      </w:r>
    </w:p>
    <w:p w14:paraId="086B90AD" w14:textId="77777777" w:rsidR="00A4794E" w:rsidRPr="00932F11" w:rsidRDefault="00A4794E" w:rsidP="00D7748F">
      <w:pPr>
        <w:ind w:left="851"/>
        <w:contextualSpacing/>
        <w:rPr>
          <w:rFonts w:asciiTheme="majorHAnsi" w:eastAsia="Calibri" w:hAnsiTheme="majorHAnsi" w:cs="Times New Roman"/>
          <w:sz w:val="22"/>
          <w:szCs w:val="22"/>
        </w:rPr>
      </w:pPr>
    </w:p>
    <w:p w14:paraId="67B69787" w14:textId="0C70F76F" w:rsidR="00C64326" w:rsidRPr="00C64326" w:rsidRDefault="00C64326" w:rsidP="00D7748F">
      <w:pPr>
        <w:numPr>
          <w:ilvl w:val="0"/>
          <w:numId w:val="3"/>
        </w:numPr>
        <w:ind w:left="851" w:hanging="426"/>
        <w:contextualSpacing/>
        <w:rPr>
          <w:rFonts w:asciiTheme="majorHAnsi" w:eastAsia="Calibri" w:hAnsiTheme="majorHAnsi" w:cs="Times New Roman"/>
          <w:sz w:val="22"/>
          <w:szCs w:val="22"/>
        </w:rPr>
      </w:pPr>
      <w:r>
        <w:rPr>
          <w:rFonts w:asciiTheme="majorHAnsi" w:hAnsiTheme="majorHAnsi"/>
          <w:sz w:val="22"/>
        </w:rPr>
        <w:t>El sitio web de la Convención es un elemento importante para su aplicación, entre otras cosas porque da a conocer públicamente información de las reuniones de la Convención y sus decisiones, contiene datos sobre los sitios Ramsar (en el Servicio de Información sobre Sitios Ramsar), divulga material científico y técnico y promueve los sitios Ramsar y las noticias sobre humedales. El sitio web de la Convención tuvo más de 1,2 millones de visitas durante el período que abarca el presente informe.</w:t>
      </w:r>
    </w:p>
    <w:p w14:paraId="0FC07344" w14:textId="77777777" w:rsidR="00A4794E" w:rsidRPr="00932F11" w:rsidRDefault="00A4794E" w:rsidP="00D7748F">
      <w:pPr>
        <w:ind w:left="851"/>
        <w:contextualSpacing/>
        <w:rPr>
          <w:rFonts w:asciiTheme="majorHAnsi" w:eastAsia="Calibri" w:hAnsiTheme="majorHAnsi" w:cs="Times New Roman"/>
          <w:sz w:val="22"/>
          <w:szCs w:val="22"/>
        </w:rPr>
      </w:pPr>
    </w:p>
    <w:p w14:paraId="62E00FA6" w14:textId="48132FD1" w:rsidR="00C64326" w:rsidRDefault="00C64326" w:rsidP="00D7748F">
      <w:pPr>
        <w:numPr>
          <w:ilvl w:val="0"/>
          <w:numId w:val="3"/>
        </w:numPr>
        <w:ind w:left="851" w:hanging="426"/>
        <w:contextualSpacing/>
        <w:rPr>
          <w:rFonts w:asciiTheme="majorHAnsi" w:eastAsia="Calibri" w:hAnsiTheme="majorHAnsi" w:cs="Times New Roman"/>
          <w:sz w:val="22"/>
          <w:szCs w:val="22"/>
        </w:rPr>
      </w:pPr>
      <w:r>
        <w:rPr>
          <w:rFonts w:asciiTheme="majorHAnsi" w:hAnsiTheme="majorHAnsi"/>
          <w:sz w:val="22"/>
        </w:rPr>
        <w:t>El Boletín de la Convención sobre los Humedales, que se publica semestralmente, constituye un medio de comunicación periódica entre la Secretaría y las Partes Contratantes.</w:t>
      </w:r>
    </w:p>
    <w:p w14:paraId="6E0EE232" w14:textId="77777777" w:rsidR="006347EB" w:rsidRPr="00932F11" w:rsidRDefault="006347EB" w:rsidP="00A4794E">
      <w:pPr>
        <w:contextualSpacing/>
        <w:rPr>
          <w:rFonts w:asciiTheme="majorHAnsi" w:eastAsia="Calibri" w:hAnsiTheme="majorHAnsi" w:cs="Times New Roman"/>
          <w:sz w:val="22"/>
          <w:szCs w:val="22"/>
        </w:rPr>
      </w:pPr>
    </w:p>
    <w:p w14:paraId="48C54BF0" w14:textId="64D107BB" w:rsidR="00C64326" w:rsidRDefault="00C64326" w:rsidP="00D7748F">
      <w:pPr>
        <w:ind w:left="426"/>
        <w:rPr>
          <w:rFonts w:asciiTheme="majorHAnsi" w:eastAsia="Calibri" w:hAnsiTheme="majorHAnsi" w:cs="Times New Roman"/>
          <w:i/>
          <w:sz w:val="22"/>
          <w:szCs w:val="22"/>
        </w:rPr>
      </w:pPr>
      <w:r>
        <w:rPr>
          <w:rFonts w:asciiTheme="majorHAnsi" w:hAnsiTheme="majorHAnsi"/>
          <w:i/>
          <w:sz w:val="22"/>
        </w:rPr>
        <w:t>Objetivo 3 – Apoyo sobre el uso racional para administradores de sitios Ramsar y de otros humedales</w:t>
      </w:r>
      <w:r>
        <w:rPr>
          <w:rFonts w:asciiTheme="majorHAnsi" w:hAnsiTheme="majorHAnsi"/>
          <w:i/>
          <w:sz w:val="22"/>
        </w:rPr>
        <w:br/>
        <w:t>Objetivo 4 – Fomento de la capacidad</w:t>
      </w:r>
    </w:p>
    <w:p w14:paraId="1B954B97" w14:textId="77777777" w:rsidR="00A4794E" w:rsidRPr="00932F11" w:rsidRDefault="00A4794E" w:rsidP="00A4794E">
      <w:pPr>
        <w:rPr>
          <w:rFonts w:asciiTheme="majorHAnsi" w:eastAsia="Calibri" w:hAnsiTheme="majorHAnsi" w:cs="Times New Roman"/>
          <w:sz w:val="22"/>
          <w:szCs w:val="22"/>
        </w:rPr>
      </w:pPr>
    </w:p>
    <w:p w14:paraId="51BDBD0E" w14:textId="38BD2CA9" w:rsidR="00195649" w:rsidRDefault="00C64326" w:rsidP="00D7748F">
      <w:pPr>
        <w:numPr>
          <w:ilvl w:val="0"/>
          <w:numId w:val="2"/>
        </w:numPr>
        <w:ind w:left="851" w:hanging="426"/>
        <w:contextualSpacing/>
        <w:rPr>
          <w:rFonts w:asciiTheme="majorHAnsi" w:eastAsia="Calibri" w:hAnsiTheme="majorHAnsi" w:cs="Times New Roman"/>
          <w:sz w:val="22"/>
          <w:szCs w:val="22"/>
        </w:rPr>
      </w:pPr>
      <w:r>
        <w:rPr>
          <w:rFonts w:asciiTheme="majorHAnsi" w:hAnsiTheme="majorHAnsi"/>
          <w:sz w:val="22"/>
        </w:rPr>
        <w:t xml:space="preserve">La Secretaría fortaleció su papel en la prestación de apoyo directo al fomento de la capacidad en Partes Contratantes concretas mediante la provisión de distintos materiales, herramientas, cursos de formación y seminarios web. Durante el período que abarca el informe, la Secretaría organizó seminarios web sobre los temas siguientes: </w:t>
      </w:r>
    </w:p>
    <w:p w14:paraId="331A3B94" w14:textId="5040B92A" w:rsidR="00385FB2" w:rsidRDefault="00385FB2"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Pr>
          <w:rStyle w:val="normaltextrun"/>
          <w:rFonts w:ascii="Calibri" w:hAnsi="Calibri"/>
          <w:sz w:val="22"/>
        </w:rPr>
        <w:t>“Cómo acceder al Fondo Verde para el Clima (FVC) en pro de la conservación de los humedales”</w:t>
      </w:r>
      <w:r>
        <w:rPr>
          <w:rStyle w:val="eop"/>
          <w:rFonts w:ascii="Calibri" w:hAnsi="Calibri"/>
          <w:sz w:val="22"/>
        </w:rPr>
        <w:t xml:space="preserve"> (</w:t>
      </w:r>
      <w:r>
        <w:rPr>
          <w:rStyle w:val="normaltextrun"/>
          <w:rFonts w:ascii="Calibri" w:hAnsi="Calibri"/>
          <w:sz w:val="22"/>
        </w:rPr>
        <w:t>marzo de 2020)</w:t>
      </w:r>
    </w:p>
    <w:p w14:paraId="106C775B" w14:textId="2078993A" w:rsidR="00385FB2" w:rsidRDefault="00385FB2"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Pr>
          <w:rStyle w:val="normaltextrun"/>
          <w:rFonts w:ascii="Calibri" w:hAnsi="Calibri"/>
          <w:sz w:val="22"/>
        </w:rPr>
        <w:t>“Orientaciones sobre la utilización de las observaciones de la Tierra como herramienta para el manejo de los humedales, para Partes de África oriental y meridional”</w:t>
      </w:r>
      <w:r>
        <w:rPr>
          <w:rStyle w:val="eop"/>
          <w:rFonts w:ascii="Calibri" w:hAnsi="Calibri"/>
          <w:sz w:val="22"/>
        </w:rPr>
        <w:t> </w:t>
      </w:r>
      <w:r>
        <w:rPr>
          <w:rStyle w:val="normaltextrun"/>
          <w:rFonts w:ascii="Calibri" w:hAnsi="Calibri"/>
          <w:sz w:val="22"/>
        </w:rPr>
        <w:t>(septiembre de 2020)</w:t>
      </w:r>
    </w:p>
    <w:p w14:paraId="5FD73E15" w14:textId="77777777" w:rsidR="00834D56" w:rsidRDefault="00385FB2"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Pr>
          <w:rStyle w:val="normaltextrun"/>
          <w:rFonts w:ascii="Calibri" w:hAnsi="Calibri"/>
          <w:sz w:val="22"/>
        </w:rPr>
        <w:t>“Redacción de acuerdos de donación: cómo redactar propuestas de proyecto eficaces” (septiembre y octubre de 2020)</w:t>
      </w:r>
    </w:p>
    <w:p w14:paraId="4C1A4077" w14:textId="0A0AEA9D" w:rsidR="00707013" w:rsidRPr="00834D56" w:rsidRDefault="00707013"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Pr>
          <w:rFonts w:ascii="Calibri" w:hAnsi="Calibri"/>
          <w:sz w:val="22"/>
        </w:rPr>
        <w:t xml:space="preserve">“Preparación de los informes nacionales para la COP14” (noviembre de 2020) </w:t>
      </w:r>
    </w:p>
    <w:p w14:paraId="5C06E449" w14:textId="107B0306" w:rsidR="00834D56" w:rsidRDefault="00385FB2"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Pr>
          <w:rStyle w:val="normaltextrun"/>
          <w:rFonts w:ascii="Calibri" w:hAnsi="Calibri"/>
          <w:sz w:val="22"/>
        </w:rPr>
        <w:t>“Los humedales como soluciones basadas en la naturaleza (SbN) para las contribuciones determinadas a nivel nacional (CDN)” (diciembre de 2020)</w:t>
      </w:r>
      <w:r>
        <w:rPr>
          <w:rStyle w:val="eop"/>
          <w:rFonts w:ascii="Calibri" w:hAnsi="Calibri"/>
          <w:sz w:val="22"/>
        </w:rPr>
        <w:t> </w:t>
      </w:r>
    </w:p>
    <w:p w14:paraId="364F90DE" w14:textId="422289CB" w:rsidR="00834D56" w:rsidRDefault="00385FB2"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Pr>
          <w:rStyle w:val="normaltextrun"/>
          <w:rFonts w:ascii="Calibri" w:hAnsi="Calibri"/>
          <w:sz w:val="22"/>
        </w:rPr>
        <w:t xml:space="preserve">“Seminario web </w:t>
      </w:r>
      <w:r>
        <w:rPr>
          <w:rStyle w:val="findhit"/>
          <w:rFonts w:ascii="Calibri" w:hAnsi="Calibri"/>
          <w:sz w:val="22"/>
        </w:rPr>
        <w:t>de formación</w:t>
      </w:r>
      <w:r>
        <w:rPr>
          <w:rStyle w:val="normaltextrun"/>
          <w:rFonts w:ascii="Calibri" w:hAnsi="Calibri"/>
          <w:sz w:val="22"/>
        </w:rPr>
        <w:t>: Preparación de proyectos de resolución para la COP14” (marzo de 2021)</w:t>
      </w:r>
    </w:p>
    <w:p w14:paraId="35D464A2" w14:textId="77777777" w:rsidR="009F62AE" w:rsidRDefault="00834D56"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Pr>
          <w:rStyle w:val="normaltextrun"/>
          <w:rFonts w:ascii="Calibri" w:hAnsi="Calibri"/>
          <w:sz w:val="22"/>
        </w:rPr>
        <w:lastRenderedPageBreak/>
        <w:t xml:space="preserve">“Seminario web </w:t>
      </w:r>
      <w:r>
        <w:rPr>
          <w:rStyle w:val="findhit"/>
          <w:rFonts w:ascii="Calibri" w:hAnsi="Calibri"/>
          <w:sz w:val="22"/>
        </w:rPr>
        <w:t>de formación</w:t>
      </w:r>
      <w:r>
        <w:rPr>
          <w:rStyle w:val="normaltextrun"/>
          <w:rFonts w:ascii="Calibri" w:hAnsi="Calibri"/>
          <w:sz w:val="22"/>
        </w:rPr>
        <w:t>: incorporación de la perspectiva de género en el marco de la Convención sobre los Humedales” (marzo de 2021)</w:t>
      </w:r>
    </w:p>
    <w:p w14:paraId="6B7A3E58" w14:textId="77777777" w:rsidR="009F62AE" w:rsidRDefault="009F62AE"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Pr>
          <w:rStyle w:val="normaltextrun"/>
          <w:rFonts w:ascii="Calibri" w:hAnsi="Calibri"/>
          <w:sz w:val="22"/>
        </w:rPr>
        <w:t>“Humedales: facilitadores clave para una recuperación resiliente y sostenible” (julio de 2021)</w:t>
      </w:r>
    </w:p>
    <w:p w14:paraId="09DFC55F" w14:textId="77777777" w:rsidR="009F62AE" w:rsidRDefault="009F62AE"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Pr>
          <w:rStyle w:val="normaltextrun"/>
          <w:rFonts w:ascii="Calibri" w:hAnsi="Calibri"/>
          <w:sz w:val="22"/>
        </w:rPr>
        <w:t>“Conexión para la acción favor de los humedales: un diálogo intergeneracional” (octubre de 2021)</w:t>
      </w:r>
    </w:p>
    <w:p w14:paraId="493CF536" w14:textId="77777777" w:rsidR="009F62AE" w:rsidRDefault="009F62AE"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Pr>
          <w:rStyle w:val="normaltextrun"/>
          <w:rFonts w:ascii="Calibri" w:hAnsi="Calibri"/>
          <w:sz w:val="22"/>
        </w:rPr>
        <w:t>“Mecanismos de financiación para los ecosistemas de agua dulce” (diciembre de 2021)</w:t>
      </w:r>
    </w:p>
    <w:p w14:paraId="43830D23" w14:textId="7DFAE76F" w:rsidR="009F62AE" w:rsidRDefault="009F62AE"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Pr>
          <w:rStyle w:val="normaltextrun"/>
          <w:rFonts w:ascii="Calibri" w:hAnsi="Calibri"/>
          <w:sz w:val="22"/>
        </w:rPr>
        <w:t xml:space="preserve">“Acción en favor de los humedales: </w:t>
      </w:r>
      <w:r w:rsidR="00206BAD">
        <w:rPr>
          <w:rStyle w:val="normaltextrun"/>
          <w:rFonts w:ascii="Calibri" w:hAnsi="Calibri"/>
          <w:sz w:val="22"/>
        </w:rPr>
        <w:t>retos</w:t>
      </w:r>
      <w:r>
        <w:rPr>
          <w:rStyle w:val="normaltextrun"/>
          <w:rFonts w:ascii="Calibri" w:hAnsi="Calibri"/>
          <w:sz w:val="22"/>
        </w:rPr>
        <w:t xml:space="preserve"> y oportunidades” (enero de 2022)</w:t>
      </w:r>
    </w:p>
    <w:p w14:paraId="67F47875" w14:textId="77777777" w:rsidR="009F62AE" w:rsidRDefault="009F62AE"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Pr>
          <w:rStyle w:val="normaltextrun"/>
          <w:rFonts w:ascii="Calibri" w:hAnsi="Calibri"/>
          <w:sz w:val="22"/>
        </w:rPr>
        <w:t>“Seminario web</w:t>
      </w:r>
      <w:r>
        <w:rPr>
          <w:rStyle w:val="findhit"/>
          <w:rFonts w:ascii="Calibri" w:hAnsi="Calibri"/>
          <w:sz w:val="22"/>
        </w:rPr>
        <w:t xml:space="preserve"> de formación</w:t>
      </w:r>
      <w:r>
        <w:rPr>
          <w:rStyle w:val="normaltextrun"/>
          <w:rFonts w:ascii="Calibri" w:hAnsi="Calibri"/>
          <w:sz w:val="22"/>
        </w:rPr>
        <w:t xml:space="preserve"> sobre el Fondo Nagao para los Humedales 2022”</w:t>
      </w:r>
      <w:r>
        <w:rPr>
          <w:rStyle w:val="eop"/>
          <w:rFonts w:ascii="Calibri" w:hAnsi="Calibri"/>
          <w:sz w:val="22"/>
        </w:rPr>
        <w:t> (febrero de 2022)</w:t>
      </w:r>
    </w:p>
    <w:p w14:paraId="1FF7202D" w14:textId="229A82F1" w:rsidR="009F62AE" w:rsidRDefault="009F62AE" w:rsidP="00D7748F">
      <w:pPr>
        <w:pStyle w:val="paragraph"/>
        <w:numPr>
          <w:ilvl w:val="0"/>
          <w:numId w:val="7"/>
        </w:numPr>
        <w:spacing w:before="0" w:beforeAutospacing="0" w:after="0" w:afterAutospacing="0"/>
        <w:ind w:left="1276" w:hanging="425"/>
        <w:textAlignment w:val="baseline"/>
        <w:rPr>
          <w:rStyle w:val="normaltextrun"/>
          <w:rFonts w:ascii="Calibri" w:hAnsi="Calibri" w:cs="Calibri"/>
          <w:sz w:val="22"/>
          <w:szCs w:val="22"/>
        </w:rPr>
      </w:pPr>
      <w:r>
        <w:rPr>
          <w:rStyle w:val="normaltextrun"/>
          <w:rFonts w:ascii="Calibri" w:hAnsi="Calibri"/>
          <w:sz w:val="22"/>
        </w:rPr>
        <w:t>“os humedales y el cambio climático: acciones para proteger los ecosistemas de carbono azul y las turberas para la mitigación y la adaptación” (mayo de 2022)</w:t>
      </w:r>
    </w:p>
    <w:p w14:paraId="1C9E1093" w14:textId="6279A522" w:rsidR="00105745" w:rsidRPr="009F62AE" w:rsidRDefault="00105745" w:rsidP="00D7748F">
      <w:pPr>
        <w:pStyle w:val="paragraph"/>
        <w:numPr>
          <w:ilvl w:val="0"/>
          <w:numId w:val="7"/>
        </w:numPr>
        <w:spacing w:before="0" w:beforeAutospacing="0" w:after="0" w:afterAutospacing="0"/>
        <w:ind w:left="1276" w:hanging="425"/>
        <w:textAlignment w:val="baseline"/>
        <w:rPr>
          <w:rFonts w:ascii="Calibri" w:hAnsi="Calibri" w:cs="Calibri"/>
          <w:sz w:val="22"/>
          <w:szCs w:val="22"/>
        </w:rPr>
      </w:pPr>
      <w:r>
        <w:rPr>
          <w:rStyle w:val="normaltextrun"/>
          <w:rFonts w:ascii="Calibri" w:hAnsi="Calibri"/>
          <w:sz w:val="22"/>
        </w:rPr>
        <w:t>“Humedales y agricultura: acciones para la transformación de las prácticas agrícolas sostenibles y el uso racional de los humedales” (julio de 2022).</w:t>
      </w:r>
    </w:p>
    <w:p w14:paraId="7ABC972C" w14:textId="77777777" w:rsidR="00385FB2" w:rsidRPr="00932F11" w:rsidRDefault="00385FB2" w:rsidP="00A4794E">
      <w:pPr>
        <w:contextualSpacing/>
        <w:rPr>
          <w:rFonts w:asciiTheme="majorHAnsi" w:eastAsia="Calibri" w:hAnsiTheme="majorHAnsi" w:cs="Times New Roman"/>
          <w:sz w:val="22"/>
          <w:szCs w:val="22"/>
        </w:rPr>
      </w:pPr>
    </w:p>
    <w:p w14:paraId="7DA050FC" w14:textId="108C099B" w:rsidR="00C64326" w:rsidRPr="00C64326" w:rsidRDefault="00C64326" w:rsidP="00D7748F">
      <w:pPr>
        <w:numPr>
          <w:ilvl w:val="0"/>
          <w:numId w:val="2"/>
        </w:numPr>
        <w:ind w:left="851" w:hanging="426"/>
        <w:contextualSpacing/>
        <w:rPr>
          <w:rFonts w:asciiTheme="majorHAnsi" w:eastAsia="Calibri" w:hAnsiTheme="majorHAnsi" w:cs="Times New Roman"/>
          <w:sz w:val="22"/>
          <w:szCs w:val="22"/>
        </w:rPr>
      </w:pPr>
      <w:r>
        <w:rPr>
          <w:rFonts w:asciiTheme="majorHAnsi" w:hAnsiTheme="majorHAnsi"/>
          <w:sz w:val="22"/>
        </w:rPr>
        <w:t xml:space="preserve">Se ha seguido añadiendo información sobre los sitios en el Servicio de Información sobre Sitios Ramsar. Se produjeron un manual de formación y vídeos, así como sesiones anuales de formación en línea para recopiladores, en los tres idiomas de la Convención. </w:t>
      </w:r>
    </w:p>
    <w:p w14:paraId="3916FEC9" w14:textId="77777777" w:rsidR="00A4794E" w:rsidRPr="00932F11" w:rsidRDefault="00A4794E" w:rsidP="00D7748F">
      <w:pPr>
        <w:ind w:left="851"/>
        <w:contextualSpacing/>
        <w:rPr>
          <w:rFonts w:asciiTheme="majorHAnsi" w:eastAsia="Calibri" w:hAnsiTheme="majorHAnsi" w:cs="Times New Roman"/>
          <w:sz w:val="22"/>
          <w:szCs w:val="22"/>
        </w:rPr>
      </w:pPr>
    </w:p>
    <w:p w14:paraId="0A4FC8AA" w14:textId="67594A4F" w:rsidR="00C64326" w:rsidRPr="00C64326" w:rsidRDefault="00C64326" w:rsidP="00D7748F">
      <w:pPr>
        <w:numPr>
          <w:ilvl w:val="0"/>
          <w:numId w:val="2"/>
        </w:numPr>
        <w:ind w:left="851" w:hanging="426"/>
        <w:contextualSpacing/>
        <w:rPr>
          <w:rFonts w:asciiTheme="majorHAnsi" w:eastAsia="Calibri" w:hAnsiTheme="majorHAnsi" w:cs="Times New Roman"/>
          <w:sz w:val="22"/>
          <w:szCs w:val="22"/>
        </w:rPr>
      </w:pPr>
      <w:r>
        <w:rPr>
          <w:rFonts w:asciiTheme="majorHAnsi" w:hAnsiTheme="majorHAnsi"/>
          <w:sz w:val="22"/>
        </w:rPr>
        <w:t xml:space="preserve">Junto con la Secretaría, se preparó y se publicó en línea un juego de herramientas para el manejo de sitios Ramsar que proporciona orientaciones a los administradores de sitios sobre los principales componentes y etapas que conlleva el manejo de un sitio Ramsar; el juego de herramientas está disponible en la página siguiente: </w:t>
      </w:r>
      <w:hyperlink r:id="rId14" w:history="1">
        <w:r>
          <w:rPr>
            <w:rFonts w:asciiTheme="majorHAnsi" w:hAnsiTheme="majorHAnsi"/>
            <w:color w:val="0000FF"/>
            <w:sz w:val="22"/>
            <w:u w:val="single"/>
          </w:rPr>
          <w:t>https://www.ramsar.org/es/recursos/juego-de-herramientas-para-el-manejo-de-sitios-ramsar</w:t>
        </w:r>
      </w:hyperlink>
      <w:r>
        <w:t>.</w:t>
      </w:r>
    </w:p>
    <w:p w14:paraId="4A7F9C02" w14:textId="77777777" w:rsidR="00A4794E" w:rsidRPr="00932F11" w:rsidRDefault="00A4794E" w:rsidP="00D7748F">
      <w:pPr>
        <w:ind w:left="851"/>
        <w:contextualSpacing/>
        <w:rPr>
          <w:rFonts w:asciiTheme="majorHAnsi" w:eastAsia="Calibri" w:hAnsiTheme="majorHAnsi" w:cs="Times New Roman"/>
          <w:sz w:val="22"/>
          <w:szCs w:val="22"/>
        </w:rPr>
      </w:pPr>
    </w:p>
    <w:p w14:paraId="31D1D1A3" w14:textId="33CF551E" w:rsidR="00C64326" w:rsidRPr="00C64326" w:rsidRDefault="00C64326" w:rsidP="00D7748F">
      <w:pPr>
        <w:numPr>
          <w:ilvl w:val="0"/>
          <w:numId w:val="2"/>
        </w:numPr>
        <w:ind w:left="851" w:hanging="426"/>
        <w:contextualSpacing/>
        <w:rPr>
          <w:rFonts w:asciiTheme="majorHAnsi" w:eastAsia="Calibri" w:hAnsiTheme="majorHAnsi" w:cs="Times New Roman"/>
          <w:sz w:val="22"/>
          <w:szCs w:val="22"/>
        </w:rPr>
      </w:pPr>
      <w:r>
        <w:rPr>
          <w:rFonts w:asciiTheme="majorHAnsi" w:hAnsiTheme="majorHAnsi"/>
          <w:sz w:val="22"/>
        </w:rPr>
        <w:t>La Secretaría elaboró varias publicaciones sobre humedales que se difundieron entre las Partes Contratantes y otras entidades interesadas, y produjo 42 vídeos sobre diferentes temas relacionados con los humedales.</w:t>
      </w:r>
    </w:p>
    <w:p w14:paraId="291BB56B" w14:textId="77777777" w:rsidR="00A4794E" w:rsidRPr="00932F11" w:rsidRDefault="00A4794E" w:rsidP="00D7748F">
      <w:pPr>
        <w:ind w:left="851"/>
        <w:contextualSpacing/>
        <w:rPr>
          <w:rFonts w:asciiTheme="majorHAnsi" w:eastAsia="Calibri" w:hAnsiTheme="majorHAnsi" w:cs="Times New Roman"/>
          <w:sz w:val="22"/>
          <w:szCs w:val="22"/>
        </w:rPr>
      </w:pPr>
    </w:p>
    <w:p w14:paraId="596436AD" w14:textId="68B0B35B" w:rsidR="00C64326" w:rsidRPr="00C64326" w:rsidRDefault="00C64326" w:rsidP="00D7748F">
      <w:pPr>
        <w:numPr>
          <w:ilvl w:val="0"/>
          <w:numId w:val="2"/>
        </w:numPr>
        <w:ind w:left="851" w:hanging="426"/>
        <w:contextualSpacing/>
        <w:rPr>
          <w:rFonts w:asciiTheme="majorHAnsi" w:eastAsia="Calibri" w:hAnsiTheme="majorHAnsi" w:cs="Times New Roman"/>
          <w:sz w:val="22"/>
          <w:szCs w:val="22"/>
        </w:rPr>
      </w:pPr>
      <w:r>
        <w:rPr>
          <w:rFonts w:asciiTheme="majorHAnsi" w:hAnsiTheme="majorHAnsi"/>
          <w:sz w:val="22"/>
        </w:rPr>
        <w:t>Se solicitaron candidaturas a los Premios Ramsar a la Conservación de los Humedales, que se presentarán en la COP14 para reconocer y honrar los logros realizados por personas, organizaciones y gobiernos de todo el mundo en favor de la conservación y el uso racional de los humedales. El Grupo Danone ofreció un Premio Especial Evian de 10.000 dólares de los EE. UU. en cada categoría.</w:t>
      </w:r>
    </w:p>
    <w:p w14:paraId="00FFF25D" w14:textId="77777777" w:rsidR="00A4794E" w:rsidRPr="00932F11" w:rsidRDefault="00A4794E" w:rsidP="00D7748F">
      <w:pPr>
        <w:ind w:left="851"/>
        <w:rPr>
          <w:rFonts w:asciiTheme="majorHAnsi" w:eastAsiaTheme="majorEastAsia" w:hAnsiTheme="majorHAnsi" w:cstheme="majorBidi"/>
          <w:bCs/>
          <w:iCs/>
          <w:sz w:val="22"/>
          <w:szCs w:val="22"/>
        </w:rPr>
      </w:pPr>
    </w:p>
    <w:p w14:paraId="6E60B131" w14:textId="3B20A9EA" w:rsidR="595E0486" w:rsidRDefault="595E0486" w:rsidP="00D7748F">
      <w:pPr>
        <w:numPr>
          <w:ilvl w:val="0"/>
          <w:numId w:val="2"/>
        </w:numPr>
        <w:ind w:left="851" w:hanging="426"/>
        <w:contextualSpacing/>
        <w:rPr>
          <w:rFonts w:asciiTheme="majorHAnsi" w:eastAsiaTheme="majorEastAsia" w:hAnsiTheme="majorHAnsi" w:cstheme="majorBidi"/>
          <w:i/>
          <w:iCs/>
          <w:sz w:val="22"/>
          <w:szCs w:val="22"/>
        </w:rPr>
      </w:pPr>
      <w:r>
        <w:rPr>
          <w:rFonts w:asciiTheme="majorHAnsi" w:hAnsiTheme="majorHAnsi"/>
          <w:sz w:val="22"/>
        </w:rPr>
        <w:t>Las iniciativas regionales de Ramsar (IRR) siguieron prestando apoyo a la aplicación de la Convención mediante varias actividades de CECoP. Durante 2019-2022 muchas IRR elaboraron planes de acción de CECoP e informaron sobre su ejecución. Entre las principales actividades pueden mencionarse actos por el Día Mundial de los Humedales (DMH), programas de formación y fomento de capacidad dirigidos a administradores de humedales y la producción de materiales de comunicación. Los detalles están disponibles en los informes anuales de las IRR y en varios informes de la Secretaría al Comité Permanente en relación con las IRR (reuniones SC57, SC59).</w:t>
      </w:r>
    </w:p>
    <w:p w14:paraId="1DE7428C" w14:textId="6FF51233" w:rsidR="595E0486" w:rsidRPr="00932F11" w:rsidRDefault="595E0486" w:rsidP="00D7748F">
      <w:pPr>
        <w:ind w:left="851"/>
        <w:rPr>
          <w:rFonts w:asciiTheme="majorHAnsi" w:eastAsiaTheme="majorEastAsia" w:hAnsiTheme="majorHAnsi" w:cstheme="majorBidi"/>
          <w:sz w:val="22"/>
          <w:szCs w:val="22"/>
        </w:rPr>
      </w:pPr>
    </w:p>
    <w:p w14:paraId="1DA6280A" w14:textId="305C530D" w:rsidR="595E0486" w:rsidRDefault="595E0486" w:rsidP="00D7748F">
      <w:pPr>
        <w:ind w:left="851"/>
        <w:rPr>
          <w:rFonts w:asciiTheme="majorHAnsi" w:eastAsiaTheme="majorEastAsia" w:hAnsiTheme="majorHAnsi" w:cstheme="majorBidi"/>
          <w:sz w:val="22"/>
          <w:szCs w:val="22"/>
        </w:rPr>
      </w:pPr>
      <w:r>
        <w:rPr>
          <w:rFonts w:asciiTheme="majorHAnsi" w:hAnsiTheme="majorHAnsi"/>
          <w:sz w:val="22"/>
        </w:rPr>
        <w:t>Entre los logros más destacados de este período se encuentran los siguientes:</w:t>
      </w:r>
    </w:p>
    <w:p w14:paraId="12791E06" w14:textId="7261AAA0" w:rsidR="595E0486" w:rsidRPr="00932F11" w:rsidRDefault="595E0486" w:rsidP="00A4794E">
      <w:pPr>
        <w:rPr>
          <w:rFonts w:asciiTheme="majorHAnsi" w:eastAsiaTheme="majorEastAsia" w:hAnsiTheme="majorHAnsi" w:cstheme="majorBidi"/>
          <w:sz w:val="22"/>
          <w:szCs w:val="22"/>
        </w:rPr>
      </w:pPr>
    </w:p>
    <w:p w14:paraId="5E9D1BC2" w14:textId="4B26FEFF"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 xml:space="preserve">Centro Ramsar para África Oriental: </w:t>
      </w:r>
      <w:r>
        <w:rPr>
          <w:rFonts w:asciiTheme="majorHAnsi" w:hAnsiTheme="majorHAnsi"/>
          <w:sz w:val="22"/>
        </w:rPr>
        <w:t xml:space="preserve">finalizó su Plan de acción de CECoP, creó un sitio web, apoyó la distribución del conjunto de herramientas de observación de la Tierra y realizó una evaluación de las necesidades en materia de capacidad sobre los principios de uso racional para las Partes. Completó un curso de formación para las Partes sobre </w:t>
      </w:r>
      <w:r>
        <w:rPr>
          <w:rFonts w:asciiTheme="majorHAnsi" w:hAnsiTheme="majorHAnsi"/>
          <w:sz w:val="22"/>
        </w:rPr>
        <w:lastRenderedPageBreak/>
        <w:t xml:space="preserve">el uso de datos de observaciones de la Tierra para el seguimiento de los humedales, publicó una nota sobre políticas acerca del tema y la presentación de información para el indicador 6.6.1 de los ODS. </w:t>
      </w:r>
    </w:p>
    <w:p w14:paraId="32115594" w14:textId="77777777" w:rsidR="00011870" w:rsidRPr="00932F11" w:rsidRDefault="00011870" w:rsidP="00D7748F">
      <w:pPr>
        <w:ind w:left="1276"/>
        <w:rPr>
          <w:rFonts w:asciiTheme="majorHAnsi" w:eastAsiaTheme="majorEastAsia" w:hAnsiTheme="majorHAnsi" w:cstheme="majorBidi"/>
          <w:bCs/>
          <w:iCs/>
          <w:sz w:val="22"/>
          <w:szCs w:val="22"/>
        </w:rPr>
      </w:pPr>
    </w:p>
    <w:p w14:paraId="0514DD2A" w14:textId="263184EB"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Iniciativa regional de Ramsar para los humedales costeros de África Occidental</w:t>
      </w:r>
      <w:r>
        <w:rPr>
          <w:rFonts w:asciiTheme="majorHAnsi" w:hAnsiTheme="majorHAnsi"/>
          <w:sz w:val="22"/>
        </w:rPr>
        <w:t>: organizó una reunión de la junta de administración en la que participaron 12 países.</w:t>
      </w:r>
    </w:p>
    <w:p w14:paraId="54C500CA" w14:textId="77777777" w:rsidR="00011870" w:rsidRPr="00932F11" w:rsidRDefault="00011870" w:rsidP="00D7748F">
      <w:pPr>
        <w:ind w:left="1276"/>
        <w:rPr>
          <w:rFonts w:asciiTheme="majorHAnsi" w:eastAsiaTheme="majorEastAsia" w:hAnsiTheme="majorHAnsi" w:cstheme="majorBidi"/>
          <w:bCs/>
          <w:iCs/>
          <w:sz w:val="22"/>
          <w:szCs w:val="22"/>
        </w:rPr>
      </w:pPr>
    </w:p>
    <w:p w14:paraId="27E2D883" w14:textId="09B8C5C0"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Iniciativa regional de Ramsar para la cuenca del río Níger</w:t>
      </w:r>
      <w:r>
        <w:rPr>
          <w:rFonts w:asciiTheme="majorHAnsi" w:hAnsiTheme="majorHAnsi"/>
          <w:sz w:val="22"/>
        </w:rPr>
        <w:t xml:space="preserve">: impartió formación a los coordinadores nacionales sobre el proceso de elaboración de proyectos de la Oficina de las Naciones Unidas de Servicios para Proyectos (UNOPS) y facilitó la traducción y publicación de los estatutos y el reglamento de la organización al inglés. </w:t>
      </w:r>
    </w:p>
    <w:p w14:paraId="4D00CCF0" w14:textId="77777777" w:rsidR="00011870" w:rsidRPr="00932F11" w:rsidRDefault="00011870" w:rsidP="00D7748F">
      <w:pPr>
        <w:ind w:left="1276"/>
        <w:rPr>
          <w:rFonts w:asciiTheme="majorHAnsi" w:eastAsiaTheme="majorEastAsia" w:hAnsiTheme="majorHAnsi" w:cstheme="majorBidi"/>
          <w:bCs/>
          <w:iCs/>
          <w:sz w:val="22"/>
          <w:szCs w:val="22"/>
        </w:rPr>
      </w:pPr>
    </w:p>
    <w:p w14:paraId="10531257" w14:textId="0CFE3F04"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Iniciativa regional de Ramsar para la cuenca del río Senegal</w:t>
      </w:r>
      <w:r>
        <w:rPr>
          <w:rFonts w:asciiTheme="majorHAnsi" w:hAnsiTheme="majorHAnsi"/>
          <w:sz w:val="22"/>
        </w:rPr>
        <w:t>: elaboró una Carta de los Humedales para la institución. Patrocinó un estudio sobre los conflictos y el uso de los recursos hídricos en la cuenca del río Senegal.</w:t>
      </w:r>
    </w:p>
    <w:p w14:paraId="10C4248B" w14:textId="77777777" w:rsidR="00011870" w:rsidRPr="00932F11" w:rsidRDefault="00011870" w:rsidP="00D7748F">
      <w:pPr>
        <w:ind w:left="1276"/>
        <w:rPr>
          <w:rFonts w:asciiTheme="majorHAnsi" w:eastAsiaTheme="majorEastAsia" w:hAnsiTheme="majorHAnsi" w:cstheme="majorBidi"/>
          <w:bCs/>
          <w:iCs/>
          <w:sz w:val="22"/>
          <w:szCs w:val="22"/>
        </w:rPr>
      </w:pPr>
    </w:p>
    <w:p w14:paraId="651D1FB7" w14:textId="1CB8CCBE"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Iniciativa para la Conservación y Uso Sustentable de los Humedales Fluviales de la Cuenca del Plata</w:t>
      </w:r>
      <w:r>
        <w:rPr>
          <w:rFonts w:asciiTheme="majorHAnsi" w:hAnsiTheme="majorHAnsi"/>
          <w:sz w:val="22"/>
        </w:rPr>
        <w:t>: llevó a cabo proyectos de formación para el Paraguay y el Estado Plurinacional de Bolivia.</w:t>
      </w:r>
    </w:p>
    <w:p w14:paraId="78934BDE" w14:textId="77777777" w:rsidR="00011870" w:rsidRPr="00932F11" w:rsidRDefault="00011870" w:rsidP="00D7748F">
      <w:pPr>
        <w:ind w:left="1276"/>
        <w:rPr>
          <w:rFonts w:asciiTheme="majorHAnsi" w:eastAsiaTheme="majorEastAsia" w:hAnsiTheme="majorHAnsi" w:cstheme="majorBidi"/>
          <w:bCs/>
          <w:iCs/>
          <w:sz w:val="22"/>
          <w:szCs w:val="22"/>
        </w:rPr>
      </w:pPr>
    </w:p>
    <w:p w14:paraId="528237AD" w14:textId="7CBAE13A"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Iniciativa regional para el manejo integral y el uso racional de los manglares y arrecifes de coral</w:t>
      </w:r>
      <w:r>
        <w:rPr>
          <w:rFonts w:asciiTheme="majorHAnsi" w:hAnsiTheme="majorHAnsi"/>
          <w:sz w:val="22"/>
        </w:rPr>
        <w:t>: en 2021, ejecutó un proyecto de fomento de la capacidad titulado “Carbono azul regional”.</w:t>
      </w:r>
    </w:p>
    <w:p w14:paraId="653292E6" w14:textId="77777777" w:rsidR="00011870" w:rsidRPr="00932F11" w:rsidRDefault="00011870" w:rsidP="00D7748F">
      <w:pPr>
        <w:ind w:left="1276"/>
        <w:rPr>
          <w:rFonts w:asciiTheme="majorHAnsi" w:eastAsiaTheme="majorEastAsia" w:hAnsiTheme="majorHAnsi" w:cstheme="majorBidi"/>
          <w:bCs/>
          <w:iCs/>
          <w:sz w:val="22"/>
          <w:szCs w:val="22"/>
        </w:rPr>
      </w:pPr>
    </w:p>
    <w:p w14:paraId="1114447E" w14:textId="099EF6B9"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Iniciativa regional de Ramsar para los Humedales del Mediterráneo</w:t>
      </w:r>
      <w:r>
        <w:rPr>
          <w:rFonts w:asciiTheme="majorHAnsi" w:hAnsiTheme="majorHAnsi"/>
          <w:sz w:val="22"/>
        </w:rPr>
        <w:t>: cuenta con un programa específico de CECoP y gestiona con éxito la Academia MedWet, un programa de formación de tres años de duración para administradores de humedales, además de promover las actividades relacionadas con los humedales a través de campañas de comunicación, seminarios web, su boletín, su sitio web y las redes sociales. MedWet coordina desde 2020 las actividades del DMH en toda la cuenca del Mediterráneo, recopilando listas de todos los actos, y lanzó en 2022 una convocatoria de proyectos de sensibilización, de los cuales los 35 mejores recibieron apoyo financiero. Desde 2020, MedWet ha estado traduciendo instrumentos de sensibilización de la Convención al árabe a fin de ampliar su distribución.</w:t>
      </w:r>
    </w:p>
    <w:p w14:paraId="51DD30A6" w14:textId="77777777" w:rsidR="00011870" w:rsidRPr="00932F11" w:rsidRDefault="00011870" w:rsidP="00D7748F">
      <w:pPr>
        <w:ind w:left="1276"/>
        <w:rPr>
          <w:rFonts w:asciiTheme="majorHAnsi" w:eastAsiaTheme="majorEastAsia" w:hAnsiTheme="majorHAnsi" w:cstheme="majorBidi"/>
          <w:bCs/>
          <w:iCs/>
          <w:sz w:val="22"/>
          <w:szCs w:val="22"/>
        </w:rPr>
      </w:pPr>
    </w:p>
    <w:p w14:paraId="2AF5068E" w14:textId="425597A8"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Iniciativa regional de Ramsar para los humedales de los Cárpatos</w:t>
      </w:r>
      <w:r>
        <w:rPr>
          <w:rFonts w:asciiTheme="majorHAnsi" w:hAnsiTheme="majorHAnsi"/>
          <w:sz w:val="22"/>
        </w:rPr>
        <w:t>: ha puesto en marcha su centro regional de humedales y ha desarrollado un programa de formación sobre manejo y restauración de humedales. Ha publicado folletos informativos sobre la iniciativa y sobre los humedales de los Cárpatos, además de traducir directrices.</w:t>
      </w:r>
    </w:p>
    <w:p w14:paraId="4D9CE6F8" w14:textId="77777777" w:rsidR="00011870" w:rsidRPr="00932F11" w:rsidRDefault="00011870" w:rsidP="00D7748F">
      <w:pPr>
        <w:ind w:left="1276"/>
        <w:rPr>
          <w:rFonts w:asciiTheme="majorHAnsi" w:eastAsiaTheme="majorEastAsia" w:hAnsiTheme="majorHAnsi" w:cstheme="majorBidi"/>
          <w:bCs/>
          <w:iCs/>
          <w:sz w:val="22"/>
          <w:szCs w:val="22"/>
        </w:rPr>
      </w:pPr>
    </w:p>
    <w:p w14:paraId="1F782A39" w14:textId="70B8AACF"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Iniciativa regional de Ramsar para los humedales nórdico-bálticos</w:t>
      </w:r>
      <w:r>
        <w:rPr>
          <w:rFonts w:asciiTheme="majorHAnsi" w:hAnsiTheme="majorHAnsi"/>
          <w:sz w:val="22"/>
        </w:rPr>
        <w:t>: los países que forman parte de la iniciativa han organizado actos sobre el DMH y mantienen sitios web de información.</w:t>
      </w:r>
    </w:p>
    <w:p w14:paraId="777DCAD9" w14:textId="77777777" w:rsidR="00011870" w:rsidRPr="00932F11" w:rsidRDefault="00011870" w:rsidP="00D7748F">
      <w:pPr>
        <w:ind w:left="1276"/>
        <w:rPr>
          <w:rFonts w:asciiTheme="majorHAnsi" w:eastAsiaTheme="majorEastAsia" w:hAnsiTheme="majorHAnsi" w:cstheme="majorBidi"/>
          <w:bCs/>
          <w:iCs/>
          <w:sz w:val="22"/>
          <w:szCs w:val="22"/>
        </w:rPr>
      </w:pPr>
    </w:p>
    <w:p w14:paraId="6682A663" w14:textId="6A9DA777"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Iniciativa regional de Ramsar para los humedales costeros del mar Negro y el mar de Azov</w:t>
      </w:r>
      <w:r>
        <w:rPr>
          <w:rFonts w:asciiTheme="majorHAnsi" w:hAnsiTheme="majorHAnsi"/>
          <w:sz w:val="22"/>
        </w:rPr>
        <w:t>: ha creado recursos web y ha organizado varias actividades de sensibilización del público, como actividades del DMH y sobre la restauración del Delta del Danubio.</w:t>
      </w:r>
    </w:p>
    <w:p w14:paraId="3BC2787D" w14:textId="77777777" w:rsidR="00011870" w:rsidRPr="00932F11" w:rsidRDefault="00011870" w:rsidP="00D7748F">
      <w:pPr>
        <w:ind w:left="1276"/>
        <w:rPr>
          <w:rFonts w:asciiTheme="majorHAnsi" w:eastAsiaTheme="majorEastAsia" w:hAnsiTheme="majorHAnsi" w:cstheme="majorBidi"/>
          <w:bCs/>
          <w:iCs/>
          <w:sz w:val="22"/>
          <w:szCs w:val="22"/>
        </w:rPr>
      </w:pPr>
    </w:p>
    <w:p w14:paraId="552EA02E" w14:textId="0D98A3C5"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Centro Regional Ramsar para Asia Oriental</w:t>
      </w:r>
      <w:r>
        <w:rPr>
          <w:rFonts w:asciiTheme="majorHAnsi" w:hAnsiTheme="majorHAnsi"/>
          <w:sz w:val="22"/>
        </w:rPr>
        <w:t xml:space="preserve">: ofrece múltiples programas de formación para administradores de humedales y desarrolla módulos de formación. Gestiona un sitio web, una revista web y desarrolla contenidos para redes sociales, como YouTube. </w:t>
      </w:r>
    </w:p>
    <w:p w14:paraId="591FBC03" w14:textId="77777777" w:rsidR="00011870" w:rsidRPr="00932F11" w:rsidRDefault="00011870" w:rsidP="00D7748F">
      <w:pPr>
        <w:ind w:left="1276"/>
        <w:rPr>
          <w:rFonts w:asciiTheme="majorHAnsi" w:eastAsiaTheme="majorEastAsia" w:hAnsiTheme="majorHAnsi" w:cstheme="majorBidi"/>
          <w:bCs/>
          <w:iCs/>
          <w:sz w:val="22"/>
          <w:szCs w:val="22"/>
        </w:rPr>
      </w:pPr>
    </w:p>
    <w:p w14:paraId="1031C8DE" w14:textId="6C00BD11"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Alianza de la Vía Migratoria Asia Oriental-Australasia</w:t>
      </w:r>
      <w:r>
        <w:rPr>
          <w:rFonts w:asciiTheme="majorHAnsi" w:hAnsiTheme="majorHAnsi"/>
          <w:sz w:val="22"/>
        </w:rPr>
        <w:t>: organizó 100 seminarios web, gestiona una página web de recursos para administradores de sitios, estudios de casos, un manual de formación, ofrece una pequeña subvención para celebrar el Día Mundial de las Aves Migratorias, un concurso de reflexión para jóvenes y un festival de senderismo civil para promover la sensibilización.</w:t>
      </w:r>
    </w:p>
    <w:p w14:paraId="736233BA" w14:textId="77777777" w:rsidR="00011870" w:rsidRPr="00932F11" w:rsidRDefault="00011870" w:rsidP="00D7748F">
      <w:pPr>
        <w:ind w:left="1276"/>
        <w:rPr>
          <w:rFonts w:asciiTheme="majorHAnsi" w:eastAsiaTheme="majorEastAsia" w:hAnsiTheme="majorHAnsi" w:cstheme="majorBidi"/>
          <w:bCs/>
          <w:iCs/>
          <w:sz w:val="22"/>
          <w:szCs w:val="22"/>
        </w:rPr>
      </w:pPr>
    </w:p>
    <w:p w14:paraId="3B17FF91" w14:textId="3811C3B4"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Centro Regional Ramsar para Asia Central y Occidental</w:t>
      </w:r>
      <w:r>
        <w:rPr>
          <w:rFonts w:asciiTheme="majorHAnsi" w:hAnsiTheme="majorHAnsi"/>
          <w:sz w:val="22"/>
        </w:rPr>
        <w:t>: ha llevado a cabo talleres de formación virtuales y ha organizado actividades del DMH.</w:t>
      </w:r>
    </w:p>
    <w:p w14:paraId="1A6EEA10" w14:textId="77777777" w:rsidR="00011870" w:rsidRPr="00932F11" w:rsidRDefault="00011870" w:rsidP="00D7748F">
      <w:pPr>
        <w:ind w:left="1276"/>
        <w:rPr>
          <w:rFonts w:asciiTheme="majorHAnsi" w:eastAsiaTheme="majorEastAsia" w:hAnsiTheme="majorHAnsi" w:cstheme="majorBidi"/>
          <w:bCs/>
          <w:iCs/>
          <w:sz w:val="22"/>
          <w:szCs w:val="22"/>
        </w:rPr>
      </w:pPr>
    </w:p>
    <w:p w14:paraId="14183E49" w14:textId="481F1E23" w:rsidR="595E0486" w:rsidRPr="00011870"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Centro Regional Ramsar para Asia Central y Occidental</w:t>
      </w:r>
      <w:r>
        <w:rPr>
          <w:rFonts w:asciiTheme="majorHAnsi" w:hAnsiTheme="majorHAnsi"/>
          <w:sz w:val="22"/>
        </w:rPr>
        <w:t>: ha organizado actos del DMH, ha elaborado una estrategia de comunicación y ha realizado evaluaciones del ecoturismo en los humedales en sus países miembros.</w:t>
      </w:r>
    </w:p>
    <w:p w14:paraId="6CD4012D" w14:textId="77777777" w:rsidR="00011870" w:rsidRPr="00932F11" w:rsidRDefault="00011870" w:rsidP="00D7748F">
      <w:pPr>
        <w:ind w:left="1276"/>
        <w:rPr>
          <w:rFonts w:asciiTheme="majorHAnsi" w:eastAsiaTheme="majorEastAsia" w:hAnsiTheme="majorHAnsi" w:cstheme="majorBidi"/>
          <w:bCs/>
          <w:iCs/>
          <w:sz w:val="22"/>
          <w:szCs w:val="22"/>
        </w:rPr>
      </w:pPr>
    </w:p>
    <w:p w14:paraId="25C1C43C" w14:textId="58654B87" w:rsidR="595E0486" w:rsidRDefault="595E0486" w:rsidP="00D7748F">
      <w:pPr>
        <w:pStyle w:val="ListParagraph"/>
        <w:numPr>
          <w:ilvl w:val="1"/>
          <w:numId w:val="2"/>
        </w:numPr>
        <w:ind w:left="1276" w:hanging="425"/>
        <w:rPr>
          <w:rFonts w:asciiTheme="majorHAnsi" w:eastAsiaTheme="majorEastAsia" w:hAnsiTheme="majorHAnsi" w:cstheme="majorBidi"/>
          <w:b/>
          <w:bCs/>
          <w:i/>
          <w:iCs/>
          <w:sz w:val="22"/>
          <w:szCs w:val="22"/>
        </w:rPr>
      </w:pPr>
      <w:r>
        <w:rPr>
          <w:rFonts w:asciiTheme="majorHAnsi" w:hAnsiTheme="majorHAnsi"/>
          <w:b/>
          <w:sz w:val="22"/>
        </w:rPr>
        <w:t>Iniciativa regional de Ramsar Indo-Birmana</w:t>
      </w:r>
      <w:r>
        <w:rPr>
          <w:rFonts w:asciiTheme="majorHAnsi" w:hAnsiTheme="majorHAnsi"/>
          <w:sz w:val="22"/>
        </w:rPr>
        <w:t>: organizó un taller técnico de fomento de la capacidad, organizó el DMH y elaboró productos de comunicación para la iniciativa.</w:t>
      </w:r>
    </w:p>
    <w:p w14:paraId="7858CA73" w14:textId="77777777" w:rsidR="00A14A02" w:rsidRPr="00932F11" w:rsidRDefault="00A14A02" w:rsidP="00A4794E">
      <w:pPr>
        <w:contextualSpacing/>
        <w:rPr>
          <w:rFonts w:asciiTheme="majorHAnsi" w:eastAsia="Calibri" w:hAnsiTheme="majorHAnsi" w:cs="Times New Roman"/>
          <w:sz w:val="22"/>
          <w:szCs w:val="22"/>
        </w:rPr>
      </w:pPr>
    </w:p>
    <w:p w14:paraId="5803C305" w14:textId="68585DFA" w:rsidR="00C64326" w:rsidRDefault="00C64326" w:rsidP="00D7748F">
      <w:pPr>
        <w:ind w:left="426"/>
        <w:rPr>
          <w:rFonts w:asciiTheme="majorHAnsi" w:eastAsia="Calibri" w:hAnsiTheme="majorHAnsi" w:cs="Times New Roman"/>
          <w:i/>
          <w:sz w:val="22"/>
          <w:szCs w:val="22"/>
        </w:rPr>
      </w:pPr>
      <w:r>
        <w:rPr>
          <w:rFonts w:asciiTheme="majorHAnsi" w:hAnsiTheme="majorHAnsi"/>
          <w:i/>
          <w:sz w:val="22"/>
        </w:rPr>
        <w:t>Objetivo 5 – Participación de múltiples interesados</w:t>
      </w:r>
    </w:p>
    <w:p w14:paraId="211A3E87" w14:textId="77777777" w:rsidR="00D7748F" w:rsidRPr="00D7748F" w:rsidRDefault="00D7748F" w:rsidP="00D7748F">
      <w:pPr>
        <w:rPr>
          <w:rFonts w:asciiTheme="majorHAnsi" w:eastAsia="Calibri" w:hAnsiTheme="majorHAnsi" w:cs="Times New Roman"/>
          <w:sz w:val="22"/>
          <w:szCs w:val="22"/>
          <w:lang w:val="en-AU"/>
        </w:rPr>
      </w:pPr>
    </w:p>
    <w:p w14:paraId="235D68DD" w14:textId="7E85193B" w:rsidR="00C64326" w:rsidRDefault="00C64326" w:rsidP="00D7748F">
      <w:pPr>
        <w:numPr>
          <w:ilvl w:val="0"/>
          <w:numId w:val="2"/>
        </w:numPr>
        <w:ind w:left="851" w:hanging="425"/>
        <w:contextualSpacing/>
        <w:rPr>
          <w:rFonts w:asciiTheme="majorHAnsi" w:eastAsia="Calibri" w:hAnsiTheme="majorHAnsi" w:cs="Times New Roman"/>
          <w:sz w:val="22"/>
          <w:szCs w:val="22"/>
        </w:rPr>
      </w:pPr>
      <w:r>
        <w:rPr>
          <w:rFonts w:asciiTheme="majorHAnsi" w:hAnsiTheme="majorHAnsi"/>
          <w:sz w:val="22"/>
        </w:rPr>
        <w:t>Se llevaron a cabo varias iniciativas, muchas de las cuales reflejaron los temas del Día Mundial de los Humedales, a fin de implicar a más sectores en la conservación y el uso sostenible de los humedales.</w:t>
      </w:r>
    </w:p>
    <w:p w14:paraId="5325DCE6" w14:textId="77777777" w:rsidR="0057293F" w:rsidRPr="00932F11" w:rsidRDefault="0057293F" w:rsidP="0057293F">
      <w:pPr>
        <w:contextualSpacing/>
        <w:rPr>
          <w:rFonts w:asciiTheme="majorHAnsi" w:eastAsia="Calibri" w:hAnsiTheme="majorHAnsi" w:cs="Times New Roman"/>
          <w:sz w:val="22"/>
          <w:szCs w:val="22"/>
        </w:rPr>
      </w:pPr>
    </w:p>
    <w:p w14:paraId="518CBC27" w14:textId="1F9AE6E6" w:rsidR="00C64326" w:rsidRPr="00C64326" w:rsidRDefault="004013C8" w:rsidP="00D7748F">
      <w:pPr>
        <w:numPr>
          <w:ilvl w:val="0"/>
          <w:numId w:val="2"/>
        </w:numPr>
        <w:ind w:left="851" w:hanging="425"/>
        <w:contextualSpacing/>
        <w:rPr>
          <w:rFonts w:asciiTheme="majorHAnsi" w:eastAsia="Calibri" w:hAnsiTheme="majorHAnsi" w:cs="Times New Roman"/>
          <w:sz w:val="22"/>
          <w:szCs w:val="22"/>
        </w:rPr>
      </w:pPr>
      <w:r>
        <w:rPr>
          <w:rFonts w:asciiTheme="majorHAnsi" w:hAnsiTheme="majorHAnsi"/>
          <w:sz w:val="22"/>
        </w:rPr>
        <w:t>Las OIA siguieron desempeñando un papel importante en la promoción de la sensibilización y la participación de las personas en la conservación y el uso sostenible de los humedales.</w:t>
      </w:r>
    </w:p>
    <w:p w14:paraId="1F1B0427" w14:textId="2E076CDD" w:rsidR="00C64326" w:rsidRDefault="004013C8" w:rsidP="00D7748F">
      <w:pPr>
        <w:numPr>
          <w:ilvl w:val="1"/>
          <w:numId w:val="2"/>
        </w:numPr>
        <w:ind w:left="1276" w:hanging="425"/>
        <w:contextualSpacing/>
        <w:rPr>
          <w:rFonts w:asciiTheme="majorHAnsi" w:eastAsia="Calibri" w:hAnsiTheme="majorHAnsi" w:cs="Times New Roman"/>
          <w:sz w:val="22"/>
          <w:szCs w:val="22"/>
        </w:rPr>
      </w:pPr>
      <w:r>
        <w:rPr>
          <w:rFonts w:asciiTheme="majorHAnsi" w:hAnsiTheme="majorHAnsi"/>
          <w:sz w:val="22"/>
        </w:rPr>
        <w:t xml:space="preserve">WWT </w:t>
      </w:r>
    </w:p>
    <w:p w14:paraId="6DE824D6" w14:textId="74BD7002" w:rsidR="004013C8" w:rsidRDefault="004013C8" w:rsidP="00D7748F">
      <w:pPr>
        <w:numPr>
          <w:ilvl w:val="1"/>
          <w:numId w:val="2"/>
        </w:numPr>
        <w:ind w:left="1276" w:hanging="425"/>
        <w:contextualSpacing/>
        <w:rPr>
          <w:rFonts w:asciiTheme="majorHAnsi" w:eastAsia="Calibri" w:hAnsiTheme="majorHAnsi" w:cs="Times New Roman"/>
          <w:sz w:val="22"/>
          <w:szCs w:val="22"/>
        </w:rPr>
      </w:pPr>
      <w:r>
        <w:rPr>
          <w:rFonts w:asciiTheme="majorHAnsi" w:hAnsiTheme="majorHAnsi"/>
          <w:sz w:val="22"/>
        </w:rPr>
        <w:t>UICN</w:t>
      </w:r>
    </w:p>
    <w:p w14:paraId="227EFEE1" w14:textId="58866315" w:rsidR="004013C8" w:rsidRDefault="004013C8" w:rsidP="00D7748F">
      <w:pPr>
        <w:numPr>
          <w:ilvl w:val="1"/>
          <w:numId w:val="2"/>
        </w:numPr>
        <w:ind w:left="1276" w:hanging="425"/>
        <w:contextualSpacing/>
        <w:rPr>
          <w:rFonts w:asciiTheme="majorHAnsi" w:eastAsia="Calibri" w:hAnsiTheme="majorHAnsi" w:cs="Times New Roman"/>
          <w:sz w:val="22"/>
          <w:szCs w:val="22"/>
        </w:rPr>
      </w:pPr>
      <w:r>
        <w:rPr>
          <w:rFonts w:asciiTheme="majorHAnsi" w:hAnsiTheme="majorHAnsi"/>
          <w:sz w:val="22"/>
        </w:rPr>
        <w:t xml:space="preserve">Birdlife </w:t>
      </w:r>
    </w:p>
    <w:p w14:paraId="36940588" w14:textId="22C8D52E" w:rsidR="004013C8" w:rsidRDefault="004013C8" w:rsidP="00D7748F">
      <w:pPr>
        <w:numPr>
          <w:ilvl w:val="1"/>
          <w:numId w:val="2"/>
        </w:numPr>
        <w:ind w:left="1276" w:hanging="425"/>
        <w:contextualSpacing/>
        <w:rPr>
          <w:rFonts w:asciiTheme="majorHAnsi" w:eastAsia="Calibri" w:hAnsiTheme="majorHAnsi" w:cs="Times New Roman"/>
          <w:sz w:val="22"/>
          <w:szCs w:val="22"/>
        </w:rPr>
      </w:pPr>
      <w:r>
        <w:rPr>
          <w:rFonts w:asciiTheme="majorHAnsi" w:hAnsiTheme="majorHAnsi"/>
          <w:sz w:val="22"/>
        </w:rPr>
        <w:t>Wetlands International</w:t>
      </w:r>
    </w:p>
    <w:p w14:paraId="0DA7192F" w14:textId="18FAC317" w:rsidR="004013C8" w:rsidRDefault="00206BAD" w:rsidP="00D7748F">
      <w:pPr>
        <w:numPr>
          <w:ilvl w:val="1"/>
          <w:numId w:val="2"/>
        </w:numPr>
        <w:ind w:left="1276" w:hanging="425"/>
        <w:contextualSpacing/>
        <w:rPr>
          <w:rFonts w:asciiTheme="majorHAnsi" w:eastAsia="Calibri" w:hAnsiTheme="majorHAnsi" w:cs="Times New Roman"/>
          <w:sz w:val="22"/>
          <w:szCs w:val="22"/>
        </w:rPr>
      </w:pPr>
      <w:r>
        <w:rPr>
          <w:rFonts w:asciiTheme="majorHAnsi" w:hAnsiTheme="majorHAnsi"/>
          <w:sz w:val="22"/>
        </w:rPr>
        <w:t>IWMI</w:t>
      </w:r>
    </w:p>
    <w:p w14:paraId="2D24DFE3" w14:textId="38F396B5" w:rsidR="004013C8" w:rsidRDefault="004013C8" w:rsidP="00D7748F">
      <w:pPr>
        <w:numPr>
          <w:ilvl w:val="1"/>
          <w:numId w:val="2"/>
        </w:numPr>
        <w:ind w:left="1276" w:hanging="425"/>
        <w:contextualSpacing/>
        <w:rPr>
          <w:rFonts w:asciiTheme="majorHAnsi" w:eastAsia="Calibri" w:hAnsiTheme="majorHAnsi" w:cs="Times New Roman"/>
          <w:sz w:val="22"/>
          <w:szCs w:val="22"/>
        </w:rPr>
      </w:pPr>
      <w:r>
        <w:rPr>
          <w:rFonts w:asciiTheme="majorHAnsi" w:hAnsiTheme="majorHAnsi"/>
          <w:sz w:val="22"/>
        </w:rPr>
        <w:t xml:space="preserve">WWF </w:t>
      </w:r>
    </w:p>
    <w:p w14:paraId="73E98334" w14:textId="77777777" w:rsidR="004013C8" w:rsidRPr="00C64326" w:rsidRDefault="004013C8" w:rsidP="00A4794E">
      <w:pPr>
        <w:ind w:left="1440"/>
        <w:contextualSpacing/>
        <w:rPr>
          <w:rFonts w:asciiTheme="majorHAnsi" w:eastAsia="Calibri" w:hAnsiTheme="majorHAnsi" w:cs="Times New Roman"/>
          <w:sz w:val="22"/>
          <w:szCs w:val="22"/>
          <w:lang w:val="en-AU"/>
        </w:rPr>
      </w:pPr>
    </w:p>
    <w:p w14:paraId="0A3D7245" w14:textId="688F918A" w:rsidR="00C64326" w:rsidRPr="00C64326" w:rsidRDefault="004013C8" w:rsidP="00A4794E">
      <w:pPr>
        <w:numPr>
          <w:ilvl w:val="0"/>
          <w:numId w:val="2"/>
        </w:numPr>
        <w:contextualSpacing/>
        <w:rPr>
          <w:rFonts w:asciiTheme="majorHAnsi" w:eastAsia="Calibri" w:hAnsiTheme="majorHAnsi" w:cs="Times New Roman"/>
          <w:sz w:val="22"/>
          <w:szCs w:val="22"/>
        </w:rPr>
      </w:pPr>
      <w:r>
        <w:rPr>
          <w:rFonts w:asciiTheme="majorHAnsi" w:hAnsiTheme="majorHAnsi"/>
          <w:sz w:val="22"/>
        </w:rPr>
        <w:t>Durante el período que abarca el informe, se recibieron candidaturas para el mecanismo de acreditación de Ciudad de Humedal, y se designaron 25 nuevas ciudades para la COP14. El mecanismo ha tenido una buena acogida, logrando una amplia respuesta internacional y la participación de muchas Partes, así como ha incrementado la visibilidad de la Convención en las numerosas ciudades que presentaron candidaturas. En la COP14 se hará un reconocimiento a las ciudades seleccionadas, y se ha propuesto un acto paralelo para compartir los aprendizajes y las mejores prácticas de las ciudades acreditadas.</w:t>
      </w:r>
    </w:p>
    <w:p w14:paraId="3F2F73D7" w14:textId="77777777" w:rsidR="00CE4463" w:rsidRPr="00932F11" w:rsidRDefault="00CE4463" w:rsidP="00A4794E">
      <w:pPr>
        <w:contextualSpacing/>
        <w:rPr>
          <w:rFonts w:asciiTheme="majorHAnsi" w:eastAsia="Calibri" w:hAnsiTheme="majorHAnsi" w:cs="Times New Roman"/>
          <w:sz w:val="22"/>
          <w:szCs w:val="22"/>
        </w:rPr>
      </w:pPr>
    </w:p>
    <w:p w14:paraId="5400032F" w14:textId="2123A763" w:rsidR="00C64326" w:rsidRDefault="00C64326" w:rsidP="0057293F">
      <w:pPr>
        <w:keepNext/>
        <w:ind w:firstLine="360"/>
        <w:rPr>
          <w:rFonts w:asciiTheme="majorHAnsi" w:eastAsia="Calibri" w:hAnsiTheme="majorHAnsi" w:cs="Times New Roman"/>
          <w:i/>
          <w:sz w:val="22"/>
          <w:szCs w:val="22"/>
        </w:rPr>
      </w:pPr>
      <w:r>
        <w:rPr>
          <w:rFonts w:asciiTheme="majorHAnsi" w:hAnsiTheme="majorHAnsi"/>
          <w:i/>
          <w:sz w:val="22"/>
        </w:rPr>
        <w:t>Objetivo 6 – Programas y campañas para promover los humedales</w:t>
      </w:r>
    </w:p>
    <w:p w14:paraId="6FD94DC4" w14:textId="77777777" w:rsidR="0057293F" w:rsidRPr="00932F11" w:rsidRDefault="0057293F" w:rsidP="0057293F">
      <w:pPr>
        <w:keepNext/>
        <w:rPr>
          <w:rFonts w:asciiTheme="majorHAnsi" w:eastAsia="Calibri" w:hAnsiTheme="majorHAnsi" w:cs="Times New Roman"/>
          <w:sz w:val="22"/>
          <w:szCs w:val="22"/>
        </w:rPr>
      </w:pPr>
    </w:p>
    <w:p w14:paraId="75D625DE" w14:textId="63242044" w:rsidR="00AB6F60" w:rsidRDefault="00AB6F60" w:rsidP="00D7748F">
      <w:pPr>
        <w:numPr>
          <w:ilvl w:val="0"/>
          <w:numId w:val="4"/>
        </w:numPr>
        <w:ind w:left="851" w:hanging="425"/>
        <w:contextualSpacing/>
        <w:rPr>
          <w:rFonts w:asciiTheme="majorHAnsi" w:eastAsia="Times New Roman" w:hAnsiTheme="majorHAnsi" w:cstheme="majorHAnsi"/>
          <w:sz w:val="22"/>
          <w:szCs w:val="22"/>
        </w:rPr>
      </w:pPr>
      <w:r>
        <w:rPr>
          <w:rFonts w:asciiTheme="majorHAnsi" w:hAnsiTheme="majorHAnsi"/>
          <w:sz w:val="22"/>
        </w:rPr>
        <w:t>Las celebraciones del Día Mundial de los Humedales (DMH) siguen centrando la atención en importantes cuestiones relacionadas con los humedales. Durante el período que abarca el informe, los temas fueron: “Los humedales y el cambio climático” (2019), “Los humedales y la biodiversidad” (2020), “Los humedales y el agua” (2021), “Acción en favor de los humedales para las personas y la naturaleza” (2022).</w:t>
      </w:r>
    </w:p>
    <w:p w14:paraId="72B83143" w14:textId="77777777" w:rsidR="0057293F" w:rsidRPr="00932F11" w:rsidRDefault="0057293F" w:rsidP="0057293F">
      <w:pPr>
        <w:contextualSpacing/>
        <w:rPr>
          <w:rFonts w:asciiTheme="majorHAnsi" w:eastAsia="Times New Roman" w:hAnsiTheme="majorHAnsi" w:cstheme="majorHAnsi"/>
          <w:sz w:val="22"/>
          <w:szCs w:val="22"/>
        </w:rPr>
      </w:pPr>
    </w:p>
    <w:p w14:paraId="3377BCAC" w14:textId="6AE0AF75" w:rsidR="00AB6F60" w:rsidRDefault="00FB45B2" w:rsidP="00D7748F">
      <w:pPr>
        <w:numPr>
          <w:ilvl w:val="0"/>
          <w:numId w:val="4"/>
        </w:numPr>
        <w:ind w:left="851" w:hanging="425"/>
        <w:contextualSpacing/>
        <w:rPr>
          <w:rFonts w:asciiTheme="majorHAnsi" w:eastAsia="Times New Roman" w:hAnsiTheme="majorHAnsi" w:cstheme="majorHAnsi"/>
          <w:sz w:val="22"/>
          <w:szCs w:val="22"/>
        </w:rPr>
      </w:pPr>
      <w:r>
        <w:rPr>
          <w:rFonts w:asciiTheme="majorHAnsi" w:hAnsiTheme="majorHAnsi"/>
          <w:sz w:val="22"/>
        </w:rPr>
        <w:t>En septiembre de 2021, la Asamblea General de las Naciones Unidas reconoció el Día Mundial de los Humedales como un día oficial de las Naciones en su Resolución </w:t>
      </w:r>
      <w:hyperlink r:id="rId15" w:history="1">
        <w:r>
          <w:rPr>
            <w:rStyle w:val="Hyperlink"/>
            <w:rFonts w:asciiTheme="majorHAnsi" w:hAnsiTheme="majorHAnsi"/>
            <w:sz w:val="22"/>
          </w:rPr>
          <w:t>75/317</w:t>
        </w:r>
      </w:hyperlink>
      <w:r>
        <w:rPr>
          <w:rFonts w:asciiTheme="majorHAnsi" w:hAnsiTheme="majorHAnsi"/>
          <w:sz w:val="22"/>
        </w:rPr>
        <w:t>.</w:t>
      </w:r>
    </w:p>
    <w:p w14:paraId="50CA477D" w14:textId="77777777" w:rsidR="0057293F" w:rsidRPr="00932F11" w:rsidRDefault="0057293F" w:rsidP="0057293F">
      <w:pPr>
        <w:contextualSpacing/>
        <w:rPr>
          <w:rFonts w:asciiTheme="majorHAnsi" w:eastAsia="Times New Roman" w:hAnsiTheme="majorHAnsi" w:cstheme="majorHAnsi"/>
          <w:sz w:val="22"/>
          <w:szCs w:val="22"/>
        </w:rPr>
      </w:pPr>
    </w:p>
    <w:p w14:paraId="138DD240" w14:textId="0A6DACCF" w:rsidR="00AB6F60" w:rsidRDefault="00FB45B2" w:rsidP="00D7748F">
      <w:pPr>
        <w:numPr>
          <w:ilvl w:val="0"/>
          <w:numId w:val="4"/>
        </w:numPr>
        <w:ind w:left="851" w:hanging="425"/>
        <w:contextualSpacing/>
        <w:rPr>
          <w:rFonts w:asciiTheme="majorHAnsi" w:eastAsia="Times New Roman" w:hAnsiTheme="majorHAnsi" w:cstheme="majorHAnsi"/>
          <w:sz w:val="22"/>
          <w:szCs w:val="22"/>
        </w:rPr>
      </w:pPr>
      <w:r>
        <w:rPr>
          <w:rFonts w:asciiTheme="majorHAnsi" w:hAnsiTheme="majorHAnsi"/>
          <w:sz w:val="22"/>
        </w:rPr>
        <w:t>Para el DMH de 2022, hubo 1.591 actividades registradas en 86 países, más de 3.000 artículos en línea que mencionaron el DMH y 436 millones de publicaciones en redes sociales, que pueden alcanzar a unos 3,5 millones de personas.</w:t>
      </w:r>
    </w:p>
    <w:p w14:paraId="7BBDCD72" w14:textId="77777777" w:rsidR="0057293F" w:rsidRPr="00932F11" w:rsidRDefault="0057293F" w:rsidP="0057293F">
      <w:pPr>
        <w:ind w:left="426"/>
        <w:contextualSpacing/>
        <w:rPr>
          <w:rFonts w:asciiTheme="majorHAnsi" w:eastAsia="Times New Roman" w:hAnsiTheme="majorHAnsi" w:cstheme="majorHAnsi"/>
          <w:sz w:val="22"/>
          <w:szCs w:val="22"/>
        </w:rPr>
      </w:pPr>
    </w:p>
    <w:p w14:paraId="42C7AAD4" w14:textId="35E6F879" w:rsidR="00AB6F60" w:rsidRDefault="006A63FF" w:rsidP="00D7748F">
      <w:pPr>
        <w:numPr>
          <w:ilvl w:val="0"/>
          <w:numId w:val="4"/>
        </w:numPr>
        <w:ind w:left="851" w:hanging="425"/>
        <w:contextualSpacing/>
        <w:rPr>
          <w:rFonts w:asciiTheme="majorHAnsi" w:eastAsia="Times New Roman" w:hAnsiTheme="majorHAnsi" w:cstheme="majorHAnsi"/>
          <w:sz w:val="22"/>
          <w:szCs w:val="22"/>
        </w:rPr>
      </w:pPr>
      <w:r>
        <w:rPr>
          <w:rFonts w:asciiTheme="majorHAnsi" w:hAnsiTheme="majorHAnsi"/>
          <w:sz w:val="22"/>
        </w:rPr>
        <w:t xml:space="preserve">El número de visitas al sitio web del DMH fue de 48.000 en 2021, pero aumentó significativamente a 73.000 visitas en 2022. Cabe felicitar a las Partes por sus esfuerzos para dar a conocer la Convención a través de estos numerosos y exitosos eventos. </w:t>
      </w:r>
    </w:p>
    <w:p w14:paraId="516B8CB2" w14:textId="77777777" w:rsidR="0057293F" w:rsidRPr="00932F11" w:rsidRDefault="0057293F" w:rsidP="0057293F">
      <w:pPr>
        <w:contextualSpacing/>
        <w:rPr>
          <w:rFonts w:asciiTheme="majorHAnsi" w:eastAsia="Times New Roman" w:hAnsiTheme="majorHAnsi" w:cstheme="majorHAnsi"/>
          <w:sz w:val="22"/>
          <w:szCs w:val="22"/>
        </w:rPr>
      </w:pPr>
    </w:p>
    <w:p w14:paraId="00F16F18" w14:textId="6D16D6AD" w:rsidR="00AB6F60" w:rsidRDefault="00AB6F60" w:rsidP="00D7748F">
      <w:pPr>
        <w:numPr>
          <w:ilvl w:val="0"/>
          <w:numId w:val="4"/>
        </w:numPr>
        <w:ind w:left="851" w:hanging="425"/>
        <w:contextualSpacing/>
        <w:rPr>
          <w:rFonts w:asciiTheme="majorHAnsi" w:eastAsia="Times New Roman" w:hAnsiTheme="majorHAnsi" w:cstheme="majorBidi"/>
          <w:sz w:val="22"/>
          <w:szCs w:val="22"/>
        </w:rPr>
      </w:pPr>
      <w:r>
        <w:rPr>
          <w:rFonts w:asciiTheme="majorHAnsi" w:hAnsiTheme="majorHAnsi"/>
          <w:sz w:val="22"/>
        </w:rPr>
        <w:t>El 91 % de los países informaron de la celebración de actividades del DMH durante el período que abarca el informe. Esto también se reflejó en el elevado número de eventos señalados en el mapa de actividades que figura en el sitio web de la Secretaría.</w:t>
      </w:r>
    </w:p>
    <w:p w14:paraId="45BDDA3D" w14:textId="77777777" w:rsidR="0057293F" w:rsidRPr="00932F11" w:rsidRDefault="0057293F" w:rsidP="0057293F">
      <w:pPr>
        <w:contextualSpacing/>
        <w:rPr>
          <w:rFonts w:asciiTheme="majorHAnsi" w:eastAsia="Times New Roman" w:hAnsiTheme="majorHAnsi" w:cstheme="majorBidi"/>
          <w:sz w:val="22"/>
          <w:szCs w:val="22"/>
        </w:rPr>
      </w:pPr>
    </w:p>
    <w:p w14:paraId="79B3C9DD" w14:textId="3A61EC96" w:rsidR="00AB6F60" w:rsidRPr="00A36674" w:rsidRDefault="00AB6F60" w:rsidP="00D7748F">
      <w:pPr>
        <w:pStyle w:val="ListParagraph"/>
        <w:numPr>
          <w:ilvl w:val="0"/>
          <w:numId w:val="5"/>
        </w:numPr>
        <w:ind w:left="851" w:hanging="425"/>
        <w:rPr>
          <w:rFonts w:asciiTheme="majorHAnsi" w:hAnsiTheme="majorHAnsi" w:cstheme="majorHAnsi"/>
          <w:sz w:val="22"/>
          <w:szCs w:val="22"/>
        </w:rPr>
      </w:pPr>
      <w:r>
        <w:rPr>
          <w:rFonts w:asciiTheme="majorHAnsi" w:hAnsiTheme="majorHAnsi"/>
          <w:sz w:val="22"/>
        </w:rPr>
        <w:t>El número de eventos registrados en el mapa de actividades a lo largo del período que abarca este informe es el siguiente:</w:t>
      </w:r>
    </w:p>
    <w:p w14:paraId="015422D1" w14:textId="4185F3FC" w:rsidR="00AB6F60" w:rsidRPr="00A36674" w:rsidRDefault="00AB6F60" w:rsidP="00D7748F">
      <w:pPr>
        <w:pStyle w:val="ListParagraph"/>
        <w:numPr>
          <w:ilvl w:val="0"/>
          <w:numId w:val="12"/>
        </w:numPr>
        <w:ind w:left="1276" w:hanging="425"/>
        <w:rPr>
          <w:rFonts w:asciiTheme="majorHAnsi" w:hAnsiTheme="majorHAnsi" w:cstheme="majorHAnsi"/>
          <w:sz w:val="22"/>
          <w:szCs w:val="22"/>
        </w:rPr>
      </w:pPr>
      <w:r>
        <w:rPr>
          <w:rFonts w:asciiTheme="majorHAnsi" w:hAnsiTheme="majorHAnsi"/>
          <w:sz w:val="22"/>
        </w:rPr>
        <w:t>1.495 eventos en 108 países en 2019</w:t>
      </w:r>
    </w:p>
    <w:p w14:paraId="13C86566" w14:textId="1E971AB4" w:rsidR="00AB6F60" w:rsidRPr="00A36674" w:rsidRDefault="00AB6F60" w:rsidP="00D7748F">
      <w:pPr>
        <w:pStyle w:val="ListParagraph"/>
        <w:numPr>
          <w:ilvl w:val="0"/>
          <w:numId w:val="12"/>
        </w:numPr>
        <w:ind w:left="1276" w:hanging="425"/>
        <w:rPr>
          <w:rFonts w:asciiTheme="majorHAnsi" w:hAnsiTheme="majorHAnsi" w:cstheme="majorHAnsi"/>
          <w:sz w:val="22"/>
          <w:szCs w:val="22"/>
        </w:rPr>
      </w:pPr>
      <w:r>
        <w:rPr>
          <w:rFonts w:asciiTheme="majorHAnsi" w:hAnsiTheme="majorHAnsi"/>
          <w:sz w:val="22"/>
        </w:rPr>
        <w:t>1.595 eventos en 85 países en 2020</w:t>
      </w:r>
    </w:p>
    <w:p w14:paraId="09E6B9C0" w14:textId="77777777" w:rsidR="00AB6F60" w:rsidRPr="00A36674" w:rsidRDefault="00AB6F60" w:rsidP="00D7748F">
      <w:pPr>
        <w:pStyle w:val="ListParagraph"/>
        <w:numPr>
          <w:ilvl w:val="0"/>
          <w:numId w:val="12"/>
        </w:numPr>
        <w:ind w:left="1276" w:hanging="425"/>
        <w:rPr>
          <w:rFonts w:asciiTheme="majorHAnsi" w:hAnsiTheme="majorHAnsi" w:cstheme="majorHAnsi"/>
          <w:sz w:val="22"/>
          <w:szCs w:val="22"/>
        </w:rPr>
      </w:pPr>
      <w:r>
        <w:rPr>
          <w:rFonts w:asciiTheme="majorHAnsi" w:hAnsiTheme="majorHAnsi"/>
          <w:sz w:val="22"/>
        </w:rPr>
        <w:t>1.139 eventos en 82 países en 2021</w:t>
      </w:r>
    </w:p>
    <w:p w14:paraId="7370A27F" w14:textId="5ACA4900" w:rsidR="00AB6F60" w:rsidRDefault="00AB6F60" w:rsidP="00D7748F">
      <w:pPr>
        <w:pStyle w:val="ListParagraph"/>
        <w:numPr>
          <w:ilvl w:val="0"/>
          <w:numId w:val="12"/>
        </w:numPr>
        <w:ind w:left="1276" w:hanging="425"/>
        <w:rPr>
          <w:rFonts w:asciiTheme="majorHAnsi" w:hAnsiTheme="majorHAnsi" w:cstheme="majorHAnsi"/>
          <w:sz w:val="22"/>
          <w:szCs w:val="22"/>
        </w:rPr>
      </w:pPr>
      <w:r>
        <w:rPr>
          <w:rFonts w:asciiTheme="majorHAnsi" w:hAnsiTheme="majorHAnsi"/>
          <w:sz w:val="22"/>
        </w:rPr>
        <w:t>1.591 eventos en 86 países en 2022</w:t>
      </w:r>
    </w:p>
    <w:p w14:paraId="1D5F7ADD" w14:textId="77777777" w:rsidR="0057293F" w:rsidRPr="0057293F" w:rsidRDefault="0057293F" w:rsidP="0057293F">
      <w:pPr>
        <w:rPr>
          <w:rFonts w:asciiTheme="majorHAnsi" w:hAnsiTheme="majorHAnsi" w:cstheme="majorHAnsi"/>
          <w:sz w:val="22"/>
          <w:szCs w:val="22"/>
          <w:lang w:val="en-AU"/>
        </w:rPr>
      </w:pPr>
    </w:p>
    <w:p w14:paraId="7CEF84EA" w14:textId="36FD62FE" w:rsidR="00AB6F60" w:rsidRDefault="00AB6F60" w:rsidP="00D7748F">
      <w:pPr>
        <w:pStyle w:val="ListParagraph"/>
        <w:numPr>
          <w:ilvl w:val="0"/>
          <w:numId w:val="8"/>
        </w:numPr>
        <w:ind w:left="851" w:hanging="425"/>
        <w:rPr>
          <w:rFonts w:asciiTheme="majorHAnsi" w:eastAsia="Times New Roman" w:hAnsiTheme="majorHAnsi" w:cstheme="majorBidi"/>
          <w:sz w:val="22"/>
          <w:szCs w:val="22"/>
        </w:rPr>
      </w:pPr>
      <w:r>
        <w:rPr>
          <w:rFonts w:asciiTheme="majorHAnsi" w:hAnsiTheme="majorHAnsi"/>
          <w:sz w:val="22"/>
        </w:rPr>
        <w:t>Danone sigue proporcionando fondos en apoyo del Día Mundial de los Humedales.</w:t>
      </w:r>
    </w:p>
    <w:p w14:paraId="31CB7AE6" w14:textId="77777777" w:rsidR="0057293F" w:rsidRPr="00932F11" w:rsidRDefault="0057293F" w:rsidP="0057293F">
      <w:pPr>
        <w:rPr>
          <w:rFonts w:asciiTheme="majorHAnsi" w:eastAsia="Times New Roman" w:hAnsiTheme="majorHAnsi" w:cstheme="majorBidi"/>
          <w:sz w:val="22"/>
          <w:szCs w:val="22"/>
        </w:rPr>
      </w:pPr>
    </w:p>
    <w:p w14:paraId="391C9D36" w14:textId="144D2962" w:rsidR="00C10773" w:rsidRDefault="00BF4803" w:rsidP="00D7748F">
      <w:pPr>
        <w:pStyle w:val="ListParagraph"/>
        <w:numPr>
          <w:ilvl w:val="0"/>
          <w:numId w:val="8"/>
        </w:numPr>
        <w:ind w:left="851" w:hanging="425"/>
        <w:rPr>
          <w:rFonts w:asciiTheme="majorHAnsi" w:eastAsia="Times New Roman" w:hAnsiTheme="majorHAnsi" w:cstheme="majorBidi"/>
          <w:sz w:val="22"/>
          <w:szCs w:val="22"/>
        </w:rPr>
      </w:pPr>
      <w:r>
        <w:rPr>
          <w:rFonts w:asciiTheme="majorHAnsi" w:hAnsiTheme="majorHAnsi"/>
          <w:sz w:val="22"/>
        </w:rPr>
        <w:t>Para conmemorar el 50º aniversario de la Convención en 2021, la Secretaría diseñó una campaña de comunicación de un año de duración para implicar y movilizar a los asociados y otros interesados con miras a conservar, proteger y restaurar los humedales. La Secretaría presentó la campaña del 50º aniversario de la Convención en marzo de 2021, tras el Día Mundial de los Humedales. Se distribuyó a las Partes un conjunto de materiales de campaña que incluía un sitio web de la campaña, el logotipo del 50º aniversario, un vídeo, directrices de marca, un conjunto de herramientas para las redes sociales y una serie de hojas informativas sobre los valores de los humedales. Todos los recursos de la campaña estuvieron disponibles en inglés, francés y español.</w:t>
      </w:r>
    </w:p>
    <w:p w14:paraId="6F395C3B" w14:textId="77777777" w:rsidR="0057293F" w:rsidRPr="00932F11" w:rsidRDefault="0057293F" w:rsidP="0057293F">
      <w:pPr>
        <w:rPr>
          <w:rFonts w:asciiTheme="majorHAnsi" w:eastAsia="Times New Roman" w:hAnsiTheme="majorHAnsi" w:cstheme="majorBidi"/>
          <w:sz w:val="22"/>
          <w:szCs w:val="22"/>
        </w:rPr>
      </w:pPr>
    </w:p>
    <w:p w14:paraId="02956513" w14:textId="59BE1892" w:rsidR="00AB6F60" w:rsidRDefault="005E585A" w:rsidP="00D7748F">
      <w:pPr>
        <w:pStyle w:val="ListParagraph"/>
        <w:numPr>
          <w:ilvl w:val="0"/>
          <w:numId w:val="8"/>
        </w:numPr>
        <w:ind w:left="851" w:hanging="425"/>
        <w:rPr>
          <w:rFonts w:asciiTheme="majorHAnsi" w:eastAsia="Times New Roman" w:hAnsiTheme="majorHAnsi" w:cstheme="majorBidi"/>
          <w:sz w:val="22"/>
          <w:szCs w:val="22"/>
        </w:rPr>
      </w:pPr>
      <w:r>
        <w:rPr>
          <w:rFonts w:asciiTheme="majorHAnsi" w:hAnsiTheme="majorHAnsi"/>
          <w:sz w:val="22"/>
        </w:rPr>
        <w:t>La campaña del 50º aniversario destacó los días internacionales clave a lo largo de 2021, entre ellos el Día Mundial del Agua (22 de marzo), el Día Internacional de la Diversidad Biológica (22 de mayo), el Día Mundial de los Océanos (8 de junio), el Día Internacional de la Juventud (12 de agosto) y el Día Internacional para la Reducción del Riesgo de Desastres (13 de octubre). El compromiso general y la participación de los interesados en la campaña fueron fuertes. Los análisis de las redes sociales muestran que se utilizó el hashtag de la campaña en 4.869 ocasiones en Twitter e Instagram, con un alcance de 32 millones de visualizaciones en todas las regiones. En el sitio web de la campaña, se registraron 40.000 visitas en total.</w:t>
      </w:r>
    </w:p>
    <w:p w14:paraId="31035DBE" w14:textId="77777777" w:rsidR="0057293F" w:rsidRPr="00932F11" w:rsidRDefault="0057293F" w:rsidP="0057293F">
      <w:pPr>
        <w:rPr>
          <w:rFonts w:asciiTheme="majorHAnsi" w:eastAsia="Times New Roman" w:hAnsiTheme="majorHAnsi" w:cstheme="majorBidi"/>
          <w:sz w:val="22"/>
          <w:szCs w:val="22"/>
        </w:rPr>
      </w:pPr>
    </w:p>
    <w:p w14:paraId="0B73E22A" w14:textId="707F6BA3" w:rsidR="00C64326" w:rsidRDefault="00C64326" w:rsidP="00D7748F">
      <w:pPr>
        <w:numPr>
          <w:ilvl w:val="0"/>
          <w:numId w:val="1"/>
        </w:numPr>
        <w:ind w:left="851" w:hanging="425"/>
        <w:contextualSpacing/>
        <w:rPr>
          <w:rFonts w:asciiTheme="majorHAnsi" w:eastAsia="Calibri" w:hAnsiTheme="majorHAnsi" w:cs="Times New Roman"/>
          <w:sz w:val="22"/>
          <w:szCs w:val="22"/>
        </w:rPr>
      </w:pPr>
      <w:r>
        <w:rPr>
          <w:rFonts w:asciiTheme="majorHAnsi" w:hAnsiTheme="majorHAnsi"/>
          <w:sz w:val="22"/>
        </w:rPr>
        <w:t xml:space="preserve">Ha habido mucha actividad relativa a otros programas, proyectos y campañas sobre la CECoP en materia de humedales, y el 87 % de los países informaron sobre iniciativas relacionadas durante el período que abarca el presente informe. En algunas de estas se aprovecharon otros días internacionales, tales como el Día Mundial del Medio Ambiente, el Día Mundial de las Aves Migratorias y el Día Mundial de las Tortugas, para apoyar las campañas mundiales y poner de relieve las situaciones nacionales y locales. </w:t>
      </w:r>
    </w:p>
    <w:p w14:paraId="12CD5EBA" w14:textId="77777777" w:rsidR="0057293F" w:rsidRPr="00932F11" w:rsidRDefault="0057293F" w:rsidP="0057293F">
      <w:pPr>
        <w:contextualSpacing/>
        <w:rPr>
          <w:rFonts w:asciiTheme="majorHAnsi" w:eastAsia="Calibri" w:hAnsiTheme="majorHAnsi" w:cs="Times New Roman"/>
          <w:sz w:val="22"/>
          <w:szCs w:val="22"/>
        </w:rPr>
      </w:pPr>
    </w:p>
    <w:p w14:paraId="77B81BA7" w14:textId="34CE8AAD" w:rsidR="00C64326" w:rsidRDefault="00C64326" w:rsidP="00D7748F">
      <w:pPr>
        <w:numPr>
          <w:ilvl w:val="0"/>
          <w:numId w:val="1"/>
        </w:numPr>
        <w:ind w:left="851" w:hanging="425"/>
        <w:contextualSpacing/>
        <w:rPr>
          <w:rFonts w:asciiTheme="majorHAnsi" w:eastAsia="Calibri" w:hAnsiTheme="majorHAnsi" w:cs="Times New Roman"/>
          <w:sz w:val="22"/>
          <w:szCs w:val="22"/>
        </w:rPr>
      </w:pPr>
      <w:r>
        <w:rPr>
          <w:rFonts w:asciiTheme="majorHAnsi" w:hAnsiTheme="majorHAnsi"/>
          <w:sz w:val="22"/>
        </w:rPr>
        <w:lastRenderedPageBreak/>
        <w:t xml:space="preserve">Las Partes Contratantes han llevado a cabo distintas actividades, que demuestran enfoques eficaces para hacer participar a interesados y sectores muy diversos y fomentar su capacidad. Para consultar ejemplos, véase el </w:t>
      </w:r>
      <w:r>
        <w:rPr>
          <w:rFonts w:asciiTheme="majorHAnsi" w:hAnsiTheme="majorHAnsi"/>
          <w:b/>
          <w:sz w:val="22"/>
        </w:rPr>
        <w:t>Anexo A</w:t>
      </w:r>
      <w:r>
        <w:rPr>
          <w:rFonts w:asciiTheme="majorHAnsi" w:hAnsiTheme="majorHAnsi"/>
          <w:sz w:val="22"/>
        </w:rPr>
        <w:t>.</w:t>
      </w:r>
    </w:p>
    <w:p w14:paraId="386A5051" w14:textId="77777777" w:rsidR="0057293F" w:rsidRPr="00C64326" w:rsidRDefault="0057293F" w:rsidP="0057293F">
      <w:pPr>
        <w:contextualSpacing/>
        <w:rPr>
          <w:rFonts w:asciiTheme="majorHAnsi" w:eastAsia="Calibri" w:hAnsiTheme="majorHAnsi" w:cs="Times New Roman"/>
          <w:sz w:val="22"/>
          <w:szCs w:val="22"/>
          <w:lang w:val="en-AU"/>
        </w:rPr>
      </w:pPr>
    </w:p>
    <w:p w14:paraId="6D09D0EC" w14:textId="0F4FB28F" w:rsidR="00C64326" w:rsidRDefault="00C64326" w:rsidP="00D7748F">
      <w:pPr>
        <w:numPr>
          <w:ilvl w:val="0"/>
          <w:numId w:val="1"/>
        </w:numPr>
        <w:ind w:left="851" w:hanging="425"/>
        <w:contextualSpacing/>
        <w:rPr>
          <w:rFonts w:asciiTheme="majorHAnsi" w:eastAsia="Calibri" w:hAnsiTheme="majorHAnsi" w:cs="Times New Roman"/>
          <w:sz w:val="22"/>
          <w:szCs w:val="22"/>
        </w:rPr>
      </w:pPr>
      <w:r>
        <w:rPr>
          <w:rFonts w:asciiTheme="majorHAnsi" w:hAnsiTheme="majorHAnsi"/>
          <w:sz w:val="22"/>
        </w:rPr>
        <w:t>La Secretaría continuó su labor de comunicación y difusión a través de las redes sociales (Twitter, Facebook e Instagram). Las reacciones en las redes sociales superaron los 76 millones en el período que abarca el presente informe, lo que supone un aumento del 74 % respecto al último trienio.</w:t>
      </w:r>
    </w:p>
    <w:p w14:paraId="61580644" w14:textId="77777777" w:rsidR="00EC7A4B" w:rsidRPr="00932F11" w:rsidRDefault="00EC7A4B" w:rsidP="00A4794E">
      <w:pPr>
        <w:contextualSpacing/>
        <w:rPr>
          <w:rFonts w:asciiTheme="majorHAnsi" w:eastAsia="Calibri" w:hAnsiTheme="majorHAnsi" w:cs="Times New Roman"/>
          <w:sz w:val="22"/>
          <w:szCs w:val="22"/>
        </w:rPr>
      </w:pPr>
    </w:p>
    <w:p w14:paraId="2CA0E64C" w14:textId="122A5ED7" w:rsidR="00C64326" w:rsidRDefault="00C64326" w:rsidP="00D7748F">
      <w:pPr>
        <w:ind w:left="426"/>
        <w:rPr>
          <w:rFonts w:asciiTheme="majorHAnsi" w:eastAsia="Calibri" w:hAnsiTheme="majorHAnsi" w:cs="Times New Roman"/>
          <w:i/>
          <w:sz w:val="22"/>
          <w:szCs w:val="22"/>
        </w:rPr>
      </w:pPr>
      <w:bookmarkStart w:id="1" w:name="_Hlk111460682"/>
      <w:r>
        <w:rPr>
          <w:rFonts w:asciiTheme="majorHAnsi" w:hAnsiTheme="majorHAnsi"/>
          <w:i/>
          <w:sz w:val="22"/>
        </w:rPr>
        <w:t>Objetivo 7 – Centros de educación sobre humedales</w:t>
      </w:r>
    </w:p>
    <w:p w14:paraId="7E85085D" w14:textId="77777777" w:rsidR="0057293F" w:rsidRPr="00932F11" w:rsidRDefault="0057293F" w:rsidP="00D7748F">
      <w:pPr>
        <w:ind w:left="426"/>
        <w:rPr>
          <w:rFonts w:asciiTheme="majorHAnsi" w:eastAsia="Calibri" w:hAnsiTheme="majorHAnsi" w:cs="Times New Roman"/>
          <w:i/>
          <w:sz w:val="22"/>
          <w:szCs w:val="22"/>
        </w:rPr>
      </w:pPr>
    </w:p>
    <w:p w14:paraId="0369498A" w14:textId="343A7CD5" w:rsidR="00E971E4" w:rsidRPr="0057293F" w:rsidRDefault="00E971E4" w:rsidP="00206BAD">
      <w:pPr>
        <w:numPr>
          <w:ilvl w:val="0"/>
          <w:numId w:val="1"/>
        </w:numPr>
        <w:contextualSpacing/>
        <w:rPr>
          <w:rFonts w:asciiTheme="majorHAnsi" w:eastAsia="Times New Roman" w:hAnsiTheme="majorHAnsi" w:cstheme="majorHAnsi"/>
          <w:sz w:val="22"/>
          <w:szCs w:val="22"/>
        </w:rPr>
      </w:pPr>
      <w:r>
        <w:rPr>
          <w:rFonts w:asciiTheme="majorHAnsi" w:hAnsiTheme="majorHAnsi"/>
          <w:sz w:val="22"/>
        </w:rPr>
        <w:t xml:space="preserve">La red de centros de Wetlands Link International (WLI) ha demostrado ser un mecanismo eficaz para establecer vínculos entre los centros de educación sobre los humedales y proporcionar una oportunidad de compartir experiencias, materiales e ideas innovadoras en materia de educación y participación en apoyo de la CECoP. WLI cuenta con más de 350 centros miembros y ha establecido varias redes regionales, entre ellas la red de la vía migratoria del Atlántico oriental (denominada “Migratory Birds for People”), la WLI en las Américas y WLI Asia-Oceania, de reciente creación, gestionada a través del Centro Regional Ramsar para Asia Oriental. WLI celebró su 30º aniversario en 2020, elaborando un mapa mural educativo para sus miembros, recopilando estudios de casos de proyectos, distribuyendo insignias conmemorativas y lanzando </w:t>
      </w:r>
      <w:r w:rsidR="00206BAD">
        <w:rPr>
          <w:rFonts w:asciiTheme="majorHAnsi" w:hAnsiTheme="majorHAnsi"/>
          <w:sz w:val="22"/>
        </w:rPr>
        <w:t>el nuevo</w:t>
      </w:r>
      <w:r>
        <w:rPr>
          <w:rFonts w:asciiTheme="majorHAnsi" w:hAnsiTheme="majorHAnsi"/>
          <w:sz w:val="22"/>
        </w:rPr>
        <w:t xml:space="preserve"> </w:t>
      </w:r>
      <w:r w:rsidR="00206BAD" w:rsidRPr="00206BAD">
        <w:rPr>
          <w:rFonts w:asciiTheme="majorHAnsi" w:hAnsiTheme="majorHAnsi"/>
          <w:sz w:val="22"/>
        </w:rPr>
        <w:t>Premio de los Centros de Humedales Estelares</w:t>
      </w:r>
      <w:r>
        <w:rPr>
          <w:rFonts w:asciiTheme="majorHAnsi" w:hAnsiTheme="majorHAnsi"/>
          <w:sz w:val="22"/>
        </w:rPr>
        <w:t>, para conmemorar las mejores prácticas en los centros de educación sobre humedales.</w:t>
      </w:r>
    </w:p>
    <w:p w14:paraId="675A5E2C" w14:textId="77777777" w:rsidR="0057293F" w:rsidRPr="00932F11" w:rsidRDefault="0057293F" w:rsidP="0057293F">
      <w:pPr>
        <w:ind w:left="426"/>
        <w:contextualSpacing/>
        <w:rPr>
          <w:rFonts w:asciiTheme="majorHAnsi" w:eastAsia="Times New Roman" w:hAnsiTheme="majorHAnsi" w:cstheme="majorHAnsi"/>
          <w:sz w:val="22"/>
          <w:szCs w:val="22"/>
        </w:rPr>
      </w:pPr>
    </w:p>
    <w:p w14:paraId="7936D765" w14:textId="4B79774B" w:rsidR="00E971E4" w:rsidRDefault="00E971E4" w:rsidP="00D7748F">
      <w:pPr>
        <w:numPr>
          <w:ilvl w:val="0"/>
          <w:numId w:val="1"/>
        </w:numPr>
        <w:ind w:left="851" w:hanging="425"/>
        <w:contextualSpacing/>
        <w:rPr>
          <w:rFonts w:asciiTheme="majorHAnsi" w:eastAsia="Times New Roman" w:hAnsiTheme="majorHAnsi" w:cstheme="majorHAnsi"/>
          <w:sz w:val="22"/>
          <w:szCs w:val="22"/>
        </w:rPr>
      </w:pPr>
      <w:r>
        <w:rPr>
          <w:rFonts w:asciiTheme="majorHAnsi" w:hAnsiTheme="majorHAnsi"/>
          <w:sz w:val="22"/>
        </w:rPr>
        <w:t>Los centros de educación sobre humedales realizaron distintas actividades, relacionadas con el Día Mundial de los Humedales y otras, para implicar a sus comunidades locales. Se incluyó información detallada sobre muchas de estas actividades en el mapa y registro de actividades del Día Mundial de los Humedales de la Secretaría, disponibles en línea. WLI también celebró el tema del Día Mundial de las Aves Migratorias a través del trabajo con sitios locales y actividades escolares.</w:t>
      </w:r>
    </w:p>
    <w:p w14:paraId="67E136D2" w14:textId="77777777" w:rsidR="00354FE0" w:rsidRPr="00932F11" w:rsidRDefault="00354FE0" w:rsidP="00354FE0">
      <w:pPr>
        <w:contextualSpacing/>
        <w:rPr>
          <w:rFonts w:asciiTheme="majorHAnsi" w:eastAsia="Times New Roman" w:hAnsiTheme="majorHAnsi" w:cstheme="majorHAnsi"/>
          <w:sz w:val="22"/>
          <w:szCs w:val="22"/>
        </w:rPr>
      </w:pPr>
    </w:p>
    <w:p w14:paraId="47F23A99" w14:textId="77777777" w:rsidR="00E971E4" w:rsidRPr="00E67D7D" w:rsidRDefault="00E971E4" w:rsidP="00354FE0">
      <w:pPr>
        <w:numPr>
          <w:ilvl w:val="0"/>
          <w:numId w:val="1"/>
        </w:numPr>
        <w:ind w:left="851" w:hanging="425"/>
        <w:contextualSpacing/>
        <w:rPr>
          <w:rFonts w:asciiTheme="majorHAnsi" w:eastAsia="Times New Roman" w:hAnsiTheme="majorHAnsi" w:cstheme="majorHAnsi"/>
          <w:sz w:val="22"/>
          <w:szCs w:val="22"/>
        </w:rPr>
      </w:pPr>
      <w:r>
        <w:rPr>
          <w:rFonts w:asciiTheme="majorHAnsi" w:hAnsiTheme="majorHAnsi"/>
          <w:sz w:val="22"/>
        </w:rPr>
        <w:t xml:space="preserve">WLI también organizó su seminario web anual con aportaciones de los socios locales, celebró la 8ª reunión de WLI Asia en Filipinas en julio de 2022 y apoya las iniciativas de CECoP de las rutas migratorias a través de AEWA y de la Alianza de la Vía Migratoria Asia Oriental-Australasia. </w:t>
      </w:r>
    </w:p>
    <w:bookmarkEnd w:id="1"/>
    <w:p w14:paraId="6A7CD9FA" w14:textId="77777777" w:rsidR="00723164" w:rsidRPr="00932F11" w:rsidRDefault="00723164" w:rsidP="00A4794E">
      <w:pPr>
        <w:contextualSpacing/>
        <w:rPr>
          <w:rFonts w:asciiTheme="majorHAnsi" w:eastAsia="Calibri" w:hAnsiTheme="majorHAnsi" w:cs="Times New Roman"/>
          <w:sz w:val="22"/>
          <w:szCs w:val="22"/>
        </w:rPr>
      </w:pPr>
    </w:p>
    <w:p w14:paraId="64A8A046" w14:textId="6982877C" w:rsidR="00C64326" w:rsidRDefault="00C64326" w:rsidP="00D7748F">
      <w:pPr>
        <w:ind w:left="426"/>
        <w:rPr>
          <w:rFonts w:asciiTheme="majorHAnsi" w:eastAsia="Calibri" w:hAnsiTheme="majorHAnsi" w:cs="Times New Roman"/>
          <w:i/>
          <w:sz w:val="22"/>
          <w:szCs w:val="22"/>
        </w:rPr>
      </w:pPr>
      <w:r>
        <w:rPr>
          <w:rFonts w:asciiTheme="majorHAnsi" w:hAnsiTheme="majorHAnsi"/>
          <w:i/>
          <w:sz w:val="22"/>
        </w:rPr>
        <w:t>Objetivo 8 – Materiales educativos</w:t>
      </w:r>
    </w:p>
    <w:p w14:paraId="4F948C64" w14:textId="77777777" w:rsidR="00354FE0" w:rsidRPr="00354FE0" w:rsidRDefault="00354FE0" w:rsidP="00354FE0">
      <w:pPr>
        <w:rPr>
          <w:rFonts w:asciiTheme="majorHAnsi" w:eastAsia="Calibri" w:hAnsiTheme="majorHAnsi" w:cs="Times New Roman"/>
          <w:sz w:val="22"/>
          <w:szCs w:val="22"/>
          <w:lang w:val="en-AU"/>
        </w:rPr>
      </w:pPr>
    </w:p>
    <w:p w14:paraId="34198AFA" w14:textId="636FF180" w:rsidR="00C64326" w:rsidRPr="00C64326" w:rsidRDefault="002A35E5" w:rsidP="00D7748F">
      <w:pPr>
        <w:numPr>
          <w:ilvl w:val="0"/>
          <w:numId w:val="2"/>
        </w:numPr>
        <w:ind w:left="851" w:hanging="425"/>
        <w:contextualSpacing/>
        <w:rPr>
          <w:rFonts w:asciiTheme="majorHAnsi" w:eastAsia="Calibri" w:hAnsiTheme="majorHAnsi" w:cs="Times New Roman"/>
          <w:sz w:val="22"/>
          <w:szCs w:val="22"/>
        </w:rPr>
      </w:pPr>
      <w:r>
        <w:rPr>
          <w:rFonts w:asciiTheme="majorHAnsi" w:hAnsiTheme="majorHAnsi"/>
          <w:sz w:val="22"/>
        </w:rPr>
        <w:t>Entre las publicaciones de la Convención sobre los Humedales que se presentaron durante el período que abarca el informe pueden mencionarse las siguientes:</w:t>
      </w:r>
    </w:p>
    <w:p w14:paraId="20EF5CE0" w14:textId="23E3E1B7" w:rsidR="00471BA3" w:rsidRDefault="000E18FD" w:rsidP="00D7748F">
      <w:pPr>
        <w:numPr>
          <w:ilvl w:val="1"/>
          <w:numId w:val="2"/>
        </w:numPr>
        <w:ind w:left="1276" w:hanging="425"/>
        <w:rPr>
          <w:rFonts w:asciiTheme="majorHAnsi" w:eastAsia="Calibri" w:hAnsiTheme="majorHAnsi" w:cs="Times New Roman"/>
          <w:sz w:val="22"/>
          <w:szCs w:val="22"/>
        </w:rPr>
      </w:pPr>
      <w:r>
        <w:rPr>
          <w:rFonts w:asciiTheme="majorHAnsi" w:hAnsiTheme="majorHAnsi"/>
          <w:i/>
          <w:sz w:val="22"/>
        </w:rPr>
        <w:t>Directrices para la transversalización de género en la Convención de Ramsar sobre los humedales</w:t>
      </w:r>
      <w:r>
        <w:rPr>
          <w:rFonts w:asciiTheme="majorHAnsi" w:hAnsiTheme="majorHAnsi"/>
          <w:sz w:val="22"/>
        </w:rPr>
        <w:t xml:space="preserve"> (2021)</w:t>
      </w:r>
    </w:p>
    <w:p w14:paraId="5143A363" w14:textId="4EE2301C" w:rsidR="00650A9D" w:rsidRDefault="00650A9D" w:rsidP="00D7748F">
      <w:pPr>
        <w:numPr>
          <w:ilvl w:val="1"/>
          <w:numId w:val="2"/>
        </w:numPr>
        <w:ind w:left="1276" w:hanging="425"/>
        <w:rPr>
          <w:rFonts w:asciiTheme="majorHAnsi" w:eastAsia="Calibri" w:hAnsiTheme="majorHAnsi" w:cs="Times New Roman"/>
          <w:sz w:val="22"/>
          <w:szCs w:val="22"/>
        </w:rPr>
      </w:pPr>
      <w:r>
        <w:rPr>
          <w:rFonts w:asciiTheme="majorHAnsi" w:hAnsiTheme="majorHAnsi"/>
          <w:sz w:val="22"/>
        </w:rPr>
        <w:t xml:space="preserve">Ficha informativa: </w:t>
      </w:r>
      <w:r>
        <w:rPr>
          <w:rFonts w:asciiTheme="majorHAnsi" w:hAnsiTheme="majorHAnsi"/>
          <w:i/>
          <w:sz w:val="22"/>
        </w:rPr>
        <w:t>Restauración de los humedales: liberar el potencial desaprovechado del ecosistema más valioso de la Tierra</w:t>
      </w:r>
      <w:r>
        <w:rPr>
          <w:rFonts w:asciiTheme="majorHAnsi" w:hAnsiTheme="majorHAnsi"/>
          <w:sz w:val="22"/>
        </w:rPr>
        <w:t xml:space="preserve"> (2021)</w:t>
      </w:r>
    </w:p>
    <w:p w14:paraId="7F047309" w14:textId="7D2D091B" w:rsidR="00650A9D" w:rsidRDefault="00650A9D" w:rsidP="00D7748F">
      <w:pPr>
        <w:numPr>
          <w:ilvl w:val="1"/>
          <w:numId w:val="2"/>
        </w:numPr>
        <w:ind w:left="1276" w:hanging="425"/>
        <w:rPr>
          <w:rFonts w:asciiTheme="majorHAnsi" w:eastAsia="Calibri" w:hAnsiTheme="majorHAnsi" w:cs="Times New Roman"/>
          <w:sz w:val="22"/>
          <w:szCs w:val="22"/>
        </w:rPr>
      </w:pPr>
      <w:r>
        <w:rPr>
          <w:rFonts w:asciiTheme="majorHAnsi" w:hAnsiTheme="majorHAnsi"/>
          <w:sz w:val="22"/>
        </w:rPr>
        <w:t xml:space="preserve">Ficha informativa: </w:t>
      </w:r>
      <w:r>
        <w:rPr>
          <w:rFonts w:asciiTheme="majorHAnsi" w:hAnsiTheme="majorHAnsi"/>
          <w:i/>
          <w:sz w:val="22"/>
        </w:rPr>
        <w:t>Restaurar las turberas drenadas: ahora, un imperativo ambiental</w:t>
      </w:r>
      <w:r>
        <w:rPr>
          <w:rFonts w:asciiTheme="majorHAnsi" w:hAnsiTheme="majorHAnsi"/>
          <w:sz w:val="22"/>
        </w:rPr>
        <w:t xml:space="preserve"> (2021)</w:t>
      </w:r>
    </w:p>
    <w:p w14:paraId="7BFD003A" w14:textId="77777777" w:rsidR="000E18FD" w:rsidRDefault="00650A9D" w:rsidP="00D7748F">
      <w:pPr>
        <w:numPr>
          <w:ilvl w:val="1"/>
          <w:numId w:val="2"/>
        </w:numPr>
        <w:ind w:left="1276" w:hanging="425"/>
        <w:rPr>
          <w:rFonts w:asciiTheme="majorHAnsi" w:eastAsia="Calibri" w:hAnsiTheme="majorHAnsi" w:cs="Times New Roman"/>
          <w:sz w:val="22"/>
          <w:szCs w:val="22"/>
        </w:rPr>
      </w:pPr>
      <w:r>
        <w:rPr>
          <w:rFonts w:asciiTheme="majorHAnsi" w:hAnsiTheme="majorHAnsi"/>
          <w:sz w:val="22"/>
        </w:rPr>
        <w:t xml:space="preserve">Ficha informativa: </w:t>
      </w:r>
      <w:r>
        <w:rPr>
          <w:rFonts w:asciiTheme="majorHAnsi" w:hAnsiTheme="majorHAnsi"/>
          <w:i/>
          <w:iCs/>
          <w:sz w:val="22"/>
        </w:rPr>
        <w:t>Aprovechar el pleno potencial de los humedales marinos y costeros: por qué su restauración es importante</w:t>
      </w:r>
      <w:r>
        <w:rPr>
          <w:rFonts w:asciiTheme="majorHAnsi" w:hAnsiTheme="majorHAnsi"/>
          <w:sz w:val="22"/>
        </w:rPr>
        <w:t xml:space="preserve"> (2021)</w:t>
      </w:r>
    </w:p>
    <w:p w14:paraId="5717D3B7" w14:textId="213EAAFC" w:rsidR="00650A9D" w:rsidRDefault="000E18FD" w:rsidP="00D7748F">
      <w:pPr>
        <w:numPr>
          <w:ilvl w:val="1"/>
          <w:numId w:val="2"/>
        </w:numPr>
        <w:ind w:left="1276" w:hanging="425"/>
        <w:rPr>
          <w:rFonts w:asciiTheme="majorHAnsi" w:eastAsia="Calibri" w:hAnsiTheme="majorHAnsi" w:cs="Times New Roman"/>
          <w:sz w:val="22"/>
          <w:szCs w:val="22"/>
        </w:rPr>
      </w:pPr>
      <w:r>
        <w:rPr>
          <w:rFonts w:asciiTheme="majorHAnsi" w:hAnsiTheme="majorHAnsi"/>
          <w:sz w:val="22"/>
        </w:rPr>
        <w:t xml:space="preserve">Folleto: </w:t>
      </w:r>
      <w:r>
        <w:rPr>
          <w:rFonts w:asciiTheme="majorHAnsi" w:hAnsiTheme="majorHAnsi"/>
          <w:i/>
          <w:iCs/>
          <w:sz w:val="22"/>
        </w:rPr>
        <w:t>Misiones Ramsar de Asesoramiento:</w:t>
      </w:r>
      <w:r>
        <w:rPr>
          <w:rFonts w:asciiTheme="majorHAnsi" w:hAnsiTheme="majorHAnsi"/>
          <w:i/>
          <w:sz w:val="22"/>
        </w:rPr>
        <w:t xml:space="preserve"> </w:t>
      </w:r>
      <w:r>
        <w:rPr>
          <w:rFonts w:asciiTheme="majorHAnsi" w:hAnsiTheme="majorHAnsi"/>
          <w:i/>
          <w:iCs/>
          <w:sz w:val="22"/>
        </w:rPr>
        <w:t>ayuda para las Partes Contratantes en la Convención sobre los Humedales</w:t>
      </w:r>
      <w:r>
        <w:rPr>
          <w:rFonts w:asciiTheme="majorHAnsi" w:hAnsiTheme="majorHAnsi"/>
          <w:sz w:val="22"/>
        </w:rPr>
        <w:t xml:space="preserve"> (2021)</w:t>
      </w:r>
    </w:p>
    <w:p w14:paraId="7C323D37" w14:textId="77777777" w:rsidR="00354FE0" w:rsidRPr="00932F11" w:rsidRDefault="00354FE0" w:rsidP="00354FE0">
      <w:pPr>
        <w:rPr>
          <w:rFonts w:asciiTheme="majorHAnsi" w:eastAsia="Calibri" w:hAnsiTheme="majorHAnsi" w:cs="Times New Roman"/>
          <w:sz w:val="22"/>
          <w:szCs w:val="22"/>
        </w:rPr>
      </w:pPr>
    </w:p>
    <w:p w14:paraId="1DDE6325" w14:textId="7EEC3D40" w:rsidR="00AF4DED" w:rsidRDefault="004B02A5" w:rsidP="00D7748F">
      <w:pPr>
        <w:numPr>
          <w:ilvl w:val="0"/>
          <w:numId w:val="2"/>
        </w:numPr>
        <w:ind w:left="851" w:hanging="425"/>
        <w:rPr>
          <w:rFonts w:asciiTheme="majorHAnsi" w:eastAsia="Calibri" w:hAnsiTheme="majorHAnsi" w:cs="Times New Roman"/>
          <w:sz w:val="22"/>
          <w:szCs w:val="22"/>
        </w:rPr>
      </w:pPr>
      <w:r>
        <w:rPr>
          <w:rFonts w:asciiTheme="majorHAnsi" w:hAnsiTheme="majorHAnsi"/>
          <w:sz w:val="22"/>
        </w:rPr>
        <w:lastRenderedPageBreak/>
        <w:t>La Secretaría produjo los siguientes vídeos educativos sobre los valores de los humedales en español, francés e inglés durante el período que abarca el informe:</w:t>
      </w:r>
    </w:p>
    <w:p w14:paraId="3037750C" w14:textId="2C213261" w:rsidR="00AF4DED" w:rsidRPr="006A5559" w:rsidRDefault="009D2CD1" w:rsidP="00D7748F">
      <w:pPr>
        <w:numPr>
          <w:ilvl w:val="1"/>
          <w:numId w:val="2"/>
        </w:numPr>
        <w:ind w:left="1276" w:hanging="425"/>
        <w:rPr>
          <w:rFonts w:asciiTheme="majorHAnsi" w:eastAsia="Calibri" w:hAnsiTheme="majorHAnsi" w:cs="Times New Roman"/>
          <w:i/>
          <w:sz w:val="22"/>
          <w:szCs w:val="22"/>
        </w:rPr>
      </w:pPr>
      <w:r>
        <w:rPr>
          <w:rFonts w:asciiTheme="majorHAnsi" w:hAnsiTheme="majorHAnsi"/>
          <w:i/>
          <w:sz w:val="22"/>
        </w:rPr>
        <w:t>Humedales: Ecosistemas ricos</w:t>
      </w:r>
    </w:p>
    <w:p w14:paraId="14CE2051" w14:textId="7BF100AA" w:rsidR="009D2CD1" w:rsidRPr="006A5559" w:rsidRDefault="009D2CD1" w:rsidP="00D7748F">
      <w:pPr>
        <w:numPr>
          <w:ilvl w:val="1"/>
          <w:numId w:val="2"/>
        </w:numPr>
        <w:ind w:left="1276" w:hanging="425"/>
        <w:rPr>
          <w:rFonts w:asciiTheme="majorHAnsi" w:eastAsia="Calibri" w:hAnsiTheme="majorHAnsi" w:cs="Times New Roman"/>
          <w:i/>
          <w:sz w:val="22"/>
          <w:szCs w:val="22"/>
        </w:rPr>
      </w:pPr>
      <w:r>
        <w:rPr>
          <w:rFonts w:asciiTheme="majorHAnsi" w:hAnsiTheme="majorHAnsi"/>
          <w:i/>
          <w:sz w:val="22"/>
        </w:rPr>
        <w:t>Humedales: Poderosas soluciones basadas en la naturaleza</w:t>
      </w:r>
    </w:p>
    <w:p w14:paraId="502C0326" w14:textId="07669958" w:rsidR="009D2CD1" w:rsidRPr="006A5559" w:rsidRDefault="00E96280" w:rsidP="00D7748F">
      <w:pPr>
        <w:numPr>
          <w:ilvl w:val="1"/>
          <w:numId w:val="2"/>
        </w:numPr>
        <w:ind w:left="1276" w:hanging="425"/>
        <w:rPr>
          <w:rFonts w:asciiTheme="majorHAnsi" w:eastAsia="Calibri" w:hAnsiTheme="majorHAnsi" w:cs="Times New Roman"/>
          <w:i/>
          <w:sz w:val="22"/>
          <w:szCs w:val="22"/>
        </w:rPr>
      </w:pPr>
      <w:r>
        <w:rPr>
          <w:rFonts w:asciiTheme="majorHAnsi" w:hAnsiTheme="majorHAnsi"/>
          <w:i/>
          <w:sz w:val="22"/>
        </w:rPr>
        <w:t>Convención sobre los Humedales: El valor de los humedales</w:t>
      </w:r>
    </w:p>
    <w:p w14:paraId="00FF4116" w14:textId="2BFE5030" w:rsidR="00E96280" w:rsidRPr="006A5559" w:rsidRDefault="007C5E9F" w:rsidP="00D7748F">
      <w:pPr>
        <w:numPr>
          <w:ilvl w:val="1"/>
          <w:numId w:val="2"/>
        </w:numPr>
        <w:ind w:left="1276" w:hanging="425"/>
        <w:rPr>
          <w:rFonts w:asciiTheme="majorHAnsi" w:eastAsia="Calibri" w:hAnsiTheme="majorHAnsi" w:cs="Times New Roman"/>
          <w:i/>
          <w:sz w:val="22"/>
          <w:szCs w:val="22"/>
        </w:rPr>
      </w:pPr>
      <w:r>
        <w:rPr>
          <w:rFonts w:asciiTheme="majorHAnsi" w:hAnsiTheme="majorHAnsi"/>
          <w:i/>
          <w:sz w:val="22"/>
        </w:rPr>
        <w:t>Día Mundial de los Humedales 2021: El agua, los humedales y la vida son inseparables</w:t>
      </w:r>
    </w:p>
    <w:p w14:paraId="25ECDA86" w14:textId="77777777" w:rsidR="00723164" w:rsidRPr="00932F11" w:rsidRDefault="00723164" w:rsidP="00A4794E">
      <w:pPr>
        <w:contextualSpacing/>
        <w:rPr>
          <w:rFonts w:asciiTheme="majorHAnsi" w:eastAsia="Calibri" w:hAnsiTheme="majorHAnsi" w:cs="Times New Roman"/>
          <w:sz w:val="22"/>
          <w:szCs w:val="22"/>
        </w:rPr>
      </w:pPr>
    </w:p>
    <w:p w14:paraId="4A4256C0" w14:textId="590F2C84" w:rsidR="00A102DC" w:rsidRDefault="00A102DC" w:rsidP="0057293F">
      <w:pPr>
        <w:ind w:left="426"/>
        <w:rPr>
          <w:rFonts w:asciiTheme="majorHAnsi" w:hAnsiTheme="majorHAnsi" w:cstheme="majorHAnsi"/>
          <w:i/>
          <w:iCs/>
          <w:color w:val="000000"/>
          <w:sz w:val="22"/>
          <w:szCs w:val="22"/>
        </w:rPr>
      </w:pPr>
      <w:r>
        <w:rPr>
          <w:rFonts w:asciiTheme="majorHAnsi" w:hAnsiTheme="majorHAnsi"/>
          <w:i/>
          <w:color w:val="000000"/>
          <w:sz w:val="22"/>
        </w:rPr>
        <w:t>Objetivo 9 – Elaboración y comunicación de los materiales del GECT</w:t>
      </w:r>
    </w:p>
    <w:p w14:paraId="362BA0A4" w14:textId="77777777" w:rsidR="00354FE0" w:rsidRPr="00A102DC" w:rsidRDefault="00354FE0" w:rsidP="0057293F">
      <w:pPr>
        <w:ind w:left="426"/>
        <w:rPr>
          <w:rFonts w:asciiTheme="majorHAnsi" w:hAnsiTheme="majorHAnsi" w:cstheme="majorHAnsi"/>
          <w:color w:val="000000"/>
          <w:sz w:val="22"/>
          <w:szCs w:val="22"/>
        </w:rPr>
      </w:pPr>
    </w:p>
    <w:p w14:paraId="6E06F364" w14:textId="77777777" w:rsidR="00A102DC" w:rsidRPr="00A102DC" w:rsidRDefault="00A102DC" w:rsidP="0057293F">
      <w:pPr>
        <w:numPr>
          <w:ilvl w:val="0"/>
          <w:numId w:val="9"/>
        </w:numPr>
        <w:tabs>
          <w:tab w:val="clear" w:pos="720"/>
        </w:tabs>
        <w:ind w:left="851" w:hanging="425"/>
        <w:rPr>
          <w:rFonts w:asciiTheme="majorHAnsi" w:eastAsia="Times New Roman" w:hAnsiTheme="majorHAnsi" w:cstheme="majorHAnsi"/>
          <w:color w:val="000000"/>
          <w:sz w:val="22"/>
          <w:szCs w:val="22"/>
        </w:rPr>
      </w:pPr>
      <w:r>
        <w:rPr>
          <w:rFonts w:asciiTheme="majorHAnsi" w:hAnsiTheme="majorHAnsi"/>
          <w:color w:val="000000"/>
          <w:sz w:val="22"/>
        </w:rPr>
        <w:t>Durante el período que abarca el informe, el Grupo de Examen Científico y Técnico (GECT) finalizó los siguientes productos atendiendo a las solicitudes de las Partes Contratantes, según se refleja en su plan de trabajo: </w:t>
      </w:r>
    </w:p>
    <w:p w14:paraId="1BB435E5" w14:textId="77777777"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i/>
          <w:iCs/>
          <w:color w:val="000000"/>
          <w:sz w:val="22"/>
        </w:rPr>
        <w:t>Perspectiva Mundial sobre los Humedales</w:t>
      </w:r>
      <w:r>
        <w:rPr>
          <w:rFonts w:asciiTheme="majorHAnsi" w:hAnsiTheme="majorHAnsi"/>
          <w:i/>
          <w:color w:val="000000"/>
          <w:sz w:val="22"/>
        </w:rPr>
        <w:t>: Edición especial de 2021</w:t>
      </w:r>
      <w:r>
        <w:rPr>
          <w:rFonts w:asciiTheme="majorHAnsi" w:hAnsiTheme="majorHAnsi"/>
          <w:color w:val="000000"/>
          <w:sz w:val="22"/>
        </w:rPr>
        <w:t>; </w:t>
      </w:r>
    </w:p>
    <w:p w14:paraId="6B8461B0" w14:textId="77777777"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color w:val="000000"/>
          <w:sz w:val="22"/>
        </w:rPr>
        <w:t xml:space="preserve">Nota sobre Políticas 5: </w:t>
      </w:r>
      <w:r>
        <w:rPr>
          <w:rFonts w:asciiTheme="majorHAnsi" w:hAnsiTheme="majorHAnsi"/>
          <w:i/>
          <w:color w:val="000000"/>
          <w:sz w:val="22"/>
        </w:rPr>
        <w:t xml:space="preserve">Restauración de las turberas drenadas: </w:t>
      </w:r>
      <w:r>
        <w:rPr>
          <w:rFonts w:asciiTheme="majorHAnsi" w:hAnsiTheme="majorHAnsi"/>
          <w:i/>
          <w:iCs/>
          <w:color w:val="000000"/>
          <w:sz w:val="22"/>
        </w:rPr>
        <w:t>un paso necesario para alcanzar los objetivos climáticos mundiales</w:t>
      </w:r>
      <w:r>
        <w:rPr>
          <w:rFonts w:asciiTheme="majorHAnsi" w:hAnsiTheme="majorHAnsi"/>
          <w:color w:val="000000"/>
          <w:sz w:val="22"/>
        </w:rPr>
        <w:t>; </w:t>
      </w:r>
    </w:p>
    <w:p w14:paraId="50A4926D" w14:textId="77777777"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color w:val="000000"/>
          <w:sz w:val="22"/>
        </w:rPr>
        <w:t xml:space="preserve">Nota sobre Políticas 6: </w:t>
      </w:r>
      <w:r>
        <w:rPr>
          <w:rFonts w:asciiTheme="majorHAnsi" w:hAnsiTheme="majorHAnsi"/>
          <w:i/>
          <w:iCs/>
          <w:color w:val="000000"/>
          <w:sz w:val="22"/>
        </w:rPr>
        <w:t>Transformar la agricultura para sostener a las personas y mantener los humedales</w:t>
      </w:r>
      <w:r>
        <w:rPr>
          <w:rFonts w:asciiTheme="majorHAnsi" w:hAnsiTheme="majorHAnsi"/>
          <w:color w:val="000000"/>
          <w:sz w:val="22"/>
        </w:rPr>
        <w:t>; </w:t>
      </w:r>
    </w:p>
    <w:p w14:paraId="5492323E" w14:textId="1233D28B"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color w:val="000000"/>
          <w:sz w:val="22"/>
        </w:rPr>
        <w:t xml:space="preserve">Nota Informativa 11: </w:t>
      </w:r>
      <w:r>
        <w:rPr>
          <w:rFonts w:asciiTheme="majorHAnsi" w:hAnsiTheme="majorHAnsi"/>
          <w:i/>
          <w:iCs/>
          <w:color w:val="000000"/>
          <w:sz w:val="22"/>
        </w:rPr>
        <w:t>Restauración práctica de turberas</w:t>
      </w:r>
      <w:r>
        <w:rPr>
          <w:rFonts w:asciiTheme="majorHAnsi" w:hAnsiTheme="majorHAnsi"/>
          <w:color w:val="000000"/>
          <w:sz w:val="22"/>
        </w:rPr>
        <w:t>;</w:t>
      </w:r>
    </w:p>
    <w:p w14:paraId="079E5BC7" w14:textId="77777777"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color w:val="000000"/>
          <w:sz w:val="22"/>
        </w:rPr>
        <w:t xml:space="preserve">Nota Informativa 12: </w:t>
      </w:r>
      <w:r>
        <w:rPr>
          <w:rFonts w:asciiTheme="majorHAnsi" w:hAnsiTheme="majorHAnsi"/>
          <w:i/>
          <w:color w:val="000000"/>
          <w:sz w:val="22"/>
        </w:rPr>
        <w:t>La contribución de los ecosistemas de carbono azul a la mitigación del cambio climático</w:t>
      </w:r>
      <w:r>
        <w:rPr>
          <w:rFonts w:asciiTheme="majorHAnsi" w:hAnsiTheme="majorHAnsi"/>
          <w:color w:val="000000"/>
          <w:sz w:val="22"/>
        </w:rPr>
        <w:t>; </w:t>
      </w:r>
    </w:p>
    <w:p w14:paraId="6133A04E" w14:textId="77777777"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color w:val="000000"/>
          <w:sz w:val="22"/>
        </w:rPr>
        <w:t xml:space="preserve">Nota Informativa 13: </w:t>
      </w:r>
      <w:r>
        <w:rPr>
          <w:rFonts w:asciiTheme="majorHAnsi" w:hAnsiTheme="majorHAnsi"/>
          <w:i/>
          <w:iCs/>
          <w:color w:val="000000"/>
          <w:sz w:val="22"/>
        </w:rPr>
        <w:t>Los humedales y la agricultura: impactos de las prácticas agrícolas y vías hacia la sostenibilidad</w:t>
      </w:r>
      <w:r>
        <w:rPr>
          <w:rFonts w:asciiTheme="majorHAnsi" w:hAnsiTheme="majorHAnsi"/>
          <w:color w:val="000000"/>
          <w:sz w:val="22"/>
        </w:rPr>
        <w:t>; </w:t>
      </w:r>
    </w:p>
    <w:p w14:paraId="1499C753" w14:textId="7E7A8210" w:rsidR="00A102DC" w:rsidRPr="00354FE0"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color w:val="000000"/>
          <w:sz w:val="22"/>
        </w:rPr>
        <w:t xml:space="preserve">Informe Técnico 11: </w:t>
      </w:r>
      <w:r>
        <w:rPr>
          <w:rFonts w:asciiTheme="majorHAnsi" w:hAnsiTheme="majorHAnsi"/>
          <w:i/>
          <w:iCs/>
          <w:color w:val="000000"/>
          <w:sz w:val="22"/>
        </w:rPr>
        <w:t>Directrices globales sobre la rehumidificación y restauración de las turberas</w:t>
      </w:r>
      <w:r>
        <w:rPr>
          <w:rFonts w:asciiTheme="majorHAnsi" w:hAnsiTheme="majorHAnsi"/>
          <w:color w:val="000000"/>
          <w:sz w:val="22"/>
        </w:rPr>
        <w:t>.</w:t>
      </w:r>
    </w:p>
    <w:p w14:paraId="3CDC8B43" w14:textId="77777777" w:rsidR="00354FE0" w:rsidRPr="00A102DC" w:rsidRDefault="00354FE0" w:rsidP="00354FE0">
      <w:pPr>
        <w:rPr>
          <w:rFonts w:asciiTheme="majorHAnsi" w:eastAsia="Times New Roman" w:hAnsiTheme="majorHAnsi" w:cstheme="majorHAnsi"/>
          <w:color w:val="000000"/>
          <w:sz w:val="22"/>
          <w:szCs w:val="22"/>
        </w:rPr>
      </w:pPr>
    </w:p>
    <w:p w14:paraId="6A807FB6" w14:textId="6E78C149" w:rsidR="00A102DC" w:rsidRPr="00354FE0" w:rsidRDefault="00A102DC" w:rsidP="0057293F">
      <w:pPr>
        <w:numPr>
          <w:ilvl w:val="0"/>
          <w:numId w:val="9"/>
        </w:numPr>
        <w:tabs>
          <w:tab w:val="clear" w:pos="720"/>
        </w:tabs>
        <w:ind w:left="851" w:hanging="425"/>
        <w:rPr>
          <w:rFonts w:asciiTheme="majorHAnsi" w:eastAsia="Times New Roman" w:hAnsiTheme="majorHAnsi" w:cstheme="majorHAnsi"/>
          <w:color w:val="000000"/>
          <w:sz w:val="22"/>
          <w:szCs w:val="22"/>
        </w:rPr>
      </w:pPr>
      <w:r>
        <w:rPr>
          <w:rFonts w:asciiTheme="majorHAnsi" w:hAnsiTheme="majorHAnsi"/>
          <w:color w:val="000000"/>
          <w:sz w:val="22"/>
        </w:rPr>
        <w:t>La Secretaría colaboró estrechamente con la Presidencia del GECT para garantizar que los productos fueran adecuados para el público objetivo y estuvieran respaldados por planes de divulgación sólidos y específicos. </w:t>
      </w:r>
    </w:p>
    <w:p w14:paraId="299C06C1" w14:textId="77777777" w:rsidR="00354FE0" w:rsidRPr="00A102DC" w:rsidRDefault="00354FE0" w:rsidP="00354FE0">
      <w:pPr>
        <w:ind w:left="426"/>
        <w:rPr>
          <w:rFonts w:asciiTheme="majorHAnsi" w:eastAsia="Times New Roman" w:hAnsiTheme="majorHAnsi" w:cstheme="majorHAnsi"/>
          <w:color w:val="000000"/>
          <w:sz w:val="22"/>
          <w:szCs w:val="22"/>
        </w:rPr>
      </w:pPr>
    </w:p>
    <w:p w14:paraId="5EB04AAC" w14:textId="7EAC45D7" w:rsidR="00A102DC" w:rsidRPr="00354FE0"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color w:val="000000"/>
          <w:sz w:val="22"/>
        </w:rPr>
        <w:t xml:space="preserve">La publicación </w:t>
      </w:r>
      <w:r>
        <w:rPr>
          <w:rFonts w:asciiTheme="majorHAnsi" w:hAnsiTheme="majorHAnsi"/>
          <w:i/>
          <w:color w:val="000000"/>
          <w:sz w:val="22"/>
        </w:rPr>
        <w:t xml:space="preserve">Perspectiva Mundial sobre los Humedales: Edición especial de 2021 </w:t>
      </w:r>
      <w:r>
        <w:rPr>
          <w:rFonts w:asciiTheme="majorHAnsi" w:hAnsiTheme="majorHAnsi"/>
          <w:color w:val="000000"/>
          <w:sz w:val="22"/>
        </w:rPr>
        <w:t xml:space="preserve">se presentó como parte de la campaña del 50º aniversario. El informe se presentó con un micrositio revisado, un artículo de noticias, un comunicado de prensa, mensajes clave y una campaña en las redes sociales. La Fundación Thompson Reuters publicó el 20 de diciembre un artículo de opinión de la Secretaria General de la Convención relativo a la </w:t>
      </w:r>
      <w:r>
        <w:rPr>
          <w:rFonts w:asciiTheme="majorHAnsi" w:hAnsiTheme="majorHAnsi"/>
          <w:i/>
          <w:iCs/>
          <w:color w:val="000000"/>
          <w:sz w:val="22"/>
        </w:rPr>
        <w:t>Perspectiva Mundial sobre los Humedales</w:t>
      </w:r>
      <w:r>
        <w:rPr>
          <w:rFonts w:asciiTheme="majorHAnsi" w:hAnsiTheme="majorHAnsi"/>
          <w:color w:val="000000"/>
          <w:sz w:val="22"/>
        </w:rPr>
        <w:t>.</w:t>
      </w:r>
    </w:p>
    <w:p w14:paraId="770CD335" w14:textId="77777777" w:rsidR="00354FE0" w:rsidRPr="00A102DC" w:rsidRDefault="00354FE0" w:rsidP="00354FE0">
      <w:pPr>
        <w:ind w:left="851"/>
        <w:rPr>
          <w:rFonts w:asciiTheme="majorHAnsi" w:eastAsia="Times New Roman" w:hAnsiTheme="majorHAnsi" w:cstheme="majorHAnsi"/>
          <w:color w:val="000000"/>
          <w:sz w:val="22"/>
          <w:szCs w:val="22"/>
        </w:rPr>
      </w:pPr>
    </w:p>
    <w:p w14:paraId="2C2D955B" w14:textId="32491B3B" w:rsidR="00A102DC" w:rsidRPr="00A102DC" w:rsidRDefault="00A102DC" w:rsidP="0057293F">
      <w:pPr>
        <w:numPr>
          <w:ilvl w:val="1"/>
          <w:numId w:val="9"/>
        </w:numPr>
        <w:tabs>
          <w:tab w:val="clear" w:pos="1440"/>
        </w:tabs>
        <w:ind w:left="1276" w:hanging="425"/>
        <w:rPr>
          <w:rFonts w:asciiTheme="majorHAnsi" w:eastAsia="Times New Roman" w:hAnsiTheme="majorHAnsi" w:cstheme="majorHAnsi"/>
          <w:color w:val="000000"/>
          <w:sz w:val="22"/>
          <w:szCs w:val="22"/>
        </w:rPr>
      </w:pPr>
      <w:r>
        <w:rPr>
          <w:rFonts w:asciiTheme="majorHAnsi" w:hAnsiTheme="majorHAnsi"/>
          <w:color w:val="000000"/>
          <w:sz w:val="22"/>
        </w:rPr>
        <w:t>Para la presentación de las notas sobre políticas, las notas informativas y los informes técnicos del GECT, la Secretaría desarrolló un conjunto de herramientas de redes sociales en línea con mensajes clave, mosaicos y propuestas de publicaciones y lo compartió activamente con las Partes, las redes y los asociados. La Secretaría también organizó seminarios web sobre “Humedales y cambio climático” y sobre “Agricultura y humedales” para difundir los productos del GECT. Los seminarios web se dictaron en los tres idiomas de la Convención. </w:t>
      </w:r>
    </w:p>
    <w:p w14:paraId="6050060C" w14:textId="778B3D2E" w:rsidR="00876884" w:rsidRPr="00932F11" w:rsidRDefault="00876884" w:rsidP="00354FE0">
      <w:pPr>
        <w:contextualSpacing/>
        <w:rPr>
          <w:rFonts w:asciiTheme="majorHAnsi" w:eastAsia="Calibri" w:hAnsiTheme="majorHAnsi" w:cs="Times New Roman"/>
          <w:i/>
          <w:sz w:val="22"/>
          <w:szCs w:val="22"/>
        </w:rPr>
      </w:pPr>
    </w:p>
    <w:p w14:paraId="33B6FA5C" w14:textId="77777777" w:rsidR="00354FE0" w:rsidRPr="00932F11" w:rsidRDefault="00354FE0" w:rsidP="00354FE0">
      <w:pPr>
        <w:contextualSpacing/>
        <w:rPr>
          <w:rFonts w:ascii="Calibri" w:eastAsia="Times New Roman" w:hAnsi="Calibri" w:cs="Calibri"/>
        </w:rPr>
      </w:pPr>
    </w:p>
    <w:p w14:paraId="39D42395" w14:textId="77777777" w:rsidR="00C64326" w:rsidRPr="00C64326" w:rsidRDefault="00C64326" w:rsidP="00A4794E">
      <w:pPr>
        <w:autoSpaceDE w:val="0"/>
        <w:autoSpaceDN w:val="0"/>
        <w:adjustRightInd w:val="0"/>
        <w:rPr>
          <w:rFonts w:asciiTheme="majorHAnsi" w:hAnsiTheme="majorHAnsi" w:cs="Calibri"/>
          <w:bCs/>
          <w:sz w:val="22"/>
          <w:szCs w:val="22"/>
          <w:u w:val="single"/>
        </w:rPr>
      </w:pPr>
      <w:r>
        <w:rPr>
          <w:rFonts w:asciiTheme="majorHAnsi" w:hAnsiTheme="majorHAnsi"/>
          <w:sz w:val="22"/>
          <w:u w:val="single"/>
        </w:rPr>
        <w:t>Un nuevo enfoque sobre el asesoramiento y apoyo en materia de CECoP en la Convención</w:t>
      </w:r>
    </w:p>
    <w:p w14:paraId="291E4BD8" w14:textId="77777777" w:rsidR="004C5BF4" w:rsidRPr="00932F11" w:rsidRDefault="004C5BF4" w:rsidP="00A4794E">
      <w:pPr>
        <w:pStyle w:val="BodyText"/>
        <w:widowControl/>
        <w:tabs>
          <w:tab w:val="left" w:pos="544"/>
        </w:tabs>
        <w:ind w:left="0" w:firstLine="0"/>
        <w:rPr>
          <w:rFonts w:asciiTheme="majorHAnsi" w:hAnsiTheme="majorHAnsi" w:cs="Times New Roman"/>
        </w:rPr>
      </w:pPr>
    </w:p>
    <w:p w14:paraId="4ABC86B2" w14:textId="36B9E19A" w:rsidR="00534BD3" w:rsidRDefault="002D6FBD" w:rsidP="00354FE0">
      <w:pPr>
        <w:pStyle w:val="BodyText"/>
        <w:widowControl/>
        <w:ind w:left="425" w:hanging="425"/>
      </w:pPr>
      <w:r>
        <w:rPr>
          <w:rFonts w:asciiTheme="majorHAnsi" w:hAnsiTheme="majorHAnsi"/>
        </w:rPr>
        <w:t>15.</w:t>
      </w:r>
      <w:r>
        <w:rPr>
          <w:rFonts w:asciiTheme="majorHAnsi" w:hAnsiTheme="majorHAnsi"/>
        </w:rPr>
        <w:tab/>
      </w:r>
      <w:r>
        <w:t xml:space="preserve">La Resolución XIII.5 sobre </w:t>
      </w:r>
      <w:r>
        <w:rPr>
          <w:i/>
        </w:rPr>
        <w:t>Examen del Cuarto Plan Estratégico de la Convención de Ramsar</w:t>
      </w:r>
      <w:r>
        <w:t xml:space="preserve"> encargó al Grupo de supervisión de las actividades de CECoP que, en la reunión SC59, presentara “el nuevo enfoque que propone y un proyecto de resolución sobre esta cuestión para que sea examinado por la COP14 y ENCARGA ADEMÁS al Comité Permanente que continúe </w:t>
      </w:r>
      <w:r>
        <w:lastRenderedPageBreak/>
        <w:t>deliberando sobre esta cuestión para que la COP14 tome una decisión”. Este nuevo enfoque debía tener en cuenta la labor ya realizada por el Grupo de supervisión y el Grupo de Trabajo sobre la Aplicación de la CECoP, incorporar el asesoramiento del GECT y complementar la labor del Grupo de Trabajo sobre el Plan Estratégico.</w:t>
      </w:r>
    </w:p>
    <w:p w14:paraId="2EFC7765" w14:textId="77777777" w:rsidR="00534BD3" w:rsidRDefault="00534BD3" w:rsidP="00354FE0">
      <w:pPr>
        <w:pStyle w:val="BodyText"/>
        <w:widowControl/>
        <w:ind w:left="425" w:hanging="425"/>
        <w:rPr>
          <w:rFonts w:asciiTheme="majorHAnsi" w:hAnsiTheme="majorHAnsi" w:cs="Times New Roman"/>
        </w:rPr>
      </w:pPr>
    </w:p>
    <w:p w14:paraId="0124408A" w14:textId="7727E32A" w:rsidR="00C64326" w:rsidRPr="00C64326" w:rsidRDefault="002D6FBD" w:rsidP="00354FE0">
      <w:pPr>
        <w:pStyle w:val="BodyText"/>
        <w:widowControl/>
        <w:ind w:left="425" w:hanging="425"/>
        <w:rPr>
          <w:rFonts w:asciiTheme="majorHAnsi" w:hAnsiTheme="majorHAnsi" w:cs="Times New Roman"/>
        </w:rPr>
      </w:pPr>
      <w:r>
        <w:rPr>
          <w:rFonts w:asciiTheme="majorHAnsi" w:hAnsiTheme="majorHAnsi"/>
        </w:rPr>
        <w:t>16.</w:t>
      </w:r>
      <w:r>
        <w:rPr>
          <w:rFonts w:asciiTheme="majorHAnsi" w:hAnsiTheme="majorHAnsi"/>
        </w:rPr>
        <w:tab/>
        <w:t>Además, la Resolución XIII.5 encarga al Grupo de supervisión de las actividades de CECoP que examine la aplicación del Programa de CECoP, coordine sus esfuerzos con el Grupo de Trabajo sobre el Plan Estratégico e informe a la 58ª reunión del Comité Permanente sobre sus resultados, que luego se examinarán en la COP14.</w:t>
      </w:r>
    </w:p>
    <w:p w14:paraId="492983F6" w14:textId="77777777" w:rsidR="004C5BF4" w:rsidRPr="00932F11" w:rsidRDefault="004C5BF4" w:rsidP="00354FE0">
      <w:pPr>
        <w:pStyle w:val="BodyText"/>
        <w:widowControl/>
        <w:ind w:left="425" w:hanging="425"/>
        <w:rPr>
          <w:rFonts w:asciiTheme="majorHAnsi" w:hAnsiTheme="majorHAnsi" w:cs="Times New Roman"/>
        </w:rPr>
      </w:pPr>
    </w:p>
    <w:p w14:paraId="4F4D03DF" w14:textId="3812E1FA" w:rsidR="009E6950" w:rsidRDefault="008D5F2E" w:rsidP="00354FE0">
      <w:pPr>
        <w:pStyle w:val="BodyText"/>
        <w:widowControl/>
        <w:ind w:left="425" w:hanging="425"/>
      </w:pPr>
      <w:r>
        <w:rPr>
          <w:rFonts w:asciiTheme="majorHAnsi" w:hAnsiTheme="majorHAnsi"/>
        </w:rPr>
        <w:t>17.</w:t>
      </w:r>
      <w:r>
        <w:rPr>
          <w:rFonts w:asciiTheme="majorHAnsi" w:hAnsiTheme="majorHAnsi"/>
        </w:rPr>
        <w:tab/>
      </w:r>
      <w:r>
        <w:t xml:space="preserve">Para responder a esta petición, el Grupo de supervisión de las actividades de CECoP realizó una encuesta, a finales de 2019, en el contexto de la consideración de un nuevo enfoque en materia de CECoP, para obtener información sobre las prioridades de cambio y sobre los elementos del actual programa de CECoP que deberían conservarse. Los resultados de la encuesta se presentan en el </w:t>
      </w:r>
      <w:r>
        <w:rPr>
          <w:b/>
        </w:rPr>
        <w:t>Anexo B</w:t>
      </w:r>
      <w:r>
        <w:t xml:space="preserve">. </w:t>
      </w:r>
    </w:p>
    <w:p w14:paraId="39C0B0FB" w14:textId="30525ABC" w:rsidR="009E6950" w:rsidRDefault="009E6950" w:rsidP="00354FE0">
      <w:pPr>
        <w:pStyle w:val="BodyText"/>
        <w:widowControl/>
        <w:ind w:left="425" w:hanging="425"/>
      </w:pPr>
    </w:p>
    <w:p w14:paraId="21787341" w14:textId="18EF6522" w:rsidR="009E6950" w:rsidRDefault="008D5F2E" w:rsidP="00354FE0">
      <w:pPr>
        <w:pStyle w:val="NoSpacing"/>
      </w:pPr>
      <w:r>
        <w:t xml:space="preserve">18. </w:t>
      </w:r>
      <w:r>
        <w:tab/>
        <w:t xml:space="preserve">El Grupo de supervisión de las actividades de CECoP ha examinado las conclusiones de la encuesta en el contexto de la Resolución XIII.5 y el asesoramiento que el anterior Grupo de supervisión prestó a la COP13, y ha sintetizado estos puntos en un conjunto de recomendaciones generales que darán forma al nuevo programa de CECoP. Estas recomendaciones son las siguientes: </w:t>
      </w:r>
    </w:p>
    <w:p w14:paraId="64502393" w14:textId="7171B71C" w:rsidR="009E6950" w:rsidRDefault="009E6950" w:rsidP="00A4794E">
      <w:pPr>
        <w:pStyle w:val="NoSpacing"/>
      </w:pPr>
    </w:p>
    <w:p w14:paraId="3DE1EFED" w14:textId="73E552F3" w:rsidR="0030613E" w:rsidRDefault="009E6950" w:rsidP="00A4794E">
      <w:pPr>
        <w:pStyle w:val="NoSpacing"/>
        <w:ind w:left="850"/>
      </w:pPr>
      <w:r>
        <w:t>1.</w:t>
      </w:r>
      <w:r>
        <w:tab/>
        <w:t>Un conjunto reducido de actividades claramente vinculadas al Plan Estratégico.</w:t>
      </w:r>
    </w:p>
    <w:p w14:paraId="5D15081E" w14:textId="33078465" w:rsidR="0030613E" w:rsidRDefault="009E6950" w:rsidP="00905B43">
      <w:pPr>
        <w:pStyle w:val="NoSpacing"/>
        <w:ind w:left="1276"/>
      </w:pPr>
      <w:r>
        <w:t xml:space="preserve"> -</w:t>
      </w:r>
      <w:r>
        <w:tab/>
        <w:t xml:space="preserve">El esfuerzo debe centrarse en un número menor de actividades de alta prioridad. </w:t>
      </w:r>
    </w:p>
    <w:p w14:paraId="280BE47F" w14:textId="426EF5A0" w:rsidR="0030613E" w:rsidRDefault="0030613E" w:rsidP="00905B43">
      <w:pPr>
        <w:pStyle w:val="NoSpacing"/>
        <w:ind w:left="1276"/>
      </w:pPr>
      <w:r>
        <w:t xml:space="preserve"> -</w:t>
      </w:r>
      <w:r>
        <w:tab/>
        <w:t xml:space="preserve">Las actividades de CECoP deben incorporarse en el Plan Estratégico, pero en un documento separado de CECoP que contenga orientaciones de apoyo, según proceda. </w:t>
      </w:r>
    </w:p>
    <w:p w14:paraId="7C06DE93" w14:textId="77777777" w:rsidR="0030613E" w:rsidRDefault="0030613E" w:rsidP="00A4794E">
      <w:pPr>
        <w:pStyle w:val="NoSpacing"/>
        <w:ind w:left="850" w:firstLine="0"/>
      </w:pPr>
    </w:p>
    <w:p w14:paraId="3E483D75" w14:textId="35D1DA49" w:rsidR="0030613E" w:rsidRDefault="009E6950" w:rsidP="00A4794E">
      <w:pPr>
        <w:pStyle w:val="NoSpacing"/>
        <w:ind w:left="850"/>
      </w:pPr>
      <w:r>
        <w:t>2.</w:t>
      </w:r>
      <w:r>
        <w:tab/>
        <w:t>Hacer que la CECoP sea más estratégica, integrada y eficaz.</w:t>
      </w:r>
    </w:p>
    <w:p w14:paraId="36901F38" w14:textId="4EAFF038" w:rsidR="0030613E" w:rsidRDefault="00905B43" w:rsidP="00905B43">
      <w:pPr>
        <w:pStyle w:val="NoSpacing"/>
        <w:ind w:left="1276"/>
      </w:pPr>
      <w:r>
        <w:t>-</w:t>
      </w:r>
      <w:r>
        <w:tab/>
        <w:t xml:space="preserve">El Programa de CECoP apoyaría y fortalecería mejor el Plan Estratégico si se integrara en él. El próximo Plan Estratégico debe incluir actividades independientes de CECoP, al igual que elementos de CECoP. </w:t>
      </w:r>
    </w:p>
    <w:p w14:paraId="05C00A88" w14:textId="4E9F7C0B" w:rsidR="0030613E" w:rsidRDefault="00905B43" w:rsidP="00905B43">
      <w:pPr>
        <w:pStyle w:val="NoSpacing"/>
        <w:ind w:left="1276"/>
      </w:pPr>
      <w:r>
        <w:t>-</w:t>
      </w:r>
      <w:r>
        <w:tab/>
        <w:t xml:space="preserve">En general, las actividades y elementos de CECoP deben integrarse en la planificación y las actividades de la Convención (en los planos local, nacional e internacional), según proceda. </w:t>
      </w:r>
    </w:p>
    <w:p w14:paraId="0FD4C5BA" w14:textId="77777777" w:rsidR="0030613E" w:rsidRDefault="0030613E" w:rsidP="00A4794E">
      <w:pPr>
        <w:pStyle w:val="NoSpacing"/>
        <w:ind w:left="850" w:firstLine="0"/>
      </w:pPr>
    </w:p>
    <w:p w14:paraId="76F1066B" w14:textId="57669AD2" w:rsidR="0030613E" w:rsidRDefault="009E6950" w:rsidP="00A4794E">
      <w:pPr>
        <w:pStyle w:val="NoSpacing"/>
        <w:ind w:left="850"/>
      </w:pPr>
      <w:r>
        <w:t>3.</w:t>
      </w:r>
      <w:r>
        <w:tab/>
        <w:t>Trabajar para apoyar a los coordinadores y crear más redes y asociaciones de colaboración.</w:t>
      </w:r>
    </w:p>
    <w:p w14:paraId="3BCDCC1D" w14:textId="4C639605" w:rsidR="0030613E" w:rsidRDefault="009E6950" w:rsidP="00354FE0">
      <w:pPr>
        <w:pStyle w:val="NoSpacing"/>
        <w:ind w:left="1276"/>
      </w:pPr>
      <w:r>
        <w:t>-</w:t>
      </w:r>
      <w:r>
        <w:tab/>
        <w:t xml:space="preserve">Se considera que los coordinadores nacionales y los coordinadores nacionales de CECoP son importantes para garantizar un enfoque nacional coordinado y estratégico para la aplicación de la Convención. Las Partes Contratantes deberán garantizar que los coordinadores estén informados de sus responsabilidades. Los coordinadores nacionales de CECoP deben ser reconocidos como los principales ejecutores de las actividades de CECoP, y se les deberán proporcionar herramientas adecuadas y oportunidades de capacitación, según proceda. </w:t>
      </w:r>
    </w:p>
    <w:p w14:paraId="13BB8449" w14:textId="2D4F11CA" w:rsidR="0030613E" w:rsidRDefault="009E6950" w:rsidP="00354FE0">
      <w:pPr>
        <w:pStyle w:val="NoSpacing"/>
        <w:ind w:left="1276"/>
      </w:pPr>
      <w:r>
        <w:t>-</w:t>
      </w:r>
      <w:r>
        <w:tab/>
        <w:t xml:space="preserve">Alentar a las Partes Contratantes con necesidades similares de CECoP a que cooperen en las actividades de CECoP. Dicha cooperación puede incluir el intercambio de experiencias con las campañas de CECoP, así como la colaboración en la elaboración de materiales de comunicación y su traducción a los idiomas que necesiten las Partes Contratantes implicadas. Asimismo, habría que alentar a las Partes Contratantes a que se coordinen con sus coordinadores para otros acuerdos multilaterales sobre el medio ambiente (AMMA). </w:t>
      </w:r>
    </w:p>
    <w:p w14:paraId="61C36B1F" w14:textId="6D3848AF" w:rsidR="0030613E" w:rsidRDefault="009E6950" w:rsidP="00354FE0">
      <w:pPr>
        <w:pStyle w:val="NoSpacing"/>
        <w:ind w:left="1276"/>
      </w:pPr>
      <w:r>
        <w:lastRenderedPageBreak/>
        <w:t>-</w:t>
      </w:r>
      <w:r>
        <w:tab/>
        <w:t xml:space="preserve">La Secretaría debería buscar oportunidades para desarrollar redes y asociaciones de colaboración a escala internacional, por ejemplo con otros AMMA, a fin de identificar oportunidades para realizar actividades de CECoP comunes o complementarias y aportar herramientas, recursos y prácticas pertinentes a las Partes Contratantes. </w:t>
      </w:r>
    </w:p>
    <w:p w14:paraId="1F7A579B" w14:textId="1AF0EBB9" w:rsidR="0030613E" w:rsidRDefault="009E6950" w:rsidP="00354FE0">
      <w:pPr>
        <w:pStyle w:val="NoSpacing"/>
        <w:ind w:left="1276"/>
      </w:pPr>
      <w:r>
        <w:t>-</w:t>
      </w:r>
      <w:r>
        <w:tab/>
        <w:t xml:space="preserve">Las Partes Contratantes deberían aumentar la colaboración con los sectores que tienen un impacto en los humedales, de acuerdo con las prioridades identificadas en el Plan Estratégico en el ámbito nacional. Se deberían adaptar los mensajes para hacer hincapié en los temas de interés para el público objetivo. </w:t>
      </w:r>
    </w:p>
    <w:p w14:paraId="6BE1017F" w14:textId="77777777" w:rsidR="0030613E" w:rsidRDefault="0030613E" w:rsidP="00A4794E">
      <w:pPr>
        <w:pStyle w:val="NoSpacing"/>
        <w:ind w:left="850" w:firstLine="0"/>
      </w:pPr>
    </w:p>
    <w:p w14:paraId="3632B4B8" w14:textId="6642D277" w:rsidR="006A0F02" w:rsidRDefault="009E6950" w:rsidP="00A4794E">
      <w:pPr>
        <w:pStyle w:val="NoSpacing"/>
        <w:ind w:left="850"/>
      </w:pPr>
      <w:r>
        <w:t>4.</w:t>
      </w:r>
      <w:r>
        <w:tab/>
        <w:t>Apoyo estraté</w:t>
      </w:r>
      <w:r w:rsidR="004C5BDE">
        <w:t>gico por parte de la Secretaría.</w:t>
      </w:r>
    </w:p>
    <w:p w14:paraId="4442CFBC" w14:textId="586BFD36" w:rsidR="0030613E" w:rsidRDefault="009E6950" w:rsidP="006A0F02">
      <w:pPr>
        <w:pStyle w:val="NoSpacing"/>
        <w:ind w:left="1276"/>
      </w:pPr>
      <w:r>
        <w:t>-</w:t>
      </w:r>
      <w:r>
        <w:tab/>
        <w:t xml:space="preserve">La Secretaría proporcionará asesoramiento e información a las Partes Contratantes, por ejemplo, materiales de presentación sobre la labor de CECoP de Ramsar para los nuevos coordinadores de CECoP y los coordinadores de CECoP de las ONG y divulgará buenos ejemplos de otros países. </w:t>
      </w:r>
    </w:p>
    <w:p w14:paraId="6A4A7AB9" w14:textId="738C8EB0" w:rsidR="0030613E" w:rsidRDefault="009E6950" w:rsidP="00354FE0">
      <w:pPr>
        <w:pStyle w:val="NoSpacing"/>
        <w:ind w:left="1276"/>
      </w:pPr>
      <w:r>
        <w:t>-</w:t>
      </w:r>
      <w:r>
        <w:tab/>
        <w:t xml:space="preserve">La Secretaría realizará una revisión del manual de CECoP sobre los humedales de 2010. La versión revisada probablemente deba reflejar el nuevo enfoque de CECoP, incluir otros cambios en la Convención desde 2010, e incluir nuevos contenidos sobre los medios sociales, cómo mejorar la creación de redes, etc. </w:t>
      </w:r>
    </w:p>
    <w:p w14:paraId="3F8F8E9B" w14:textId="636DB638" w:rsidR="0030613E" w:rsidRDefault="009E6950" w:rsidP="00354FE0">
      <w:pPr>
        <w:pStyle w:val="NoSpacing"/>
        <w:ind w:left="1276"/>
      </w:pPr>
      <w:r>
        <w:t>-</w:t>
      </w:r>
      <w:r>
        <w:tab/>
        <w:t xml:space="preserve">La Secretaría proporcionará oportunidades para que los coordinadores de CECoP aprendan más sobre las herramientas de CECoP. Esto se puede hacer junto con otras reuniones pertinentes, como las COP o las reuniones regionales, según proceda, o a través de recursos en línea. </w:t>
      </w:r>
    </w:p>
    <w:p w14:paraId="44712C9C" w14:textId="77777777" w:rsidR="008D5F2E" w:rsidRDefault="008D5F2E" w:rsidP="00A4794E">
      <w:pPr>
        <w:pStyle w:val="NoSpacing"/>
        <w:ind w:left="850" w:firstLine="0"/>
      </w:pPr>
    </w:p>
    <w:p w14:paraId="7942FFD3" w14:textId="59BE7F40" w:rsidR="0030613E" w:rsidRDefault="009E6950" w:rsidP="00DD3949">
      <w:pPr>
        <w:pStyle w:val="NoSpacing"/>
        <w:keepNext/>
        <w:ind w:left="850"/>
      </w:pPr>
      <w:r>
        <w:t>5.</w:t>
      </w:r>
      <w:r>
        <w:tab/>
        <w:t>Una gobernanza más eficiente de la labor de C</w:t>
      </w:r>
      <w:r w:rsidR="004C5BDE">
        <w:t>ECoP de Ramsar a escala mundial.</w:t>
      </w:r>
    </w:p>
    <w:p w14:paraId="056F6EFF" w14:textId="2805F807" w:rsidR="0030613E" w:rsidRDefault="009E6950" w:rsidP="00354FE0">
      <w:pPr>
        <w:pStyle w:val="NoSpacing"/>
        <w:ind w:left="1276"/>
      </w:pPr>
      <w:r>
        <w:t>-</w:t>
      </w:r>
      <w:r>
        <w:tab/>
        <w:t xml:space="preserve">Una mejor descripción de las tareas, (separando lo que puede ser obligatorio y lo que puede ser voluntario) para el grupo o los grupos de trabajo de CECoP de Ramsar </w:t>
      </w:r>
    </w:p>
    <w:p w14:paraId="28D109BF" w14:textId="27D89138" w:rsidR="0030613E" w:rsidRDefault="009E6950" w:rsidP="00354FE0">
      <w:pPr>
        <w:pStyle w:val="NoSpacing"/>
        <w:ind w:left="1276"/>
      </w:pPr>
      <w:r>
        <w:t>-</w:t>
      </w:r>
      <w:r>
        <w:tab/>
        <w:t>Una mejor manera de crear el grupo o los grupos de trabajo de CECoP de Ramsar y de establecer su composición</w:t>
      </w:r>
      <w:r>
        <w:br/>
        <w:t>-</w:t>
      </w:r>
      <w:r>
        <w:tab/>
        <w:t xml:space="preserve">Una definición del modo de funcionamiento del grupo o los grupos de trabajo de CECoP de Ramsar </w:t>
      </w:r>
    </w:p>
    <w:p w14:paraId="7E467817" w14:textId="4D51A504" w:rsidR="009E6950" w:rsidRDefault="009E6950" w:rsidP="00354FE0">
      <w:pPr>
        <w:pStyle w:val="NoSpacing"/>
        <w:ind w:left="1276"/>
      </w:pPr>
      <w:r>
        <w:t>-</w:t>
      </w:r>
      <w:r>
        <w:tab/>
        <w:t>Un mejor reparto de la carga de trabajo, con la participación de más Partes Contratantes</w:t>
      </w:r>
    </w:p>
    <w:p w14:paraId="31F3550C" w14:textId="77777777" w:rsidR="004C5BF4" w:rsidRPr="00932F11" w:rsidRDefault="004C5BF4" w:rsidP="00A4794E">
      <w:pPr>
        <w:pStyle w:val="BodyText"/>
        <w:widowControl/>
        <w:tabs>
          <w:tab w:val="left" w:pos="544"/>
        </w:tabs>
        <w:ind w:left="0" w:firstLine="0"/>
        <w:rPr>
          <w:rFonts w:asciiTheme="majorHAnsi" w:hAnsiTheme="majorHAnsi" w:cs="Times New Roman"/>
        </w:rPr>
      </w:pPr>
    </w:p>
    <w:p w14:paraId="5F55400E" w14:textId="49161AA5" w:rsidR="004C5BF4" w:rsidRPr="00C64326" w:rsidRDefault="008D5F2E" w:rsidP="00A4794E">
      <w:pPr>
        <w:pStyle w:val="BodyText"/>
        <w:widowControl/>
        <w:tabs>
          <w:tab w:val="left" w:pos="544"/>
        </w:tabs>
        <w:ind w:left="425" w:hanging="425"/>
        <w:rPr>
          <w:rFonts w:asciiTheme="majorHAnsi" w:hAnsiTheme="majorHAnsi" w:cs="Times New Roman"/>
        </w:rPr>
      </w:pPr>
      <w:r>
        <w:rPr>
          <w:rFonts w:asciiTheme="majorHAnsi" w:hAnsiTheme="majorHAnsi"/>
        </w:rPr>
        <w:t>19.</w:t>
      </w:r>
      <w:r>
        <w:rPr>
          <w:rFonts w:asciiTheme="majorHAnsi" w:hAnsiTheme="majorHAnsi"/>
        </w:rPr>
        <w:tab/>
        <w:t>Estas recomendaciones se han incorporado en un proyecto de resolución sobre el</w:t>
      </w:r>
      <w:r w:rsidR="004C5BDE">
        <w:rPr>
          <w:rFonts w:asciiTheme="majorHAnsi" w:hAnsiTheme="majorHAnsi"/>
        </w:rPr>
        <w:t xml:space="preserve"> nuevo enfoque de CECoP (COP14.D</w:t>
      </w:r>
      <w:r>
        <w:rPr>
          <w:rFonts w:asciiTheme="majorHAnsi" w:hAnsiTheme="majorHAnsi"/>
        </w:rPr>
        <w:t>oc.18.10), que se someterá a la consideración de la COP.</w:t>
      </w:r>
    </w:p>
    <w:p w14:paraId="095660C6" w14:textId="78A60E90" w:rsidR="00C64326" w:rsidRPr="007D0D4B" w:rsidRDefault="00C64326" w:rsidP="004C3670">
      <w:pPr>
        <w:rPr>
          <w:rFonts w:asciiTheme="majorHAnsi" w:eastAsia="Calibri" w:hAnsiTheme="majorHAnsi"/>
          <w:sz w:val="22"/>
          <w:szCs w:val="22"/>
        </w:rPr>
      </w:pPr>
      <w:r>
        <w:br w:type="page"/>
      </w:r>
    </w:p>
    <w:p w14:paraId="1874589C" w14:textId="372CE672" w:rsidR="00C64326" w:rsidRPr="00E32C50" w:rsidRDefault="00E32C50" w:rsidP="00E32C50">
      <w:pPr>
        <w:rPr>
          <w:rFonts w:asciiTheme="majorHAnsi" w:hAnsiTheme="majorHAnsi"/>
          <w:b/>
        </w:rPr>
      </w:pPr>
      <w:r>
        <w:rPr>
          <w:rFonts w:asciiTheme="majorHAnsi" w:hAnsiTheme="majorHAnsi"/>
          <w:b/>
        </w:rPr>
        <w:lastRenderedPageBreak/>
        <w:t>Anexo A</w:t>
      </w:r>
    </w:p>
    <w:p w14:paraId="42781178" w14:textId="4F4A3D80" w:rsidR="00C64326" w:rsidRDefault="00C64326" w:rsidP="00E32C50">
      <w:pPr>
        <w:rPr>
          <w:rFonts w:asciiTheme="majorHAnsi" w:hAnsiTheme="majorHAnsi"/>
          <w:b/>
        </w:rPr>
      </w:pPr>
      <w:r>
        <w:rPr>
          <w:rFonts w:asciiTheme="majorHAnsi" w:hAnsiTheme="majorHAnsi"/>
          <w:b/>
        </w:rPr>
        <w:t>Campañas, programas y proyectos de las Partes Contratantes sobre la CECoP en materia de humedales durante el período que abarca el presente informe (2018-2022)</w:t>
      </w:r>
    </w:p>
    <w:p w14:paraId="345D95E0" w14:textId="0F8E61B1" w:rsidR="00542AE9" w:rsidRDefault="00542AE9" w:rsidP="00E32C50">
      <w:pPr>
        <w:rPr>
          <w:rFonts w:asciiTheme="majorHAnsi" w:hAnsiTheme="majorHAnsi"/>
          <w:b/>
        </w:rPr>
      </w:pPr>
    </w:p>
    <w:p w14:paraId="64466F0F" w14:textId="77777777" w:rsidR="00EE599F" w:rsidRPr="00E32C50" w:rsidRDefault="00EE599F" w:rsidP="00E32C50">
      <w:pPr>
        <w:rPr>
          <w:rFonts w:asciiTheme="majorHAnsi" w:hAnsiTheme="majorHAnsi"/>
          <w:b/>
        </w:rPr>
      </w:pPr>
    </w:p>
    <w:p w14:paraId="4752C6E8" w14:textId="3C7AFD4B" w:rsidR="000C32A0" w:rsidRPr="000C32A0" w:rsidRDefault="00542AE9" w:rsidP="000C32A0">
      <w:pPr>
        <w:numPr>
          <w:ilvl w:val="0"/>
          <w:numId w:val="1"/>
        </w:numPr>
        <w:ind w:left="426" w:hanging="426"/>
        <w:rPr>
          <w:rFonts w:asciiTheme="majorHAnsi" w:hAnsiTheme="majorHAnsi" w:cstheme="majorHAnsi"/>
          <w:sz w:val="22"/>
          <w:szCs w:val="22"/>
        </w:rPr>
      </w:pPr>
      <w:r>
        <w:rPr>
          <w:rFonts w:asciiTheme="majorHAnsi" w:hAnsiTheme="majorHAnsi"/>
          <w:sz w:val="22"/>
        </w:rPr>
        <w:t>En Albania, se presentaron los resultados del Censo Internacional de Aves Acuáticas Invernantes para celebrar el Día Mundial de los Humedales.</w:t>
      </w:r>
    </w:p>
    <w:p w14:paraId="5553FE23" w14:textId="77777777" w:rsidR="000C32A0" w:rsidRPr="000C32A0" w:rsidRDefault="000C32A0" w:rsidP="000C32A0">
      <w:pPr>
        <w:rPr>
          <w:rFonts w:asciiTheme="majorHAnsi" w:hAnsiTheme="majorHAnsi" w:cstheme="majorHAnsi"/>
          <w:sz w:val="22"/>
          <w:szCs w:val="22"/>
        </w:rPr>
      </w:pPr>
    </w:p>
    <w:p w14:paraId="3C162529" w14:textId="13AE28CB" w:rsidR="000C32A0" w:rsidRPr="000C32A0" w:rsidRDefault="000C32A0" w:rsidP="000C32A0">
      <w:pPr>
        <w:numPr>
          <w:ilvl w:val="0"/>
          <w:numId w:val="1"/>
        </w:numPr>
        <w:ind w:left="426" w:hanging="426"/>
        <w:rPr>
          <w:rFonts w:asciiTheme="majorHAnsi" w:hAnsiTheme="majorHAnsi" w:cstheme="majorHAnsi"/>
          <w:sz w:val="22"/>
          <w:szCs w:val="22"/>
        </w:rPr>
      </w:pPr>
      <w:r>
        <w:rPr>
          <w:rFonts w:asciiTheme="majorHAnsi" w:hAnsiTheme="majorHAnsi"/>
          <w:sz w:val="22"/>
        </w:rPr>
        <w:t xml:space="preserve">En Alemania, algunos sitios Ramsar organizan desde hace muchos años eventos, algunos de los cuales tienen un tema local y son pertinentes para la Convención. Entre otros ejemplos pueden mencionarse los actos celebrados en la zona del Rin Superior, donde Francia y Alemania acogen en años alternos una conferencia anual especializada para conmemorar el Día Mundial de los Humedales, en la que se abordan temas de actualidad en el sitio franco-alemán </w:t>
      </w:r>
      <w:r>
        <w:rPr>
          <w:rFonts w:asciiTheme="majorHAnsi" w:hAnsiTheme="majorHAnsi"/>
          <w:i/>
          <w:iCs/>
          <w:sz w:val="22"/>
        </w:rPr>
        <w:t>Rhin Supérieur</w:t>
      </w:r>
      <w:r>
        <w:rPr>
          <w:rFonts w:asciiTheme="majorHAnsi" w:hAnsiTheme="majorHAnsi"/>
          <w:sz w:val="22"/>
        </w:rPr>
        <w:t xml:space="preserve">. </w:t>
      </w:r>
    </w:p>
    <w:p w14:paraId="24DB17EB" w14:textId="77777777" w:rsidR="000C32A0" w:rsidRPr="000C32A0" w:rsidRDefault="000C32A0" w:rsidP="000C32A0">
      <w:pPr>
        <w:rPr>
          <w:rFonts w:asciiTheme="majorHAnsi" w:hAnsiTheme="majorHAnsi" w:cstheme="majorHAnsi"/>
          <w:sz w:val="22"/>
          <w:szCs w:val="22"/>
        </w:rPr>
      </w:pPr>
    </w:p>
    <w:p w14:paraId="0253352A" w14:textId="77777777" w:rsidR="000C32A0" w:rsidRPr="006053B2" w:rsidRDefault="000C32A0" w:rsidP="000C32A0">
      <w:pPr>
        <w:numPr>
          <w:ilvl w:val="0"/>
          <w:numId w:val="1"/>
        </w:numPr>
        <w:ind w:left="426" w:hanging="426"/>
        <w:rPr>
          <w:rFonts w:asciiTheme="majorHAnsi" w:hAnsiTheme="majorHAnsi" w:cstheme="majorHAnsi"/>
          <w:sz w:val="22"/>
          <w:szCs w:val="22"/>
        </w:rPr>
      </w:pPr>
      <w:r>
        <w:rPr>
          <w:rFonts w:asciiTheme="majorHAnsi" w:hAnsiTheme="majorHAnsi"/>
          <w:sz w:val="22"/>
        </w:rPr>
        <w:t>En Antigua y Barbuda, las actividades del Día Mundial de los Humedales han incluido publicaciones en las redes sociales y entrevistas con los medios de comunicación locales, y han facilitado viajes de campo a los humedales de las islas.</w:t>
      </w:r>
    </w:p>
    <w:p w14:paraId="1C0C16D1" w14:textId="77777777" w:rsidR="00542AE9" w:rsidRPr="006053B2" w:rsidRDefault="00542AE9" w:rsidP="006053B2">
      <w:pPr>
        <w:ind w:left="426" w:hanging="426"/>
        <w:rPr>
          <w:rFonts w:asciiTheme="majorHAnsi" w:hAnsiTheme="majorHAnsi" w:cstheme="majorHAnsi"/>
          <w:sz w:val="22"/>
          <w:szCs w:val="22"/>
        </w:rPr>
      </w:pPr>
    </w:p>
    <w:p w14:paraId="16D406ED" w14:textId="5E62FE05"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 xml:space="preserve">En Argelia, se llevan a cabo programas de sensibilización del público acerca de los beneficios de los humedales durante todo el año en las regiones áridas, a través de actividades como “clases azules”, visitas educativas, conferencias y viajes de campo organizados por universidades y centros de investigación. </w:t>
      </w:r>
    </w:p>
    <w:p w14:paraId="6A450D11" w14:textId="77777777" w:rsidR="00542AE9" w:rsidRPr="006053B2" w:rsidRDefault="00542AE9" w:rsidP="006053B2">
      <w:pPr>
        <w:ind w:left="426" w:hanging="426"/>
        <w:rPr>
          <w:rFonts w:asciiTheme="majorHAnsi" w:hAnsiTheme="majorHAnsi" w:cstheme="majorHAnsi"/>
          <w:sz w:val="22"/>
          <w:szCs w:val="22"/>
        </w:rPr>
      </w:pPr>
    </w:p>
    <w:p w14:paraId="73EB07F6" w14:textId="09E32668"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 xml:space="preserve">En Australia, gobiernos estatales, territoriales y locales, así como diversas organizaciones comunitarias, llevan a cabo actividades del Día Mundial de los Humedales centradas en el tema de cada año. Las actividades del Gobierno de Australia incluyeron la publicación de una revista anual en línea de Wetlands Australia, complementada con vídeos, hojas informativas, folletos, exposiciones y publicaciones en las redes sociales. </w:t>
      </w:r>
    </w:p>
    <w:p w14:paraId="20C1FD3E" w14:textId="3922D179" w:rsidR="00542AE9" w:rsidRPr="006053B2" w:rsidRDefault="00542AE9" w:rsidP="006053B2">
      <w:pPr>
        <w:ind w:left="426" w:hanging="426"/>
        <w:rPr>
          <w:rFonts w:asciiTheme="majorHAnsi" w:hAnsiTheme="majorHAnsi" w:cstheme="majorHAnsi"/>
          <w:sz w:val="22"/>
          <w:szCs w:val="22"/>
        </w:rPr>
      </w:pPr>
    </w:p>
    <w:p w14:paraId="4D1D00B3" w14:textId="77777777"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Bangladesh, el Día Mundial de los Humedales es celebrado por el Ministerio de Medio Ambiente, Bosques y Cambio Climático, la UICN, ONG y clubes juveniles. El Departamento de Medio Ambiente, el Departamento Forestal y la UICN también celebraron otros días importantes, como el Día Mundial del Medio Ambiente, el Día Mundial de las Aves Migratorias y el Día Mundial de la Vida Silvestre, para sensibilizar sobre el papel de los humedales en la conservación de las especies silvestres y sus hábitats.</w:t>
      </w:r>
    </w:p>
    <w:p w14:paraId="6CB0B050" w14:textId="77777777" w:rsidR="00542AE9" w:rsidRPr="006053B2" w:rsidRDefault="00542AE9" w:rsidP="006053B2">
      <w:pPr>
        <w:ind w:left="426" w:hanging="426"/>
        <w:rPr>
          <w:rFonts w:asciiTheme="majorHAnsi" w:hAnsiTheme="majorHAnsi" w:cstheme="majorHAnsi"/>
          <w:sz w:val="22"/>
          <w:szCs w:val="22"/>
        </w:rPr>
      </w:pPr>
    </w:p>
    <w:p w14:paraId="5168CC5F" w14:textId="5CA47FC7"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 xml:space="preserve">En Bélgica, la aplicación de la Directiva Aves ha contribuido a dar mayor difusión a la conservación de los humedales. Cada año, en el Humedal de Importancia Internacional “la Vallée de la Haute-Sûre”, se llevan a cabo actividades del Parc Regional de la Vallée de la Haute-Sûre, con actividades similares en las regiones flamencas (como visitas guiadas) organizadas (a veces por ONG) en relación con las aves acuáticas. </w:t>
      </w:r>
    </w:p>
    <w:p w14:paraId="3C753426" w14:textId="77777777" w:rsidR="00542AE9" w:rsidRPr="006053B2" w:rsidRDefault="00542AE9" w:rsidP="006053B2">
      <w:pPr>
        <w:ind w:left="426" w:hanging="426"/>
        <w:rPr>
          <w:rFonts w:asciiTheme="majorHAnsi" w:hAnsiTheme="majorHAnsi" w:cstheme="majorHAnsi"/>
          <w:sz w:val="22"/>
          <w:szCs w:val="22"/>
        </w:rPr>
      </w:pPr>
    </w:p>
    <w:p w14:paraId="775E7543" w14:textId="77777777"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Benín, el Día Mundial de los Humedales se celebra con actividades que reúnen al Ministerio de Medio Ambiente y sus departamentos técnicos, organizaciones no gubernamentales, las asociaciones de gestión de zonas comunitarias para la conservación de la biodiversidad y la autoridad nacional designada para la Convención, “ABE”. Las ONG realizan campañas de sensibilización sobre la importancia de los humedales (ONG BEES, Nature Tropicale).</w:t>
      </w:r>
    </w:p>
    <w:p w14:paraId="7DC574E9" w14:textId="77777777" w:rsidR="00542AE9" w:rsidRPr="006053B2" w:rsidRDefault="00542AE9" w:rsidP="006053B2">
      <w:pPr>
        <w:ind w:left="426" w:hanging="426"/>
        <w:rPr>
          <w:rFonts w:asciiTheme="majorHAnsi" w:hAnsiTheme="majorHAnsi" w:cstheme="majorHAnsi"/>
          <w:sz w:val="22"/>
          <w:szCs w:val="22"/>
        </w:rPr>
      </w:pPr>
    </w:p>
    <w:p w14:paraId="1B230C4D" w14:textId="77777777"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Botswana, el Día Mundial de los Humedales se celebra con actos organizados por el Gobierno, el Ministerio de Medio Ambiente y la oficina de Conservación de Recursos Naturales y Turismo.</w:t>
      </w:r>
    </w:p>
    <w:p w14:paraId="2A9BB0FA" w14:textId="77777777" w:rsidR="00542AE9" w:rsidRPr="006053B2" w:rsidRDefault="00542AE9" w:rsidP="006053B2">
      <w:pPr>
        <w:ind w:left="426" w:hanging="426"/>
        <w:rPr>
          <w:rFonts w:asciiTheme="majorHAnsi" w:hAnsiTheme="majorHAnsi" w:cstheme="majorHAnsi"/>
          <w:sz w:val="22"/>
          <w:szCs w:val="22"/>
        </w:rPr>
      </w:pPr>
    </w:p>
    <w:p w14:paraId="31E139D8" w14:textId="45C6D67C"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 xml:space="preserve">En Brasil, los temas del Día Mundial de los Humedales se promocionan en la página web del Ministerio de Medio Ambiente. Varios periódicos y otros medios de comunicación (blogs, sitios web, etc.) dan publicidad al día. También se organizan actividades que incluyen debates, caminatas por humedales de importancia internacional y otras actividades diversas en las que </w:t>
      </w:r>
      <w:r>
        <w:rPr>
          <w:rFonts w:asciiTheme="majorHAnsi" w:hAnsiTheme="majorHAnsi"/>
          <w:sz w:val="22"/>
        </w:rPr>
        <w:lastRenderedPageBreak/>
        <w:t xml:space="preserve">participan instituciones educativas y varias ONG que operan en el país, manteniendo así las campañas de educación ambiental a largo plazo. </w:t>
      </w:r>
    </w:p>
    <w:p w14:paraId="2874D0D6" w14:textId="77777777" w:rsidR="00542AE9" w:rsidRPr="006053B2" w:rsidRDefault="00542AE9" w:rsidP="006053B2">
      <w:pPr>
        <w:ind w:left="426" w:hanging="426"/>
        <w:rPr>
          <w:rFonts w:asciiTheme="majorHAnsi" w:hAnsiTheme="majorHAnsi" w:cstheme="majorHAnsi"/>
          <w:sz w:val="22"/>
          <w:szCs w:val="22"/>
        </w:rPr>
      </w:pPr>
    </w:p>
    <w:p w14:paraId="247C7284" w14:textId="781F2038"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Bulgaria, el Día Mundial de los Humedales se celebra mediante campañas en todo el país, organizadas por las estructuras regionales del Ministerio de Medio Ambiente y Agua y dirigidas a jardines de infancia, escuelas y universidades. Esto incluye clases abiertas, exposiciones, presentaciones y actividades de diferentes clubes escolares de medio ambiente que incluyen concursos y excursiones de observación de aves.</w:t>
      </w:r>
    </w:p>
    <w:p w14:paraId="60B18917" w14:textId="497002A5" w:rsidR="00542AE9" w:rsidRPr="006053B2" w:rsidRDefault="00542AE9" w:rsidP="006053B2">
      <w:pPr>
        <w:ind w:left="426" w:hanging="426"/>
        <w:rPr>
          <w:rFonts w:asciiTheme="majorHAnsi" w:hAnsiTheme="majorHAnsi" w:cstheme="majorHAnsi"/>
          <w:sz w:val="22"/>
          <w:szCs w:val="22"/>
        </w:rPr>
      </w:pPr>
    </w:p>
    <w:p w14:paraId="15E524FA" w14:textId="3E4557C7"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Camboya, el Día Mundial de los Humedales se conmemora anualmente invitando a los administradores de sitios, a los coordinadores de otros AMMA y a los departamentos pertinentes a reuniones o talleres relacionados con los humedales. Se organizaron otras actividades de CECoP en forma de exposiciones, ferias, festivales de humedales y celebraciones del Día Mundial de las Aves Migratorias.</w:t>
      </w:r>
    </w:p>
    <w:p w14:paraId="12C85AB2" w14:textId="77777777" w:rsidR="00542AE9" w:rsidRPr="006053B2" w:rsidRDefault="00542AE9" w:rsidP="006053B2">
      <w:pPr>
        <w:ind w:left="426" w:hanging="426"/>
        <w:rPr>
          <w:rFonts w:asciiTheme="majorHAnsi" w:hAnsiTheme="majorHAnsi" w:cstheme="majorHAnsi"/>
          <w:sz w:val="22"/>
          <w:szCs w:val="22"/>
        </w:rPr>
      </w:pPr>
    </w:p>
    <w:p w14:paraId="2B4C2A45" w14:textId="4A4B9D1D"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Camerún, se organizan ceremonias centradas en el tema del año. Esto ofrece una oportunidad para que el Ministerio aumente la sensibilización a través de los medios de comunicación, carteles y las actividades entretenidas/recreativas dirigidas comediantes locales conocidos. La emisora Cameroon Radio Television (CRTV) ha puesto en marcha un conjunto de producciones frecuentes que muestran la riqueza y el potencial nacional de los humedales.</w:t>
      </w:r>
    </w:p>
    <w:p w14:paraId="218A7F0F" w14:textId="77777777" w:rsidR="00542AE9" w:rsidRPr="006053B2" w:rsidRDefault="00542AE9" w:rsidP="006053B2">
      <w:pPr>
        <w:ind w:left="426" w:hanging="426"/>
        <w:rPr>
          <w:rFonts w:asciiTheme="majorHAnsi" w:hAnsiTheme="majorHAnsi" w:cstheme="majorHAnsi"/>
          <w:sz w:val="22"/>
          <w:szCs w:val="22"/>
        </w:rPr>
      </w:pPr>
    </w:p>
    <w:p w14:paraId="593917F2" w14:textId="77777777"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 xml:space="preserve">En China, el acto principal de celebración del Día Mundial de los Humedales de 2018 se llevó a cabo en el Parque Nacional de Humedales Haizhu, en la ciudad de Guangzhou, provincia de Guangdong. El acto fue presidido por el Sr. Wang Zhigao, entonces Director General del antiguo Centro de Gestión de Humedales de la Administración Forestal Estatal. </w:t>
      </w:r>
    </w:p>
    <w:p w14:paraId="7E589346" w14:textId="77777777" w:rsidR="00542AE9" w:rsidRPr="006053B2" w:rsidRDefault="00542AE9" w:rsidP="006053B2">
      <w:pPr>
        <w:ind w:left="426" w:hanging="426"/>
        <w:rPr>
          <w:rFonts w:asciiTheme="majorHAnsi" w:hAnsiTheme="majorHAnsi" w:cstheme="majorHAnsi"/>
          <w:sz w:val="22"/>
          <w:szCs w:val="22"/>
        </w:rPr>
      </w:pPr>
    </w:p>
    <w:p w14:paraId="2716E801" w14:textId="4AB71068"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 xml:space="preserve">En Colombia, la conmemoración del Día Mundial de los Humedales se realiza anualmente a través de una serie de actividades educativas, talleres, foros, intercambio de experiencias, paseos en bicicleta, etc. en los que participan actores regionales de los sectores institucional, comunitario y productivo. </w:t>
      </w:r>
    </w:p>
    <w:p w14:paraId="0ED84727" w14:textId="6A33E0C8" w:rsidR="00542AE9" w:rsidRPr="006053B2" w:rsidRDefault="00542AE9" w:rsidP="006053B2">
      <w:pPr>
        <w:ind w:left="426" w:hanging="426"/>
        <w:rPr>
          <w:rFonts w:asciiTheme="majorHAnsi" w:hAnsiTheme="majorHAnsi" w:cstheme="majorHAnsi"/>
          <w:sz w:val="22"/>
          <w:szCs w:val="22"/>
        </w:rPr>
      </w:pPr>
    </w:p>
    <w:p w14:paraId="1A2E5BE4" w14:textId="6BFD4311"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 xml:space="preserve">En Côte d’Ivoire, se llevaron a cabo sesiones combinadas de sensibilización y una excursión con el coordinador nacional del AEWA para escolares de la ciudad de Adiaké, centrándose principalmente en la importancia de los humedales y las aves acuáticas en 2018. </w:t>
      </w:r>
    </w:p>
    <w:p w14:paraId="7F88008F" w14:textId="77777777" w:rsidR="00542AE9" w:rsidRPr="006053B2" w:rsidRDefault="00542AE9" w:rsidP="006053B2">
      <w:pPr>
        <w:ind w:left="426" w:hanging="426"/>
        <w:rPr>
          <w:rFonts w:asciiTheme="majorHAnsi" w:hAnsiTheme="majorHAnsi" w:cstheme="majorHAnsi"/>
          <w:sz w:val="22"/>
          <w:szCs w:val="22"/>
        </w:rPr>
      </w:pPr>
    </w:p>
    <w:p w14:paraId="1F8A59C6" w14:textId="7AEBEAAE"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Croacia, se organizan actos públicos especiales con motivo del Día Mundial de los Humedales, además de presentaciones, conferencias, exposiciones, visitas de campo y concursos de arte para niños. Estos reflejan la importancia y el tema del año respectivo.</w:t>
      </w:r>
    </w:p>
    <w:p w14:paraId="1423321C" w14:textId="05DECF45" w:rsidR="00542AE9" w:rsidRPr="006053B2" w:rsidRDefault="00542AE9" w:rsidP="006053B2">
      <w:pPr>
        <w:ind w:left="426" w:hanging="426"/>
        <w:rPr>
          <w:rFonts w:asciiTheme="majorHAnsi" w:hAnsiTheme="majorHAnsi" w:cstheme="majorHAnsi"/>
          <w:sz w:val="22"/>
          <w:szCs w:val="22"/>
        </w:rPr>
      </w:pPr>
    </w:p>
    <w:p w14:paraId="18E453EE" w14:textId="77777777"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 xml:space="preserve">En Ecuador, durante todo el mes de febrero se realizan una gran variedad de actividades y actos a nivel nacional para celebrar el Día Mundial de los Humedales. Participan ONG, clubes ambientales e instituciones estatales. También se celebran a lo largo del año actividades como foros, simposios, etc. relacionados con los humedales. </w:t>
      </w:r>
    </w:p>
    <w:p w14:paraId="0A7492F4" w14:textId="77777777" w:rsidR="00542AE9" w:rsidRPr="006053B2" w:rsidRDefault="00542AE9" w:rsidP="006053B2">
      <w:pPr>
        <w:ind w:left="426" w:hanging="426"/>
        <w:rPr>
          <w:rFonts w:asciiTheme="majorHAnsi" w:hAnsiTheme="majorHAnsi" w:cstheme="majorHAnsi"/>
          <w:sz w:val="22"/>
          <w:szCs w:val="22"/>
        </w:rPr>
      </w:pPr>
    </w:p>
    <w:p w14:paraId="353644AD" w14:textId="5F43EEA9"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El Salvador, el Ministerio de Medio Ambiente y Recursos Naturales, los gobiernos locales y las unidades ambientales organizan actividades del Día Mundial de los Humedales son programadas en los humedales de importancia internacional, con diferentes actores locales relacionados con cada uno de los humedales. Esto sirve para reflexionar sobre los bienes y servicios que proporcionan los humedales, además de reforzar las directrices de la Convención.</w:t>
      </w:r>
    </w:p>
    <w:p w14:paraId="5157CC9B" w14:textId="77777777" w:rsidR="000C32A0" w:rsidRPr="006053B2" w:rsidRDefault="000C32A0" w:rsidP="000C32A0">
      <w:pPr>
        <w:ind w:left="426" w:hanging="426"/>
        <w:rPr>
          <w:rFonts w:asciiTheme="majorHAnsi" w:hAnsiTheme="majorHAnsi" w:cstheme="majorHAnsi"/>
          <w:sz w:val="22"/>
          <w:szCs w:val="22"/>
        </w:rPr>
      </w:pPr>
    </w:p>
    <w:p w14:paraId="305135FE" w14:textId="77777777" w:rsidR="000C32A0" w:rsidRPr="006053B2" w:rsidRDefault="000C32A0" w:rsidP="000C32A0">
      <w:pPr>
        <w:numPr>
          <w:ilvl w:val="0"/>
          <w:numId w:val="1"/>
        </w:numPr>
        <w:ind w:left="426" w:hanging="426"/>
        <w:rPr>
          <w:rFonts w:asciiTheme="majorHAnsi" w:hAnsiTheme="majorHAnsi" w:cstheme="majorHAnsi"/>
          <w:sz w:val="22"/>
          <w:szCs w:val="22"/>
        </w:rPr>
      </w:pPr>
      <w:r>
        <w:rPr>
          <w:rFonts w:asciiTheme="majorHAnsi" w:hAnsiTheme="majorHAnsi"/>
          <w:sz w:val="22"/>
        </w:rPr>
        <w:t xml:space="preserve">En los Emiratos Árabes Unidos, la celebración del Día Mundial de los Humedales se armoniza con los esfuerzos del Ayuntamiento de Dubái por reforzar los planes estratégicos y los pilares de la protección del medio ambiente y la sostenibilidad de los recursos naturales. La celebración se organizó en el Santuario del Humedal Jabal Ali, al que asistieron 400 participantes que tomaron parte en la plantación de árboles de mangle dentro del santuario. </w:t>
      </w:r>
    </w:p>
    <w:p w14:paraId="36912964" w14:textId="77777777" w:rsidR="000C32A0" w:rsidRPr="006053B2" w:rsidRDefault="000C32A0" w:rsidP="000C32A0">
      <w:pPr>
        <w:ind w:left="426" w:hanging="426"/>
        <w:rPr>
          <w:rFonts w:asciiTheme="majorHAnsi" w:hAnsiTheme="majorHAnsi" w:cstheme="majorHAnsi"/>
          <w:sz w:val="22"/>
          <w:szCs w:val="22"/>
        </w:rPr>
      </w:pPr>
    </w:p>
    <w:p w14:paraId="7DF576DD" w14:textId="753A57D7" w:rsidR="00542AE9" w:rsidRDefault="000C32A0" w:rsidP="000C32A0">
      <w:pPr>
        <w:numPr>
          <w:ilvl w:val="0"/>
          <w:numId w:val="1"/>
        </w:numPr>
        <w:ind w:left="426" w:hanging="426"/>
        <w:rPr>
          <w:rFonts w:asciiTheme="majorHAnsi" w:hAnsiTheme="majorHAnsi"/>
          <w:sz w:val="22"/>
        </w:rPr>
      </w:pPr>
      <w:r>
        <w:rPr>
          <w:rFonts w:asciiTheme="majorHAnsi" w:hAnsiTheme="majorHAnsi"/>
          <w:sz w:val="22"/>
        </w:rPr>
        <w:t>En los Estados Unidos de América se han llevado a cabo campañas, programas y proyectos para sensibilizar sobre la importancia de los humedales. La Asociación de Humedales de Wisconsin organizó una serie virtual de “Pausa para el café en favor de los humedales” con el fin de arrojar luz sobre temas relacionados con los humedales. Los Departamentos de Estado y del Interior utilizan las plataformas de las redes sociales para centrarse en los beneficios de la protección de estos recursos.</w:t>
      </w:r>
    </w:p>
    <w:p w14:paraId="5A48CC90" w14:textId="77777777" w:rsidR="000C32A0" w:rsidRPr="006053B2" w:rsidRDefault="000C32A0" w:rsidP="000C32A0">
      <w:pPr>
        <w:ind w:left="426" w:hanging="426"/>
        <w:rPr>
          <w:rFonts w:asciiTheme="majorHAnsi" w:hAnsiTheme="majorHAnsi" w:cstheme="majorHAnsi"/>
          <w:sz w:val="22"/>
          <w:szCs w:val="22"/>
        </w:rPr>
      </w:pPr>
    </w:p>
    <w:p w14:paraId="563BE796" w14:textId="57C1B9B8" w:rsidR="000C32A0" w:rsidRPr="00271BBA" w:rsidRDefault="00542AE9" w:rsidP="000C32A0">
      <w:pPr>
        <w:numPr>
          <w:ilvl w:val="0"/>
          <w:numId w:val="1"/>
        </w:numPr>
        <w:ind w:left="426" w:hanging="426"/>
        <w:rPr>
          <w:rFonts w:asciiTheme="majorHAnsi" w:hAnsiTheme="majorHAnsi" w:cstheme="majorHAnsi"/>
          <w:sz w:val="22"/>
          <w:szCs w:val="22"/>
        </w:rPr>
      </w:pPr>
      <w:r>
        <w:rPr>
          <w:rFonts w:asciiTheme="majorHAnsi" w:hAnsiTheme="majorHAnsi"/>
          <w:sz w:val="22"/>
        </w:rPr>
        <w:t>En Estonia, durante 2018 y 2020, se celebraron conferencias organizadas y apoyadas por WWF Estonia, la Sociedad Estoniana de Humedales, el Ministerio de Medio Ambiente de Estonia y la Junta de Medio Ambiente. Asistieron 200 personas, de forma presencial y virtual.</w:t>
      </w:r>
    </w:p>
    <w:p w14:paraId="3DFEB5B0" w14:textId="77777777" w:rsidR="00271BBA" w:rsidRPr="000C32A0" w:rsidRDefault="00271BBA" w:rsidP="00271BBA">
      <w:pPr>
        <w:rPr>
          <w:rFonts w:asciiTheme="majorHAnsi" w:hAnsiTheme="majorHAnsi" w:cstheme="majorHAnsi"/>
          <w:sz w:val="22"/>
          <w:szCs w:val="22"/>
        </w:rPr>
      </w:pPr>
    </w:p>
    <w:p w14:paraId="7D8C401B" w14:textId="27D9E3F6" w:rsidR="000C32A0" w:rsidRPr="000C32A0" w:rsidRDefault="000C32A0" w:rsidP="000C32A0">
      <w:pPr>
        <w:numPr>
          <w:ilvl w:val="0"/>
          <w:numId w:val="1"/>
        </w:numPr>
        <w:ind w:left="426" w:hanging="426"/>
        <w:rPr>
          <w:rFonts w:asciiTheme="majorHAnsi" w:hAnsiTheme="majorHAnsi" w:cstheme="majorHAnsi"/>
          <w:sz w:val="22"/>
          <w:szCs w:val="22"/>
        </w:rPr>
      </w:pPr>
      <w:r>
        <w:rPr>
          <w:rFonts w:asciiTheme="majorHAnsi" w:hAnsiTheme="majorHAnsi"/>
          <w:sz w:val="22"/>
        </w:rPr>
        <w:t xml:space="preserve">En Filipinas, en apoyo de la Proclamación Presidencial Nº 74 s. 1999 que declara el 2 de febrero de cada año como Día Nacional de los Humedales, el gobierno y los sectores no gubernamentales del país realizan actividades orientadas a la promoción del uso racional de los humedales. </w:t>
      </w:r>
    </w:p>
    <w:p w14:paraId="4AB10691" w14:textId="678B7468" w:rsidR="00542AE9" w:rsidRPr="006053B2" w:rsidRDefault="00542AE9" w:rsidP="006053B2">
      <w:pPr>
        <w:ind w:left="426" w:hanging="426"/>
        <w:rPr>
          <w:rFonts w:asciiTheme="majorHAnsi" w:hAnsiTheme="majorHAnsi" w:cstheme="majorHAnsi"/>
          <w:sz w:val="22"/>
          <w:szCs w:val="22"/>
        </w:rPr>
      </w:pPr>
    </w:p>
    <w:p w14:paraId="0455CA9C" w14:textId="3E829514"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Francia, el Día Mundial de los Humedales está organizado por un comité directivo nacional que reúne a todas las redes de administradores de espacios naturales y agentes de la educación ambiental, y se realiza una jornada de presentación nacional con cobertura de los medios de comunicación. El Ministerio y sus establecimientos públicos llevan a cabo numerosas actividades de comunicación y sensibilización (seminarios, concursos, cursos de formación, exposiciones).</w:t>
      </w:r>
    </w:p>
    <w:p w14:paraId="6A4A85A8" w14:textId="77777777" w:rsidR="00542AE9" w:rsidRPr="006053B2" w:rsidRDefault="00542AE9" w:rsidP="006053B2">
      <w:pPr>
        <w:ind w:left="426" w:hanging="426"/>
        <w:rPr>
          <w:rFonts w:asciiTheme="majorHAnsi" w:hAnsiTheme="majorHAnsi" w:cstheme="majorHAnsi"/>
          <w:sz w:val="22"/>
          <w:szCs w:val="22"/>
        </w:rPr>
      </w:pPr>
    </w:p>
    <w:p w14:paraId="47F666B5" w14:textId="28F51684"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Georgia, durante 2019, se celebró una conferencia para estudiantes escolares en el Centro Administrativo de las Áreas Protegidas de Kobuleti (turbera de Ispani). Los estudiantes prepararon presentaciones centradas únicamente en los servicios que prestan los humedales.</w:t>
      </w:r>
    </w:p>
    <w:p w14:paraId="52CEFE14" w14:textId="77777777" w:rsidR="00542AE9" w:rsidRPr="006053B2" w:rsidRDefault="00542AE9" w:rsidP="006053B2">
      <w:pPr>
        <w:ind w:left="426" w:hanging="426"/>
        <w:rPr>
          <w:rFonts w:asciiTheme="majorHAnsi" w:hAnsiTheme="majorHAnsi" w:cstheme="majorHAnsi"/>
          <w:sz w:val="22"/>
          <w:szCs w:val="22"/>
        </w:rPr>
      </w:pPr>
    </w:p>
    <w:p w14:paraId="719357D1" w14:textId="77777777"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Guatemala, el Consejo Nacional de Áreas Protegidas, junto con varias ONG y socios, planea actividades para conmemorar el Día Mundial de los Humedales en todo el país, utilizando diferentes plataformas para transmitir a la población el mensaje sobre la importancia de los humedales.</w:t>
      </w:r>
    </w:p>
    <w:p w14:paraId="3C9CD1EE" w14:textId="77777777" w:rsidR="00542AE9" w:rsidRPr="006053B2" w:rsidRDefault="00542AE9" w:rsidP="006053B2">
      <w:pPr>
        <w:ind w:left="426" w:hanging="426"/>
        <w:rPr>
          <w:rFonts w:asciiTheme="majorHAnsi" w:hAnsiTheme="majorHAnsi" w:cstheme="majorHAnsi"/>
          <w:sz w:val="22"/>
          <w:szCs w:val="22"/>
        </w:rPr>
      </w:pPr>
    </w:p>
    <w:p w14:paraId="672E6B9A" w14:textId="77777777"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 xml:space="preserve">En Honduras, en las Islas de la Bahía, se celebran anualmente el Día Mundial de los Humedales y el Día Mundial de los Océanos. Tradicionalmente, se llevan a cabo actividades de concienciación acerca de la importancia de los humedales en las comunidades, escuelas y universidades, a través de charlas, reforestación, actividades de limpieza y concursos. </w:t>
      </w:r>
    </w:p>
    <w:p w14:paraId="7AE2F278" w14:textId="77777777" w:rsidR="00542AE9" w:rsidRPr="006053B2" w:rsidRDefault="00542AE9" w:rsidP="006053B2">
      <w:pPr>
        <w:ind w:left="426" w:hanging="426"/>
        <w:rPr>
          <w:rFonts w:asciiTheme="majorHAnsi" w:hAnsiTheme="majorHAnsi" w:cstheme="majorHAnsi"/>
          <w:sz w:val="22"/>
          <w:szCs w:val="22"/>
        </w:rPr>
      </w:pPr>
    </w:p>
    <w:p w14:paraId="6F7CEBA3" w14:textId="673F98FD"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 xml:space="preserve">En Hungría, el Festival del Ganso Salvaje se celebra anualmente en el lago Tata (sitio Ramsar). Suelen acudir al festival entre 7.000 y 14.000 visitantes. Las actividades incluyen presentaciones sobre los valores de los humedales, un mercado ecológico, una carrera de aves y el espectacular vuelo de miles de gansos hacia el lago al anochecer. </w:t>
      </w:r>
    </w:p>
    <w:p w14:paraId="2668CAC5" w14:textId="77777777" w:rsidR="00542AE9" w:rsidRPr="006053B2" w:rsidRDefault="00542AE9" w:rsidP="006053B2">
      <w:pPr>
        <w:ind w:left="426" w:hanging="426"/>
        <w:rPr>
          <w:rFonts w:asciiTheme="majorHAnsi" w:hAnsiTheme="majorHAnsi" w:cstheme="majorHAnsi"/>
          <w:sz w:val="22"/>
          <w:szCs w:val="22"/>
        </w:rPr>
      </w:pPr>
    </w:p>
    <w:p w14:paraId="1D37B977" w14:textId="2E8E0A77"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 xml:space="preserve">En la India, el Ministerio apoya la celebración del Día Mundial de los Humedales. En 2019, el DMH se celebró en Bhitarkanika, Odisha, y en Sur Sarovar (Keetham) en Agra, Uttar Pradesh, al año siguiente. En 2021 se celebró un acto virtual. </w:t>
      </w:r>
    </w:p>
    <w:p w14:paraId="7DD2D228" w14:textId="77777777" w:rsidR="00542AE9" w:rsidRPr="006053B2" w:rsidRDefault="00542AE9" w:rsidP="006053B2">
      <w:pPr>
        <w:ind w:left="426" w:hanging="426"/>
        <w:rPr>
          <w:rFonts w:asciiTheme="majorHAnsi" w:hAnsiTheme="majorHAnsi" w:cstheme="majorHAnsi"/>
          <w:sz w:val="22"/>
          <w:szCs w:val="22"/>
        </w:rPr>
      </w:pPr>
    </w:p>
    <w:p w14:paraId="1BD5571F" w14:textId="0DDD038C"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 xml:space="preserve">En Irán, el Día Mundial de los Humedales se celebra una ceremonia oficial junto a uno de los humedales más importantes del país con la presencia de funcionarios locales, nacionales e internacionales. Esta ceremonia se celebró en 2020 cerca del humedal de Zarivar, en la provincia de Kordestan, que fue registrado como Sitio Ramsar en 2019. Además, la Dirección </w:t>
      </w:r>
      <w:r>
        <w:rPr>
          <w:rFonts w:asciiTheme="majorHAnsi" w:hAnsiTheme="majorHAnsi"/>
          <w:sz w:val="22"/>
        </w:rPr>
        <w:lastRenderedPageBreak/>
        <w:t>General y la Oficina Provincial de Medio Ambiente y las ONG locales han celebrado otros actos locales en las provincias.</w:t>
      </w:r>
    </w:p>
    <w:p w14:paraId="627C0D36" w14:textId="77777777" w:rsidR="00542AE9" w:rsidRPr="006053B2" w:rsidRDefault="00542AE9" w:rsidP="006053B2">
      <w:pPr>
        <w:ind w:left="426" w:hanging="426"/>
        <w:rPr>
          <w:rFonts w:asciiTheme="majorHAnsi" w:hAnsiTheme="majorHAnsi" w:cstheme="majorHAnsi"/>
          <w:sz w:val="22"/>
          <w:szCs w:val="22"/>
        </w:rPr>
      </w:pPr>
    </w:p>
    <w:p w14:paraId="4C13BF5C" w14:textId="72DDB8F8"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 xml:space="preserve">En Iraq, desde 2011, el CRIMW organiza anualmente actos centrados en el tema de la Convención de cada año, con una amplia participación de diversos grupos. Durante los últimos tres años, el CRIMW ha celebrado festivales de promoción de las industrias tradicionales, además de actividades y eventos promocionales. </w:t>
      </w:r>
    </w:p>
    <w:p w14:paraId="2CA11818" w14:textId="77777777" w:rsidR="00542AE9" w:rsidRPr="006053B2" w:rsidRDefault="00542AE9" w:rsidP="006053B2">
      <w:pPr>
        <w:ind w:left="426" w:hanging="426"/>
        <w:rPr>
          <w:rFonts w:asciiTheme="majorHAnsi" w:hAnsiTheme="majorHAnsi" w:cstheme="majorHAnsi"/>
          <w:sz w:val="22"/>
          <w:szCs w:val="22"/>
        </w:rPr>
      </w:pPr>
    </w:p>
    <w:p w14:paraId="3B262B3C" w14:textId="47BF42DD"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 xml:space="preserve">En Irlanda, se creó un sitio web para informar sobre la aplicación de las medidas del Comité para los humedales irlandeses. El Community Wetlands Forum (CWF) elaboró un Manual de los humedales comunitarios como parte de un estudio a pequeña escala financiado por la Agencia de Protección Ambiental en el marco de su mandato del Comité de Humedales de Irlanda para la Convención. </w:t>
      </w:r>
    </w:p>
    <w:p w14:paraId="6062432A" w14:textId="1CE1CC18" w:rsidR="00542AE9" w:rsidRPr="006053B2" w:rsidRDefault="00542AE9" w:rsidP="006053B2">
      <w:pPr>
        <w:ind w:left="426" w:hanging="426"/>
        <w:rPr>
          <w:rFonts w:asciiTheme="majorHAnsi" w:hAnsiTheme="majorHAnsi" w:cstheme="majorHAnsi"/>
          <w:sz w:val="22"/>
          <w:szCs w:val="22"/>
        </w:rPr>
      </w:pPr>
    </w:p>
    <w:p w14:paraId="34B79A38" w14:textId="6E2EADF0"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Jamaica, Birdlife Jamaica, NEPA y Birds Caribbean se coordinaron con los Centros de Aves Acuáticas del Caribe durante el Día Mundial de los Humedales 2017. El Institute of Jamaica dirigió actividades tales como divulgación en las escuelas, visitas y presentaciones en las comunidades y escuelas. También se utilizaron las redes sociales para lograr una mayor difusión.</w:t>
      </w:r>
    </w:p>
    <w:p w14:paraId="02A428C5" w14:textId="77777777" w:rsidR="00542AE9" w:rsidRPr="006053B2" w:rsidRDefault="00542AE9" w:rsidP="006053B2">
      <w:pPr>
        <w:ind w:left="426" w:hanging="426"/>
        <w:rPr>
          <w:rFonts w:asciiTheme="majorHAnsi" w:hAnsiTheme="majorHAnsi" w:cstheme="majorHAnsi"/>
          <w:sz w:val="22"/>
          <w:szCs w:val="22"/>
        </w:rPr>
      </w:pPr>
    </w:p>
    <w:p w14:paraId="6EBCB98C" w14:textId="3B86B483"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Japón se celebra una conferencia de enlace entre los ministerios y organismos pertinentes para la Convención de Ramsar, con el fin de compartir información e intercambiar opiniones periódicamente entre el Ministerio de Medio Ambiente, el Ministerio de Agricultura, Silvicultura y Pesca, las oficinas del Ministerio de Tierras, Infraestructura, Transporte y Turismo y las ONG.</w:t>
      </w:r>
    </w:p>
    <w:p w14:paraId="5927219A" w14:textId="77777777" w:rsidR="00542AE9" w:rsidRPr="006053B2" w:rsidRDefault="00542AE9" w:rsidP="006053B2">
      <w:pPr>
        <w:ind w:left="426" w:hanging="426"/>
        <w:rPr>
          <w:rFonts w:asciiTheme="majorHAnsi" w:hAnsiTheme="majorHAnsi" w:cstheme="majorHAnsi"/>
          <w:sz w:val="22"/>
          <w:szCs w:val="22"/>
        </w:rPr>
      </w:pPr>
    </w:p>
    <w:p w14:paraId="4D40F786" w14:textId="77777777"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Kenya, el Día Mundial del Medio Ambiente se celebra cada año bajo la dirección del Gobierno, en colaboración con comunidades locales, ONG, organizaciones comunitarias y organizaciones de la sociedad civil. Se llevan a cabo varias actividades de sensibilización sobre la importancia de los humedales. Los actos más recientes se han celebrado en el pantano de Enapuyapui, en el complejo del bosque de Mau, en el condado de Nakuru, y en el estuario de Sabaki, en la costa, en el condado de Kilifi.</w:t>
      </w:r>
    </w:p>
    <w:p w14:paraId="50649CB5" w14:textId="77777777" w:rsidR="00542AE9" w:rsidRPr="006053B2" w:rsidRDefault="00542AE9" w:rsidP="006053B2">
      <w:pPr>
        <w:ind w:left="426" w:hanging="426"/>
        <w:rPr>
          <w:rFonts w:asciiTheme="majorHAnsi" w:hAnsiTheme="majorHAnsi" w:cstheme="majorHAnsi"/>
          <w:sz w:val="22"/>
          <w:szCs w:val="22"/>
        </w:rPr>
      </w:pPr>
    </w:p>
    <w:p w14:paraId="3EDC9B1A" w14:textId="39C7D974"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Kuwait, el Gobierno y ONG organizan campañas de limpieza en diferentes lugares. Las series de televisión educativas ayudan a destacar los sitios costeros de Kuwait.</w:t>
      </w:r>
    </w:p>
    <w:p w14:paraId="30371BFF" w14:textId="77777777" w:rsidR="00542AE9" w:rsidRPr="006053B2" w:rsidRDefault="00542AE9" w:rsidP="006053B2">
      <w:pPr>
        <w:ind w:left="426" w:hanging="426"/>
        <w:rPr>
          <w:rFonts w:asciiTheme="majorHAnsi" w:hAnsiTheme="majorHAnsi" w:cstheme="majorHAnsi"/>
          <w:sz w:val="22"/>
          <w:szCs w:val="22"/>
        </w:rPr>
      </w:pPr>
    </w:p>
    <w:p w14:paraId="4D39E086" w14:textId="4258FB7E"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Letonia, la mayor parte de las actividades de la Convención fueron organizadas por la Agencia de Conservación de la Naturaleza y el Museo de Historia Natural de Letonia. En todo el país se han llevado a cabo diversos tipos de presentaciones, conferencias, excursiones a pie, paseos en bicicleta, tardes verdes, lecciones creativas, talleres, festivales de escultura con cañas, reportajes televisivos y juegos interactivos, sobre todo en escuelas, museos, bibliotecas y municipios en torno a los humedales de importancia internacional.</w:t>
      </w:r>
    </w:p>
    <w:p w14:paraId="40675B2F" w14:textId="77777777" w:rsidR="00542AE9" w:rsidRPr="006053B2" w:rsidRDefault="00542AE9" w:rsidP="006053B2">
      <w:pPr>
        <w:ind w:left="426" w:hanging="426"/>
        <w:rPr>
          <w:rFonts w:asciiTheme="majorHAnsi" w:hAnsiTheme="majorHAnsi" w:cstheme="majorHAnsi"/>
          <w:sz w:val="22"/>
          <w:szCs w:val="22"/>
        </w:rPr>
      </w:pPr>
    </w:p>
    <w:p w14:paraId="5821E022" w14:textId="6AB4F21A"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Malasia, el programa de CECoP se ha llevado a cabo de forma continuada en escuelas y pueblos durante los últimos tres años. También se ha desarrollado un programa comunitario de restauración y sensibilización sobre los manglares.</w:t>
      </w:r>
    </w:p>
    <w:p w14:paraId="26A04BD3" w14:textId="77777777" w:rsidR="00542AE9" w:rsidRPr="006053B2" w:rsidRDefault="00542AE9" w:rsidP="006053B2">
      <w:pPr>
        <w:ind w:left="426" w:hanging="426"/>
        <w:rPr>
          <w:rFonts w:asciiTheme="majorHAnsi" w:hAnsiTheme="majorHAnsi" w:cstheme="majorHAnsi"/>
          <w:sz w:val="22"/>
          <w:szCs w:val="22"/>
        </w:rPr>
      </w:pPr>
    </w:p>
    <w:p w14:paraId="6E899E76" w14:textId="3AB8CDC6"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Marruecos, el Día Mundial de los Humedales se celebra anualmente en colaboración con los asociados pertinentes. Se celebran jornadas sobre aves acuáticas y humedales en colaboración con el Grupo de investigación para la protección de las aves de Marruecos. También se organizan otros actos a nivel regional con las universidades locales sobre el tema de los humedales.</w:t>
      </w:r>
    </w:p>
    <w:p w14:paraId="49917D52" w14:textId="0E15BD82" w:rsidR="00542AE9" w:rsidRPr="006053B2" w:rsidRDefault="00542AE9" w:rsidP="006053B2">
      <w:pPr>
        <w:ind w:left="426" w:hanging="426"/>
        <w:rPr>
          <w:rFonts w:asciiTheme="majorHAnsi" w:hAnsiTheme="majorHAnsi" w:cstheme="majorHAnsi"/>
          <w:sz w:val="22"/>
          <w:szCs w:val="22"/>
        </w:rPr>
      </w:pPr>
    </w:p>
    <w:p w14:paraId="6D819D56" w14:textId="77777777"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Perú, a nivel local, se llevan a cabo campañas de divulgación sobre la importancia y los valores de los humedales.</w:t>
      </w:r>
    </w:p>
    <w:p w14:paraId="207DD153" w14:textId="77777777" w:rsidR="00542AE9" w:rsidRPr="006053B2" w:rsidRDefault="00542AE9" w:rsidP="006053B2">
      <w:pPr>
        <w:ind w:left="426" w:hanging="426"/>
        <w:rPr>
          <w:rFonts w:asciiTheme="majorHAnsi" w:hAnsiTheme="majorHAnsi" w:cstheme="majorHAnsi"/>
          <w:sz w:val="22"/>
          <w:szCs w:val="22"/>
        </w:rPr>
      </w:pPr>
    </w:p>
    <w:p w14:paraId="6C5FFA64" w14:textId="79DF7EAE" w:rsidR="00542AE9" w:rsidRPr="000C32A0"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Portugal, el Día Mundial de los Humedales se ha celebrado a mediante un conjunto de actividades diversas (por ejemplo, talleres, visitas guiadas y actividades educativas) y promovidas por varias entidades (el gobierno, organizaciones no gubernamentales, universidades, municipios, entre otros). El programa consta de actos organizados tanto por el Gobierno como por organizaciones no gubernamentales.</w:t>
      </w:r>
    </w:p>
    <w:p w14:paraId="0E0BDD50" w14:textId="284FBB0C" w:rsidR="000C32A0" w:rsidRDefault="000C32A0" w:rsidP="000C32A0">
      <w:pPr>
        <w:rPr>
          <w:rFonts w:asciiTheme="majorHAnsi" w:hAnsiTheme="majorHAnsi"/>
          <w:sz w:val="22"/>
        </w:rPr>
      </w:pPr>
    </w:p>
    <w:p w14:paraId="781A3FA9" w14:textId="77777777" w:rsidR="000C32A0" w:rsidRPr="006053B2" w:rsidRDefault="000C32A0" w:rsidP="000C32A0">
      <w:pPr>
        <w:numPr>
          <w:ilvl w:val="0"/>
          <w:numId w:val="1"/>
        </w:numPr>
        <w:ind w:left="426" w:hanging="426"/>
        <w:rPr>
          <w:rFonts w:asciiTheme="majorHAnsi" w:hAnsiTheme="majorHAnsi" w:cstheme="majorHAnsi"/>
          <w:sz w:val="22"/>
          <w:szCs w:val="22"/>
        </w:rPr>
      </w:pPr>
      <w:r>
        <w:rPr>
          <w:rFonts w:asciiTheme="majorHAnsi" w:hAnsiTheme="majorHAnsi"/>
          <w:sz w:val="22"/>
        </w:rPr>
        <w:t xml:space="preserve">En el Reino Unido de Gran Bretaña e Irlanda del Norte, el Alderney Wildlife Trust, en colaboración con Visit Alderney, ha llevado a cabo actividades de sensibilización del público, como proyectos de investigación de ciencia ciudadana y programas educativos. Los visitantes y los habitantes de la isla pueden realizar caminatas, excursiones y paseos en barco para ayudar a financiar la conservación. </w:t>
      </w:r>
    </w:p>
    <w:p w14:paraId="0C21E901" w14:textId="77777777" w:rsidR="000C32A0" w:rsidRPr="006053B2" w:rsidRDefault="000C32A0" w:rsidP="000C32A0">
      <w:pPr>
        <w:ind w:left="426" w:hanging="426"/>
        <w:rPr>
          <w:rFonts w:asciiTheme="majorHAnsi" w:hAnsiTheme="majorHAnsi" w:cstheme="majorHAnsi"/>
          <w:sz w:val="22"/>
          <w:szCs w:val="22"/>
        </w:rPr>
      </w:pPr>
    </w:p>
    <w:p w14:paraId="0BF493D3" w14:textId="0AB9A499" w:rsidR="000C32A0" w:rsidRPr="000C32A0" w:rsidRDefault="000C32A0" w:rsidP="000C32A0">
      <w:pPr>
        <w:numPr>
          <w:ilvl w:val="0"/>
          <w:numId w:val="1"/>
        </w:numPr>
        <w:ind w:left="426" w:hanging="426"/>
        <w:rPr>
          <w:rFonts w:asciiTheme="majorHAnsi" w:hAnsiTheme="majorHAnsi" w:cstheme="majorHAnsi"/>
          <w:sz w:val="22"/>
          <w:szCs w:val="22"/>
        </w:rPr>
      </w:pPr>
      <w:r>
        <w:rPr>
          <w:rFonts w:asciiTheme="majorHAnsi" w:hAnsiTheme="majorHAnsi"/>
          <w:sz w:val="22"/>
        </w:rPr>
        <w:t>En la República Centroafricana, y con el apoyo de WWF, se realizaron emisiones en la radio y la televisión nacionales, así como se organizaron debates públicos sobre las aves migratorias. Se distribuyen banderolas y camisetas a los participantes y a la prensa.</w:t>
      </w:r>
    </w:p>
    <w:p w14:paraId="0EEC2B2C" w14:textId="77777777" w:rsidR="000C32A0" w:rsidRPr="000C32A0" w:rsidRDefault="000C32A0" w:rsidP="000C32A0">
      <w:pPr>
        <w:rPr>
          <w:rFonts w:asciiTheme="majorHAnsi" w:hAnsiTheme="majorHAnsi" w:cstheme="majorHAnsi"/>
          <w:sz w:val="22"/>
          <w:szCs w:val="22"/>
        </w:rPr>
      </w:pPr>
    </w:p>
    <w:p w14:paraId="3E443858" w14:textId="77777777" w:rsidR="000C32A0" w:rsidRPr="006053B2" w:rsidRDefault="000C32A0" w:rsidP="000C32A0">
      <w:pPr>
        <w:numPr>
          <w:ilvl w:val="0"/>
          <w:numId w:val="1"/>
        </w:numPr>
        <w:ind w:left="426" w:hanging="426"/>
        <w:rPr>
          <w:rFonts w:asciiTheme="majorHAnsi" w:hAnsiTheme="majorHAnsi" w:cstheme="majorHAnsi"/>
          <w:sz w:val="22"/>
          <w:szCs w:val="22"/>
        </w:rPr>
      </w:pPr>
      <w:r>
        <w:rPr>
          <w:rFonts w:asciiTheme="majorHAnsi" w:hAnsiTheme="majorHAnsi"/>
          <w:sz w:val="22"/>
        </w:rPr>
        <w:t>En la República Dominicana, el Ministerio de Medio Ambiente y las ONG colaboran para apoyar a las instituciones educativas impartiendo charlas en escuelas, colegios y universidades de las localidades donde se celebran los actos de conmemoración.</w:t>
      </w:r>
    </w:p>
    <w:p w14:paraId="3915CDC8" w14:textId="77777777" w:rsidR="00542AE9" w:rsidRPr="006053B2" w:rsidRDefault="00542AE9" w:rsidP="006053B2">
      <w:pPr>
        <w:ind w:left="426" w:hanging="426"/>
        <w:rPr>
          <w:rFonts w:asciiTheme="majorHAnsi" w:hAnsiTheme="majorHAnsi" w:cstheme="majorHAnsi"/>
          <w:sz w:val="22"/>
          <w:szCs w:val="22"/>
        </w:rPr>
      </w:pPr>
    </w:p>
    <w:p w14:paraId="14844A73" w14:textId="77777777"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Rwanda, el Día Mundial de los Humedales se celebró con una visita guiada de alto nivel a los humedales de Kigali.</w:t>
      </w:r>
    </w:p>
    <w:p w14:paraId="3228DA9F" w14:textId="77777777" w:rsidR="00542AE9" w:rsidRPr="006053B2" w:rsidRDefault="00542AE9" w:rsidP="006053B2">
      <w:pPr>
        <w:ind w:left="426" w:hanging="426"/>
        <w:rPr>
          <w:rFonts w:asciiTheme="majorHAnsi" w:hAnsiTheme="majorHAnsi" w:cstheme="majorHAnsi"/>
          <w:sz w:val="22"/>
          <w:szCs w:val="22"/>
        </w:rPr>
      </w:pPr>
    </w:p>
    <w:p w14:paraId="6457CC1E" w14:textId="77777777"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Santa Lucía, la División Forestal celebra y promueve el Día Mundial de los Humedales con iniciativas de plantación de árboles y visitas escolares a los humedales.</w:t>
      </w:r>
    </w:p>
    <w:p w14:paraId="173E8A3F" w14:textId="77777777" w:rsidR="00542AE9" w:rsidRPr="006053B2" w:rsidRDefault="00542AE9" w:rsidP="006053B2">
      <w:pPr>
        <w:ind w:left="426" w:hanging="426"/>
        <w:rPr>
          <w:rFonts w:asciiTheme="majorHAnsi" w:hAnsiTheme="majorHAnsi" w:cstheme="majorHAnsi"/>
          <w:sz w:val="22"/>
          <w:szCs w:val="22"/>
        </w:rPr>
      </w:pPr>
    </w:p>
    <w:p w14:paraId="554A4337" w14:textId="203A67F2" w:rsidR="00542AE9" w:rsidRPr="000C32A0"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 xml:space="preserve">En Sudáfrica, se visitaron 33 escuelas primarias de los municipios de los distritos de Vhembe y Waterberg una semana antes de la conmemoración del DMH 2020 para sensibilizar sobre las campañas. </w:t>
      </w:r>
    </w:p>
    <w:p w14:paraId="7BB28348" w14:textId="77777777" w:rsidR="000C32A0" w:rsidRPr="000C32A0" w:rsidRDefault="000C32A0" w:rsidP="000C32A0">
      <w:pPr>
        <w:rPr>
          <w:rFonts w:asciiTheme="majorHAnsi" w:hAnsiTheme="majorHAnsi" w:cstheme="majorHAnsi"/>
          <w:sz w:val="22"/>
          <w:szCs w:val="22"/>
        </w:rPr>
      </w:pPr>
    </w:p>
    <w:p w14:paraId="78C4448B" w14:textId="721FABD4" w:rsidR="000C32A0" w:rsidRPr="000C32A0" w:rsidRDefault="000C32A0" w:rsidP="000C32A0">
      <w:pPr>
        <w:numPr>
          <w:ilvl w:val="0"/>
          <w:numId w:val="1"/>
        </w:numPr>
        <w:ind w:left="426" w:hanging="426"/>
        <w:rPr>
          <w:rFonts w:asciiTheme="majorHAnsi" w:hAnsiTheme="majorHAnsi" w:cstheme="majorHAnsi"/>
          <w:sz w:val="22"/>
          <w:szCs w:val="22"/>
        </w:rPr>
      </w:pPr>
      <w:r>
        <w:rPr>
          <w:rFonts w:asciiTheme="majorHAnsi" w:hAnsiTheme="majorHAnsi"/>
          <w:sz w:val="22"/>
        </w:rPr>
        <w:t>En Suecia se han celebrado periódicamente actos sobre los humedales en la misma semana del Día Mundial de los Humedales o el mismo día, sobre temas como las turberas, la restauración y los gases de efecto invernadero. También se incluyó una amplia campaña de CECoP en el programa de restauración de humedales.</w:t>
      </w:r>
    </w:p>
    <w:p w14:paraId="07AC4758" w14:textId="77777777" w:rsidR="00542AE9" w:rsidRPr="006053B2" w:rsidRDefault="00542AE9" w:rsidP="006053B2">
      <w:pPr>
        <w:ind w:left="426" w:hanging="426"/>
        <w:rPr>
          <w:rFonts w:asciiTheme="majorHAnsi" w:hAnsiTheme="majorHAnsi" w:cstheme="majorHAnsi"/>
          <w:sz w:val="22"/>
          <w:szCs w:val="22"/>
        </w:rPr>
      </w:pPr>
    </w:p>
    <w:p w14:paraId="7739A945" w14:textId="68BF8127" w:rsidR="00542AE9" w:rsidRPr="000C32A0"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Suiza, las ONG, la comunidad científica y las autoridades nacionales y subnacionales organizan el “Festival por la Naturaleza”, durante el cual se presentan numerosas actividades relacionadas con la diversidad biológica. El Festival se celebra anualmente en mayo. El festival suele incluir actividades específicamente relacionadas con la Convención, aunque su objetivo es promover principalmente la concienciación sobre la biodiversidad.</w:t>
      </w:r>
    </w:p>
    <w:p w14:paraId="428EB5B9" w14:textId="77777777" w:rsidR="000C32A0" w:rsidRPr="006053B2" w:rsidRDefault="000C32A0" w:rsidP="000C32A0">
      <w:pPr>
        <w:ind w:left="426" w:hanging="426"/>
        <w:rPr>
          <w:rFonts w:asciiTheme="majorHAnsi" w:hAnsiTheme="majorHAnsi" w:cstheme="majorHAnsi"/>
          <w:sz w:val="22"/>
          <w:szCs w:val="22"/>
        </w:rPr>
      </w:pPr>
    </w:p>
    <w:p w14:paraId="15CA978D" w14:textId="21397118" w:rsidR="000C32A0" w:rsidRPr="000C32A0" w:rsidRDefault="000C32A0" w:rsidP="000C32A0">
      <w:pPr>
        <w:numPr>
          <w:ilvl w:val="0"/>
          <w:numId w:val="1"/>
        </w:numPr>
        <w:ind w:left="426" w:hanging="426"/>
        <w:rPr>
          <w:rFonts w:asciiTheme="majorHAnsi" w:hAnsiTheme="majorHAnsi" w:cstheme="majorHAnsi"/>
          <w:sz w:val="22"/>
          <w:szCs w:val="22"/>
        </w:rPr>
      </w:pPr>
      <w:r>
        <w:rPr>
          <w:rFonts w:asciiTheme="majorHAnsi" w:hAnsiTheme="majorHAnsi"/>
          <w:sz w:val="22"/>
        </w:rPr>
        <w:t xml:space="preserve">En Suriname, el coordinador de CECoP visita las escuelas para informar a los escolares sobre la importancia de los humedales para las personas. También se ofrece información sobre las especies silvestres y los beneficios/servicios de los ecosistemas que proporcionan los humedales. </w:t>
      </w:r>
    </w:p>
    <w:p w14:paraId="7A1FC602" w14:textId="77777777" w:rsidR="00542AE9" w:rsidRPr="006053B2" w:rsidRDefault="00542AE9" w:rsidP="006053B2">
      <w:pPr>
        <w:ind w:left="426" w:hanging="426"/>
        <w:rPr>
          <w:rFonts w:asciiTheme="majorHAnsi" w:hAnsiTheme="majorHAnsi" w:cstheme="majorHAnsi"/>
          <w:sz w:val="22"/>
          <w:szCs w:val="22"/>
        </w:rPr>
      </w:pPr>
    </w:p>
    <w:p w14:paraId="2FFC2401" w14:textId="19879BCD"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Tailandia, la Oficina de Recursos Naturales y Política y Planificación Ambiental ha llevado a cabo actividades sobre el tema “Humedales y biodiversidad” en la provincia de Samut Prakan para 300 participantes que representaban a organizaciones gubernamentales y no gubernamentales, organizaciones administrativas locales, instituciones educativas, el sector privado y el público en general. Cada año, varias organizaciones, como la Organización del Jardín Botánico, el Instituto de Investigación Botánica Walairukhavej de la Universidad de Mahasarakham y el Centro RECOFTC, organizan también actividades relacionadas, así como las visitas al Parque Científico Phrachomklao Na Wa Ko Prachuap Khiri Khan.</w:t>
      </w:r>
    </w:p>
    <w:p w14:paraId="07CAD513" w14:textId="6A9D9073" w:rsidR="00542AE9" w:rsidRPr="006053B2" w:rsidRDefault="00542AE9" w:rsidP="006053B2">
      <w:pPr>
        <w:ind w:left="426" w:hanging="426"/>
        <w:rPr>
          <w:rFonts w:asciiTheme="majorHAnsi" w:hAnsiTheme="majorHAnsi" w:cstheme="majorHAnsi"/>
          <w:sz w:val="22"/>
          <w:szCs w:val="22"/>
        </w:rPr>
      </w:pPr>
    </w:p>
    <w:p w14:paraId="0B5CDE19" w14:textId="096379A5" w:rsidR="00542AE9" w:rsidRPr="006053B2" w:rsidRDefault="00542AE9" w:rsidP="00271BBA">
      <w:pPr>
        <w:numPr>
          <w:ilvl w:val="0"/>
          <w:numId w:val="1"/>
        </w:numPr>
        <w:ind w:left="426" w:hanging="426"/>
        <w:rPr>
          <w:rFonts w:asciiTheme="majorHAnsi" w:hAnsiTheme="majorHAnsi" w:cstheme="majorHAnsi"/>
          <w:sz w:val="22"/>
          <w:szCs w:val="22"/>
        </w:rPr>
      </w:pPr>
      <w:r>
        <w:rPr>
          <w:rFonts w:asciiTheme="majorHAnsi" w:hAnsiTheme="majorHAnsi"/>
          <w:sz w:val="22"/>
        </w:rPr>
        <w:lastRenderedPageBreak/>
        <w:t xml:space="preserve">En </w:t>
      </w:r>
      <w:bookmarkStart w:id="2" w:name="_GoBack"/>
      <w:r w:rsidR="00271BBA" w:rsidRPr="00271BBA">
        <w:rPr>
          <w:rFonts w:asciiTheme="majorHAnsi" w:hAnsiTheme="majorHAnsi"/>
          <w:sz w:val="22"/>
        </w:rPr>
        <w:t>Türkiye</w:t>
      </w:r>
      <w:bookmarkEnd w:id="2"/>
      <w:r>
        <w:rPr>
          <w:rFonts w:asciiTheme="majorHAnsi" w:hAnsiTheme="majorHAnsi"/>
          <w:sz w:val="22"/>
        </w:rPr>
        <w:t>, durante 2019 y 2020, se diseñó una campaña publicitaria de una marca de detergentes para lavavajillas con el apoyo del Ministerio. La finalidad de la campaña era conservar el agua y los humedales minimizando el uso de ambos, y se desarrolló en los sitios Ramsar lago Burdur y el lago Kuyucuk.</w:t>
      </w:r>
    </w:p>
    <w:p w14:paraId="7D4E2956" w14:textId="5549AA34" w:rsidR="00542AE9" w:rsidRPr="006053B2" w:rsidRDefault="00542AE9" w:rsidP="006053B2">
      <w:pPr>
        <w:ind w:left="426" w:hanging="426"/>
        <w:rPr>
          <w:rFonts w:asciiTheme="majorHAnsi" w:hAnsiTheme="majorHAnsi" w:cstheme="majorHAnsi"/>
          <w:sz w:val="22"/>
          <w:szCs w:val="22"/>
        </w:rPr>
      </w:pPr>
    </w:p>
    <w:p w14:paraId="3A94BD22" w14:textId="3E55992F" w:rsidR="00542AE9" w:rsidRPr="006053B2" w:rsidRDefault="00542AE9" w:rsidP="006053B2">
      <w:pPr>
        <w:numPr>
          <w:ilvl w:val="0"/>
          <w:numId w:val="1"/>
        </w:numPr>
        <w:ind w:left="426" w:hanging="426"/>
        <w:rPr>
          <w:rFonts w:asciiTheme="majorHAnsi" w:hAnsiTheme="majorHAnsi" w:cstheme="majorHAnsi"/>
          <w:sz w:val="22"/>
          <w:szCs w:val="22"/>
        </w:rPr>
      </w:pPr>
      <w:r>
        <w:rPr>
          <w:rFonts w:asciiTheme="majorHAnsi" w:hAnsiTheme="majorHAnsi"/>
          <w:sz w:val="22"/>
        </w:rPr>
        <w:t>En Ucrania, las administraciones de las áreas protegidas organizan periódicamente iniciativas de educación ecológica destinadas a sensibilizar sobre los valores de la naturaleza y los humedales, al tiempo que implican a la población local y a los visitantes en su conservación. En el país, se celebran el Día de las Aves, el Día del solsticio de verano y el Día del Pescador. Algunas regiones celebran sus propios festivales, como el Día del Ambiente Marino, el Día del Dniéster y el Día de Dnipro.</w:t>
      </w:r>
    </w:p>
    <w:p w14:paraId="10BA76AF" w14:textId="02DA5684" w:rsidR="00C84870" w:rsidRPr="006053B2" w:rsidRDefault="00542AE9" w:rsidP="00D7748F">
      <w:pPr>
        <w:numPr>
          <w:ilvl w:val="0"/>
          <w:numId w:val="1"/>
        </w:numPr>
        <w:ind w:left="426" w:hanging="426"/>
        <w:rPr>
          <w:rFonts w:asciiTheme="majorHAnsi" w:hAnsiTheme="majorHAnsi" w:cstheme="majorHAnsi"/>
          <w:b/>
          <w:sz w:val="22"/>
          <w:szCs w:val="22"/>
        </w:rPr>
      </w:pPr>
      <w:r>
        <w:rPr>
          <w:rFonts w:asciiTheme="majorHAnsi" w:hAnsiTheme="majorHAnsi"/>
          <w:sz w:val="22"/>
        </w:rPr>
        <w:br w:type="page"/>
      </w:r>
    </w:p>
    <w:p w14:paraId="4A3754F1" w14:textId="758F2CE6" w:rsidR="00C64326" w:rsidRPr="00EE3868" w:rsidRDefault="00E32C50" w:rsidP="006053B2">
      <w:pPr>
        <w:rPr>
          <w:rFonts w:asciiTheme="majorHAnsi" w:hAnsiTheme="majorHAnsi" w:cstheme="majorHAnsi"/>
          <w:b/>
        </w:rPr>
      </w:pPr>
      <w:r>
        <w:rPr>
          <w:rFonts w:asciiTheme="majorHAnsi" w:hAnsiTheme="majorHAnsi"/>
          <w:b/>
        </w:rPr>
        <w:lastRenderedPageBreak/>
        <w:t>Anexo B</w:t>
      </w:r>
    </w:p>
    <w:p w14:paraId="6B4D01A2" w14:textId="7281D70C" w:rsidR="00C84870" w:rsidRPr="00EE3868" w:rsidRDefault="00C84870" w:rsidP="006053B2">
      <w:pPr>
        <w:rPr>
          <w:rFonts w:asciiTheme="majorHAnsi" w:hAnsiTheme="majorHAnsi" w:cstheme="majorHAnsi"/>
          <w:b/>
        </w:rPr>
      </w:pPr>
      <w:r>
        <w:rPr>
          <w:rFonts w:asciiTheme="majorHAnsi" w:hAnsiTheme="majorHAnsi"/>
          <w:b/>
        </w:rPr>
        <w:t xml:space="preserve">Breve compilación de los resultados de la encuesta sobre CECoP de noviembre de 2019 </w:t>
      </w:r>
    </w:p>
    <w:p w14:paraId="04449C0A" w14:textId="4166A9EC" w:rsidR="00C84870" w:rsidRDefault="00C84870" w:rsidP="006053B2">
      <w:pPr>
        <w:rPr>
          <w:rFonts w:asciiTheme="majorHAnsi" w:hAnsiTheme="majorHAnsi" w:cstheme="majorHAnsi"/>
          <w:b/>
          <w:sz w:val="22"/>
          <w:szCs w:val="22"/>
        </w:rPr>
      </w:pPr>
    </w:p>
    <w:p w14:paraId="1A91A9B0" w14:textId="77777777" w:rsidR="00EE599F" w:rsidRPr="006053B2" w:rsidRDefault="00EE599F" w:rsidP="006053B2">
      <w:pPr>
        <w:rPr>
          <w:rFonts w:asciiTheme="majorHAnsi" w:hAnsiTheme="majorHAnsi" w:cstheme="majorHAnsi"/>
          <w:b/>
          <w:sz w:val="22"/>
          <w:szCs w:val="22"/>
        </w:rPr>
      </w:pPr>
    </w:p>
    <w:p w14:paraId="5722EC98" w14:textId="7A23DEA4" w:rsidR="00C84870" w:rsidRPr="006053B2" w:rsidRDefault="00C84870" w:rsidP="006053B2">
      <w:pPr>
        <w:rPr>
          <w:rFonts w:asciiTheme="majorHAnsi" w:hAnsiTheme="majorHAnsi" w:cstheme="majorHAnsi"/>
          <w:i/>
          <w:sz w:val="22"/>
          <w:szCs w:val="22"/>
        </w:rPr>
      </w:pPr>
      <w:r>
        <w:rPr>
          <w:rFonts w:asciiTheme="majorHAnsi" w:hAnsiTheme="majorHAnsi"/>
          <w:i/>
          <w:sz w:val="22"/>
        </w:rPr>
        <w:t>La encuesta</w:t>
      </w:r>
    </w:p>
    <w:p w14:paraId="71DB6F90" w14:textId="77777777" w:rsidR="00C84870" w:rsidRPr="006053B2" w:rsidRDefault="00C84870" w:rsidP="006053B2">
      <w:pPr>
        <w:rPr>
          <w:rFonts w:asciiTheme="majorHAnsi" w:hAnsiTheme="majorHAnsi" w:cstheme="majorHAnsi"/>
          <w:sz w:val="22"/>
          <w:szCs w:val="22"/>
        </w:rPr>
      </w:pPr>
      <w:r>
        <w:rPr>
          <w:rFonts w:asciiTheme="majorHAnsi" w:hAnsiTheme="majorHAnsi"/>
          <w:sz w:val="22"/>
        </w:rPr>
        <w:t xml:space="preserve">En octubre de 2019, el Grupo de supervisión de las actividades de CECoP llevó a cabo una encuesta sobre las reflexiones y experiencias de los coordinadores nacionales, coordinadores gubernamentales de CECoP y coordinadores no gubernamentales de CECoP relacionadas con un nuevo enfoque de CECoP basado en las recomendaciones del Grupo de supervisión de las actividades de CECoP para 2015-2018. Había preguntas abiertas que se respondían libremente y también preguntas de selección múltiple que se respondían eligiendo entre las opciones sugeridas, sobre todo para que los encuestados indicaran hasta qué punto aceptaban las diferentes afirmaciones o eligieran la más importante entre las opciones sugeridas. </w:t>
      </w:r>
    </w:p>
    <w:p w14:paraId="0A53DA2E" w14:textId="77777777" w:rsidR="00C84870" w:rsidRPr="006053B2" w:rsidRDefault="00C84870" w:rsidP="006053B2">
      <w:pPr>
        <w:rPr>
          <w:rFonts w:asciiTheme="majorHAnsi" w:hAnsiTheme="majorHAnsi" w:cstheme="majorHAnsi"/>
          <w:sz w:val="22"/>
          <w:szCs w:val="22"/>
        </w:rPr>
      </w:pPr>
    </w:p>
    <w:p w14:paraId="4DE5DBB8" w14:textId="77777777" w:rsidR="00C84870" w:rsidRPr="006053B2" w:rsidRDefault="00C84870" w:rsidP="006053B2">
      <w:pPr>
        <w:rPr>
          <w:rFonts w:asciiTheme="majorHAnsi" w:hAnsiTheme="majorHAnsi" w:cstheme="majorHAnsi"/>
          <w:sz w:val="22"/>
          <w:szCs w:val="22"/>
        </w:rPr>
      </w:pPr>
      <w:r>
        <w:rPr>
          <w:rFonts w:asciiTheme="majorHAnsi" w:hAnsiTheme="majorHAnsi"/>
          <w:sz w:val="22"/>
        </w:rPr>
        <w:t xml:space="preserve">En las preguntas en las que los encuestados elegían hasta qué punto aceptaban alguna afirmación en una escala de 1 a 5, en la que 5 significaba que algo sería “muy útil”, “muy probable”, etc., y 1 significaba que algo no sería en absoluto útil o probable, también tenían la oportunidad de responder “no lo sé”. Para este tipo de preguntas se ha podido calcular promedios ponderados. A continuación, se describen según el promedio ponderado los niveles de apoyo que los encuestados formularon en respuesta a las sugerencias. </w:t>
      </w:r>
    </w:p>
    <w:p w14:paraId="062B06DA" w14:textId="77777777" w:rsidR="00C84870" w:rsidRPr="006053B2" w:rsidRDefault="00C84870" w:rsidP="006053B2">
      <w:pPr>
        <w:rPr>
          <w:rFonts w:asciiTheme="majorHAnsi" w:hAnsiTheme="majorHAnsi" w:cstheme="majorHAnsi"/>
          <w:sz w:val="22"/>
          <w:szCs w:val="22"/>
        </w:rPr>
      </w:pPr>
    </w:p>
    <w:p w14:paraId="3BB286FA" w14:textId="77777777" w:rsidR="00C84870" w:rsidRPr="006053B2" w:rsidRDefault="00C84870" w:rsidP="006053B2">
      <w:pPr>
        <w:rPr>
          <w:rFonts w:asciiTheme="majorHAnsi" w:hAnsiTheme="majorHAnsi" w:cstheme="majorHAnsi"/>
          <w:sz w:val="22"/>
          <w:szCs w:val="22"/>
        </w:rPr>
      </w:pPr>
      <w:r>
        <w:rPr>
          <w:rFonts w:asciiTheme="majorHAnsi" w:hAnsiTheme="majorHAnsi"/>
          <w:sz w:val="22"/>
        </w:rPr>
        <w:t xml:space="preserve">Se considera que un promedio de 3,0 - 3,4 es una pequeña mayoría; 3,5 - 3,9 es una clara mayoría; 4,0 - 4,4 es una gran mayoría; y 4,5 - 5,0 es una amplia mayoría. </w:t>
      </w:r>
    </w:p>
    <w:p w14:paraId="4AF0FDFC" w14:textId="77777777" w:rsidR="00C84870" w:rsidRPr="006053B2" w:rsidRDefault="00C84870" w:rsidP="006053B2">
      <w:pPr>
        <w:rPr>
          <w:rFonts w:asciiTheme="majorHAnsi" w:hAnsiTheme="majorHAnsi" w:cstheme="majorHAnsi"/>
          <w:sz w:val="22"/>
          <w:szCs w:val="22"/>
        </w:rPr>
      </w:pPr>
    </w:p>
    <w:p w14:paraId="1A4C8C3C" w14:textId="77777777" w:rsidR="00C84870" w:rsidRPr="006053B2" w:rsidRDefault="00C84870" w:rsidP="006053B2">
      <w:pPr>
        <w:rPr>
          <w:rFonts w:asciiTheme="majorHAnsi" w:hAnsiTheme="majorHAnsi" w:cstheme="majorHAnsi"/>
          <w:b/>
          <w:sz w:val="22"/>
          <w:szCs w:val="22"/>
        </w:rPr>
      </w:pPr>
      <w:r>
        <w:rPr>
          <w:rFonts w:asciiTheme="majorHAnsi" w:hAnsiTheme="majorHAnsi"/>
          <w:sz w:val="22"/>
        </w:rPr>
        <w:t>Los resultados de la encuesta han servido de guía al Grupo de supervisión de las actividades de CECoP. A continuación, se presenta una breve compilación de los resultados.</w:t>
      </w:r>
    </w:p>
    <w:p w14:paraId="05AC8B8E" w14:textId="77777777" w:rsidR="00C84870" w:rsidRPr="006053B2" w:rsidRDefault="00C84870" w:rsidP="006053B2">
      <w:pPr>
        <w:rPr>
          <w:rFonts w:asciiTheme="majorHAnsi" w:hAnsiTheme="majorHAnsi" w:cstheme="majorHAnsi"/>
          <w:i/>
          <w:sz w:val="22"/>
          <w:szCs w:val="22"/>
        </w:rPr>
      </w:pPr>
    </w:p>
    <w:p w14:paraId="47726B13" w14:textId="77777777" w:rsidR="00C84870" w:rsidRPr="006053B2" w:rsidRDefault="00C84870" w:rsidP="006053B2">
      <w:pPr>
        <w:rPr>
          <w:rFonts w:asciiTheme="majorHAnsi" w:hAnsiTheme="majorHAnsi" w:cstheme="majorHAnsi"/>
          <w:i/>
          <w:sz w:val="22"/>
          <w:szCs w:val="22"/>
        </w:rPr>
      </w:pPr>
      <w:r>
        <w:rPr>
          <w:rFonts w:asciiTheme="majorHAnsi" w:hAnsiTheme="majorHAnsi"/>
          <w:i/>
          <w:sz w:val="22"/>
        </w:rPr>
        <w:t>Los encuestados</w:t>
      </w:r>
    </w:p>
    <w:p w14:paraId="0B82A35A" w14:textId="77777777" w:rsidR="00C84870" w:rsidRPr="006053B2" w:rsidRDefault="00C84870" w:rsidP="006053B2">
      <w:pPr>
        <w:rPr>
          <w:rFonts w:asciiTheme="majorHAnsi" w:hAnsiTheme="majorHAnsi" w:cstheme="majorHAnsi"/>
          <w:sz w:val="22"/>
          <w:szCs w:val="22"/>
        </w:rPr>
      </w:pPr>
      <w:r>
        <w:rPr>
          <w:rFonts w:asciiTheme="majorHAnsi" w:hAnsiTheme="majorHAnsi"/>
          <w:sz w:val="22"/>
        </w:rPr>
        <w:t xml:space="preserve">La encuesta obtuvo 64 respuestas. La representación de los tres grupos de coordinadores nacionales fue paritaria. Más del 65 % de los encuestados había trabajado en temas de CECoP durante más de cinco años. Todas las regiones de la Convención estuvieron representadas en las respuestas. </w:t>
      </w:r>
    </w:p>
    <w:p w14:paraId="2DC1794E" w14:textId="77777777" w:rsidR="00C84870" w:rsidRPr="006053B2" w:rsidRDefault="00C84870" w:rsidP="006053B2">
      <w:pPr>
        <w:rPr>
          <w:rFonts w:asciiTheme="majorHAnsi" w:hAnsiTheme="majorHAnsi" w:cstheme="majorHAnsi"/>
          <w:sz w:val="22"/>
          <w:szCs w:val="22"/>
        </w:rPr>
      </w:pPr>
    </w:p>
    <w:p w14:paraId="7257755B" w14:textId="0FAF7407" w:rsidR="00C84870" w:rsidRPr="006053B2" w:rsidRDefault="00C84870" w:rsidP="006053B2">
      <w:pPr>
        <w:rPr>
          <w:rFonts w:asciiTheme="majorHAnsi" w:hAnsiTheme="majorHAnsi" w:cstheme="majorHAnsi"/>
          <w:sz w:val="22"/>
          <w:szCs w:val="22"/>
        </w:rPr>
      </w:pPr>
      <w:r>
        <w:rPr>
          <w:rFonts w:asciiTheme="majorHAnsi" w:hAnsiTheme="majorHAnsi"/>
          <w:sz w:val="22"/>
        </w:rPr>
        <w:t>Cuando se trata de la representación en las respuestas reales, esta varía entre el 4 % de América del Norte y el 33 % de África. Al incluir a todos los que podrían responder en una región, los resultados varían entre el 6 % de América Latina y el Caribe y el 22 % de América del Norte.</w:t>
      </w:r>
    </w:p>
    <w:p w14:paraId="203E23F7" w14:textId="77777777" w:rsidR="00C84870" w:rsidRPr="006053B2" w:rsidRDefault="00C84870" w:rsidP="006053B2">
      <w:pPr>
        <w:rPr>
          <w:rFonts w:asciiTheme="majorHAnsi" w:hAnsiTheme="majorHAnsi" w:cstheme="majorHAnsi"/>
          <w:sz w:val="22"/>
          <w:szCs w:val="22"/>
        </w:rPr>
      </w:pPr>
    </w:p>
    <w:tbl>
      <w:tblPr>
        <w:tblStyle w:val="TableGrid"/>
        <w:tblW w:w="9606" w:type="dxa"/>
        <w:tblLook w:val="04A0" w:firstRow="1" w:lastRow="0" w:firstColumn="1" w:lastColumn="0" w:noHBand="0" w:noVBand="1"/>
      </w:tblPr>
      <w:tblGrid>
        <w:gridCol w:w="2660"/>
        <w:gridCol w:w="2693"/>
        <w:gridCol w:w="4253"/>
      </w:tblGrid>
      <w:tr w:rsidR="00C84870" w:rsidRPr="006053B2" w14:paraId="4E4FD120" w14:textId="77777777" w:rsidTr="00D7748F">
        <w:tc>
          <w:tcPr>
            <w:tcW w:w="2660" w:type="dxa"/>
          </w:tcPr>
          <w:p w14:paraId="0AF6709C" w14:textId="77777777" w:rsidR="00C84870" w:rsidRPr="006053B2" w:rsidRDefault="00C84870" w:rsidP="006053B2">
            <w:pPr>
              <w:ind w:left="0" w:firstLine="0"/>
              <w:rPr>
                <w:rFonts w:asciiTheme="majorHAnsi" w:hAnsiTheme="majorHAnsi" w:cstheme="majorHAnsi"/>
                <w:b/>
              </w:rPr>
            </w:pPr>
            <w:r>
              <w:rPr>
                <w:rFonts w:asciiTheme="majorHAnsi" w:hAnsiTheme="majorHAnsi"/>
                <w:b/>
              </w:rPr>
              <w:t>Región</w:t>
            </w:r>
          </w:p>
        </w:tc>
        <w:tc>
          <w:tcPr>
            <w:tcW w:w="2693" w:type="dxa"/>
          </w:tcPr>
          <w:p w14:paraId="2B4AB4CA" w14:textId="77777777" w:rsidR="00C84870" w:rsidRPr="006053B2" w:rsidRDefault="00C84870" w:rsidP="006053B2">
            <w:pPr>
              <w:ind w:left="0" w:firstLine="0"/>
              <w:rPr>
                <w:rFonts w:asciiTheme="majorHAnsi" w:hAnsiTheme="majorHAnsi" w:cstheme="majorHAnsi"/>
                <w:b/>
              </w:rPr>
            </w:pPr>
            <w:r>
              <w:rPr>
                <w:rFonts w:asciiTheme="majorHAnsi" w:hAnsiTheme="majorHAnsi"/>
                <w:b/>
              </w:rPr>
              <w:t>Porcentaje de representación regional del total de respuestas</w:t>
            </w:r>
          </w:p>
        </w:tc>
        <w:tc>
          <w:tcPr>
            <w:tcW w:w="4253" w:type="dxa"/>
          </w:tcPr>
          <w:p w14:paraId="6C0671FC" w14:textId="77777777" w:rsidR="00C84870" w:rsidRPr="006053B2" w:rsidRDefault="00C84870" w:rsidP="006053B2">
            <w:pPr>
              <w:ind w:left="0" w:firstLine="0"/>
              <w:rPr>
                <w:rFonts w:asciiTheme="majorHAnsi" w:hAnsiTheme="majorHAnsi" w:cstheme="majorHAnsi"/>
                <w:b/>
              </w:rPr>
            </w:pPr>
            <w:r>
              <w:rPr>
                <w:rFonts w:asciiTheme="majorHAnsi" w:hAnsiTheme="majorHAnsi"/>
                <w:b/>
              </w:rPr>
              <w:t>Porcentaje de respuesta regional (respuesta/número total de países por región* 3 funciones)</w:t>
            </w:r>
          </w:p>
        </w:tc>
      </w:tr>
      <w:tr w:rsidR="00C84870" w:rsidRPr="006053B2" w14:paraId="459F304B" w14:textId="77777777" w:rsidTr="00D7748F">
        <w:tc>
          <w:tcPr>
            <w:tcW w:w="2660" w:type="dxa"/>
          </w:tcPr>
          <w:p w14:paraId="671686C6" w14:textId="77777777" w:rsidR="00C84870" w:rsidRPr="006053B2" w:rsidRDefault="00C84870" w:rsidP="006053B2">
            <w:pPr>
              <w:rPr>
                <w:rFonts w:asciiTheme="majorHAnsi" w:hAnsiTheme="majorHAnsi" w:cstheme="majorHAnsi"/>
              </w:rPr>
            </w:pPr>
            <w:r>
              <w:rPr>
                <w:rFonts w:asciiTheme="majorHAnsi" w:hAnsiTheme="majorHAnsi"/>
              </w:rPr>
              <w:t>África</w:t>
            </w:r>
          </w:p>
        </w:tc>
        <w:tc>
          <w:tcPr>
            <w:tcW w:w="2693" w:type="dxa"/>
          </w:tcPr>
          <w:p w14:paraId="663D4513" w14:textId="77777777" w:rsidR="00C84870" w:rsidRPr="006053B2" w:rsidRDefault="00C84870" w:rsidP="006053B2">
            <w:pPr>
              <w:rPr>
                <w:rFonts w:asciiTheme="majorHAnsi" w:hAnsiTheme="majorHAnsi" w:cstheme="majorHAnsi"/>
              </w:rPr>
            </w:pPr>
            <w:r>
              <w:rPr>
                <w:rFonts w:asciiTheme="majorHAnsi" w:hAnsiTheme="majorHAnsi"/>
              </w:rPr>
              <w:t>33</w:t>
            </w:r>
          </w:p>
        </w:tc>
        <w:tc>
          <w:tcPr>
            <w:tcW w:w="4253" w:type="dxa"/>
          </w:tcPr>
          <w:p w14:paraId="578FE05D" w14:textId="77777777" w:rsidR="00C84870" w:rsidRPr="006053B2" w:rsidRDefault="00C84870" w:rsidP="006053B2">
            <w:pPr>
              <w:rPr>
                <w:rFonts w:asciiTheme="majorHAnsi" w:hAnsiTheme="majorHAnsi" w:cstheme="majorHAnsi"/>
              </w:rPr>
            </w:pPr>
            <w:r>
              <w:rPr>
                <w:rFonts w:asciiTheme="majorHAnsi" w:hAnsiTheme="majorHAnsi"/>
              </w:rPr>
              <w:t>13</w:t>
            </w:r>
          </w:p>
        </w:tc>
      </w:tr>
      <w:tr w:rsidR="00C84870" w:rsidRPr="006053B2" w14:paraId="52EF8A2A" w14:textId="77777777" w:rsidTr="00D7748F">
        <w:tc>
          <w:tcPr>
            <w:tcW w:w="2660" w:type="dxa"/>
          </w:tcPr>
          <w:p w14:paraId="070C854A" w14:textId="77777777" w:rsidR="00C84870" w:rsidRPr="006053B2" w:rsidRDefault="00C84870" w:rsidP="006053B2">
            <w:pPr>
              <w:rPr>
                <w:rFonts w:asciiTheme="majorHAnsi" w:hAnsiTheme="majorHAnsi" w:cstheme="majorHAnsi"/>
              </w:rPr>
            </w:pPr>
            <w:r>
              <w:rPr>
                <w:rFonts w:asciiTheme="majorHAnsi" w:hAnsiTheme="majorHAnsi"/>
              </w:rPr>
              <w:t>Asia</w:t>
            </w:r>
          </w:p>
        </w:tc>
        <w:tc>
          <w:tcPr>
            <w:tcW w:w="2693" w:type="dxa"/>
          </w:tcPr>
          <w:p w14:paraId="06622BC6" w14:textId="77777777" w:rsidR="00C84870" w:rsidRPr="006053B2" w:rsidRDefault="00C84870" w:rsidP="006053B2">
            <w:pPr>
              <w:rPr>
                <w:rFonts w:asciiTheme="majorHAnsi" w:hAnsiTheme="majorHAnsi" w:cstheme="majorHAnsi"/>
              </w:rPr>
            </w:pPr>
            <w:r>
              <w:rPr>
                <w:rFonts w:asciiTheme="majorHAnsi" w:hAnsiTheme="majorHAnsi"/>
              </w:rPr>
              <w:t>22</w:t>
            </w:r>
          </w:p>
        </w:tc>
        <w:tc>
          <w:tcPr>
            <w:tcW w:w="4253" w:type="dxa"/>
          </w:tcPr>
          <w:p w14:paraId="7F35EDC5" w14:textId="77777777" w:rsidR="00C84870" w:rsidRPr="006053B2" w:rsidRDefault="00C84870" w:rsidP="006053B2">
            <w:pPr>
              <w:rPr>
                <w:rFonts w:asciiTheme="majorHAnsi" w:hAnsiTheme="majorHAnsi" w:cstheme="majorHAnsi"/>
              </w:rPr>
            </w:pPr>
            <w:r>
              <w:rPr>
                <w:rFonts w:asciiTheme="majorHAnsi" w:hAnsiTheme="majorHAnsi"/>
              </w:rPr>
              <w:t>14</w:t>
            </w:r>
          </w:p>
        </w:tc>
      </w:tr>
      <w:tr w:rsidR="00C84870" w:rsidRPr="006053B2" w14:paraId="532ED60E" w14:textId="77777777" w:rsidTr="00D7748F">
        <w:tc>
          <w:tcPr>
            <w:tcW w:w="2660" w:type="dxa"/>
          </w:tcPr>
          <w:p w14:paraId="4A9440CD" w14:textId="77777777" w:rsidR="00C84870" w:rsidRPr="006053B2" w:rsidRDefault="00C84870" w:rsidP="006053B2">
            <w:pPr>
              <w:rPr>
                <w:rFonts w:asciiTheme="majorHAnsi" w:hAnsiTheme="majorHAnsi" w:cstheme="majorHAnsi"/>
              </w:rPr>
            </w:pPr>
            <w:r>
              <w:rPr>
                <w:rFonts w:asciiTheme="majorHAnsi" w:hAnsiTheme="majorHAnsi"/>
              </w:rPr>
              <w:t>Europa</w:t>
            </w:r>
          </w:p>
        </w:tc>
        <w:tc>
          <w:tcPr>
            <w:tcW w:w="2693" w:type="dxa"/>
          </w:tcPr>
          <w:p w14:paraId="3486E69E" w14:textId="77777777" w:rsidR="00C84870" w:rsidRPr="006053B2" w:rsidRDefault="00C84870" w:rsidP="006053B2">
            <w:pPr>
              <w:rPr>
                <w:rFonts w:asciiTheme="majorHAnsi" w:hAnsiTheme="majorHAnsi" w:cstheme="majorHAnsi"/>
              </w:rPr>
            </w:pPr>
            <w:r>
              <w:rPr>
                <w:rFonts w:asciiTheme="majorHAnsi" w:hAnsiTheme="majorHAnsi"/>
              </w:rPr>
              <w:t>28</w:t>
            </w:r>
          </w:p>
        </w:tc>
        <w:tc>
          <w:tcPr>
            <w:tcW w:w="4253" w:type="dxa"/>
          </w:tcPr>
          <w:p w14:paraId="364A15B0" w14:textId="77777777" w:rsidR="00C84870" w:rsidRPr="006053B2" w:rsidRDefault="00C84870" w:rsidP="006053B2">
            <w:pPr>
              <w:rPr>
                <w:rFonts w:asciiTheme="majorHAnsi" w:hAnsiTheme="majorHAnsi" w:cstheme="majorHAnsi"/>
              </w:rPr>
            </w:pPr>
            <w:r>
              <w:rPr>
                <w:rFonts w:asciiTheme="majorHAnsi" w:hAnsiTheme="majorHAnsi"/>
              </w:rPr>
              <w:t>12</w:t>
            </w:r>
          </w:p>
        </w:tc>
      </w:tr>
      <w:tr w:rsidR="00C84870" w:rsidRPr="006053B2" w14:paraId="2665FBEB" w14:textId="77777777" w:rsidTr="00D7748F">
        <w:tc>
          <w:tcPr>
            <w:tcW w:w="2660" w:type="dxa"/>
          </w:tcPr>
          <w:p w14:paraId="46D6BE1D" w14:textId="77777777" w:rsidR="00C84870" w:rsidRPr="006053B2" w:rsidRDefault="00C84870" w:rsidP="006053B2">
            <w:pPr>
              <w:rPr>
                <w:rFonts w:asciiTheme="majorHAnsi" w:hAnsiTheme="majorHAnsi" w:cstheme="majorHAnsi"/>
              </w:rPr>
            </w:pPr>
            <w:r>
              <w:rPr>
                <w:rFonts w:asciiTheme="majorHAnsi" w:hAnsiTheme="majorHAnsi"/>
              </w:rPr>
              <w:t>América Latina y el Caribe</w:t>
            </w:r>
          </w:p>
        </w:tc>
        <w:tc>
          <w:tcPr>
            <w:tcW w:w="2693" w:type="dxa"/>
          </w:tcPr>
          <w:p w14:paraId="37482F02" w14:textId="77777777" w:rsidR="00C84870" w:rsidRPr="006053B2" w:rsidRDefault="00C84870" w:rsidP="006053B2">
            <w:pPr>
              <w:rPr>
                <w:rFonts w:asciiTheme="majorHAnsi" w:hAnsiTheme="majorHAnsi" w:cstheme="majorHAnsi"/>
              </w:rPr>
            </w:pPr>
            <w:r>
              <w:rPr>
                <w:rFonts w:asciiTheme="majorHAnsi" w:hAnsiTheme="majorHAnsi"/>
              </w:rPr>
              <w:t>8</w:t>
            </w:r>
          </w:p>
        </w:tc>
        <w:tc>
          <w:tcPr>
            <w:tcW w:w="4253" w:type="dxa"/>
          </w:tcPr>
          <w:p w14:paraId="67403CB6" w14:textId="77777777" w:rsidR="00C84870" w:rsidRPr="006053B2" w:rsidRDefault="00C84870" w:rsidP="006053B2">
            <w:pPr>
              <w:rPr>
                <w:rFonts w:asciiTheme="majorHAnsi" w:hAnsiTheme="majorHAnsi" w:cstheme="majorHAnsi"/>
              </w:rPr>
            </w:pPr>
            <w:r>
              <w:rPr>
                <w:rFonts w:asciiTheme="majorHAnsi" w:hAnsiTheme="majorHAnsi"/>
              </w:rPr>
              <w:t>6</w:t>
            </w:r>
          </w:p>
        </w:tc>
      </w:tr>
      <w:tr w:rsidR="00C84870" w:rsidRPr="006053B2" w14:paraId="706CB650" w14:textId="77777777" w:rsidTr="00D7748F">
        <w:tc>
          <w:tcPr>
            <w:tcW w:w="2660" w:type="dxa"/>
          </w:tcPr>
          <w:p w14:paraId="317E2C21" w14:textId="77777777" w:rsidR="00C84870" w:rsidRPr="006053B2" w:rsidRDefault="00C84870" w:rsidP="006053B2">
            <w:pPr>
              <w:rPr>
                <w:rFonts w:asciiTheme="majorHAnsi" w:hAnsiTheme="majorHAnsi" w:cstheme="majorHAnsi"/>
              </w:rPr>
            </w:pPr>
            <w:r>
              <w:rPr>
                <w:rFonts w:asciiTheme="majorHAnsi" w:hAnsiTheme="majorHAnsi"/>
              </w:rPr>
              <w:t>América del Norte</w:t>
            </w:r>
          </w:p>
        </w:tc>
        <w:tc>
          <w:tcPr>
            <w:tcW w:w="2693" w:type="dxa"/>
          </w:tcPr>
          <w:p w14:paraId="506FCBF3" w14:textId="77777777" w:rsidR="00C84870" w:rsidRPr="006053B2" w:rsidRDefault="00C84870" w:rsidP="006053B2">
            <w:pPr>
              <w:rPr>
                <w:rFonts w:asciiTheme="majorHAnsi" w:hAnsiTheme="majorHAnsi" w:cstheme="majorHAnsi"/>
              </w:rPr>
            </w:pPr>
            <w:r>
              <w:rPr>
                <w:rFonts w:asciiTheme="majorHAnsi" w:hAnsiTheme="majorHAnsi"/>
              </w:rPr>
              <w:t>3</w:t>
            </w:r>
          </w:p>
        </w:tc>
        <w:tc>
          <w:tcPr>
            <w:tcW w:w="4253" w:type="dxa"/>
          </w:tcPr>
          <w:p w14:paraId="6BEFFA92" w14:textId="77777777" w:rsidR="00C84870" w:rsidRPr="006053B2" w:rsidRDefault="00C84870" w:rsidP="006053B2">
            <w:pPr>
              <w:rPr>
                <w:rFonts w:asciiTheme="majorHAnsi" w:hAnsiTheme="majorHAnsi" w:cstheme="majorHAnsi"/>
              </w:rPr>
            </w:pPr>
            <w:r>
              <w:rPr>
                <w:rFonts w:asciiTheme="majorHAnsi" w:hAnsiTheme="majorHAnsi"/>
              </w:rPr>
              <w:t>22</w:t>
            </w:r>
          </w:p>
        </w:tc>
      </w:tr>
      <w:tr w:rsidR="00C84870" w:rsidRPr="006053B2" w14:paraId="79F97E7B" w14:textId="77777777" w:rsidTr="00D7748F">
        <w:tc>
          <w:tcPr>
            <w:tcW w:w="2660" w:type="dxa"/>
          </w:tcPr>
          <w:p w14:paraId="159AFDE5" w14:textId="77777777" w:rsidR="00C84870" w:rsidRPr="006053B2" w:rsidRDefault="00C84870" w:rsidP="006053B2">
            <w:pPr>
              <w:rPr>
                <w:rFonts w:asciiTheme="majorHAnsi" w:hAnsiTheme="majorHAnsi" w:cstheme="majorHAnsi"/>
              </w:rPr>
            </w:pPr>
            <w:r>
              <w:rPr>
                <w:rFonts w:asciiTheme="majorHAnsi" w:hAnsiTheme="majorHAnsi"/>
              </w:rPr>
              <w:t>Oceanía</w:t>
            </w:r>
          </w:p>
        </w:tc>
        <w:tc>
          <w:tcPr>
            <w:tcW w:w="2693" w:type="dxa"/>
          </w:tcPr>
          <w:p w14:paraId="760B0425" w14:textId="77777777" w:rsidR="00C84870" w:rsidRPr="006053B2" w:rsidRDefault="00C84870" w:rsidP="006053B2">
            <w:pPr>
              <w:rPr>
                <w:rFonts w:asciiTheme="majorHAnsi" w:hAnsiTheme="majorHAnsi" w:cstheme="majorHAnsi"/>
              </w:rPr>
            </w:pPr>
            <w:r>
              <w:rPr>
                <w:rFonts w:asciiTheme="majorHAnsi" w:hAnsiTheme="majorHAnsi"/>
              </w:rPr>
              <w:t>6</w:t>
            </w:r>
          </w:p>
        </w:tc>
        <w:tc>
          <w:tcPr>
            <w:tcW w:w="4253" w:type="dxa"/>
          </w:tcPr>
          <w:p w14:paraId="1FAAE3FF" w14:textId="77777777" w:rsidR="00C84870" w:rsidRPr="006053B2" w:rsidRDefault="00C84870" w:rsidP="006053B2">
            <w:pPr>
              <w:rPr>
                <w:rFonts w:asciiTheme="majorHAnsi" w:hAnsiTheme="majorHAnsi" w:cstheme="majorHAnsi"/>
              </w:rPr>
            </w:pPr>
            <w:r>
              <w:rPr>
                <w:rFonts w:asciiTheme="majorHAnsi" w:hAnsiTheme="majorHAnsi"/>
              </w:rPr>
              <w:t>17</w:t>
            </w:r>
          </w:p>
        </w:tc>
      </w:tr>
    </w:tbl>
    <w:p w14:paraId="18C95AF0" w14:textId="15A0C029" w:rsidR="00C84870" w:rsidRDefault="00C84870" w:rsidP="006053B2">
      <w:pPr>
        <w:rPr>
          <w:rFonts w:asciiTheme="majorHAnsi" w:hAnsiTheme="majorHAnsi" w:cstheme="majorHAnsi"/>
          <w:b/>
          <w:i/>
          <w:sz w:val="22"/>
          <w:szCs w:val="22"/>
          <w:u w:val="single"/>
        </w:rPr>
      </w:pPr>
    </w:p>
    <w:p w14:paraId="52F8AC9A" w14:textId="77777777" w:rsidR="00685E2D" w:rsidRPr="006053B2" w:rsidRDefault="00685E2D" w:rsidP="006053B2">
      <w:pPr>
        <w:rPr>
          <w:rFonts w:asciiTheme="majorHAnsi" w:hAnsiTheme="majorHAnsi" w:cstheme="majorHAnsi"/>
          <w:b/>
          <w:i/>
          <w:sz w:val="22"/>
          <w:szCs w:val="22"/>
          <w:u w:val="single"/>
        </w:rPr>
      </w:pPr>
    </w:p>
    <w:p w14:paraId="7FB25877" w14:textId="77777777" w:rsidR="00C84870" w:rsidRPr="006053B2" w:rsidRDefault="00C84870" w:rsidP="00EE599F">
      <w:pPr>
        <w:keepNext/>
        <w:rPr>
          <w:rFonts w:asciiTheme="majorHAnsi" w:hAnsiTheme="majorHAnsi" w:cstheme="majorHAnsi"/>
          <w:b/>
          <w:i/>
          <w:sz w:val="22"/>
          <w:szCs w:val="22"/>
          <w:u w:val="single"/>
        </w:rPr>
      </w:pPr>
      <w:r>
        <w:rPr>
          <w:rFonts w:asciiTheme="majorHAnsi" w:hAnsiTheme="majorHAnsi"/>
          <w:b/>
          <w:i/>
          <w:sz w:val="22"/>
          <w:u w:val="single"/>
        </w:rPr>
        <w:lastRenderedPageBreak/>
        <w:t>Análisis</w:t>
      </w:r>
    </w:p>
    <w:p w14:paraId="77F8BEAB" w14:textId="77777777" w:rsidR="00C84870" w:rsidRPr="006053B2" w:rsidRDefault="00C84870" w:rsidP="00EE599F">
      <w:pPr>
        <w:keepNext/>
        <w:rPr>
          <w:rFonts w:asciiTheme="majorHAnsi" w:hAnsiTheme="majorHAnsi" w:cstheme="majorHAnsi"/>
          <w:b/>
          <w:sz w:val="22"/>
          <w:szCs w:val="22"/>
        </w:rPr>
      </w:pPr>
    </w:p>
    <w:p w14:paraId="1CB7A6A0" w14:textId="7A9EE62C" w:rsidR="00C84870" w:rsidRDefault="00C84870" w:rsidP="00EE599F">
      <w:pPr>
        <w:keepNext/>
        <w:rPr>
          <w:rFonts w:asciiTheme="majorHAnsi" w:hAnsiTheme="majorHAnsi" w:cstheme="majorHAnsi"/>
          <w:sz w:val="22"/>
          <w:szCs w:val="22"/>
        </w:rPr>
      </w:pPr>
      <w:r>
        <w:rPr>
          <w:rFonts w:asciiTheme="majorHAnsi" w:hAnsiTheme="majorHAnsi"/>
          <w:b/>
          <w:sz w:val="22"/>
        </w:rPr>
        <w:t>1. Reducir el número de objetivos de CECoP</w:t>
      </w:r>
      <w:r>
        <w:rPr>
          <w:rFonts w:asciiTheme="majorHAnsi" w:hAnsiTheme="majorHAnsi"/>
          <w:sz w:val="22"/>
        </w:rPr>
        <w:t xml:space="preserve"> </w:t>
      </w:r>
    </w:p>
    <w:p w14:paraId="3CF13087" w14:textId="77777777" w:rsidR="00685E2D" w:rsidRPr="006053B2" w:rsidRDefault="00685E2D" w:rsidP="00EE599F">
      <w:pPr>
        <w:keepNext/>
        <w:rPr>
          <w:rFonts w:asciiTheme="majorHAnsi" w:hAnsiTheme="majorHAnsi" w:cstheme="majorHAnsi"/>
          <w:sz w:val="22"/>
          <w:szCs w:val="22"/>
        </w:rPr>
      </w:pPr>
    </w:p>
    <w:p w14:paraId="4C800F62" w14:textId="532F1A08" w:rsidR="00C84870" w:rsidRPr="006053B2" w:rsidRDefault="00C84870" w:rsidP="006053B2">
      <w:pPr>
        <w:rPr>
          <w:rFonts w:asciiTheme="majorHAnsi" w:hAnsiTheme="majorHAnsi" w:cstheme="majorHAnsi"/>
          <w:sz w:val="22"/>
          <w:szCs w:val="22"/>
        </w:rPr>
      </w:pPr>
      <w:r>
        <w:rPr>
          <w:rFonts w:asciiTheme="majorHAnsi" w:hAnsiTheme="majorHAnsi"/>
          <w:sz w:val="22"/>
        </w:rPr>
        <w:t xml:space="preserve">Una pequeña mayoría de los encuestados considera que una reducción del número de objetivos de CECoP dará lugar a una aplicación más eficaz de la CECoP. </w:t>
      </w:r>
    </w:p>
    <w:p w14:paraId="67DAF279" w14:textId="77777777" w:rsidR="00C84870" w:rsidRPr="006053B2" w:rsidRDefault="00C84870" w:rsidP="006053B2">
      <w:pPr>
        <w:rPr>
          <w:rFonts w:asciiTheme="majorHAnsi" w:hAnsiTheme="majorHAnsi" w:cstheme="majorHAnsi"/>
          <w:b/>
          <w:sz w:val="22"/>
          <w:szCs w:val="22"/>
        </w:rPr>
      </w:pPr>
    </w:p>
    <w:p w14:paraId="5594FDEC" w14:textId="0C125789" w:rsidR="00C84870" w:rsidRDefault="00C84870" w:rsidP="00B12DD9">
      <w:pPr>
        <w:keepNext/>
        <w:rPr>
          <w:rFonts w:asciiTheme="majorHAnsi" w:hAnsiTheme="majorHAnsi" w:cstheme="majorHAnsi"/>
          <w:b/>
          <w:sz w:val="22"/>
          <w:szCs w:val="22"/>
        </w:rPr>
      </w:pPr>
      <w:r>
        <w:rPr>
          <w:rFonts w:asciiTheme="majorHAnsi" w:hAnsiTheme="majorHAnsi"/>
          <w:b/>
          <w:sz w:val="22"/>
        </w:rPr>
        <w:t xml:space="preserve">2. Elaborar una estrategia de evaluación </w:t>
      </w:r>
    </w:p>
    <w:p w14:paraId="36B4CBC2" w14:textId="77777777" w:rsidR="00685E2D" w:rsidRPr="006053B2" w:rsidRDefault="00685E2D" w:rsidP="00B12DD9">
      <w:pPr>
        <w:keepNext/>
        <w:rPr>
          <w:rFonts w:asciiTheme="majorHAnsi" w:hAnsiTheme="majorHAnsi" w:cstheme="majorHAnsi"/>
          <w:sz w:val="22"/>
          <w:szCs w:val="22"/>
        </w:rPr>
      </w:pPr>
    </w:p>
    <w:p w14:paraId="4FDE2B23" w14:textId="77777777" w:rsidR="00C84870" w:rsidRPr="006053B2" w:rsidRDefault="00C84870" w:rsidP="006053B2">
      <w:pPr>
        <w:rPr>
          <w:rFonts w:asciiTheme="majorHAnsi" w:hAnsiTheme="majorHAnsi" w:cstheme="majorHAnsi"/>
          <w:sz w:val="22"/>
          <w:szCs w:val="22"/>
        </w:rPr>
      </w:pPr>
      <w:r>
        <w:rPr>
          <w:rFonts w:asciiTheme="majorHAnsi" w:hAnsiTheme="majorHAnsi"/>
          <w:sz w:val="22"/>
        </w:rPr>
        <w:t>Una clara mayoría de los encuestados considera que sería útil elaborar una estrategia para evaluar la eficacia de las medidas de CECoP.</w:t>
      </w:r>
    </w:p>
    <w:p w14:paraId="02E50769" w14:textId="77777777" w:rsidR="00CC2072" w:rsidRDefault="00CC2072" w:rsidP="006053B2">
      <w:pPr>
        <w:rPr>
          <w:rFonts w:asciiTheme="majorHAnsi" w:hAnsiTheme="majorHAnsi" w:cstheme="majorHAnsi"/>
          <w:sz w:val="22"/>
          <w:szCs w:val="22"/>
          <w:u w:val="single"/>
        </w:rPr>
      </w:pPr>
    </w:p>
    <w:p w14:paraId="72BDF9DF" w14:textId="29CB9A23" w:rsidR="00C84870" w:rsidRPr="006053B2" w:rsidRDefault="00C84870" w:rsidP="006053B2">
      <w:pPr>
        <w:rPr>
          <w:rFonts w:asciiTheme="majorHAnsi" w:hAnsiTheme="majorHAnsi" w:cstheme="majorHAnsi"/>
          <w:sz w:val="22"/>
          <w:szCs w:val="22"/>
          <w:u w:val="single"/>
        </w:rPr>
      </w:pPr>
      <w:r>
        <w:rPr>
          <w:rFonts w:asciiTheme="majorHAnsi" w:hAnsiTheme="majorHAnsi"/>
          <w:sz w:val="22"/>
          <w:u w:val="single"/>
        </w:rPr>
        <w:t xml:space="preserve">Entre las respuestas negativas estaban las siguientes: </w:t>
      </w:r>
    </w:p>
    <w:p w14:paraId="7D27E30F" w14:textId="51067E98" w:rsidR="00C84870" w:rsidRPr="00B12DD9"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La evaluación está reduciendo los recursos de otras actividades</w:t>
      </w:r>
    </w:p>
    <w:p w14:paraId="7E3EAACF" w14:textId="01337752" w:rsidR="00C84870" w:rsidRPr="00B12DD9"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Reducir todo tipo de informes</w:t>
      </w:r>
    </w:p>
    <w:p w14:paraId="452BCAD9" w14:textId="2E75400F" w:rsidR="00C84870" w:rsidRPr="00B12DD9"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 xml:space="preserve">Hay dificultades para medir el impacto real de las actividades de CECoP en los humedales </w:t>
      </w:r>
    </w:p>
    <w:p w14:paraId="3C11C637" w14:textId="77777777" w:rsidR="00C84870" w:rsidRPr="006053B2" w:rsidRDefault="00C84870" w:rsidP="006053B2">
      <w:pPr>
        <w:rPr>
          <w:rFonts w:asciiTheme="majorHAnsi" w:hAnsiTheme="majorHAnsi" w:cstheme="majorHAnsi"/>
          <w:sz w:val="22"/>
          <w:szCs w:val="22"/>
        </w:rPr>
      </w:pPr>
    </w:p>
    <w:p w14:paraId="10EE0E97" w14:textId="77777777" w:rsidR="00C84870" w:rsidRPr="006053B2" w:rsidRDefault="00C84870" w:rsidP="006053B2">
      <w:pPr>
        <w:rPr>
          <w:rFonts w:asciiTheme="majorHAnsi" w:hAnsiTheme="majorHAnsi" w:cstheme="majorHAnsi"/>
          <w:sz w:val="22"/>
          <w:szCs w:val="22"/>
          <w:u w:val="single"/>
        </w:rPr>
      </w:pPr>
      <w:r>
        <w:rPr>
          <w:rFonts w:asciiTheme="majorHAnsi" w:hAnsiTheme="majorHAnsi"/>
          <w:sz w:val="22"/>
          <w:u w:val="single"/>
        </w:rPr>
        <w:t>Para que logremos elaborar una estrategia de evaluación, los encuestados sugieren lo siguiente:</w:t>
      </w:r>
    </w:p>
    <w:p w14:paraId="17B26BD5" w14:textId="63274CED"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Debe integrarse en el Informe Nacional</w:t>
      </w:r>
    </w:p>
    <w:p w14:paraId="32DF8DF7" w14:textId="75BEFE64"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Cada país debe tener sus propios indicadores</w:t>
      </w:r>
    </w:p>
    <w:p w14:paraId="4556106D" w14:textId="3B324634"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 xml:space="preserve">Debe concordar mejor con otros informes </w:t>
      </w:r>
    </w:p>
    <w:p w14:paraId="11C0FB52" w14:textId="77777777" w:rsidR="00C84870" w:rsidRPr="006053B2" w:rsidRDefault="00C84870" w:rsidP="006053B2">
      <w:pPr>
        <w:rPr>
          <w:rFonts w:asciiTheme="majorHAnsi" w:hAnsiTheme="majorHAnsi" w:cstheme="majorHAnsi"/>
          <w:b/>
          <w:sz w:val="22"/>
          <w:szCs w:val="22"/>
        </w:rPr>
      </w:pPr>
    </w:p>
    <w:p w14:paraId="33762479" w14:textId="77777777" w:rsidR="00C84870" w:rsidRPr="006053B2" w:rsidRDefault="00C84870" w:rsidP="006053B2">
      <w:pPr>
        <w:rPr>
          <w:rFonts w:asciiTheme="majorHAnsi" w:hAnsiTheme="majorHAnsi" w:cstheme="majorHAnsi"/>
          <w:b/>
          <w:sz w:val="22"/>
          <w:szCs w:val="22"/>
        </w:rPr>
      </w:pPr>
      <w:r>
        <w:rPr>
          <w:rFonts w:asciiTheme="majorHAnsi" w:hAnsiTheme="majorHAnsi"/>
          <w:b/>
          <w:sz w:val="22"/>
        </w:rPr>
        <w:t>3. Hacer que la CECoP sea más estratégica, integrada y eficaz</w:t>
      </w:r>
    </w:p>
    <w:p w14:paraId="56620BD3" w14:textId="77777777" w:rsidR="00C84870" w:rsidRPr="006053B2" w:rsidRDefault="00C84870" w:rsidP="006053B2">
      <w:pPr>
        <w:rPr>
          <w:rFonts w:asciiTheme="majorHAnsi" w:hAnsiTheme="majorHAnsi" w:cstheme="majorHAnsi"/>
          <w:b/>
          <w:sz w:val="22"/>
          <w:szCs w:val="22"/>
        </w:rPr>
      </w:pPr>
    </w:p>
    <w:p w14:paraId="0A6C7DA4" w14:textId="77777777" w:rsidR="00C84870" w:rsidRPr="006053B2" w:rsidRDefault="00C84870" w:rsidP="006053B2">
      <w:pPr>
        <w:rPr>
          <w:rFonts w:asciiTheme="majorHAnsi" w:hAnsiTheme="majorHAnsi" w:cstheme="majorHAnsi"/>
          <w:sz w:val="22"/>
          <w:szCs w:val="22"/>
          <w:u w:val="single"/>
        </w:rPr>
      </w:pPr>
      <w:r>
        <w:rPr>
          <w:rFonts w:asciiTheme="majorHAnsi" w:hAnsiTheme="majorHAnsi"/>
          <w:sz w:val="22"/>
          <w:u w:val="single"/>
        </w:rPr>
        <w:t xml:space="preserve">Ejemplos formulados por los encuestados sobre cómo trabajar de forma más estratégica: </w:t>
      </w:r>
    </w:p>
    <w:p w14:paraId="7F1CA3D6" w14:textId="12C1119B"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 xml:space="preserve">Integrar la CECoP en el Plan Estratégico de la Convención </w:t>
      </w:r>
    </w:p>
    <w:p w14:paraId="08C64FD7" w14:textId="525B764C"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Colaborar con otras convenciones/otra labor internacional, en especial el CDB y la IPBES</w:t>
      </w:r>
    </w:p>
    <w:p w14:paraId="3AF1B1C3" w14:textId="19D62232"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 xml:space="preserve">Usar nueva tecnología (seminarios a través de Internet, medios sociales, intercambio en línea) </w:t>
      </w:r>
    </w:p>
    <w:p w14:paraId="653D6AB1" w14:textId="46EA90CF"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Programas de CECoP que abarquen varios países con condiciones y cuestiones similares</w:t>
      </w:r>
    </w:p>
    <w:p w14:paraId="0032F4E0" w14:textId="2FC23B54"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Investigar dónde hay lagunas en la CECoP</w:t>
      </w:r>
    </w:p>
    <w:p w14:paraId="3DE8F06B" w14:textId="496ACF18"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El Programa de CECoP debería centrarse en el futuro y en las posibles soluciones</w:t>
      </w:r>
    </w:p>
    <w:p w14:paraId="2C5C17CF" w14:textId="2197B3CC"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Más capacitación a escala nacional</w:t>
      </w:r>
    </w:p>
    <w:p w14:paraId="640A2761" w14:textId="53D9580C"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 xml:space="preserve">Intercambiar experiencias en redes de CECoP, crear espacios para cuestiones de CECoP a escala regional </w:t>
      </w:r>
    </w:p>
    <w:p w14:paraId="7495A381" w14:textId="5413B460"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Proporcionar orientaciones a los coordinadores nacionales de CECoP</w:t>
      </w:r>
    </w:p>
    <w:p w14:paraId="2BAE81F4" w14:textId="5D7ED98D"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Priorizar los mensajes y los públicos destinatarios</w:t>
      </w:r>
    </w:p>
    <w:p w14:paraId="60BC2B4E" w14:textId="666CE69D"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Enfoque ascendente, con actividades locales de CECoP</w:t>
      </w:r>
      <w:r>
        <w:rPr>
          <w:rFonts w:asciiTheme="majorHAnsi" w:hAnsiTheme="majorHAnsi"/>
          <w:sz w:val="22"/>
        </w:rPr>
        <w:tab/>
      </w:r>
    </w:p>
    <w:p w14:paraId="2DD63BFC" w14:textId="77777777" w:rsidR="00C84870" w:rsidRPr="006053B2" w:rsidRDefault="00C84870" w:rsidP="006053B2">
      <w:pPr>
        <w:tabs>
          <w:tab w:val="left" w:pos="2835"/>
        </w:tabs>
        <w:rPr>
          <w:rFonts w:asciiTheme="majorHAnsi" w:hAnsiTheme="majorHAnsi" w:cstheme="majorHAnsi"/>
          <w:sz w:val="22"/>
          <w:szCs w:val="22"/>
        </w:rPr>
      </w:pPr>
    </w:p>
    <w:p w14:paraId="0EC7F490" w14:textId="77777777" w:rsidR="00C84870" w:rsidRPr="006053B2" w:rsidRDefault="00C84870" w:rsidP="006053B2">
      <w:pPr>
        <w:rPr>
          <w:rFonts w:asciiTheme="majorHAnsi" w:hAnsiTheme="majorHAnsi" w:cstheme="majorHAnsi"/>
          <w:sz w:val="22"/>
          <w:szCs w:val="22"/>
          <w:u w:val="single"/>
        </w:rPr>
      </w:pPr>
      <w:r>
        <w:rPr>
          <w:rFonts w:asciiTheme="majorHAnsi" w:hAnsiTheme="majorHAnsi"/>
          <w:sz w:val="22"/>
          <w:u w:val="single"/>
        </w:rPr>
        <w:t>Integrar mejor la labor de CECoP en otras actividades de la Convención y en actividades nacionales:</w:t>
      </w:r>
    </w:p>
    <w:p w14:paraId="27FDECC4" w14:textId="77777777" w:rsidR="00C84870" w:rsidRPr="006053B2" w:rsidRDefault="00C84870" w:rsidP="006053B2">
      <w:pPr>
        <w:rPr>
          <w:rFonts w:asciiTheme="majorHAnsi" w:hAnsiTheme="majorHAnsi" w:cstheme="majorHAnsi"/>
          <w:sz w:val="22"/>
          <w:szCs w:val="22"/>
          <w:u w:val="single"/>
        </w:rPr>
      </w:pPr>
    </w:p>
    <w:p w14:paraId="5370D45F" w14:textId="77777777" w:rsidR="00C84870" w:rsidRPr="006053B2" w:rsidRDefault="00C84870" w:rsidP="006053B2">
      <w:pPr>
        <w:rPr>
          <w:rFonts w:asciiTheme="majorHAnsi" w:hAnsiTheme="majorHAnsi" w:cstheme="majorHAnsi"/>
          <w:i/>
          <w:sz w:val="22"/>
          <w:szCs w:val="22"/>
        </w:rPr>
      </w:pPr>
      <w:r>
        <w:rPr>
          <w:rFonts w:asciiTheme="majorHAnsi" w:hAnsiTheme="majorHAnsi"/>
          <w:i/>
          <w:sz w:val="22"/>
        </w:rPr>
        <w:t>A escala de la Convención:</w:t>
      </w:r>
    </w:p>
    <w:p w14:paraId="2A90310E" w14:textId="7AD8008E"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Todas las actividades de la Convención, incluidas las resoluciones, deben integrar actividades de CECoP</w:t>
      </w:r>
    </w:p>
    <w:p w14:paraId="78B6B92E" w14:textId="6F125920"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Las actividades mayores de CECoP de la Convención deben aprobarse en las COP o en las reuniones del Comité Permanente</w:t>
      </w:r>
    </w:p>
    <w:p w14:paraId="14EB0469" w14:textId="76C41918"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Integrar el programa de CECoP en el Plan Estratégico</w:t>
      </w:r>
    </w:p>
    <w:p w14:paraId="1714FCCD" w14:textId="5C039591"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Adhesión al CDB y otros foros internacionales en actividades comunes</w:t>
      </w:r>
    </w:p>
    <w:p w14:paraId="1B32F0FC" w14:textId="108DD297"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Se necesita el liderazgo de la Secretaría</w:t>
      </w:r>
    </w:p>
    <w:p w14:paraId="0C53A2FB" w14:textId="77777777" w:rsidR="00C84870" w:rsidRPr="006053B2" w:rsidRDefault="00C84870" w:rsidP="006053B2">
      <w:pPr>
        <w:rPr>
          <w:rFonts w:asciiTheme="majorHAnsi" w:hAnsiTheme="majorHAnsi" w:cstheme="majorHAnsi"/>
          <w:i/>
          <w:sz w:val="22"/>
          <w:szCs w:val="22"/>
        </w:rPr>
      </w:pPr>
    </w:p>
    <w:p w14:paraId="7FA029D5" w14:textId="77777777" w:rsidR="00C84870" w:rsidRPr="006053B2" w:rsidRDefault="00C84870" w:rsidP="00EE599F">
      <w:pPr>
        <w:keepNext/>
        <w:rPr>
          <w:rFonts w:asciiTheme="majorHAnsi" w:hAnsiTheme="majorHAnsi" w:cstheme="majorHAnsi"/>
          <w:sz w:val="22"/>
          <w:szCs w:val="22"/>
          <w:u w:val="single"/>
        </w:rPr>
      </w:pPr>
      <w:r>
        <w:rPr>
          <w:rFonts w:asciiTheme="majorHAnsi" w:hAnsiTheme="majorHAnsi"/>
          <w:i/>
          <w:sz w:val="22"/>
        </w:rPr>
        <w:lastRenderedPageBreak/>
        <w:t>Cooperación internacional:</w:t>
      </w:r>
    </w:p>
    <w:p w14:paraId="3E71C87D" w14:textId="2BD4A873" w:rsidR="00C84870" w:rsidRPr="00B12DD9"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Redes más sólidas para intercambiar ideas y mejores prácticas entre coordinadores de CECoP, administradores de humedales y profesionales de CECoP, por ejemplo, seminarios a través de Internet centrados en las regiones</w:t>
      </w:r>
    </w:p>
    <w:p w14:paraId="2E2543D8" w14:textId="77777777" w:rsidR="00C84870" w:rsidRPr="006053B2" w:rsidRDefault="00C84870" w:rsidP="006053B2">
      <w:pPr>
        <w:rPr>
          <w:rFonts w:asciiTheme="majorHAnsi" w:hAnsiTheme="majorHAnsi" w:cstheme="majorHAnsi"/>
          <w:i/>
          <w:sz w:val="22"/>
          <w:szCs w:val="22"/>
        </w:rPr>
      </w:pPr>
    </w:p>
    <w:p w14:paraId="66A8868A" w14:textId="77777777" w:rsidR="00C84870" w:rsidRPr="006053B2" w:rsidRDefault="00C84870" w:rsidP="006053B2">
      <w:pPr>
        <w:rPr>
          <w:rFonts w:asciiTheme="majorHAnsi" w:hAnsiTheme="majorHAnsi" w:cstheme="majorHAnsi"/>
          <w:i/>
          <w:sz w:val="22"/>
          <w:szCs w:val="22"/>
        </w:rPr>
      </w:pPr>
      <w:r>
        <w:rPr>
          <w:rFonts w:asciiTheme="majorHAnsi" w:hAnsiTheme="majorHAnsi"/>
          <w:i/>
          <w:sz w:val="22"/>
        </w:rPr>
        <w:t>A escala nacional:</w:t>
      </w:r>
    </w:p>
    <w:p w14:paraId="6A3E4A80" w14:textId="184F0318"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Todas las actividades relacionadas con los humedales a escala nacional deben integrar actividades de CECoP</w:t>
      </w:r>
    </w:p>
    <w:p w14:paraId="72BCFFB1" w14:textId="2A3675DA"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Integrar el programa de CECoP en los planes nacionales, la educación, etc.</w:t>
      </w:r>
    </w:p>
    <w:p w14:paraId="57AA186B" w14:textId="065406A3"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Se necesita un contexto nacional para identificar métodos y herramientas útiles, etc.</w:t>
      </w:r>
    </w:p>
    <w:p w14:paraId="3377A919" w14:textId="114D258F"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Interacción/cooperación entre los coordinadores nacionales de CECoP y el Comité Nacional de la Convención</w:t>
      </w:r>
    </w:p>
    <w:p w14:paraId="109EF0F6" w14:textId="762C3E10"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Cooperación nacional con la aplicación de otros AMMA</w:t>
      </w:r>
    </w:p>
    <w:p w14:paraId="3C8ECEC8" w14:textId="1A55E367"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El Día Mundial de los Humedales es una de las mejores herramientas</w:t>
      </w:r>
    </w:p>
    <w:p w14:paraId="799642B8" w14:textId="77777777" w:rsidR="00685E2D" w:rsidRDefault="00685E2D" w:rsidP="006053B2">
      <w:pPr>
        <w:keepNext/>
        <w:keepLines/>
        <w:rPr>
          <w:rFonts w:asciiTheme="majorHAnsi" w:hAnsiTheme="majorHAnsi" w:cstheme="majorHAnsi"/>
          <w:sz w:val="22"/>
          <w:szCs w:val="22"/>
          <w:u w:val="single"/>
        </w:rPr>
      </w:pPr>
    </w:p>
    <w:p w14:paraId="7E9A5E21" w14:textId="0C8230C9" w:rsidR="00C84870" w:rsidRPr="006053B2" w:rsidRDefault="00C84870" w:rsidP="006053B2">
      <w:pPr>
        <w:keepNext/>
        <w:keepLines/>
        <w:rPr>
          <w:rFonts w:asciiTheme="majorHAnsi" w:hAnsiTheme="majorHAnsi" w:cstheme="majorHAnsi"/>
          <w:sz w:val="22"/>
          <w:szCs w:val="22"/>
          <w:u w:val="single"/>
        </w:rPr>
      </w:pPr>
      <w:r>
        <w:rPr>
          <w:rFonts w:asciiTheme="majorHAnsi" w:hAnsiTheme="majorHAnsi"/>
          <w:sz w:val="22"/>
          <w:u w:val="single"/>
        </w:rPr>
        <w:t>Cómo lograr que el trabajo sea más eficaz:</w:t>
      </w:r>
    </w:p>
    <w:p w14:paraId="031A058A" w14:textId="77777777" w:rsidR="00C84870" w:rsidRPr="006053B2" w:rsidRDefault="00C84870" w:rsidP="006053B2">
      <w:pPr>
        <w:keepNext/>
        <w:keepLines/>
        <w:rPr>
          <w:rFonts w:asciiTheme="majorHAnsi" w:hAnsiTheme="majorHAnsi" w:cstheme="majorHAnsi"/>
          <w:sz w:val="22"/>
          <w:szCs w:val="22"/>
        </w:rPr>
      </w:pPr>
    </w:p>
    <w:p w14:paraId="185321D4" w14:textId="77777777" w:rsidR="00C84870" w:rsidRPr="006053B2" w:rsidRDefault="00C84870" w:rsidP="006053B2">
      <w:pPr>
        <w:keepNext/>
        <w:keepLines/>
        <w:rPr>
          <w:rFonts w:asciiTheme="majorHAnsi" w:hAnsiTheme="majorHAnsi" w:cstheme="majorHAnsi"/>
          <w:i/>
          <w:sz w:val="22"/>
          <w:szCs w:val="22"/>
        </w:rPr>
      </w:pPr>
      <w:r>
        <w:rPr>
          <w:rFonts w:asciiTheme="majorHAnsi" w:hAnsiTheme="majorHAnsi"/>
          <w:i/>
          <w:sz w:val="22"/>
        </w:rPr>
        <w:t>Estrategias/sistemas:</w:t>
      </w:r>
    </w:p>
    <w:p w14:paraId="48457951" w14:textId="6C0195FF"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Utilizar un sistema para evaluar cómo la aplicación del Programa de CECoP ha incidido en la promoción de la conservación y gestión de los humedales</w:t>
      </w:r>
    </w:p>
    <w:p w14:paraId="2C4BE4DB" w14:textId="13E43E97"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Centrarse en los responsables de políticas, los encargados de tomar decisiones y los administradores de humedales; esto se alinea con las instrucciones impartidas al GECT</w:t>
      </w:r>
    </w:p>
    <w:p w14:paraId="76976385" w14:textId="1AB49A46"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En lugar de reducir el número de objetivos mundiales, ordenarlos por prioridad</w:t>
      </w:r>
    </w:p>
    <w:p w14:paraId="28D1EDD6" w14:textId="1D8F2A40"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 xml:space="preserve">Apoyo del gobierno nacional (fondos) </w:t>
      </w:r>
    </w:p>
    <w:p w14:paraId="189E02C9" w14:textId="1854A348"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Incluir la CECoP en todos los programas nacionales pertinentes</w:t>
      </w:r>
    </w:p>
    <w:p w14:paraId="00DD9CE9" w14:textId="0208C652"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Involucrar a todos los interesados pertinentes</w:t>
      </w:r>
    </w:p>
    <w:p w14:paraId="50D9397C" w14:textId="25ACDE01"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Cada país tiene diferentes prioridades y necesidades</w:t>
      </w:r>
    </w:p>
    <w:p w14:paraId="387F35A5" w14:textId="77777777" w:rsidR="00C84870" w:rsidRPr="006053B2" w:rsidRDefault="00C84870" w:rsidP="006053B2">
      <w:pPr>
        <w:rPr>
          <w:rFonts w:asciiTheme="majorHAnsi" w:hAnsiTheme="majorHAnsi" w:cstheme="majorHAnsi"/>
          <w:sz w:val="22"/>
          <w:szCs w:val="22"/>
          <w:u w:val="single"/>
        </w:rPr>
      </w:pPr>
    </w:p>
    <w:p w14:paraId="0339D9F4" w14:textId="77777777" w:rsidR="00C84870" w:rsidRPr="006053B2" w:rsidRDefault="00C84870" w:rsidP="006053B2">
      <w:pPr>
        <w:rPr>
          <w:rFonts w:asciiTheme="majorHAnsi" w:hAnsiTheme="majorHAnsi" w:cstheme="majorHAnsi"/>
          <w:i/>
          <w:sz w:val="22"/>
          <w:szCs w:val="22"/>
        </w:rPr>
      </w:pPr>
      <w:r>
        <w:rPr>
          <w:rFonts w:asciiTheme="majorHAnsi" w:hAnsiTheme="majorHAnsi"/>
          <w:i/>
          <w:sz w:val="22"/>
        </w:rPr>
        <w:t>Intercambio de experiencias para la creación de capacidad:</w:t>
      </w:r>
    </w:p>
    <w:p w14:paraId="5D6B2567" w14:textId="73CD9844"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Facilitación y creación de redes a escalas regional y nacional</w:t>
      </w:r>
    </w:p>
    <w:p w14:paraId="7286D05C" w14:textId="3157599F"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Aumentar la capacidad de los coordinadores nacionales y administradores de humedales; formación</w:t>
      </w:r>
    </w:p>
    <w:p w14:paraId="38F45880" w14:textId="77777777" w:rsidR="00C84870" w:rsidRPr="006053B2" w:rsidRDefault="00C84870" w:rsidP="006053B2">
      <w:pPr>
        <w:rPr>
          <w:rFonts w:asciiTheme="majorHAnsi" w:hAnsiTheme="majorHAnsi" w:cstheme="majorHAnsi"/>
          <w:sz w:val="22"/>
          <w:szCs w:val="22"/>
        </w:rPr>
      </w:pPr>
    </w:p>
    <w:p w14:paraId="4428126E" w14:textId="44574AD9" w:rsidR="00EE3868" w:rsidRDefault="00C84870" w:rsidP="006053B2">
      <w:pPr>
        <w:rPr>
          <w:rFonts w:asciiTheme="majorHAnsi" w:hAnsiTheme="majorHAnsi" w:cstheme="majorHAnsi"/>
          <w:b/>
          <w:sz w:val="22"/>
          <w:szCs w:val="22"/>
        </w:rPr>
      </w:pPr>
      <w:r>
        <w:rPr>
          <w:rFonts w:asciiTheme="majorHAnsi" w:hAnsiTheme="majorHAnsi"/>
          <w:b/>
          <w:sz w:val="22"/>
        </w:rPr>
        <w:t>4. Integrar el programa de CECoP en el Plan Estratégico</w:t>
      </w:r>
    </w:p>
    <w:p w14:paraId="63DF3821" w14:textId="77777777" w:rsidR="00EE3868" w:rsidRPr="006053B2" w:rsidRDefault="00EE3868" w:rsidP="006053B2">
      <w:pPr>
        <w:rPr>
          <w:rFonts w:asciiTheme="majorHAnsi" w:hAnsiTheme="majorHAnsi" w:cstheme="majorHAnsi"/>
          <w:b/>
          <w:sz w:val="22"/>
          <w:szCs w:val="22"/>
        </w:rPr>
      </w:pPr>
    </w:p>
    <w:p w14:paraId="7C19D723" w14:textId="77777777" w:rsidR="00C84870" w:rsidRPr="006053B2" w:rsidRDefault="00C84870" w:rsidP="006053B2">
      <w:pPr>
        <w:rPr>
          <w:rFonts w:asciiTheme="majorHAnsi" w:hAnsiTheme="majorHAnsi" w:cstheme="majorHAnsi"/>
          <w:sz w:val="22"/>
          <w:szCs w:val="22"/>
        </w:rPr>
      </w:pPr>
      <w:r>
        <w:rPr>
          <w:rFonts w:asciiTheme="majorHAnsi" w:hAnsiTheme="majorHAnsi"/>
          <w:sz w:val="22"/>
        </w:rPr>
        <w:t>Una clara mayoría de los encuestados considera que sería útil incluir el programa de CECoP en el Plan Estratégico. Sin embargo, también hay muchos encuestados que consideran que un programa de CECoP independiente puede tener un valor.</w:t>
      </w:r>
    </w:p>
    <w:p w14:paraId="065F48B0" w14:textId="77777777" w:rsidR="00C84870" w:rsidRPr="006053B2" w:rsidRDefault="00C84870" w:rsidP="006053B2">
      <w:pPr>
        <w:rPr>
          <w:rFonts w:asciiTheme="majorHAnsi" w:hAnsiTheme="majorHAnsi" w:cstheme="majorHAnsi"/>
          <w:sz w:val="22"/>
          <w:szCs w:val="22"/>
        </w:rPr>
      </w:pPr>
    </w:p>
    <w:p w14:paraId="10743BDE" w14:textId="77777777" w:rsidR="00C84870" w:rsidRPr="006053B2" w:rsidRDefault="00C84870" w:rsidP="006053B2">
      <w:pPr>
        <w:rPr>
          <w:rFonts w:asciiTheme="majorHAnsi" w:hAnsiTheme="majorHAnsi" w:cstheme="majorHAnsi"/>
          <w:sz w:val="22"/>
          <w:szCs w:val="22"/>
          <w:u w:val="single"/>
        </w:rPr>
      </w:pPr>
      <w:r>
        <w:rPr>
          <w:rFonts w:asciiTheme="majorHAnsi" w:hAnsiTheme="majorHAnsi"/>
          <w:sz w:val="22"/>
          <w:u w:val="single"/>
        </w:rPr>
        <w:t xml:space="preserve">Comentarios sobre el valor de un programa de CECoP independiente: </w:t>
      </w:r>
    </w:p>
    <w:p w14:paraId="56296267" w14:textId="5DD70949"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Un programa de CECoP independiente vuelve visible la CECoP y muestra su importancia</w:t>
      </w:r>
    </w:p>
    <w:p w14:paraId="0CB0F073" w14:textId="08E7B136"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La CECoP podría subestimarse o perderse si carece de un programa propio</w:t>
      </w:r>
    </w:p>
    <w:p w14:paraId="7B0515E2" w14:textId="3B8608CF"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La CECoP no tendrá que competir con otras cuestiones</w:t>
      </w:r>
    </w:p>
    <w:p w14:paraId="0D258274" w14:textId="200CBCC6"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Mayor énfasis en la CECoP</w:t>
      </w:r>
    </w:p>
    <w:p w14:paraId="730A5FA6" w14:textId="23B2CE06"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Valor de los documentos con orientaciones de apoyo distintos del Plan Estratégico</w:t>
      </w:r>
    </w:p>
    <w:p w14:paraId="70045664" w14:textId="1D968AB5"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La CECoP es un área especializada de trabajo</w:t>
      </w:r>
    </w:p>
    <w:p w14:paraId="71733A87" w14:textId="33540304" w:rsidR="00C84870" w:rsidRPr="006053B2" w:rsidRDefault="00C84870" w:rsidP="00B12DD9">
      <w:pPr>
        <w:pStyle w:val="ListParagraph"/>
        <w:numPr>
          <w:ilvl w:val="0"/>
          <w:numId w:val="14"/>
        </w:numPr>
        <w:ind w:left="426" w:hanging="426"/>
        <w:rPr>
          <w:rFonts w:asciiTheme="majorHAnsi" w:hAnsiTheme="majorHAnsi" w:cstheme="majorHAnsi"/>
          <w:sz w:val="22"/>
          <w:szCs w:val="22"/>
        </w:rPr>
      </w:pPr>
      <w:r>
        <w:rPr>
          <w:rFonts w:asciiTheme="majorHAnsi" w:hAnsiTheme="majorHAnsi"/>
          <w:sz w:val="22"/>
        </w:rPr>
        <w:t>Es más fácil alcanzar los objetivos</w:t>
      </w:r>
    </w:p>
    <w:p w14:paraId="6C994527" w14:textId="77777777" w:rsidR="00C84870" w:rsidRPr="006053B2" w:rsidRDefault="00C84870" w:rsidP="006053B2">
      <w:pPr>
        <w:rPr>
          <w:rFonts w:asciiTheme="majorHAnsi" w:hAnsiTheme="majorHAnsi" w:cstheme="majorHAnsi"/>
          <w:sz w:val="22"/>
          <w:szCs w:val="22"/>
        </w:rPr>
      </w:pPr>
    </w:p>
    <w:p w14:paraId="4EFEC99A" w14:textId="7294637E" w:rsidR="00C84870" w:rsidRDefault="00C84870" w:rsidP="00EE599F">
      <w:pPr>
        <w:keepNext/>
        <w:rPr>
          <w:rFonts w:asciiTheme="majorHAnsi" w:hAnsiTheme="majorHAnsi" w:cstheme="majorHAnsi"/>
          <w:b/>
          <w:sz w:val="22"/>
          <w:szCs w:val="22"/>
        </w:rPr>
      </w:pPr>
      <w:r>
        <w:rPr>
          <w:rFonts w:asciiTheme="majorHAnsi" w:hAnsiTheme="majorHAnsi"/>
          <w:b/>
          <w:sz w:val="22"/>
        </w:rPr>
        <w:lastRenderedPageBreak/>
        <w:t xml:space="preserve">5. La presentación de informes se ajustará mejor a otras convenciones e iniciativas internacionales </w:t>
      </w:r>
    </w:p>
    <w:p w14:paraId="41B9C4BF" w14:textId="77777777" w:rsidR="00EE3868" w:rsidRPr="006053B2" w:rsidRDefault="00EE3868" w:rsidP="00EE599F">
      <w:pPr>
        <w:keepNext/>
        <w:rPr>
          <w:rFonts w:asciiTheme="majorHAnsi" w:hAnsiTheme="majorHAnsi" w:cstheme="majorHAnsi"/>
          <w:b/>
          <w:sz w:val="22"/>
          <w:szCs w:val="22"/>
        </w:rPr>
      </w:pPr>
    </w:p>
    <w:p w14:paraId="1F88EA18" w14:textId="77777777" w:rsidR="00C84870" w:rsidRPr="006053B2" w:rsidRDefault="00C84870" w:rsidP="006053B2">
      <w:pPr>
        <w:rPr>
          <w:rFonts w:asciiTheme="majorHAnsi" w:hAnsiTheme="majorHAnsi" w:cstheme="majorHAnsi"/>
          <w:sz w:val="22"/>
          <w:szCs w:val="22"/>
        </w:rPr>
      </w:pPr>
      <w:r>
        <w:rPr>
          <w:rFonts w:asciiTheme="majorHAnsi" w:hAnsiTheme="majorHAnsi"/>
          <w:sz w:val="22"/>
        </w:rPr>
        <w:t xml:space="preserve">Una clara mayoría de los encuestados considera que la presentación de informes sobre CECoP de la Convención debe ajustarse mejor a los requisitos de presentación de informes de otras convenciones internacionales; además, considera que hay que racionalizar la presentación de informes de CECoP en los informes nacionales. </w:t>
      </w:r>
    </w:p>
    <w:p w14:paraId="628969B1" w14:textId="77777777" w:rsidR="00C84870" w:rsidRPr="006053B2" w:rsidRDefault="00C84870" w:rsidP="006053B2">
      <w:pPr>
        <w:rPr>
          <w:rFonts w:asciiTheme="majorHAnsi" w:hAnsiTheme="majorHAnsi" w:cstheme="majorHAnsi"/>
          <w:b/>
          <w:sz w:val="22"/>
          <w:szCs w:val="22"/>
        </w:rPr>
      </w:pPr>
    </w:p>
    <w:p w14:paraId="4CA8965F" w14:textId="0B5F2CA2" w:rsidR="00C84870" w:rsidRDefault="00C84870" w:rsidP="006053B2">
      <w:pPr>
        <w:rPr>
          <w:rFonts w:asciiTheme="majorHAnsi" w:hAnsiTheme="majorHAnsi" w:cstheme="majorHAnsi"/>
          <w:b/>
          <w:sz w:val="22"/>
          <w:szCs w:val="22"/>
        </w:rPr>
      </w:pPr>
      <w:r>
        <w:rPr>
          <w:rFonts w:asciiTheme="majorHAnsi" w:hAnsiTheme="majorHAnsi"/>
          <w:b/>
          <w:sz w:val="22"/>
        </w:rPr>
        <w:t xml:space="preserve">6. Un pequeño número de actividades de alta prioridad que se ajustan a los cuatro objetivos del Plan Estratégico </w:t>
      </w:r>
    </w:p>
    <w:p w14:paraId="5D3FEC23" w14:textId="77777777" w:rsidR="00EE3868" w:rsidRPr="006053B2" w:rsidRDefault="00EE3868" w:rsidP="006053B2">
      <w:pPr>
        <w:rPr>
          <w:rFonts w:asciiTheme="majorHAnsi" w:hAnsiTheme="majorHAnsi" w:cstheme="majorHAnsi"/>
          <w:b/>
          <w:sz w:val="22"/>
          <w:szCs w:val="22"/>
        </w:rPr>
      </w:pPr>
    </w:p>
    <w:p w14:paraId="7A9DAA00" w14:textId="77777777" w:rsidR="00C84870" w:rsidRPr="006053B2" w:rsidRDefault="00C84870" w:rsidP="006053B2">
      <w:pPr>
        <w:rPr>
          <w:rFonts w:asciiTheme="majorHAnsi" w:hAnsiTheme="majorHAnsi" w:cstheme="majorHAnsi"/>
          <w:b/>
          <w:sz w:val="22"/>
          <w:szCs w:val="22"/>
        </w:rPr>
      </w:pPr>
      <w:r>
        <w:rPr>
          <w:rFonts w:asciiTheme="majorHAnsi" w:hAnsiTheme="majorHAnsi"/>
          <w:sz w:val="22"/>
        </w:rPr>
        <w:t>Una amplia mayoría de los encuestados considera que sería útil ajustar las actividades de CECoP a los objetivos del Plan Estratégico.</w:t>
      </w:r>
    </w:p>
    <w:p w14:paraId="0D8FCCFF" w14:textId="77777777" w:rsidR="00C84870" w:rsidRPr="006053B2" w:rsidRDefault="00C84870" w:rsidP="006053B2">
      <w:pPr>
        <w:rPr>
          <w:rFonts w:asciiTheme="majorHAnsi" w:hAnsiTheme="majorHAnsi" w:cstheme="majorHAnsi"/>
          <w:b/>
          <w:sz w:val="22"/>
          <w:szCs w:val="22"/>
        </w:rPr>
      </w:pPr>
    </w:p>
    <w:p w14:paraId="60B80403" w14:textId="1C72E3B0" w:rsidR="00C84870" w:rsidRDefault="00C84870" w:rsidP="006053B2">
      <w:pPr>
        <w:rPr>
          <w:rFonts w:asciiTheme="majorHAnsi" w:hAnsiTheme="majorHAnsi" w:cstheme="majorHAnsi"/>
          <w:b/>
          <w:sz w:val="22"/>
          <w:szCs w:val="22"/>
        </w:rPr>
      </w:pPr>
      <w:r>
        <w:rPr>
          <w:rFonts w:asciiTheme="majorHAnsi" w:hAnsiTheme="majorHAnsi"/>
          <w:b/>
          <w:sz w:val="22"/>
        </w:rPr>
        <w:t xml:space="preserve">7. Trabajo en red y mediante asociaciones de colaboración </w:t>
      </w:r>
    </w:p>
    <w:p w14:paraId="7E95AADB" w14:textId="77777777" w:rsidR="00EE3868" w:rsidRPr="006053B2" w:rsidRDefault="00EE3868" w:rsidP="006053B2">
      <w:pPr>
        <w:rPr>
          <w:rFonts w:asciiTheme="majorHAnsi" w:hAnsiTheme="majorHAnsi" w:cstheme="majorHAnsi"/>
          <w:b/>
          <w:sz w:val="22"/>
          <w:szCs w:val="22"/>
        </w:rPr>
      </w:pPr>
    </w:p>
    <w:p w14:paraId="0E7EDBD5" w14:textId="77777777" w:rsidR="00C84870" w:rsidRPr="006053B2" w:rsidRDefault="00C84870" w:rsidP="006053B2">
      <w:pPr>
        <w:rPr>
          <w:rFonts w:asciiTheme="majorHAnsi" w:hAnsiTheme="majorHAnsi" w:cstheme="majorHAnsi"/>
          <w:b/>
          <w:sz w:val="22"/>
          <w:szCs w:val="22"/>
        </w:rPr>
      </w:pPr>
      <w:r>
        <w:rPr>
          <w:rFonts w:asciiTheme="majorHAnsi" w:hAnsiTheme="majorHAnsi"/>
          <w:sz w:val="22"/>
        </w:rPr>
        <w:t xml:space="preserve">Una amplia mayoría de los encuestados considera que la creación de redes sólidas entre los coordinadores nacionales, los coordinadores de CECoP y los centros de educación y de visitantes de los humedales constituyen una forma útil de fortalecer la labor de CECoP; además, considera que serían útiles los paquetes de capacitación para los coordinadores de CECoP. </w:t>
      </w:r>
    </w:p>
    <w:p w14:paraId="33C42DB5" w14:textId="77777777" w:rsidR="00C84870" w:rsidRPr="006053B2" w:rsidRDefault="00C84870" w:rsidP="006053B2">
      <w:pPr>
        <w:rPr>
          <w:rFonts w:asciiTheme="majorHAnsi" w:hAnsiTheme="majorHAnsi" w:cstheme="majorHAnsi"/>
          <w:sz w:val="22"/>
          <w:szCs w:val="22"/>
        </w:rPr>
      </w:pPr>
    </w:p>
    <w:p w14:paraId="081A3C7E" w14:textId="5C9B1240" w:rsidR="00C84870" w:rsidRDefault="00C84870" w:rsidP="00B12DD9">
      <w:pPr>
        <w:keepNext/>
        <w:rPr>
          <w:rFonts w:asciiTheme="majorHAnsi" w:hAnsiTheme="majorHAnsi" w:cstheme="majorHAnsi"/>
          <w:b/>
          <w:sz w:val="22"/>
          <w:szCs w:val="22"/>
        </w:rPr>
      </w:pPr>
      <w:r>
        <w:rPr>
          <w:rFonts w:asciiTheme="majorHAnsi" w:hAnsiTheme="majorHAnsi"/>
          <w:b/>
          <w:sz w:val="22"/>
        </w:rPr>
        <w:t>8. La CECoP integrada en toda la planificación y las actividades de la Convención</w:t>
      </w:r>
    </w:p>
    <w:p w14:paraId="44181517" w14:textId="77777777" w:rsidR="00EE3868" w:rsidRPr="006053B2" w:rsidRDefault="00EE3868" w:rsidP="00B12DD9">
      <w:pPr>
        <w:keepNext/>
        <w:rPr>
          <w:rFonts w:asciiTheme="majorHAnsi" w:hAnsiTheme="majorHAnsi" w:cstheme="majorHAnsi"/>
          <w:b/>
          <w:sz w:val="22"/>
          <w:szCs w:val="22"/>
        </w:rPr>
      </w:pPr>
    </w:p>
    <w:p w14:paraId="6415429C" w14:textId="41C5EFBD" w:rsidR="00E32C50" w:rsidRDefault="00C84870" w:rsidP="006053B2">
      <w:pPr>
        <w:rPr>
          <w:rFonts w:asciiTheme="majorHAnsi" w:hAnsiTheme="majorHAnsi"/>
          <w:b/>
        </w:rPr>
      </w:pPr>
      <w:r>
        <w:rPr>
          <w:rFonts w:asciiTheme="majorHAnsi" w:hAnsiTheme="majorHAnsi"/>
          <w:sz w:val="22"/>
        </w:rPr>
        <w:t xml:space="preserve">Una amplia mayoría de los encuestados considera que sería útil incluir al coordinador nacional de CECoP en el Comité Nacional Ramsar de cada uno de los países. </w:t>
      </w:r>
    </w:p>
    <w:sectPr w:rsidR="00E32C50" w:rsidSect="003D28E4">
      <w:footerReference w:type="default" r:id="rId16"/>
      <w:pgSz w:w="11907" w:h="16839" w:code="9"/>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46833C" w16cid:durableId="26C5E368"/>
  <w16cid:commentId w16cid:paraId="352563C6" w16cid:durableId="26C5E369"/>
  <w16cid:commentId w16cid:paraId="767167A3" w16cid:durableId="26C5E3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98612" w14:textId="77777777" w:rsidR="00967C35" w:rsidRDefault="00967C35" w:rsidP="00002B9E">
      <w:r>
        <w:separator/>
      </w:r>
    </w:p>
  </w:endnote>
  <w:endnote w:type="continuationSeparator" w:id="0">
    <w:p w14:paraId="68C20A65" w14:textId="77777777" w:rsidR="00967C35" w:rsidRDefault="00967C35" w:rsidP="00002B9E">
      <w:r>
        <w:continuationSeparator/>
      </w:r>
    </w:p>
  </w:endnote>
  <w:endnote w:type="continuationNotice" w:id="1">
    <w:p w14:paraId="1632B944" w14:textId="77777777" w:rsidR="00967C35" w:rsidRDefault="00967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D3CA" w14:textId="7722353F" w:rsidR="00D7748F" w:rsidRPr="00C50F56" w:rsidRDefault="00D7748F" w:rsidP="00E32C50">
    <w:pPr>
      <w:pStyle w:val="Footer"/>
      <w:tabs>
        <w:tab w:val="clear" w:pos="9026"/>
        <w:tab w:val="left" w:pos="8820"/>
        <w:tab w:val="right" w:pos="14220"/>
      </w:tabs>
      <w:rPr>
        <w:rFonts w:ascii="Calibri" w:hAnsi="Calibri"/>
        <w:sz w:val="20"/>
        <w:szCs w:val="20"/>
      </w:rPr>
    </w:pPr>
    <w:r>
      <w:rPr>
        <w:rFonts w:ascii="Calibri" w:hAnsi="Calibri"/>
        <w:sz w:val="20"/>
      </w:rPr>
      <w:t>COP14 Doc.11</w:t>
    </w:r>
    <w:r>
      <w:rPr>
        <w:rFonts w:ascii="Calibri" w:hAnsi="Calibri"/>
        <w:sz w:val="20"/>
      </w:rPr>
      <w:tab/>
    </w:r>
    <w:r>
      <w:rPr>
        <w:rFonts w:ascii="Calibri" w:hAnsi="Calibri"/>
        <w:sz w:val="20"/>
      </w:rPr>
      <w:tab/>
    </w:r>
    <w:r w:rsidRPr="00CB5417">
      <w:rPr>
        <w:rFonts w:ascii="Calibri" w:hAnsi="Calibri"/>
        <w:sz w:val="20"/>
      </w:rPr>
      <w:fldChar w:fldCharType="begin"/>
    </w:r>
    <w:r w:rsidRPr="00CB5417">
      <w:rPr>
        <w:rFonts w:ascii="Calibri" w:hAnsi="Calibri"/>
        <w:sz w:val="20"/>
      </w:rPr>
      <w:instrText xml:space="preserve"> PAGE   \* MERGEFORMAT </w:instrText>
    </w:r>
    <w:r w:rsidRPr="00CB5417">
      <w:rPr>
        <w:rFonts w:ascii="Calibri" w:hAnsi="Calibri"/>
        <w:sz w:val="20"/>
      </w:rPr>
      <w:fldChar w:fldCharType="separate"/>
    </w:r>
    <w:r w:rsidR="0066783E">
      <w:rPr>
        <w:rFonts w:ascii="Calibri" w:hAnsi="Calibri"/>
        <w:noProof/>
        <w:sz w:val="20"/>
      </w:rPr>
      <w:t>22</w:t>
    </w:r>
    <w:r w:rsidRPr="00CB5417">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535D0" w14:textId="77777777" w:rsidR="00967C35" w:rsidRDefault="00967C35" w:rsidP="00002B9E">
      <w:r>
        <w:separator/>
      </w:r>
    </w:p>
  </w:footnote>
  <w:footnote w:type="continuationSeparator" w:id="0">
    <w:p w14:paraId="1E1BE0DE" w14:textId="77777777" w:rsidR="00967C35" w:rsidRDefault="00967C35" w:rsidP="00002B9E">
      <w:r>
        <w:continuationSeparator/>
      </w:r>
    </w:p>
  </w:footnote>
  <w:footnote w:type="continuationNotice" w:id="1">
    <w:p w14:paraId="26D489EB" w14:textId="77777777" w:rsidR="00967C35" w:rsidRDefault="00967C3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718"/>
    <w:multiLevelType w:val="hybridMultilevel"/>
    <w:tmpl w:val="6FD25A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469EA"/>
    <w:multiLevelType w:val="multilevel"/>
    <w:tmpl w:val="EC8EC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A4154"/>
    <w:multiLevelType w:val="hybridMultilevel"/>
    <w:tmpl w:val="028C3786"/>
    <w:lvl w:ilvl="0" w:tplc="0C090003">
      <w:start w:val="1"/>
      <w:numFmt w:val="bullet"/>
      <w:lvlText w:val="o"/>
      <w:lvlJc w:val="left"/>
      <w:pPr>
        <w:ind w:left="1440" w:hanging="360"/>
      </w:pPr>
      <w:rPr>
        <w:rFonts w:ascii="Courier New" w:hAnsi="Courier New" w:cs="Courier New" w:hint="default"/>
      </w:rPr>
    </w:lvl>
    <w:lvl w:ilvl="1" w:tplc="CD083844">
      <w:start w:val="1"/>
      <w:numFmt w:val="bullet"/>
      <w:lvlText w:val="o"/>
      <w:lvlJc w:val="left"/>
      <w:pPr>
        <w:ind w:left="2160" w:hanging="360"/>
      </w:pPr>
      <w:rPr>
        <w:rFonts w:ascii="Courier New" w:hAnsi="Courier New" w:cs="Times New Roman" w:hint="default"/>
      </w:rPr>
    </w:lvl>
    <w:lvl w:ilvl="2" w:tplc="E94470F0">
      <w:start w:val="1"/>
      <w:numFmt w:val="bullet"/>
      <w:lvlText w:val=""/>
      <w:lvlJc w:val="left"/>
      <w:pPr>
        <w:ind w:left="2880" w:hanging="360"/>
      </w:pPr>
      <w:rPr>
        <w:rFonts w:ascii="Wingdings" w:hAnsi="Wingdings" w:hint="default"/>
      </w:rPr>
    </w:lvl>
    <w:lvl w:ilvl="3" w:tplc="2E167E04">
      <w:start w:val="1"/>
      <w:numFmt w:val="bullet"/>
      <w:lvlText w:val=""/>
      <w:lvlJc w:val="left"/>
      <w:pPr>
        <w:ind w:left="3600" w:hanging="360"/>
      </w:pPr>
      <w:rPr>
        <w:rFonts w:ascii="Symbol" w:hAnsi="Symbol" w:hint="default"/>
      </w:rPr>
    </w:lvl>
    <w:lvl w:ilvl="4" w:tplc="D2A4702A">
      <w:start w:val="1"/>
      <w:numFmt w:val="bullet"/>
      <w:lvlText w:val="o"/>
      <w:lvlJc w:val="left"/>
      <w:pPr>
        <w:ind w:left="4320" w:hanging="360"/>
      </w:pPr>
      <w:rPr>
        <w:rFonts w:ascii="Courier New" w:hAnsi="Courier New" w:cs="Times New Roman" w:hint="default"/>
      </w:rPr>
    </w:lvl>
    <w:lvl w:ilvl="5" w:tplc="68F893EC">
      <w:start w:val="1"/>
      <w:numFmt w:val="bullet"/>
      <w:lvlText w:val=""/>
      <w:lvlJc w:val="left"/>
      <w:pPr>
        <w:ind w:left="5040" w:hanging="360"/>
      </w:pPr>
      <w:rPr>
        <w:rFonts w:ascii="Wingdings" w:hAnsi="Wingdings" w:hint="default"/>
      </w:rPr>
    </w:lvl>
    <w:lvl w:ilvl="6" w:tplc="4BC09478">
      <w:start w:val="1"/>
      <w:numFmt w:val="bullet"/>
      <w:lvlText w:val=""/>
      <w:lvlJc w:val="left"/>
      <w:pPr>
        <w:ind w:left="5760" w:hanging="360"/>
      </w:pPr>
      <w:rPr>
        <w:rFonts w:ascii="Symbol" w:hAnsi="Symbol" w:hint="default"/>
      </w:rPr>
    </w:lvl>
    <w:lvl w:ilvl="7" w:tplc="2C6C7D4A">
      <w:start w:val="1"/>
      <w:numFmt w:val="bullet"/>
      <w:lvlText w:val="o"/>
      <w:lvlJc w:val="left"/>
      <w:pPr>
        <w:ind w:left="6480" w:hanging="360"/>
      </w:pPr>
      <w:rPr>
        <w:rFonts w:ascii="Courier New" w:hAnsi="Courier New" w:cs="Times New Roman" w:hint="default"/>
      </w:rPr>
    </w:lvl>
    <w:lvl w:ilvl="8" w:tplc="20604AE0">
      <w:start w:val="1"/>
      <w:numFmt w:val="bullet"/>
      <w:lvlText w:val=""/>
      <w:lvlJc w:val="left"/>
      <w:pPr>
        <w:ind w:left="7200" w:hanging="360"/>
      </w:pPr>
      <w:rPr>
        <w:rFonts w:ascii="Wingdings" w:hAnsi="Wingdings" w:hint="default"/>
      </w:rPr>
    </w:lvl>
  </w:abstractNum>
  <w:abstractNum w:abstractNumId="3" w15:restartNumberingAfterBreak="0">
    <w:nsid w:val="179E3D0D"/>
    <w:multiLevelType w:val="hybridMultilevel"/>
    <w:tmpl w:val="1D48BDAE"/>
    <w:lvl w:ilvl="0" w:tplc="168EA184">
      <w:start w:val="1"/>
      <w:numFmt w:val="bullet"/>
      <w:lvlText w:val="·"/>
      <w:lvlJc w:val="left"/>
      <w:pPr>
        <w:ind w:left="1440" w:hanging="360"/>
      </w:pPr>
      <w:rPr>
        <w:rFonts w:ascii="Symbol" w:hAnsi="Symbol" w:hint="default"/>
      </w:rPr>
    </w:lvl>
    <w:lvl w:ilvl="1" w:tplc="CD083844">
      <w:start w:val="1"/>
      <w:numFmt w:val="bullet"/>
      <w:lvlText w:val="o"/>
      <w:lvlJc w:val="left"/>
      <w:pPr>
        <w:ind w:left="2160" w:hanging="360"/>
      </w:pPr>
      <w:rPr>
        <w:rFonts w:ascii="Courier New" w:hAnsi="Courier New" w:cs="Times New Roman" w:hint="default"/>
      </w:rPr>
    </w:lvl>
    <w:lvl w:ilvl="2" w:tplc="E94470F0">
      <w:start w:val="1"/>
      <w:numFmt w:val="bullet"/>
      <w:lvlText w:val=""/>
      <w:lvlJc w:val="left"/>
      <w:pPr>
        <w:ind w:left="2880" w:hanging="360"/>
      </w:pPr>
      <w:rPr>
        <w:rFonts w:ascii="Wingdings" w:hAnsi="Wingdings" w:hint="default"/>
      </w:rPr>
    </w:lvl>
    <w:lvl w:ilvl="3" w:tplc="2E167E04">
      <w:start w:val="1"/>
      <w:numFmt w:val="bullet"/>
      <w:lvlText w:val=""/>
      <w:lvlJc w:val="left"/>
      <w:pPr>
        <w:ind w:left="3600" w:hanging="360"/>
      </w:pPr>
      <w:rPr>
        <w:rFonts w:ascii="Symbol" w:hAnsi="Symbol" w:hint="default"/>
      </w:rPr>
    </w:lvl>
    <w:lvl w:ilvl="4" w:tplc="D2A4702A">
      <w:start w:val="1"/>
      <w:numFmt w:val="bullet"/>
      <w:lvlText w:val="o"/>
      <w:lvlJc w:val="left"/>
      <w:pPr>
        <w:ind w:left="4320" w:hanging="360"/>
      </w:pPr>
      <w:rPr>
        <w:rFonts w:ascii="Courier New" w:hAnsi="Courier New" w:cs="Times New Roman" w:hint="default"/>
      </w:rPr>
    </w:lvl>
    <w:lvl w:ilvl="5" w:tplc="68F893EC">
      <w:start w:val="1"/>
      <w:numFmt w:val="bullet"/>
      <w:lvlText w:val=""/>
      <w:lvlJc w:val="left"/>
      <w:pPr>
        <w:ind w:left="5040" w:hanging="360"/>
      </w:pPr>
      <w:rPr>
        <w:rFonts w:ascii="Wingdings" w:hAnsi="Wingdings" w:hint="default"/>
      </w:rPr>
    </w:lvl>
    <w:lvl w:ilvl="6" w:tplc="4BC09478">
      <w:start w:val="1"/>
      <w:numFmt w:val="bullet"/>
      <w:lvlText w:val=""/>
      <w:lvlJc w:val="left"/>
      <w:pPr>
        <w:ind w:left="5760" w:hanging="360"/>
      </w:pPr>
      <w:rPr>
        <w:rFonts w:ascii="Symbol" w:hAnsi="Symbol" w:hint="default"/>
      </w:rPr>
    </w:lvl>
    <w:lvl w:ilvl="7" w:tplc="2C6C7D4A">
      <w:start w:val="1"/>
      <w:numFmt w:val="bullet"/>
      <w:lvlText w:val="o"/>
      <w:lvlJc w:val="left"/>
      <w:pPr>
        <w:ind w:left="6480" w:hanging="360"/>
      </w:pPr>
      <w:rPr>
        <w:rFonts w:ascii="Courier New" w:hAnsi="Courier New" w:cs="Times New Roman" w:hint="default"/>
      </w:rPr>
    </w:lvl>
    <w:lvl w:ilvl="8" w:tplc="20604AE0">
      <w:start w:val="1"/>
      <w:numFmt w:val="bullet"/>
      <w:lvlText w:val=""/>
      <w:lvlJc w:val="left"/>
      <w:pPr>
        <w:ind w:left="7200" w:hanging="360"/>
      </w:pPr>
      <w:rPr>
        <w:rFonts w:ascii="Wingdings" w:hAnsi="Wingdings" w:hint="default"/>
      </w:rPr>
    </w:lvl>
  </w:abstractNum>
  <w:abstractNum w:abstractNumId="4" w15:restartNumberingAfterBreak="0">
    <w:nsid w:val="3022374E"/>
    <w:multiLevelType w:val="hybridMultilevel"/>
    <w:tmpl w:val="C10A451C"/>
    <w:lvl w:ilvl="0" w:tplc="08090003">
      <w:start w:val="1"/>
      <w:numFmt w:val="bullet"/>
      <w:lvlText w:val="o"/>
      <w:lvlJc w:val="left"/>
      <w:pPr>
        <w:ind w:left="1545" w:hanging="360"/>
      </w:pPr>
      <w:rPr>
        <w:rFonts w:ascii="Courier New" w:hAnsi="Courier New" w:cs="Courier New"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5" w15:restartNumberingAfterBreak="0">
    <w:nsid w:val="314571EB"/>
    <w:multiLevelType w:val="hybridMultilevel"/>
    <w:tmpl w:val="EDD4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643280"/>
    <w:multiLevelType w:val="hybridMultilevel"/>
    <w:tmpl w:val="4E7A2296"/>
    <w:lvl w:ilvl="0" w:tplc="3DA2FF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36D19"/>
    <w:multiLevelType w:val="hybridMultilevel"/>
    <w:tmpl w:val="69DC7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3D253F"/>
    <w:multiLevelType w:val="hybridMultilevel"/>
    <w:tmpl w:val="1E18E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134A11"/>
    <w:multiLevelType w:val="hybridMultilevel"/>
    <w:tmpl w:val="5980ED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6344A9"/>
    <w:multiLevelType w:val="hybridMultilevel"/>
    <w:tmpl w:val="839427C4"/>
    <w:lvl w:ilvl="0" w:tplc="0C090001">
      <w:start w:val="1"/>
      <w:numFmt w:val="bullet"/>
      <w:lvlText w:val=""/>
      <w:lvlJc w:val="left"/>
      <w:pPr>
        <w:ind w:left="720" w:hanging="360"/>
      </w:pPr>
      <w:rPr>
        <w:rFonts w:ascii="Symbol" w:hAnsi="Symbol" w:hint="default"/>
      </w:rPr>
    </w:lvl>
    <w:lvl w:ilvl="1" w:tplc="1EE45DE6">
      <w:start w:val="1"/>
      <w:numFmt w:val="bullet"/>
      <w:lvlText w:val="-"/>
      <w:lvlJc w:val="left"/>
      <w:pPr>
        <w:ind w:left="1440" w:hanging="360"/>
      </w:pPr>
      <w:rPr>
        <w:rFonts w:ascii="Yu Gothic" w:eastAsia="Yu Gothic" w:hAnsi="Yu Gothic" w:hint="eastAsi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E51AC9"/>
    <w:multiLevelType w:val="hybridMultilevel"/>
    <w:tmpl w:val="DC2E8D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F16A6B"/>
    <w:multiLevelType w:val="hybridMultilevel"/>
    <w:tmpl w:val="D1A8C07E"/>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11"/>
  </w:num>
  <w:num w:numId="5">
    <w:abstractNumId w:val="7"/>
  </w:num>
  <w:num w:numId="6">
    <w:abstractNumId w:val="3"/>
  </w:num>
  <w:num w:numId="7">
    <w:abstractNumId w:val="4"/>
  </w:num>
  <w:num w:numId="8">
    <w:abstractNumId w:val="5"/>
  </w:num>
  <w:num w:numId="9">
    <w:abstractNumId w:val="1"/>
  </w:num>
  <w:num w:numId="10">
    <w:abstractNumId w:val="10"/>
  </w:num>
  <w:num w:numId="11">
    <w:abstractNumId w:val="0"/>
  </w:num>
  <w:num w:numId="12">
    <w:abstractNumId w:val="2"/>
  </w:num>
  <w:num w:numId="13">
    <w:abstractNumId w:val="12"/>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FD"/>
    <w:rsid w:val="00002B9E"/>
    <w:rsid w:val="000071E3"/>
    <w:rsid w:val="000104CB"/>
    <w:rsid w:val="00011870"/>
    <w:rsid w:val="00013A20"/>
    <w:rsid w:val="00022368"/>
    <w:rsid w:val="000316BB"/>
    <w:rsid w:val="00035880"/>
    <w:rsid w:val="000418EB"/>
    <w:rsid w:val="00042782"/>
    <w:rsid w:val="00051D63"/>
    <w:rsid w:val="000626C8"/>
    <w:rsid w:val="0006765B"/>
    <w:rsid w:val="00081929"/>
    <w:rsid w:val="00093C64"/>
    <w:rsid w:val="000970FD"/>
    <w:rsid w:val="000A2151"/>
    <w:rsid w:val="000A4C25"/>
    <w:rsid w:val="000A770D"/>
    <w:rsid w:val="000B3943"/>
    <w:rsid w:val="000C32A0"/>
    <w:rsid w:val="000E1710"/>
    <w:rsid w:val="000E18FD"/>
    <w:rsid w:val="000F0B75"/>
    <w:rsid w:val="000F2A07"/>
    <w:rsid w:val="000F692A"/>
    <w:rsid w:val="00104B1D"/>
    <w:rsid w:val="00105745"/>
    <w:rsid w:val="0010612A"/>
    <w:rsid w:val="001138D4"/>
    <w:rsid w:val="00114121"/>
    <w:rsid w:val="001149FA"/>
    <w:rsid w:val="00117F49"/>
    <w:rsid w:val="00126734"/>
    <w:rsid w:val="00136D10"/>
    <w:rsid w:val="00143BA7"/>
    <w:rsid w:val="00151BE9"/>
    <w:rsid w:val="00156572"/>
    <w:rsid w:val="00162342"/>
    <w:rsid w:val="00162CCA"/>
    <w:rsid w:val="00195649"/>
    <w:rsid w:val="001A2196"/>
    <w:rsid w:val="001A4349"/>
    <w:rsid w:val="001A5CB1"/>
    <w:rsid w:val="001C2CAC"/>
    <w:rsid w:val="001C534E"/>
    <w:rsid w:val="001C5F25"/>
    <w:rsid w:val="001C735E"/>
    <w:rsid w:val="001D173E"/>
    <w:rsid w:val="001D269F"/>
    <w:rsid w:val="001D2764"/>
    <w:rsid w:val="001D318B"/>
    <w:rsid w:val="001E0066"/>
    <w:rsid w:val="001E46D6"/>
    <w:rsid w:val="001E538D"/>
    <w:rsid w:val="001E664B"/>
    <w:rsid w:val="001F4166"/>
    <w:rsid w:val="00202401"/>
    <w:rsid w:val="00206BAD"/>
    <w:rsid w:val="00207F77"/>
    <w:rsid w:val="002125BB"/>
    <w:rsid w:val="00226A55"/>
    <w:rsid w:val="00251D62"/>
    <w:rsid w:val="0026348B"/>
    <w:rsid w:val="00271BBA"/>
    <w:rsid w:val="00272F49"/>
    <w:rsid w:val="00275AF9"/>
    <w:rsid w:val="00282BD4"/>
    <w:rsid w:val="0028553D"/>
    <w:rsid w:val="00285A55"/>
    <w:rsid w:val="00287923"/>
    <w:rsid w:val="00293643"/>
    <w:rsid w:val="002966AA"/>
    <w:rsid w:val="002A35E5"/>
    <w:rsid w:val="002A3A1E"/>
    <w:rsid w:val="002A56F5"/>
    <w:rsid w:val="002B470B"/>
    <w:rsid w:val="002B6886"/>
    <w:rsid w:val="002B7332"/>
    <w:rsid w:val="002C00B9"/>
    <w:rsid w:val="002C7C18"/>
    <w:rsid w:val="002D4406"/>
    <w:rsid w:val="002D6FBD"/>
    <w:rsid w:val="002E1492"/>
    <w:rsid w:val="00303921"/>
    <w:rsid w:val="0030613E"/>
    <w:rsid w:val="00306A1E"/>
    <w:rsid w:val="003337E6"/>
    <w:rsid w:val="00334E92"/>
    <w:rsid w:val="00340245"/>
    <w:rsid w:val="0035174A"/>
    <w:rsid w:val="00352CC1"/>
    <w:rsid w:val="00354FE0"/>
    <w:rsid w:val="003560ED"/>
    <w:rsid w:val="003727D7"/>
    <w:rsid w:val="00385FB2"/>
    <w:rsid w:val="00392FD9"/>
    <w:rsid w:val="00394520"/>
    <w:rsid w:val="003A3EF9"/>
    <w:rsid w:val="003A5887"/>
    <w:rsid w:val="003A593D"/>
    <w:rsid w:val="003A79FC"/>
    <w:rsid w:val="003B0DD2"/>
    <w:rsid w:val="003B482A"/>
    <w:rsid w:val="003C0B23"/>
    <w:rsid w:val="003C0F44"/>
    <w:rsid w:val="003C538E"/>
    <w:rsid w:val="003D28E4"/>
    <w:rsid w:val="003D3FFF"/>
    <w:rsid w:val="003D7A71"/>
    <w:rsid w:val="003E5348"/>
    <w:rsid w:val="004013C8"/>
    <w:rsid w:val="0040188F"/>
    <w:rsid w:val="00405E53"/>
    <w:rsid w:val="00406DCA"/>
    <w:rsid w:val="004116A0"/>
    <w:rsid w:val="004139EE"/>
    <w:rsid w:val="0042045C"/>
    <w:rsid w:val="00446332"/>
    <w:rsid w:val="00451E55"/>
    <w:rsid w:val="00454C3C"/>
    <w:rsid w:val="00457767"/>
    <w:rsid w:val="00471BA3"/>
    <w:rsid w:val="00472467"/>
    <w:rsid w:val="0047289C"/>
    <w:rsid w:val="00473429"/>
    <w:rsid w:val="00480C78"/>
    <w:rsid w:val="004853B6"/>
    <w:rsid w:val="0048681A"/>
    <w:rsid w:val="004A2C64"/>
    <w:rsid w:val="004B02A5"/>
    <w:rsid w:val="004B21E2"/>
    <w:rsid w:val="004B5BB9"/>
    <w:rsid w:val="004C3670"/>
    <w:rsid w:val="004C5BDE"/>
    <w:rsid w:val="004C5BF4"/>
    <w:rsid w:val="004D353C"/>
    <w:rsid w:val="004D6D01"/>
    <w:rsid w:val="004D7005"/>
    <w:rsid w:val="004F17B4"/>
    <w:rsid w:val="004F2D3F"/>
    <w:rsid w:val="004F3024"/>
    <w:rsid w:val="004F3147"/>
    <w:rsid w:val="004F77A3"/>
    <w:rsid w:val="005039AD"/>
    <w:rsid w:val="0052503B"/>
    <w:rsid w:val="00534BD3"/>
    <w:rsid w:val="0053533F"/>
    <w:rsid w:val="00535F78"/>
    <w:rsid w:val="00542AE9"/>
    <w:rsid w:val="005447CF"/>
    <w:rsid w:val="00551906"/>
    <w:rsid w:val="00551C14"/>
    <w:rsid w:val="00554854"/>
    <w:rsid w:val="0056148E"/>
    <w:rsid w:val="005618AB"/>
    <w:rsid w:val="00561C40"/>
    <w:rsid w:val="00562C5D"/>
    <w:rsid w:val="005657F0"/>
    <w:rsid w:val="0057293F"/>
    <w:rsid w:val="00573681"/>
    <w:rsid w:val="005825FD"/>
    <w:rsid w:val="0058784F"/>
    <w:rsid w:val="005951D7"/>
    <w:rsid w:val="005B7A3C"/>
    <w:rsid w:val="005C517A"/>
    <w:rsid w:val="005D0DED"/>
    <w:rsid w:val="005E0B7A"/>
    <w:rsid w:val="005E585A"/>
    <w:rsid w:val="005F0A7E"/>
    <w:rsid w:val="005F2F9D"/>
    <w:rsid w:val="0060184B"/>
    <w:rsid w:val="00604507"/>
    <w:rsid w:val="006053B2"/>
    <w:rsid w:val="006053F7"/>
    <w:rsid w:val="00624D6A"/>
    <w:rsid w:val="0063126B"/>
    <w:rsid w:val="0063435A"/>
    <w:rsid w:val="006347EB"/>
    <w:rsid w:val="00643825"/>
    <w:rsid w:val="00644EEF"/>
    <w:rsid w:val="0064647E"/>
    <w:rsid w:val="00650A9D"/>
    <w:rsid w:val="00656918"/>
    <w:rsid w:val="00660380"/>
    <w:rsid w:val="0066783E"/>
    <w:rsid w:val="006763A5"/>
    <w:rsid w:val="00685E2D"/>
    <w:rsid w:val="006A0B48"/>
    <w:rsid w:val="006A0F02"/>
    <w:rsid w:val="006A252B"/>
    <w:rsid w:val="006A5559"/>
    <w:rsid w:val="006A63FF"/>
    <w:rsid w:val="006B31D4"/>
    <w:rsid w:val="006B738C"/>
    <w:rsid w:val="006C4F0F"/>
    <w:rsid w:val="006D342C"/>
    <w:rsid w:val="006E0AE9"/>
    <w:rsid w:val="006E54FC"/>
    <w:rsid w:val="006E6A28"/>
    <w:rsid w:val="0070043A"/>
    <w:rsid w:val="007004C2"/>
    <w:rsid w:val="00707013"/>
    <w:rsid w:val="00722C1B"/>
    <w:rsid w:val="00723164"/>
    <w:rsid w:val="00723F29"/>
    <w:rsid w:val="007357F1"/>
    <w:rsid w:val="007407DE"/>
    <w:rsid w:val="00740C58"/>
    <w:rsid w:val="0074148C"/>
    <w:rsid w:val="0074361F"/>
    <w:rsid w:val="007466DB"/>
    <w:rsid w:val="007535B2"/>
    <w:rsid w:val="007566DA"/>
    <w:rsid w:val="00756D73"/>
    <w:rsid w:val="00771807"/>
    <w:rsid w:val="00774F26"/>
    <w:rsid w:val="007811F7"/>
    <w:rsid w:val="0078342B"/>
    <w:rsid w:val="00793C33"/>
    <w:rsid w:val="007A1054"/>
    <w:rsid w:val="007B3A9C"/>
    <w:rsid w:val="007C0025"/>
    <w:rsid w:val="007C0406"/>
    <w:rsid w:val="007C0FDC"/>
    <w:rsid w:val="007C1886"/>
    <w:rsid w:val="007C353A"/>
    <w:rsid w:val="007C5E9F"/>
    <w:rsid w:val="007D0D4B"/>
    <w:rsid w:val="007D684D"/>
    <w:rsid w:val="007D7CE8"/>
    <w:rsid w:val="007E28BA"/>
    <w:rsid w:val="007E6759"/>
    <w:rsid w:val="007F0205"/>
    <w:rsid w:val="007F480A"/>
    <w:rsid w:val="00805542"/>
    <w:rsid w:val="00805A26"/>
    <w:rsid w:val="0081225B"/>
    <w:rsid w:val="00812502"/>
    <w:rsid w:val="008332AF"/>
    <w:rsid w:val="00834D56"/>
    <w:rsid w:val="00865515"/>
    <w:rsid w:val="00867596"/>
    <w:rsid w:val="0087585E"/>
    <w:rsid w:val="00876884"/>
    <w:rsid w:val="00876FD9"/>
    <w:rsid w:val="008802AF"/>
    <w:rsid w:val="00880BC4"/>
    <w:rsid w:val="008959D8"/>
    <w:rsid w:val="008A2B06"/>
    <w:rsid w:val="008A471E"/>
    <w:rsid w:val="008A5DB2"/>
    <w:rsid w:val="008B2A23"/>
    <w:rsid w:val="008C1109"/>
    <w:rsid w:val="008C39DD"/>
    <w:rsid w:val="008C3C41"/>
    <w:rsid w:val="008C5CC4"/>
    <w:rsid w:val="008D13C4"/>
    <w:rsid w:val="008D5F2E"/>
    <w:rsid w:val="008E76DB"/>
    <w:rsid w:val="008F51F6"/>
    <w:rsid w:val="008F681A"/>
    <w:rsid w:val="00905B43"/>
    <w:rsid w:val="00910A33"/>
    <w:rsid w:val="00913CEC"/>
    <w:rsid w:val="00915948"/>
    <w:rsid w:val="00915C00"/>
    <w:rsid w:val="0091611C"/>
    <w:rsid w:val="00917030"/>
    <w:rsid w:val="00920F61"/>
    <w:rsid w:val="00922328"/>
    <w:rsid w:val="0092589F"/>
    <w:rsid w:val="009279C0"/>
    <w:rsid w:val="00932F11"/>
    <w:rsid w:val="00936094"/>
    <w:rsid w:val="00940E96"/>
    <w:rsid w:val="009425AD"/>
    <w:rsid w:val="00944327"/>
    <w:rsid w:val="00950696"/>
    <w:rsid w:val="009526F7"/>
    <w:rsid w:val="0095393C"/>
    <w:rsid w:val="00955C2C"/>
    <w:rsid w:val="00961312"/>
    <w:rsid w:val="009653A3"/>
    <w:rsid w:val="00967C35"/>
    <w:rsid w:val="00975BB5"/>
    <w:rsid w:val="0098609A"/>
    <w:rsid w:val="00987120"/>
    <w:rsid w:val="00992BBD"/>
    <w:rsid w:val="00993921"/>
    <w:rsid w:val="00993E98"/>
    <w:rsid w:val="00996EE9"/>
    <w:rsid w:val="009A5A65"/>
    <w:rsid w:val="009B3AA6"/>
    <w:rsid w:val="009C1141"/>
    <w:rsid w:val="009C50B8"/>
    <w:rsid w:val="009D2CD1"/>
    <w:rsid w:val="009D54A6"/>
    <w:rsid w:val="009E34F6"/>
    <w:rsid w:val="009E6950"/>
    <w:rsid w:val="009F07A0"/>
    <w:rsid w:val="009F09D0"/>
    <w:rsid w:val="009F2B29"/>
    <w:rsid w:val="009F62AE"/>
    <w:rsid w:val="00A102DC"/>
    <w:rsid w:val="00A121C9"/>
    <w:rsid w:val="00A12D9B"/>
    <w:rsid w:val="00A14A02"/>
    <w:rsid w:val="00A154C7"/>
    <w:rsid w:val="00A15AC3"/>
    <w:rsid w:val="00A1707F"/>
    <w:rsid w:val="00A20454"/>
    <w:rsid w:val="00A2177E"/>
    <w:rsid w:val="00A303F4"/>
    <w:rsid w:val="00A32AD6"/>
    <w:rsid w:val="00A342C3"/>
    <w:rsid w:val="00A35B9F"/>
    <w:rsid w:val="00A36674"/>
    <w:rsid w:val="00A42E8C"/>
    <w:rsid w:val="00A45C3E"/>
    <w:rsid w:val="00A4794E"/>
    <w:rsid w:val="00A47C0D"/>
    <w:rsid w:val="00A62274"/>
    <w:rsid w:val="00A901B3"/>
    <w:rsid w:val="00A90471"/>
    <w:rsid w:val="00A92CBD"/>
    <w:rsid w:val="00AA44B3"/>
    <w:rsid w:val="00AB6F60"/>
    <w:rsid w:val="00AC4FB1"/>
    <w:rsid w:val="00AD3152"/>
    <w:rsid w:val="00AE1057"/>
    <w:rsid w:val="00AE20A6"/>
    <w:rsid w:val="00AE36CD"/>
    <w:rsid w:val="00AE4C4C"/>
    <w:rsid w:val="00AF4DED"/>
    <w:rsid w:val="00AF7D72"/>
    <w:rsid w:val="00B00BD0"/>
    <w:rsid w:val="00B12DD9"/>
    <w:rsid w:val="00B156BD"/>
    <w:rsid w:val="00B20189"/>
    <w:rsid w:val="00B26DBC"/>
    <w:rsid w:val="00B3586E"/>
    <w:rsid w:val="00B4290D"/>
    <w:rsid w:val="00B52035"/>
    <w:rsid w:val="00B569D2"/>
    <w:rsid w:val="00B625E9"/>
    <w:rsid w:val="00B6478A"/>
    <w:rsid w:val="00B71144"/>
    <w:rsid w:val="00B86BD7"/>
    <w:rsid w:val="00B86E7B"/>
    <w:rsid w:val="00B92399"/>
    <w:rsid w:val="00BB13FC"/>
    <w:rsid w:val="00BB5DC8"/>
    <w:rsid w:val="00BC6778"/>
    <w:rsid w:val="00BD0BE4"/>
    <w:rsid w:val="00BD68C4"/>
    <w:rsid w:val="00BE2207"/>
    <w:rsid w:val="00BF4803"/>
    <w:rsid w:val="00BF734F"/>
    <w:rsid w:val="00C10773"/>
    <w:rsid w:val="00C14C9E"/>
    <w:rsid w:val="00C17509"/>
    <w:rsid w:val="00C22848"/>
    <w:rsid w:val="00C234FD"/>
    <w:rsid w:val="00C27634"/>
    <w:rsid w:val="00C30EC4"/>
    <w:rsid w:val="00C472CD"/>
    <w:rsid w:val="00C50F56"/>
    <w:rsid w:val="00C5373B"/>
    <w:rsid w:val="00C64326"/>
    <w:rsid w:val="00C756DB"/>
    <w:rsid w:val="00C84870"/>
    <w:rsid w:val="00C93FDC"/>
    <w:rsid w:val="00C9646D"/>
    <w:rsid w:val="00C97A52"/>
    <w:rsid w:val="00CB2125"/>
    <w:rsid w:val="00CB276F"/>
    <w:rsid w:val="00CB65CB"/>
    <w:rsid w:val="00CB6CF9"/>
    <w:rsid w:val="00CC1365"/>
    <w:rsid w:val="00CC2072"/>
    <w:rsid w:val="00CC68C5"/>
    <w:rsid w:val="00CD1A19"/>
    <w:rsid w:val="00CE014B"/>
    <w:rsid w:val="00CE12B5"/>
    <w:rsid w:val="00CE4463"/>
    <w:rsid w:val="00CE7FBF"/>
    <w:rsid w:val="00CF06D9"/>
    <w:rsid w:val="00CF16A6"/>
    <w:rsid w:val="00CF544E"/>
    <w:rsid w:val="00CF6117"/>
    <w:rsid w:val="00D010C3"/>
    <w:rsid w:val="00D0200A"/>
    <w:rsid w:val="00D02DA9"/>
    <w:rsid w:val="00D045E3"/>
    <w:rsid w:val="00D057E6"/>
    <w:rsid w:val="00D14C34"/>
    <w:rsid w:val="00D158A0"/>
    <w:rsid w:val="00D15F35"/>
    <w:rsid w:val="00D22507"/>
    <w:rsid w:val="00D26AFC"/>
    <w:rsid w:val="00D64920"/>
    <w:rsid w:val="00D65011"/>
    <w:rsid w:val="00D74642"/>
    <w:rsid w:val="00D76AA4"/>
    <w:rsid w:val="00D7748F"/>
    <w:rsid w:val="00D801AE"/>
    <w:rsid w:val="00D858EF"/>
    <w:rsid w:val="00DB3C57"/>
    <w:rsid w:val="00DC24CE"/>
    <w:rsid w:val="00DD1BC9"/>
    <w:rsid w:val="00DD2F97"/>
    <w:rsid w:val="00DD3949"/>
    <w:rsid w:val="00DE7671"/>
    <w:rsid w:val="00DE7B29"/>
    <w:rsid w:val="00DF20DE"/>
    <w:rsid w:val="00DF4DC5"/>
    <w:rsid w:val="00E07BD5"/>
    <w:rsid w:val="00E137BA"/>
    <w:rsid w:val="00E32C50"/>
    <w:rsid w:val="00E40E74"/>
    <w:rsid w:val="00E446BA"/>
    <w:rsid w:val="00E50747"/>
    <w:rsid w:val="00E567C4"/>
    <w:rsid w:val="00E56A58"/>
    <w:rsid w:val="00E67D7D"/>
    <w:rsid w:val="00E747B8"/>
    <w:rsid w:val="00E76EEB"/>
    <w:rsid w:val="00E77E59"/>
    <w:rsid w:val="00E92D9E"/>
    <w:rsid w:val="00E96280"/>
    <w:rsid w:val="00E97044"/>
    <w:rsid w:val="00E971E4"/>
    <w:rsid w:val="00EA1FAC"/>
    <w:rsid w:val="00EB0248"/>
    <w:rsid w:val="00EB0F67"/>
    <w:rsid w:val="00EC02CF"/>
    <w:rsid w:val="00EC5E63"/>
    <w:rsid w:val="00EC7A4B"/>
    <w:rsid w:val="00ED0C36"/>
    <w:rsid w:val="00EE3868"/>
    <w:rsid w:val="00EE599F"/>
    <w:rsid w:val="00EE693B"/>
    <w:rsid w:val="00EE6E98"/>
    <w:rsid w:val="00F0383B"/>
    <w:rsid w:val="00F05A78"/>
    <w:rsid w:val="00F1142B"/>
    <w:rsid w:val="00F13534"/>
    <w:rsid w:val="00F20F62"/>
    <w:rsid w:val="00F23412"/>
    <w:rsid w:val="00F3671B"/>
    <w:rsid w:val="00F4474A"/>
    <w:rsid w:val="00F479B2"/>
    <w:rsid w:val="00F739C2"/>
    <w:rsid w:val="00F8141B"/>
    <w:rsid w:val="00F8687A"/>
    <w:rsid w:val="00F940C6"/>
    <w:rsid w:val="00FA7381"/>
    <w:rsid w:val="00FA7B3D"/>
    <w:rsid w:val="00FB0FC6"/>
    <w:rsid w:val="00FB169A"/>
    <w:rsid w:val="00FB45B2"/>
    <w:rsid w:val="00FB61F0"/>
    <w:rsid w:val="00FC61B9"/>
    <w:rsid w:val="00FC6B45"/>
    <w:rsid w:val="00FD1CE4"/>
    <w:rsid w:val="00FD322C"/>
    <w:rsid w:val="00FD616B"/>
    <w:rsid w:val="00FE7014"/>
    <w:rsid w:val="00FE7B3A"/>
    <w:rsid w:val="00FF2968"/>
    <w:rsid w:val="00FF702E"/>
    <w:rsid w:val="02FA8CDA"/>
    <w:rsid w:val="0CCC7B85"/>
    <w:rsid w:val="0D282234"/>
    <w:rsid w:val="0DF97257"/>
    <w:rsid w:val="0F3D40C7"/>
    <w:rsid w:val="1528C702"/>
    <w:rsid w:val="15A05016"/>
    <w:rsid w:val="167C110A"/>
    <w:rsid w:val="1716EDBF"/>
    <w:rsid w:val="1B73B661"/>
    <w:rsid w:val="2489E320"/>
    <w:rsid w:val="25CA939B"/>
    <w:rsid w:val="274018BD"/>
    <w:rsid w:val="27E211CC"/>
    <w:rsid w:val="2C20ACC2"/>
    <w:rsid w:val="2C966FC5"/>
    <w:rsid w:val="2CDC41E7"/>
    <w:rsid w:val="36829446"/>
    <w:rsid w:val="3C64F888"/>
    <w:rsid w:val="40F28D74"/>
    <w:rsid w:val="4115CBBE"/>
    <w:rsid w:val="45B3FB8C"/>
    <w:rsid w:val="4AFE1158"/>
    <w:rsid w:val="4D106E05"/>
    <w:rsid w:val="4FDB7465"/>
    <w:rsid w:val="50E4EF6C"/>
    <w:rsid w:val="5219CE21"/>
    <w:rsid w:val="53E92E69"/>
    <w:rsid w:val="54E6B574"/>
    <w:rsid w:val="595E0486"/>
    <w:rsid w:val="6825A9A1"/>
    <w:rsid w:val="698D52B7"/>
    <w:rsid w:val="6E36AE80"/>
    <w:rsid w:val="6ED24D51"/>
    <w:rsid w:val="6FA24768"/>
    <w:rsid w:val="701EAC04"/>
    <w:rsid w:val="724EB0AA"/>
    <w:rsid w:val="74A5F004"/>
    <w:rsid w:val="7575AD07"/>
    <w:rsid w:val="76A47B8E"/>
    <w:rsid w:val="7CBF010D"/>
    <w:rsid w:val="7F649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039B4"/>
  <w14:defaultImageDpi w14:val="300"/>
  <w15:docId w15:val="{D3D4A76A-0098-46E2-ACDB-07AD53DA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25FD"/>
    <w:pPr>
      <w:ind w:left="720"/>
      <w:contextualSpacing/>
    </w:pPr>
  </w:style>
  <w:style w:type="character" w:styleId="Hyperlink">
    <w:name w:val="Hyperlink"/>
    <w:uiPriority w:val="99"/>
    <w:unhideWhenUsed/>
    <w:rsid w:val="005825FD"/>
    <w:rPr>
      <w:color w:val="0000FF"/>
      <w:u w:val="single"/>
    </w:rPr>
  </w:style>
  <w:style w:type="character" w:styleId="CommentReference">
    <w:name w:val="annotation reference"/>
    <w:basedOn w:val="DefaultParagraphFont"/>
    <w:uiPriority w:val="99"/>
    <w:semiHidden/>
    <w:unhideWhenUsed/>
    <w:rsid w:val="005825FD"/>
    <w:rPr>
      <w:sz w:val="18"/>
      <w:szCs w:val="18"/>
    </w:rPr>
  </w:style>
  <w:style w:type="paragraph" w:styleId="CommentText">
    <w:name w:val="annotation text"/>
    <w:basedOn w:val="Normal"/>
    <w:link w:val="CommentTextChar"/>
    <w:uiPriority w:val="99"/>
    <w:semiHidden/>
    <w:unhideWhenUsed/>
    <w:rsid w:val="005825FD"/>
  </w:style>
  <w:style w:type="character" w:customStyle="1" w:styleId="CommentTextChar">
    <w:name w:val="Comment Text Char"/>
    <w:basedOn w:val="DefaultParagraphFont"/>
    <w:link w:val="CommentText"/>
    <w:uiPriority w:val="99"/>
    <w:semiHidden/>
    <w:rsid w:val="005825FD"/>
  </w:style>
  <w:style w:type="paragraph" w:styleId="CommentSubject">
    <w:name w:val="annotation subject"/>
    <w:basedOn w:val="CommentText"/>
    <w:next w:val="CommentText"/>
    <w:link w:val="CommentSubjectChar"/>
    <w:uiPriority w:val="99"/>
    <w:semiHidden/>
    <w:unhideWhenUsed/>
    <w:rsid w:val="005825FD"/>
    <w:rPr>
      <w:b/>
      <w:bCs/>
      <w:sz w:val="20"/>
      <w:szCs w:val="20"/>
    </w:rPr>
  </w:style>
  <w:style w:type="character" w:customStyle="1" w:styleId="CommentSubjectChar">
    <w:name w:val="Comment Subject Char"/>
    <w:basedOn w:val="CommentTextChar"/>
    <w:link w:val="CommentSubject"/>
    <w:uiPriority w:val="99"/>
    <w:semiHidden/>
    <w:rsid w:val="005825FD"/>
    <w:rPr>
      <w:b/>
      <w:bCs/>
      <w:sz w:val="20"/>
      <w:szCs w:val="20"/>
    </w:rPr>
  </w:style>
  <w:style w:type="paragraph" w:styleId="BalloonText">
    <w:name w:val="Balloon Text"/>
    <w:basedOn w:val="Normal"/>
    <w:link w:val="BalloonTextChar"/>
    <w:uiPriority w:val="99"/>
    <w:semiHidden/>
    <w:unhideWhenUsed/>
    <w:rsid w:val="00582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5FD"/>
    <w:rPr>
      <w:rFonts w:ascii="Lucida Grande" w:hAnsi="Lucida Grande" w:cs="Lucida Grande"/>
      <w:sz w:val="18"/>
      <w:szCs w:val="18"/>
    </w:rPr>
  </w:style>
  <w:style w:type="paragraph" w:styleId="NormalWeb">
    <w:name w:val="Normal (Web)"/>
    <w:basedOn w:val="Normal"/>
    <w:uiPriority w:val="99"/>
    <w:semiHidden/>
    <w:unhideWhenUsed/>
    <w:rsid w:val="00F1353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3534"/>
  </w:style>
  <w:style w:type="paragraph" w:customStyle="1" w:styleId="ColorfulList-Accent11">
    <w:name w:val="Colorful List - Accent 11"/>
    <w:basedOn w:val="Normal"/>
    <w:uiPriority w:val="34"/>
    <w:qFormat/>
    <w:rsid w:val="002A3A1E"/>
    <w:pPr>
      <w:ind w:left="720" w:hanging="425"/>
      <w:contextualSpacing/>
    </w:pPr>
    <w:rPr>
      <w:rFonts w:ascii="Calibri" w:eastAsia="Calibri" w:hAnsi="Calibri" w:cs="Times New Roman"/>
      <w:sz w:val="22"/>
      <w:szCs w:val="22"/>
    </w:rPr>
  </w:style>
  <w:style w:type="paragraph" w:styleId="Revision">
    <w:name w:val="Revision"/>
    <w:hidden/>
    <w:uiPriority w:val="99"/>
    <w:semiHidden/>
    <w:rsid w:val="00C27634"/>
  </w:style>
  <w:style w:type="character" w:styleId="FollowedHyperlink">
    <w:name w:val="FollowedHyperlink"/>
    <w:basedOn w:val="DefaultParagraphFont"/>
    <w:uiPriority w:val="99"/>
    <w:semiHidden/>
    <w:unhideWhenUsed/>
    <w:rsid w:val="00143BA7"/>
    <w:rPr>
      <w:color w:val="800080" w:themeColor="followedHyperlink"/>
      <w:u w:val="single"/>
    </w:rPr>
  </w:style>
  <w:style w:type="table" w:customStyle="1" w:styleId="LightList1">
    <w:name w:val="Light List1"/>
    <w:basedOn w:val="TableNormal"/>
    <w:next w:val="LightList"/>
    <w:uiPriority w:val="61"/>
    <w:rsid w:val="000A4C25"/>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A4C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35B9F"/>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002B9E"/>
    <w:pPr>
      <w:tabs>
        <w:tab w:val="center" w:pos="4513"/>
        <w:tab w:val="right" w:pos="9026"/>
      </w:tabs>
    </w:pPr>
  </w:style>
  <w:style w:type="character" w:customStyle="1" w:styleId="HeaderChar">
    <w:name w:val="Header Char"/>
    <w:basedOn w:val="DefaultParagraphFont"/>
    <w:link w:val="Header"/>
    <w:uiPriority w:val="99"/>
    <w:rsid w:val="00002B9E"/>
  </w:style>
  <w:style w:type="paragraph" w:styleId="Footer">
    <w:name w:val="footer"/>
    <w:basedOn w:val="Normal"/>
    <w:link w:val="FooterChar"/>
    <w:uiPriority w:val="99"/>
    <w:unhideWhenUsed/>
    <w:rsid w:val="00002B9E"/>
    <w:pPr>
      <w:tabs>
        <w:tab w:val="center" w:pos="4513"/>
        <w:tab w:val="right" w:pos="9026"/>
      </w:tabs>
    </w:pPr>
  </w:style>
  <w:style w:type="character" w:customStyle="1" w:styleId="FooterChar">
    <w:name w:val="Footer Char"/>
    <w:basedOn w:val="DefaultParagraphFont"/>
    <w:link w:val="Footer"/>
    <w:uiPriority w:val="99"/>
    <w:rsid w:val="00002B9E"/>
  </w:style>
  <w:style w:type="paragraph" w:styleId="BodyText">
    <w:name w:val="Body Text"/>
    <w:basedOn w:val="Normal"/>
    <w:link w:val="BodyTextChar"/>
    <w:uiPriority w:val="1"/>
    <w:qFormat/>
    <w:rsid w:val="002C00B9"/>
    <w:pPr>
      <w:widowControl w:val="0"/>
      <w:ind w:left="544" w:hanging="424"/>
    </w:pPr>
    <w:rPr>
      <w:rFonts w:ascii="Calibri" w:eastAsia="Calibri" w:hAnsi="Calibri"/>
      <w:sz w:val="22"/>
      <w:szCs w:val="22"/>
    </w:rPr>
  </w:style>
  <w:style w:type="character" w:customStyle="1" w:styleId="BodyTextChar">
    <w:name w:val="Body Text Char"/>
    <w:basedOn w:val="DefaultParagraphFont"/>
    <w:link w:val="BodyText"/>
    <w:uiPriority w:val="1"/>
    <w:rsid w:val="002C00B9"/>
    <w:rPr>
      <w:rFonts w:ascii="Calibri" w:eastAsia="Calibri" w:hAnsi="Calibri"/>
      <w:sz w:val="22"/>
      <w:szCs w:val="22"/>
    </w:rPr>
  </w:style>
  <w:style w:type="paragraph" w:styleId="NoSpacing">
    <w:name w:val="No Spacing"/>
    <w:uiPriority w:val="1"/>
    <w:qFormat/>
    <w:rsid w:val="009E6950"/>
    <w:pPr>
      <w:ind w:left="425" w:hanging="425"/>
    </w:pPr>
    <w:rPr>
      <w:rFonts w:ascii="Calibri" w:eastAsia="Calibri" w:hAnsi="Calibri" w:cs="Times New Roman"/>
      <w:sz w:val="22"/>
      <w:szCs w:val="22"/>
    </w:rPr>
  </w:style>
  <w:style w:type="table" w:styleId="TableGrid">
    <w:name w:val="Table Grid"/>
    <w:basedOn w:val="TableNormal"/>
    <w:uiPriority w:val="59"/>
    <w:rsid w:val="00C84870"/>
    <w:pPr>
      <w:ind w:left="425" w:hanging="425"/>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B6F60"/>
  </w:style>
  <w:style w:type="paragraph" w:customStyle="1" w:styleId="paragraph">
    <w:name w:val="paragraph"/>
    <w:basedOn w:val="Normal"/>
    <w:rsid w:val="00385FB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85FB2"/>
  </w:style>
  <w:style w:type="character" w:customStyle="1" w:styleId="eop">
    <w:name w:val="eop"/>
    <w:basedOn w:val="DefaultParagraphFont"/>
    <w:rsid w:val="00385FB2"/>
  </w:style>
  <w:style w:type="character" w:customStyle="1" w:styleId="findhit">
    <w:name w:val="findhit"/>
    <w:basedOn w:val="DefaultParagraphFont"/>
    <w:rsid w:val="00385FB2"/>
  </w:style>
  <w:style w:type="character" w:customStyle="1" w:styleId="field-content">
    <w:name w:val="field-content"/>
    <w:basedOn w:val="DefaultParagraphFont"/>
    <w:rsid w:val="000E18FD"/>
  </w:style>
  <w:style w:type="character" w:customStyle="1" w:styleId="Mencinsinresolver1">
    <w:name w:val="Mención sin resolver1"/>
    <w:basedOn w:val="DefaultParagraphFont"/>
    <w:uiPriority w:val="99"/>
    <w:semiHidden/>
    <w:unhideWhenUsed/>
    <w:rsid w:val="0010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5014">
      <w:bodyDiv w:val="1"/>
      <w:marLeft w:val="0"/>
      <w:marRight w:val="0"/>
      <w:marTop w:val="0"/>
      <w:marBottom w:val="0"/>
      <w:divBdr>
        <w:top w:val="none" w:sz="0" w:space="0" w:color="auto"/>
        <w:left w:val="none" w:sz="0" w:space="0" w:color="auto"/>
        <w:bottom w:val="none" w:sz="0" w:space="0" w:color="auto"/>
        <w:right w:val="none" w:sz="0" w:space="0" w:color="auto"/>
      </w:divBdr>
    </w:div>
    <w:div w:id="165479380">
      <w:bodyDiv w:val="1"/>
      <w:marLeft w:val="0"/>
      <w:marRight w:val="0"/>
      <w:marTop w:val="0"/>
      <w:marBottom w:val="0"/>
      <w:divBdr>
        <w:top w:val="none" w:sz="0" w:space="0" w:color="auto"/>
        <w:left w:val="none" w:sz="0" w:space="0" w:color="auto"/>
        <w:bottom w:val="none" w:sz="0" w:space="0" w:color="auto"/>
        <w:right w:val="none" w:sz="0" w:space="0" w:color="auto"/>
      </w:divBdr>
      <w:divsChild>
        <w:div w:id="1577668450">
          <w:marLeft w:val="0"/>
          <w:marRight w:val="0"/>
          <w:marTop w:val="0"/>
          <w:marBottom w:val="0"/>
          <w:divBdr>
            <w:top w:val="none" w:sz="0" w:space="0" w:color="auto"/>
            <w:left w:val="none" w:sz="0" w:space="0" w:color="auto"/>
            <w:bottom w:val="none" w:sz="0" w:space="0" w:color="auto"/>
            <w:right w:val="none" w:sz="0" w:space="0" w:color="auto"/>
          </w:divBdr>
          <w:divsChild>
            <w:div w:id="465315578">
              <w:marLeft w:val="0"/>
              <w:marRight w:val="0"/>
              <w:marTop w:val="0"/>
              <w:marBottom w:val="0"/>
              <w:divBdr>
                <w:top w:val="none" w:sz="0" w:space="0" w:color="auto"/>
                <w:left w:val="none" w:sz="0" w:space="0" w:color="auto"/>
                <w:bottom w:val="none" w:sz="0" w:space="0" w:color="auto"/>
                <w:right w:val="none" w:sz="0" w:space="0" w:color="auto"/>
              </w:divBdr>
              <w:divsChild>
                <w:div w:id="1641690677">
                  <w:marLeft w:val="0"/>
                  <w:marRight w:val="0"/>
                  <w:marTop w:val="0"/>
                  <w:marBottom w:val="0"/>
                  <w:divBdr>
                    <w:top w:val="none" w:sz="0" w:space="0" w:color="auto"/>
                    <w:left w:val="none" w:sz="0" w:space="0" w:color="auto"/>
                    <w:bottom w:val="none" w:sz="0" w:space="0" w:color="auto"/>
                    <w:right w:val="none" w:sz="0" w:space="0" w:color="auto"/>
                  </w:divBdr>
                  <w:divsChild>
                    <w:div w:id="15879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13960">
      <w:bodyDiv w:val="1"/>
      <w:marLeft w:val="0"/>
      <w:marRight w:val="0"/>
      <w:marTop w:val="0"/>
      <w:marBottom w:val="0"/>
      <w:divBdr>
        <w:top w:val="none" w:sz="0" w:space="0" w:color="auto"/>
        <w:left w:val="none" w:sz="0" w:space="0" w:color="auto"/>
        <w:bottom w:val="none" w:sz="0" w:space="0" w:color="auto"/>
        <w:right w:val="none" w:sz="0" w:space="0" w:color="auto"/>
      </w:divBdr>
      <w:divsChild>
        <w:div w:id="51734662">
          <w:marLeft w:val="0"/>
          <w:marRight w:val="0"/>
          <w:marTop w:val="0"/>
          <w:marBottom w:val="0"/>
          <w:divBdr>
            <w:top w:val="none" w:sz="0" w:space="0" w:color="auto"/>
            <w:left w:val="none" w:sz="0" w:space="0" w:color="auto"/>
            <w:bottom w:val="none" w:sz="0" w:space="0" w:color="auto"/>
            <w:right w:val="none" w:sz="0" w:space="0" w:color="auto"/>
          </w:divBdr>
        </w:div>
      </w:divsChild>
    </w:div>
    <w:div w:id="696392828">
      <w:bodyDiv w:val="1"/>
      <w:marLeft w:val="0"/>
      <w:marRight w:val="0"/>
      <w:marTop w:val="0"/>
      <w:marBottom w:val="0"/>
      <w:divBdr>
        <w:top w:val="none" w:sz="0" w:space="0" w:color="auto"/>
        <w:left w:val="none" w:sz="0" w:space="0" w:color="auto"/>
        <w:bottom w:val="none" w:sz="0" w:space="0" w:color="auto"/>
        <w:right w:val="none" w:sz="0" w:space="0" w:color="auto"/>
      </w:divBdr>
    </w:div>
    <w:div w:id="760763744">
      <w:bodyDiv w:val="1"/>
      <w:marLeft w:val="0"/>
      <w:marRight w:val="0"/>
      <w:marTop w:val="0"/>
      <w:marBottom w:val="0"/>
      <w:divBdr>
        <w:top w:val="none" w:sz="0" w:space="0" w:color="auto"/>
        <w:left w:val="none" w:sz="0" w:space="0" w:color="auto"/>
        <w:bottom w:val="none" w:sz="0" w:space="0" w:color="auto"/>
        <w:right w:val="none" w:sz="0" w:space="0" w:color="auto"/>
      </w:divBdr>
    </w:div>
    <w:div w:id="934899503">
      <w:bodyDiv w:val="1"/>
      <w:marLeft w:val="0"/>
      <w:marRight w:val="0"/>
      <w:marTop w:val="0"/>
      <w:marBottom w:val="0"/>
      <w:divBdr>
        <w:top w:val="none" w:sz="0" w:space="0" w:color="auto"/>
        <w:left w:val="none" w:sz="0" w:space="0" w:color="auto"/>
        <w:bottom w:val="none" w:sz="0" w:space="0" w:color="auto"/>
        <w:right w:val="none" w:sz="0" w:space="0" w:color="auto"/>
      </w:divBdr>
    </w:div>
    <w:div w:id="1012756634">
      <w:bodyDiv w:val="1"/>
      <w:marLeft w:val="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963393132">
              <w:marLeft w:val="0"/>
              <w:marRight w:val="0"/>
              <w:marTop w:val="0"/>
              <w:marBottom w:val="0"/>
              <w:divBdr>
                <w:top w:val="none" w:sz="0" w:space="0" w:color="auto"/>
                <w:left w:val="none" w:sz="0" w:space="0" w:color="auto"/>
                <w:bottom w:val="none" w:sz="0" w:space="0" w:color="auto"/>
                <w:right w:val="none" w:sz="0" w:space="0" w:color="auto"/>
              </w:divBdr>
              <w:divsChild>
                <w:div w:id="1819178938">
                  <w:marLeft w:val="0"/>
                  <w:marRight w:val="0"/>
                  <w:marTop w:val="0"/>
                  <w:marBottom w:val="0"/>
                  <w:divBdr>
                    <w:top w:val="none" w:sz="0" w:space="0" w:color="auto"/>
                    <w:left w:val="none" w:sz="0" w:space="0" w:color="auto"/>
                    <w:bottom w:val="none" w:sz="0" w:space="0" w:color="auto"/>
                    <w:right w:val="none" w:sz="0" w:space="0" w:color="auto"/>
                  </w:divBdr>
                  <w:divsChild>
                    <w:div w:id="12617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11598">
      <w:bodyDiv w:val="1"/>
      <w:marLeft w:val="0"/>
      <w:marRight w:val="0"/>
      <w:marTop w:val="0"/>
      <w:marBottom w:val="0"/>
      <w:divBdr>
        <w:top w:val="none" w:sz="0" w:space="0" w:color="auto"/>
        <w:left w:val="none" w:sz="0" w:space="0" w:color="auto"/>
        <w:bottom w:val="none" w:sz="0" w:space="0" w:color="auto"/>
        <w:right w:val="none" w:sz="0" w:space="0" w:color="auto"/>
      </w:divBdr>
    </w:div>
    <w:div w:id="1447576044">
      <w:bodyDiv w:val="1"/>
      <w:marLeft w:val="0"/>
      <w:marRight w:val="0"/>
      <w:marTop w:val="0"/>
      <w:marBottom w:val="0"/>
      <w:divBdr>
        <w:top w:val="none" w:sz="0" w:space="0" w:color="auto"/>
        <w:left w:val="none" w:sz="0" w:space="0" w:color="auto"/>
        <w:bottom w:val="none" w:sz="0" w:space="0" w:color="auto"/>
        <w:right w:val="none" w:sz="0" w:space="0" w:color="auto"/>
      </w:divBdr>
    </w:div>
    <w:div w:id="1604679727">
      <w:bodyDiv w:val="1"/>
      <w:marLeft w:val="0"/>
      <w:marRight w:val="0"/>
      <w:marTop w:val="0"/>
      <w:marBottom w:val="0"/>
      <w:divBdr>
        <w:top w:val="none" w:sz="0" w:space="0" w:color="auto"/>
        <w:left w:val="none" w:sz="0" w:space="0" w:color="auto"/>
        <w:bottom w:val="none" w:sz="0" w:space="0" w:color="auto"/>
        <w:right w:val="none" w:sz="0" w:space="0" w:color="auto"/>
      </w:divBdr>
      <w:divsChild>
        <w:div w:id="551117000">
          <w:marLeft w:val="0"/>
          <w:marRight w:val="0"/>
          <w:marTop w:val="0"/>
          <w:marBottom w:val="0"/>
          <w:divBdr>
            <w:top w:val="none" w:sz="0" w:space="0" w:color="auto"/>
            <w:left w:val="none" w:sz="0" w:space="0" w:color="auto"/>
            <w:bottom w:val="none" w:sz="0" w:space="0" w:color="auto"/>
            <w:right w:val="none" w:sz="0" w:space="0" w:color="auto"/>
          </w:divBdr>
        </w:div>
        <w:div w:id="18750399">
          <w:marLeft w:val="0"/>
          <w:marRight w:val="0"/>
          <w:marTop w:val="0"/>
          <w:marBottom w:val="0"/>
          <w:divBdr>
            <w:top w:val="none" w:sz="0" w:space="0" w:color="auto"/>
            <w:left w:val="none" w:sz="0" w:space="0" w:color="auto"/>
            <w:bottom w:val="none" w:sz="0" w:space="0" w:color="auto"/>
            <w:right w:val="none" w:sz="0" w:space="0" w:color="auto"/>
          </w:divBdr>
        </w:div>
        <w:div w:id="1256135964">
          <w:marLeft w:val="0"/>
          <w:marRight w:val="0"/>
          <w:marTop w:val="0"/>
          <w:marBottom w:val="0"/>
          <w:divBdr>
            <w:top w:val="none" w:sz="0" w:space="0" w:color="auto"/>
            <w:left w:val="none" w:sz="0" w:space="0" w:color="auto"/>
            <w:bottom w:val="none" w:sz="0" w:space="0" w:color="auto"/>
            <w:right w:val="none" w:sz="0" w:space="0" w:color="auto"/>
          </w:divBdr>
        </w:div>
        <w:div w:id="265308135">
          <w:marLeft w:val="0"/>
          <w:marRight w:val="0"/>
          <w:marTop w:val="0"/>
          <w:marBottom w:val="0"/>
          <w:divBdr>
            <w:top w:val="none" w:sz="0" w:space="0" w:color="auto"/>
            <w:left w:val="none" w:sz="0" w:space="0" w:color="auto"/>
            <w:bottom w:val="none" w:sz="0" w:space="0" w:color="auto"/>
            <w:right w:val="none" w:sz="0" w:space="0" w:color="auto"/>
          </w:divBdr>
        </w:div>
        <w:div w:id="1597320240">
          <w:marLeft w:val="0"/>
          <w:marRight w:val="0"/>
          <w:marTop w:val="0"/>
          <w:marBottom w:val="0"/>
          <w:divBdr>
            <w:top w:val="none" w:sz="0" w:space="0" w:color="auto"/>
            <w:left w:val="none" w:sz="0" w:space="0" w:color="auto"/>
            <w:bottom w:val="none" w:sz="0" w:space="0" w:color="auto"/>
            <w:right w:val="none" w:sz="0" w:space="0" w:color="auto"/>
          </w:divBdr>
        </w:div>
        <w:div w:id="1169977742">
          <w:marLeft w:val="0"/>
          <w:marRight w:val="0"/>
          <w:marTop w:val="0"/>
          <w:marBottom w:val="0"/>
          <w:divBdr>
            <w:top w:val="none" w:sz="0" w:space="0" w:color="auto"/>
            <w:left w:val="none" w:sz="0" w:space="0" w:color="auto"/>
            <w:bottom w:val="none" w:sz="0" w:space="0" w:color="auto"/>
            <w:right w:val="none" w:sz="0" w:space="0" w:color="auto"/>
          </w:divBdr>
        </w:div>
        <w:div w:id="107047389">
          <w:marLeft w:val="0"/>
          <w:marRight w:val="0"/>
          <w:marTop w:val="0"/>
          <w:marBottom w:val="0"/>
          <w:divBdr>
            <w:top w:val="none" w:sz="0" w:space="0" w:color="auto"/>
            <w:left w:val="none" w:sz="0" w:space="0" w:color="auto"/>
            <w:bottom w:val="none" w:sz="0" w:space="0" w:color="auto"/>
            <w:right w:val="none" w:sz="0" w:space="0" w:color="auto"/>
          </w:divBdr>
        </w:div>
        <w:div w:id="1174102074">
          <w:marLeft w:val="0"/>
          <w:marRight w:val="0"/>
          <w:marTop w:val="0"/>
          <w:marBottom w:val="0"/>
          <w:divBdr>
            <w:top w:val="none" w:sz="0" w:space="0" w:color="auto"/>
            <w:left w:val="none" w:sz="0" w:space="0" w:color="auto"/>
            <w:bottom w:val="none" w:sz="0" w:space="0" w:color="auto"/>
            <w:right w:val="none" w:sz="0" w:space="0" w:color="auto"/>
          </w:divBdr>
        </w:div>
        <w:div w:id="1513493553">
          <w:marLeft w:val="0"/>
          <w:marRight w:val="0"/>
          <w:marTop w:val="0"/>
          <w:marBottom w:val="0"/>
          <w:divBdr>
            <w:top w:val="none" w:sz="0" w:space="0" w:color="auto"/>
            <w:left w:val="none" w:sz="0" w:space="0" w:color="auto"/>
            <w:bottom w:val="none" w:sz="0" w:space="0" w:color="auto"/>
            <w:right w:val="none" w:sz="0" w:space="0" w:color="auto"/>
          </w:divBdr>
        </w:div>
        <w:div w:id="1333337775">
          <w:marLeft w:val="0"/>
          <w:marRight w:val="0"/>
          <w:marTop w:val="0"/>
          <w:marBottom w:val="0"/>
          <w:divBdr>
            <w:top w:val="none" w:sz="0" w:space="0" w:color="auto"/>
            <w:left w:val="none" w:sz="0" w:space="0" w:color="auto"/>
            <w:bottom w:val="none" w:sz="0" w:space="0" w:color="auto"/>
            <w:right w:val="none" w:sz="0" w:space="0" w:color="auto"/>
          </w:divBdr>
        </w:div>
        <w:div w:id="717974618">
          <w:marLeft w:val="0"/>
          <w:marRight w:val="0"/>
          <w:marTop w:val="0"/>
          <w:marBottom w:val="0"/>
          <w:divBdr>
            <w:top w:val="none" w:sz="0" w:space="0" w:color="auto"/>
            <w:left w:val="none" w:sz="0" w:space="0" w:color="auto"/>
            <w:bottom w:val="none" w:sz="0" w:space="0" w:color="auto"/>
            <w:right w:val="none" w:sz="0" w:space="0" w:color="auto"/>
          </w:divBdr>
        </w:div>
        <w:div w:id="987317539">
          <w:marLeft w:val="0"/>
          <w:marRight w:val="0"/>
          <w:marTop w:val="0"/>
          <w:marBottom w:val="0"/>
          <w:divBdr>
            <w:top w:val="none" w:sz="0" w:space="0" w:color="auto"/>
            <w:left w:val="none" w:sz="0" w:space="0" w:color="auto"/>
            <w:bottom w:val="none" w:sz="0" w:space="0" w:color="auto"/>
            <w:right w:val="none" w:sz="0" w:space="0" w:color="auto"/>
          </w:divBdr>
        </w:div>
        <w:div w:id="1613705992">
          <w:marLeft w:val="0"/>
          <w:marRight w:val="0"/>
          <w:marTop w:val="0"/>
          <w:marBottom w:val="0"/>
          <w:divBdr>
            <w:top w:val="none" w:sz="0" w:space="0" w:color="auto"/>
            <w:left w:val="none" w:sz="0" w:space="0" w:color="auto"/>
            <w:bottom w:val="none" w:sz="0" w:space="0" w:color="auto"/>
            <w:right w:val="none" w:sz="0" w:space="0" w:color="auto"/>
          </w:divBdr>
        </w:div>
        <w:div w:id="544950632">
          <w:marLeft w:val="0"/>
          <w:marRight w:val="0"/>
          <w:marTop w:val="0"/>
          <w:marBottom w:val="0"/>
          <w:divBdr>
            <w:top w:val="none" w:sz="0" w:space="0" w:color="auto"/>
            <w:left w:val="none" w:sz="0" w:space="0" w:color="auto"/>
            <w:bottom w:val="none" w:sz="0" w:space="0" w:color="auto"/>
            <w:right w:val="none" w:sz="0" w:space="0" w:color="auto"/>
          </w:divBdr>
        </w:div>
        <w:div w:id="660424935">
          <w:marLeft w:val="0"/>
          <w:marRight w:val="0"/>
          <w:marTop w:val="0"/>
          <w:marBottom w:val="0"/>
          <w:divBdr>
            <w:top w:val="none" w:sz="0" w:space="0" w:color="auto"/>
            <w:left w:val="none" w:sz="0" w:space="0" w:color="auto"/>
            <w:bottom w:val="none" w:sz="0" w:space="0" w:color="auto"/>
            <w:right w:val="none" w:sz="0" w:space="0" w:color="auto"/>
          </w:divBdr>
        </w:div>
      </w:divsChild>
    </w:div>
    <w:div w:id="1847135274">
      <w:bodyDiv w:val="1"/>
      <w:marLeft w:val="0"/>
      <w:marRight w:val="0"/>
      <w:marTop w:val="0"/>
      <w:marBottom w:val="0"/>
      <w:divBdr>
        <w:top w:val="none" w:sz="0" w:space="0" w:color="auto"/>
        <w:left w:val="none" w:sz="0" w:space="0" w:color="auto"/>
        <w:bottom w:val="none" w:sz="0" w:space="0" w:color="auto"/>
        <w:right w:val="none" w:sz="0" w:space="0" w:color="auto"/>
      </w:divBdr>
      <w:divsChild>
        <w:div w:id="1201354675">
          <w:marLeft w:val="0"/>
          <w:marRight w:val="0"/>
          <w:marTop w:val="0"/>
          <w:marBottom w:val="0"/>
          <w:divBdr>
            <w:top w:val="none" w:sz="0" w:space="0" w:color="auto"/>
            <w:left w:val="none" w:sz="0" w:space="0" w:color="auto"/>
            <w:bottom w:val="none" w:sz="0" w:space="0" w:color="auto"/>
            <w:right w:val="none" w:sz="0" w:space="0" w:color="auto"/>
          </w:divBdr>
          <w:divsChild>
            <w:div w:id="1199273150">
              <w:marLeft w:val="0"/>
              <w:marRight w:val="0"/>
              <w:marTop w:val="0"/>
              <w:marBottom w:val="0"/>
              <w:divBdr>
                <w:top w:val="none" w:sz="0" w:space="0" w:color="auto"/>
                <w:left w:val="none" w:sz="0" w:space="0" w:color="auto"/>
                <w:bottom w:val="none" w:sz="0" w:space="0" w:color="auto"/>
                <w:right w:val="none" w:sz="0" w:space="0" w:color="auto"/>
              </w:divBdr>
              <w:divsChild>
                <w:div w:id="1298294833">
                  <w:marLeft w:val="0"/>
                  <w:marRight w:val="0"/>
                  <w:marTop w:val="0"/>
                  <w:marBottom w:val="0"/>
                  <w:divBdr>
                    <w:top w:val="none" w:sz="0" w:space="0" w:color="auto"/>
                    <w:left w:val="none" w:sz="0" w:space="0" w:color="auto"/>
                    <w:bottom w:val="none" w:sz="0" w:space="0" w:color="auto"/>
                    <w:right w:val="none" w:sz="0" w:space="0" w:color="auto"/>
                  </w:divBdr>
                  <w:divsChild>
                    <w:div w:id="4610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4801">
      <w:bodyDiv w:val="1"/>
      <w:marLeft w:val="0"/>
      <w:marRight w:val="0"/>
      <w:marTop w:val="0"/>
      <w:marBottom w:val="0"/>
      <w:divBdr>
        <w:top w:val="none" w:sz="0" w:space="0" w:color="auto"/>
        <w:left w:val="none" w:sz="0" w:space="0" w:color="auto"/>
        <w:bottom w:val="none" w:sz="0" w:space="0" w:color="auto"/>
        <w:right w:val="none" w:sz="0" w:space="0" w:color="auto"/>
      </w:divBdr>
    </w:div>
    <w:div w:id="2062361679">
      <w:bodyDiv w:val="1"/>
      <w:marLeft w:val="0"/>
      <w:marRight w:val="0"/>
      <w:marTop w:val="0"/>
      <w:marBottom w:val="0"/>
      <w:divBdr>
        <w:top w:val="none" w:sz="0" w:space="0" w:color="auto"/>
        <w:left w:val="none" w:sz="0" w:space="0" w:color="auto"/>
        <w:bottom w:val="none" w:sz="0" w:space="0" w:color="auto"/>
        <w:right w:val="none" w:sz="0" w:space="0" w:color="auto"/>
      </w:divBdr>
      <w:divsChild>
        <w:div w:id="1370644310">
          <w:marLeft w:val="0"/>
          <w:marRight w:val="0"/>
          <w:marTop w:val="0"/>
          <w:marBottom w:val="0"/>
          <w:divBdr>
            <w:top w:val="none" w:sz="0" w:space="0" w:color="auto"/>
            <w:left w:val="none" w:sz="0" w:space="0" w:color="auto"/>
            <w:bottom w:val="none" w:sz="0" w:space="0" w:color="auto"/>
            <w:right w:val="none" w:sz="0" w:space="0" w:color="auto"/>
          </w:divBdr>
        </w:div>
        <w:div w:id="935404901">
          <w:marLeft w:val="0"/>
          <w:marRight w:val="0"/>
          <w:marTop w:val="0"/>
          <w:marBottom w:val="0"/>
          <w:divBdr>
            <w:top w:val="none" w:sz="0" w:space="0" w:color="auto"/>
            <w:left w:val="none" w:sz="0" w:space="0" w:color="auto"/>
            <w:bottom w:val="none" w:sz="0" w:space="0" w:color="auto"/>
            <w:right w:val="none" w:sz="0" w:space="0" w:color="auto"/>
          </w:divBdr>
        </w:div>
        <w:div w:id="1627659488">
          <w:marLeft w:val="0"/>
          <w:marRight w:val="0"/>
          <w:marTop w:val="0"/>
          <w:marBottom w:val="0"/>
          <w:divBdr>
            <w:top w:val="none" w:sz="0" w:space="0" w:color="auto"/>
            <w:left w:val="none" w:sz="0" w:space="0" w:color="auto"/>
            <w:bottom w:val="none" w:sz="0" w:space="0" w:color="auto"/>
            <w:right w:val="none" w:sz="0" w:space="0" w:color="auto"/>
          </w:divBdr>
        </w:div>
        <w:div w:id="1063023342">
          <w:marLeft w:val="0"/>
          <w:marRight w:val="0"/>
          <w:marTop w:val="0"/>
          <w:marBottom w:val="0"/>
          <w:divBdr>
            <w:top w:val="none" w:sz="0" w:space="0" w:color="auto"/>
            <w:left w:val="none" w:sz="0" w:space="0" w:color="auto"/>
            <w:bottom w:val="none" w:sz="0" w:space="0" w:color="auto"/>
            <w:right w:val="none" w:sz="0" w:space="0" w:color="auto"/>
          </w:divBdr>
        </w:div>
        <w:div w:id="1408108768">
          <w:marLeft w:val="0"/>
          <w:marRight w:val="0"/>
          <w:marTop w:val="0"/>
          <w:marBottom w:val="0"/>
          <w:divBdr>
            <w:top w:val="none" w:sz="0" w:space="0" w:color="auto"/>
            <w:left w:val="none" w:sz="0" w:space="0" w:color="auto"/>
            <w:bottom w:val="none" w:sz="0" w:space="0" w:color="auto"/>
            <w:right w:val="none" w:sz="0" w:space="0" w:color="auto"/>
          </w:divBdr>
        </w:div>
        <w:div w:id="878472232">
          <w:marLeft w:val="0"/>
          <w:marRight w:val="0"/>
          <w:marTop w:val="0"/>
          <w:marBottom w:val="0"/>
          <w:divBdr>
            <w:top w:val="none" w:sz="0" w:space="0" w:color="auto"/>
            <w:left w:val="none" w:sz="0" w:space="0" w:color="auto"/>
            <w:bottom w:val="none" w:sz="0" w:space="0" w:color="auto"/>
            <w:right w:val="none" w:sz="0" w:space="0" w:color="auto"/>
          </w:divBdr>
        </w:div>
        <w:div w:id="40640171">
          <w:marLeft w:val="0"/>
          <w:marRight w:val="0"/>
          <w:marTop w:val="0"/>
          <w:marBottom w:val="0"/>
          <w:divBdr>
            <w:top w:val="none" w:sz="0" w:space="0" w:color="auto"/>
            <w:left w:val="none" w:sz="0" w:space="0" w:color="auto"/>
            <w:bottom w:val="none" w:sz="0" w:space="0" w:color="auto"/>
            <w:right w:val="none" w:sz="0" w:space="0" w:color="auto"/>
          </w:divBdr>
        </w:div>
        <w:div w:id="1930114812">
          <w:marLeft w:val="0"/>
          <w:marRight w:val="0"/>
          <w:marTop w:val="0"/>
          <w:marBottom w:val="0"/>
          <w:divBdr>
            <w:top w:val="none" w:sz="0" w:space="0" w:color="auto"/>
            <w:left w:val="none" w:sz="0" w:space="0" w:color="auto"/>
            <w:bottom w:val="none" w:sz="0" w:space="0" w:color="auto"/>
            <w:right w:val="none" w:sz="0" w:space="0" w:color="auto"/>
          </w:divBdr>
        </w:div>
        <w:div w:id="1666594826">
          <w:marLeft w:val="0"/>
          <w:marRight w:val="0"/>
          <w:marTop w:val="0"/>
          <w:marBottom w:val="0"/>
          <w:divBdr>
            <w:top w:val="none" w:sz="0" w:space="0" w:color="auto"/>
            <w:left w:val="none" w:sz="0" w:space="0" w:color="auto"/>
            <w:bottom w:val="none" w:sz="0" w:space="0" w:color="auto"/>
            <w:right w:val="none" w:sz="0" w:space="0" w:color="auto"/>
          </w:divBdr>
        </w:div>
        <w:div w:id="1332296185">
          <w:marLeft w:val="0"/>
          <w:marRight w:val="0"/>
          <w:marTop w:val="0"/>
          <w:marBottom w:val="0"/>
          <w:divBdr>
            <w:top w:val="none" w:sz="0" w:space="0" w:color="auto"/>
            <w:left w:val="none" w:sz="0" w:space="0" w:color="auto"/>
            <w:bottom w:val="none" w:sz="0" w:space="0" w:color="auto"/>
            <w:right w:val="none" w:sz="0" w:space="0" w:color="auto"/>
          </w:divBdr>
        </w:div>
        <w:div w:id="1896087605">
          <w:marLeft w:val="0"/>
          <w:marRight w:val="0"/>
          <w:marTop w:val="0"/>
          <w:marBottom w:val="0"/>
          <w:divBdr>
            <w:top w:val="none" w:sz="0" w:space="0" w:color="auto"/>
            <w:left w:val="none" w:sz="0" w:space="0" w:color="auto"/>
            <w:bottom w:val="none" w:sz="0" w:space="0" w:color="auto"/>
            <w:right w:val="none" w:sz="0" w:space="0" w:color="auto"/>
          </w:divBdr>
        </w:div>
        <w:div w:id="2034769737">
          <w:marLeft w:val="0"/>
          <w:marRight w:val="0"/>
          <w:marTop w:val="0"/>
          <w:marBottom w:val="0"/>
          <w:divBdr>
            <w:top w:val="none" w:sz="0" w:space="0" w:color="auto"/>
            <w:left w:val="none" w:sz="0" w:space="0" w:color="auto"/>
            <w:bottom w:val="none" w:sz="0" w:space="0" w:color="auto"/>
            <w:right w:val="none" w:sz="0" w:space="0" w:color="auto"/>
          </w:divBdr>
        </w:div>
        <w:div w:id="326829598">
          <w:marLeft w:val="0"/>
          <w:marRight w:val="0"/>
          <w:marTop w:val="0"/>
          <w:marBottom w:val="0"/>
          <w:divBdr>
            <w:top w:val="none" w:sz="0" w:space="0" w:color="auto"/>
            <w:left w:val="none" w:sz="0" w:space="0" w:color="auto"/>
            <w:bottom w:val="none" w:sz="0" w:space="0" w:color="auto"/>
            <w:right w:val="none" w:sz="0" w:space="0" w:color="auto"/>
          </w:divBdr>
        </w:div>
        <w:div w:id="1835758069">
          <w:marLeft w:val="0"/>
          <w:marRight w:val="0"/>
          <w:marTop w:val="0"/>
          <w:marBottom w:val="0"/>
          <w:divBdr>
            <w:top w:val="none" w:sz="0" w:space="0" w:color="auto"/>
            <w:left w:val="none" w:sz="0" w:space="0" w:color="auto"/>
            <w:bottom w:val="none" w:sz="0" w:space="0" w:color="auto"/>
            <w:right w:val="none" w:sz="0" w:space="0" w:color="auto"/>
          </w:divBdr>
        </w:div>
        <w:div w:id="313222641">
          <w:marLeft w:val="0"/>
          <w:marRight w:val="0"/>
          <w:marTop w:val="0"/>
          <w:marBottom w:val="0"/>
          <w:divBdr>
            <w:top w:val="none" w:sz="0" w:space="0" w:color="auto"/>
            <w:left w:val="none" w:sz="0" w:space="0" w:color="auto"/>
            <w:bottom w:val="none" w:sz="0" w:space="0" w:color="auto"/>
            <w:right w:val="none" w:sz="0" w:space="0" w:color="auto"/>
          </w:divBdr>
        </w:div>
      </w:divsChild>
    </w:div>
    <w:div w:id="2144151469">
      <w:bodyDiv w:val="1"/>
      <w:marLeft w:val="0"/>
      <w:marRight w:val="0"/>
      <w:marTop w:val="0"/>
      <w:marBottom w:val="0"/>
      <w:divBdr>
        <w:top w:val="none" w:sz="0" w:space="0" w:color="auto"/>
        <w:left w:val="none" w:sz="0" w:space="0" w:color="auto"/>
        <w:bottom w:val="none" w:sz="0" w:space="0" w:color="auto"/>
        <w:right w:val="none" w:sz="0" w:space="0" w:color="auto"/>
      </w:divBdr>
      <w:divsChild>
        <w:div w:id="1297031440">
          <w:marLeft w:val="0"/>
          <w:marRight w:val="0"/>
          <w:marTop w:val="0"/>
          <w:marBottom w:val="0"/>
          <w:divBdr>
            <w:top w:val="none" w:sz="0" w:space="0" w:color="auto"/>
            <w:left w:val="none" w:sz="0" w:space="0" w:color="auto"/>
            <w:bottom w:val="none" w:sz="0" w:space="0" w:color="auto"/>
            <w:right w:val="none" w:sz="0" w:space="0" w:color="auto"/>
          </w:divBdr>
        </w:div>
        <w:div w:id="1650479338">
          <w:marLeft w:val="0"/>
          <w:marRight w:val="0"/>
          <w:marTop w:val="0"/>
          <w:marBottom w:val="0"/>
          <w:divBdr>
            <w:top w:val="none" w:sz="0" w:space="0" w:color="auto"/>
            <w:left w:val="none" w:sz="0" w:space="0" w:color="auto"/>
            <w:bottom w:val="none" w:sz="0" w:space="0" w:color="auto"/>
            <w:right w:val="none" w:sz="0" w:space="0" w:color="auto"/>
          </w:divBdr>
        </w:div>
        <w:div w:id="242376809">
          <w:marLeft w:val="0"/>
          <w:marRight w:val="0"/>
          <w:marTop w:val="0"/>
          <w:marBottom w:val="0"/>
          <w:divBdr>
            <w:top w:val="none" w:sz="0" w:space="0" w:color="auto"/>
            <w:left w:val="none" w:sz="0" w:space="0" w:color="auto"/>
            <w:bottom w:val="none" w:sz="0" w:space="0" w:color="auto"/>
            <w:right w:val="none" w:sz="0" w:space="0" w:color="auto"/>
          </w:divBdr>
          <w:divsChild>
            <w:div w:id="308707174">
              <w:marLeft w:val="0"/>
              <w:marRight w:val="0"/>
              <w:marTop w:val="0"/>
              <w:marBottom w:val="0"/>
              <w:divBdr>
                <w:top w:val="none" w:sz="0" w:space="0" w:color="auto"/>
                <w:left w:val="none" w:sz="0" w:space="0" w:color="auto"/>
                <w:bottom w:val="none" w:sz="0" w:space="0" w:color="auto"/>
                <w:right w:val="none" w:sz="0" w:space="0" w:color="auto"/>
              </w:divBdr>
              <w:divsChild>
                <w:div w:id="1372221611">
                  <w:marLeft w:val="0"/>
                  <w:marRight w:val="0"/>
                  <w:marTop w:val="0"/>
                  <w:marBottom w:val="0"/>
                  <w:divBdr>
                    <w:top w:val="none" w:sz="0" w:space="0" w:color="auto"/>
                    <w:left w:val="none" w:sz="0" w:space="0" w:color="auto"/>
                    <w:bottom w:val="none" w:sz="0" w:space="0" w:color="auto"/>
                    <w:right w:val="none" w:sz="0" w:space="0" w:color="auto"/>
                  </w:divBdr>
                  <w:divsChild>
                    <w:div w:id="1565528804">
                      <w:marLeft w:val="0"/>
                      <w:marRight w:val="0"/>
                      <w:marTop w:val="0"/>
                      <w:marBottom w:val="0"/>
                      <w:divBdr>
                        <w:top w:val="none" w:sz="0" w:space="0" w:color="auto"/>
                        <w:left w:val="none" w:sz="0" w:space="0" w:color="auto"/>
                        <w:bottom w:val="none" w:sz="0" w:space="0" w:color="auto"/>
                        <w:right w:val="none" w:sz="0" w:space="0" w:color="auto"/>
                      </w:divBdr>
                    </w:div>
                  </w:divsChild>
                </w:div>
                <w:div w:id="1467695968">
                  <w:marLeft w:val="0"/>
                  <w:marRight w:val="0"/>
                  <w:marTop w:val="0"/>
                  <w:marBottom w:val="0"/>
                  <w:divBdr>
                    <w:top w:val="none" w:sz="0" w:space="0" w:color="auto"/>
                    <w:left w:val="none" w:sz="0" w:space="0" w:color="auto"/>
                    <w:bottom w:val="none" w:sz="0" w:space="0" w:color="auto"/>
                    <w:right w:val="none" w:sz="0" w:space="0" w:color="auto"/>
                  </w:divBdr>
                  <w:divsChild>
                    <w:div w:id="2049596711">
                      <w:marLeft w:val="0"/>
                      <w:marRight w:val="0"/>
                      <w:marTop w:val="0"/>
                      <w:marBottom w:val="0"/>
                      <w:divBdr>
                        <w:top w:val="none" w:sz="0" w:space="0" w:color="auto"/>
                        <w:left w:val="none" w:sz="0" w:space="0" w:color="auto"/>
                        <w:bottom w:val="none" w:sz="0" w:space="0" w:color="auto"/>
                        <w:right w:val="none" w:sz="0" w:space="0" w:color="auto"/>
                      </w:divBdr>
                    </w:div>
                  </w:divsChild>
                </w:div>
                <w:div w:id="1650866517">
                  <w:marLeft w:val="0"/>
                  <w:marRight w:val="0"/>
                  <w:marTop w:val="0"/>
                  <w:marBottom w:val="0"/>
                  <w:divBdr>
                    <w:top w:val="none" w:sz="0" w:space="0" w:color="auto"/>
                    <w:left w:val="none" w:sz="0" w:space="0" w:color="auto"/>
                    <w:bottom w:val="none" w:sz="0" w:space="0" w:color="auto"/>
                    <w:right w:val="none" w:sz="0" w:space="0" w:color="auto"/>
                  </w:divBdr>
                  <w:divsChild>
                    <w:div w:id="14331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3464">
          <w:marLeft w:val="0"/>
          <w:marRight w:val="0"/>
          <w:marTop w:val="0"/>
          <w:marBottom w:val="0"/>
          <w:divBdr>
            <w:top w:val="none" w:sz="0" w:space="0" w:color="auto"/>
            <w:left w:val="none" w:sz="0" w:space="0" w:color="auto"/>
            <w:bottom w:val="none" w:sz="0" w:space="0" w:color="auto"/>
            <w:right w:val="none" w:sz="0" w:space="0" w:color="auto"/>
          </w:divBdr>
        </w:div>
        <w:div w:id="729888087">
          <w:marLeft w:val="0"/>
          <w:marRight w:val="0"/>
          <w:marTop w:val="0"/>
          <w:marBottom w:val="0"/>
          <w:divBdr>
            <w:top w:val="none" w:sz="0" w:space="0" w:color="auto"/>
            <w:left w:val="none" w:sz="0" w:space="0" w:color="auto"/>
            <w:bottom w:val="none" w:sz="0" w:space="0" w:color="auto"/>
            <w:right w:val="none" w:sz="0" w:space="0" w:color="auto"/>
          </w:divBdr>
        </w:div>
        <w:div w:id="963386573">
          <w:marLeft w:val="0"/>
          <w:marRight w:val="0"/>
          <w:marTop w:val="0"/>
          <w:marBottom w:val="0"/>
          <w:divBdr>
            <w:top w:val="none" w:sz="0" w:space="0" w:color="auto"/>
            <w:left w:val="none" w:sz="0" w:space="0" w:color="auto"/>
            <w:bottom w:val="none" w:sz="0" w:space="0" w:color="auto"/>
            <w:right w:val="none" w:sz="0" w:space="0" w:color="auto"/>
          </w:divBdr>
          <w:divsChild>
            <w:div w:id="2103602815">
              <w:marLeft w:val="0"/>
              <w:marRight w:val="0"/>
              <w:marTop w:val="0"/>
              <w:marBottom w:val="0"/>
              <w:divBdr>
                <w:top w:val="none" w:sz="0" w:space="0" w:color="auto"/>
                <w:left w:val="none" w:sz="0" w:space="0" w:color="auto"/>
                <w:bottom w:val="none" w:sz="0" w:space="0" w:color="auto"/>
                <w:right w:val="none" w:sz="0" w:space="0" w:color="auto"/>
              </w:divBdr>
              <w:divsChild>
                <w:div w:id="735661536">
                  <w:marLeft w:val="0"/>
                  <w:marRight w:val="0"/>
                  <w:marTop w:val="0"/>
                  <w:marBottom w:val="0"/>
                  <w:divBdr>
                    <w:top w:val="none" w:sz="0" w:space="0" w:color="auto"/>
                    <w:left w:val="none" w:sz="0" w:space="0" w:color="auto"/>
                    <w:bottom w:val="none" w:sz="0" w:space="0" w:color="auto"/>
                    <w:right w:val="none" w:sz="0" w:space="0" w:color="auto"/>
                  </w:divBdr>
                  <w:divsChild>
                    <w:div w:id="1600403815">
                      <w:marLeft w:val="0"/>
                      <w:marRight w:val="0"/>
                      <w:marTop w:val="0"/>
                      <w:marBottom w:val="0"/>
                      <w:divBdr>
                        <w:top w:val="none" w:sz="0" w:space="0" w:color="auto"/>
                        <w:left w:val="none" w:sz="0" w:space="0" w:color="auto"/>
                        <w:bottom w:val="none" w:sz="0" w:space="0" w:color="auto"/>
                        <w:right w:val="none" w:sz="0" w:space="0" w:color="auto"/>
                      </w:divBdr>
                    </w:div>
                  </w:divsChild>
                </w:div>
                <w:div w:id="1774741592">
                  <w:marLeft w:val="0"/>
                  <w:marRight w:val="0"/>
                  <w:marTop w:val="0"/>
                  <w:marBottom w:val="0"/>
                  <w:divBdr>
                    <w:top w:val="none" w:sz="0" w:space="0" w:color="auto"/>
                    <w:left w:val="none" w:sz="0" w:space="0" w:color="auto"/>
                    <w:bottom w:val="none" w:sz="0" w:space="0" w:color="auto"/>
                    <w:right w:val="none" w:sz="0" w:space="0" w:color="auto"/>
                  </w:divBdr>
                  <w:divsChild>
                    <w:div w:id="620036956">
                      <w:marLeft w:val="0"/>
                      <w:marRight w:val="0"/>
                      <w:marTop w:val="0"/>
                      <w:marBottom w:val="0"/>
                      <w:divBdr>
                        <w:top w:val="none" w:sz="0" w:space="0" w:color="auto"/>
                        <w:left w:val="none" w:sz="0" w:space="0" w:color="auto"/>
                        <w:bottom w:val="none" w:sz="0" w:space="0" w:color="auto"/>
                        <w:right w:val="none" w:sz="0" w:space="0" w:color="auto"/>
                      </w:divBdr>
                    </w:div>
                  </w:divsChild>
                </w:div>
                <w:div w:id="775518413">
                  <w:marLeft w:val="0"/>
                  <w:marRight w:val="0"/>
                  <w:marTop w:val="0"/>
                  <w:marBottom w:val="0"/>
                  <w:divBdr>
                    <w:top w:val="none" w:sz="0" w:space="0" w:color="auto"/>
                    <w:left w:val="none" w:sz="0" w:space="0" w:color="auto"/>
                    <w:bottom w:val="none" w:sz="0" w:space="0" w:color="auto"/>
                    <w:right w:val="none" w:sz="0" w:space="0" w:color="auto"/>
                  </w:divBdr>
                  <w:divsChild>
                    <w:div w:id="561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4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formea.org/en/treaties/ramsa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es/documento/sc53-03-avances-en-la-aplicacion-del-plan-de-accion-de-cecop-para-el-trienio-2016-201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s/documento/resolucion-xii9-programa-de-la-convencion-de-ramsar-sobre-comunicacion-fomento-de" TargetMode="External"/><Relationship Id="rId5" Type="http://schemas.openxmlformats.org/officeDocument/2006/relationships/numbering" Target="numbering.xml"/><Relationship Id="rId15" Type="http://schemas.openxmlformats.org/officeDocument/2006/relationships/hyperlink" Target="https://undocs.org/es/A/res/75/317" TargetMode="Externa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es/recursos/juego-de-herramientas-para-el-manejo-de-sitios-ram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336F-6096-494F-8567-61512E34F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A97D4-9F35-4143-B3E7-413610DA4C51}">
  <ds:schemaRefs>
    <ds:schemaRef ds:uri="http://schemas.microsoft.com/sharepoint/v3/contenttype/forms"/>
  </ds:schemaRefs>
</ds:datastoreItem>
</file>

<file path=customXml/itemProps3.xml><?xml version="1.0" encoding="utf-8"?>
<ds:datastoreItem xmlns:ds="http://schemas.openxmlformats.org/officeDocument/2006/customXml" ds:itemID="{7450B361-B817-4C13-B660-744AE7D630C6}">
  <ds:schemaRefs>
    <ds:schemaRef ds:uri="http://schemas.microsoft.com/office/2006/documentManagement/types"/>
    <ds:schemaRef ds:uri="8c0b6b05-eb82-4bda-97e8-cd82d0d6b453"/>
    <ds:schemaRef ds:uri="http://schemas.microsoft.com/office/infopath/2007/PartnerControls"/>
    <ds:schemaRef ds:uri="http://purl.org/dc/terms/"/>
    <ds:schemaRef ds:uri="http://schemas.openxmlformats.org/package/2006/metadata/core-properties"/>
    <ds:schemaRef ds:uri="http://www.w3.org/XML/1998/namespace"/>
    <ds:schemaRef ds:uri="aedd258d-19a7-41ba-8260-b0918f25313d"/>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8A89B282-E3CD-437B-B063-E1B123E9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9553</Words>
  <Characters>54457</Characters>
  <Application>Microsoft Office Word</Application>
  <DocSecurity>0</DocSecurity>
  <Lines>453</Lines>
  <Paragraphs>127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IUCN</Company>
  <LinksUpToDate>false</LinksUpToDate>
  <CharactersWithSpaces>63883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Royal Gardner</dc:creator>
  <cp:lastModifiedBy>Ed Jennings</cp:lastModifiedBy>
  <cp:revision>4</cp:revision>
  <cp:lastPrinted>2022-09-15T08:59:00Z</cp:lastPrinted>
  <dcterms:created xsi:type="dcterms:W3CDTF">2022-09-15T08:59:00Z</dcterms:created>
  <dcterms:modified xsi:type="dcterms:W3CDTF">2022-09-15T12:54:00Z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