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F356" w14:textId="77777777" w:rsidR="00B071C6" w:rsidRPr="00236BBB" w:rsidRDefault="00B071C6" w:rsidP="00B071C6">
      <w:pPr>
        <w:ind w:right="17"/>
        <w:jc w:val="center"/>
        <w:outlineLvl w:val="0"/>
        <w:rPr>
          <w:rFonts w:asciiTheme="minorHAnsi" w:hAnsiTheme="minorHAnsi" w:cstheme="minorHAnsi"/>
          <w:b/>
          <w:bCs/>
        </w:rPr>
      </w:pPr>
      <w:r w:rsidRPr="00236BBB">
        <w:rPr>
          <w:rFonts w:asciiTheme="minorHAnsi" w:hAnsiTheme="minorHAnsi" w:cstheme="minorHAnsi"/>
          <w:b/>
          <w:bCs/>
        </w:rPr>
        <w:t>14th Meeting of the Conference of the Contracting Parties</w:t>
      </w:r>
    </w:p>
    <w:p w14:paraId="22B00D86" w14:textId="77777777" w:rsidR="00B071C6" w:rsidRPr="00236BBB" w:rsidRDefault="00B071C6" w:rsidP="00B071C6">
      <w:pPr>
        <w:ind w:right="17"/>
        <w:jc w:val="center"/>
        <w:outlineLvl w:val="0"/>
        <w:rPr>
          <w:rFonts w:asciiTheme="minorHAnsi" w:hAnsiTheme="minorHAnsi" w:cstheme="minorHAnsi"/>
          <w:b/>
          <w:bCs/>
        </w:rPr>
      </w:pPr>
      <w:r w:rsidRPr="00236BBB">
        <w:rPr>
          <w:rFonts w:asciiTheme="minorHAnsi" w:hAnsiTheme="minorHAnsi" w:cstheme="minorHAnsi"/>
          <w:b/>
          <w:bCs/>
        </w:rPr>
        <w:t>to the Ramsar Convention on Wetlands</w:t>
      </w:r>
    </w:p>
    <w:p w14:paraId="57039B01" w14:textId="77777777" w:rsidR="00B071C6" w:rsidRPr="00236BBB" w:rsidRDefault="00B071C6" w:rsidP="00B071C6">
      <w:pPr>
        <w:ind w:right="17"/>
        <w:jc w:val="center"/>
        <w:outlineLvl w:val="0"/>
        <w:rPr>
          <w:rFonts w:asciiTheme="minorHAnsi" w:hAnsiTheme="minorHAnsi" w:cstheme="minorHAnsi"/>
          <w:b/>
          <w:bCs/>
        </w:rPr>
      </w:pPr>
    </w:p>
    <w:p w14:paraId="405E6096" w14:textId="77777777" w:rsidR="00B071C6" w:rsidRPr="00236BBB" w:rsidRDefault="00B071C6" w:rsidP="00B071C6">
      <w:pPr>
        <w:ind w:right="17"/>
        <w:jc w:val="center"/>
        <w:outlineLvl w:val="0"/>
        <w:rPr>
          <w:rFonts w:asciiTheme="minorHAnsi" w:hAnsiTheme="minorHAnsi" w:cstheme="minorHAnsi"/>
          <w:b/>
          <w:bCs/>
        </w:rPr>
      </w:pPr>
      <w:r w:rsidRPr="00236BBB">
        <w:rPr>
          <w:rFonts w:asciiTheme="minorHAnsi" w:hAnsiTheme="minorHAnsi" w:cstheme="minorHAnsi"/>
          <w:b/>
          <w:bCs/>
        </w:rPr>
        <w:t>“Wetlands Actions for People and Nature”</w:t>
      </w:r>
    </w:p>
    <w:p w14:paraId="7FAC318E" w14:textId="77777777" w:rsidR="00B071C6" w:rsidRPr="00236BBB" w:rsidRDefault="00B071C6" w:rsidP="00B071C6">
      <w:pPr>
        <w:ind w:right="17"/>
        <w:jc w:val="center"/>
        <w:outlineLvl w:val="0"/>
        <w:rPr>
          <w:rFonts w:asciiTheme="minorHAnsi" w:hAnsiTheme="minorHAnsi" w:cstheme="minorHAnsi"/>
          <w:b/>
          <w:bCs/>
        </w:rPr>
      </w:pPr>
      <w:r w:rsidRPr="00236BBB">
        <w:rPr>
          <w:rFonts w:asciiTheme="minorHAnsi" w:hAnsiTheme="minorHAnsi" w:cstheme="minorHAnsi"/>
          <w:b/>
          <w:bCs/>
        </w:rPr>
        <w:t>Wuhan, China and Geneva, Switzerland, 5-13 November 2022</w:t>
      </w:r>
    </w:p>
    <w:p w14:paraId="0BF61757" w14:textId="77777777" w:rsidR="00B071C6" w:rsidRPr="00236BBB" w:rsidRDefault="00B071C6" w:rsidP="00B071C6">
      <w:pPr>
        <w:ind w:right="17"/>
        <w:jc w:val="center"/>
        <w:outlineLvl w:val="0"/>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071C6" w:rsidRPr="00236BBB" w14:paraId="0176F1A2" w14:textId="77777777" w:rsidTr="00924A38">
        <w:tc>
          <w:tcPr>
            <w:tcW w:w="9020" w:type="dxa"/>
          </w:tcPr>
          <w:p w14:paraId="7AEA16BB" w14:textId="18C5AFF9" w:rsidR="00B071C6" w:rsidRPr="00236BBB" w:rsidRDefault="00B071C6" w:rsidP="00924A38">
            <w:pPr>
              <w:ind w:right="67"/>
              <w:jc w:val="right"/>
              <w:outlineLvl w:val="0"/>
              <w:rPr>
                <w:rFonts w:asciiTheme="minorHAnsi" w:hAnsiTheme="minorHAnsi" w:cstheme="minorHAnsi"/>
                <w:b/>
                <w:bCs/>
              </w:rPr>
            </w:pPr>
            <w:r w:rsidRPr="00236BBB">
              <w:rPr>
                <w:rFonts w:asciiTheme="minorHAnsi" w:hAnsiTheme="minorHAnsi" w:cstheme="minorHAnsi"/>
                <w:b/>
                <w:bCs/>
              </w:rPr>
              <w:t>Ramsar COP14 Doc.14</w:t>
            </w:r>
          </w:p>
        </w:tc>
      </w:tr>
    </w:tbl>
    <w:p w14:paraId="23E946FC" w14:textId="2B57F1EF" w:rsidR="00065B8F" w:rsidRPr="00C058D7" w:rsidRDefault="00065B8F" w:rsidP="00C058D7">
      <w:pPr>
        <w:widowControl w:val="0"/>
        <w:jc w:val="left"/>
        <w:rPr>
          <w:rFonts w:asciiTheme="minorHAnsi" w:hAnsiTheme="minorHAnsi" w:cstheme="minorHAnsi"/>
          <w:bCs/>
          <w:sz w:val="22"/>
          <w:szCs w:val="22"/>
          <w:lang w:val="de-CH"/>
        </w:rPr>
      </w:pPr>
    </w:p>
    <w:p w14:paraId="67E929E0" w14:textId="77777777" w:rsidR="00B071C6" w:rsidRPr="00C058D7" w:rsidRDefault="00B071C6" w:rsidP="00C058D7">
      <w:pPr>
        <w:widowControl w:val="0"/>
        <w:jc w:val="left"/>
        <w:rPr>
          <w:rFonts w:asciiTheme="minorHAnsi" w:hAnsiTheme="minorHAnsi" w:cstheme="minorHAnsi"/>
          <w:bCs/>
          <w:sz w:val="22"/>
          <w:szCs w:val="22"/>
          <w:lang w:val="de-CH"/>
        </w:rPr>
      </w:pPr>
    </w:p>
    <w:p w14:paraId="4754E82B" w14:textId="4EB67D1F" w:rsidR="00065B8F" w:rsidRPr="00236BBB" w:rsidRDefault="00071E79" w:rsidP="00A451D1">
      <w:pPr>
        <w:widowControl w:val="0"/>
        <w:jc w:val="center"/>
        <w:rPr>
          <w:rFonts w:asciiTheme="minorHAnsi" w:hAnsiTheme="minorHAnsi" w:cstheme="minorHAnsi"/>
          <w:b/>
          <w:bCs/>
          <w:sz w:val="28"/>
          <w:szCs w:val="28"/>
        </w:rPr>
      </w:pPr>
      <w:r w:rsidRPr="00236BBB">
        <w:rPr>
          <w:rFonts w:asciiTheme="minorHAnsi" w:hAnsiTheme="minorHAnsi" w:cstheme="minorHAnsi"/>
          <w:b/>
          <w:bCs/>
          <w:sz w:val="28"/>
          <w:szCs w:val="28"/>
        </w:rPr>
        <w:t xml:space="preserve">Secretariat report on administrative and financial implications </w:t>
      </w:r>
      <w:r w:rsidR="00B071C6" w:rsidRPr="00236BBB">
        <w:rPr>
          <w:rFonts w:asciiTheme="minorHAnsi" w:hAnsiTheme="minorHAnsi" w:cstheme="minorHAnsi"/>
          <w:b/>
          <w:bCs/>
          <w:sz w:val="28"/>
          <w:szCs w:val="28"/>
        </w:rPr>
        <w:br/>
      </w:r>
      <w:r w:rsidRPr="00236BBB">
        <w:rPr>
          <w:rFonts w:asciiTheme="minorHAnsi" w:hAnsiTheme="minorHAnsi" w:cstheme="minorHAnsi"/>
          <w:b/>
          <w:bCs/>
          <w:sz w:val="28"/>
          <w:szCs w:val="28"/>
        </w:rPr>
        <w:t>of draft resolutions</w:t>
      </w:r>
      <w:r w:rsidR="006A5172" w:rsidRPr="00236BBB">
        <w:rPr>
          <w:rFonts w:asciiTheme="minorHAnsi" w:hAnsiTheme="minorHAnsi" w:cstheme="minorHAnsi"/>
          <w:b/>
          <w:bCs/>
          <w:sz w:val="28"/>
          <w:szCs w:val="28"/>
        </w:rPr>
        <w:t xml:space="preserve"> </w:t>
      </w:r>
    </w:p>
    <w:p w14:paraId="19992BFF" w14:textId="6399A0F9" w:rsidR="00E95E62" w:rsidRPr="00C058D7" w:rsidRDefault="00E95E62" w:rsidP="00071E79">
      <w:pPr>
        <w:widowControl w:val="0"/>
        <w:ind w:left="0" w:firstLine="0"/>
        <w:rPr>
          <w:rFonts w:asciiTheme="minorHAnsi" w:hAnsiTheme="minorHAnsi" w:cstheme="minorHAnsi"/>
          <w:b/>
          <w:bCs/>
          <w:sz w:val="22"/>
          <w:szCs w:val="22"/>
        </w:rPr>
      </w:pPr>
    </w:p>
    <w:p w14:paraId="24398D3C" w14:textId="77777777" w:rsidR="006058B3" w:rsidRPr="00C058D7" w:rsidRDefault="006058B3" w:rsidP="00A451D1">
      <w:pPr>
        <w:widowControl w:val="0"/>
        <w:jc w:val="left"/>
        <w:rPr>
          <w:rFonts w:asciiTheme="minorHAnsi" w:hAnsiTheme="minorHAnsi" w:cstheme="minorHAnsi"/>
          <w:b/>
          <w:bCs/>
          <w:sz w:val="22"/>
          <w:szCs w:val="22"/>
        </w:rPr>
      </w:pPr>
    </w:p>
    <w:p w14:paraId="02350DE4" w14:textId="5394F93C" w:rsidR="002B429F" w:rsidRPr="00C058D7" w:rsidRDefault="00B22390" w:rsidP="00D44528">
      <w:pPr>
        <w:ind w:left="425" w:hanging="425"/>
        <w:jc w:val="left"/>
        <w:rPr>
          <w:rFonts w:asciiTheme="minorHAnsi" w:hAnsiTheme="minorHAnsi" w:cstheme="minorHAnsi"/>
          <w:sz w:val="22"/>
          <w:szCs w:val="22"/>
        </w:rPr>
      </w:pPr>
      <w:bookmarkStart w:id="0" w:name="_GoBack"/>
      <w:r w:rsidRPr="00236BBB">
        <w:rPr>
          <w:rFonts w:asciiTheme="minorHAnsi" w:hAnsiTheme="minorHAnsi" w:cstheme="minorHAnsi"/>
          <w:sz w:val="22"/>
          <w:szCs w:val="22"/>
        </w:rPr>
        <w:t>1.</w:t>
      </w:r>
      <w:r w:rsidRPr="00236BBB">
        <w:rPr>
          <w:rFonts w:asciiTheme="minorHAnsi" w:hAnsiTheme="minorHAnsi" w:cstheme="minorHAnsi"/>
          <w:sz w:val="22"/>
          <w:szCs w:val="22"/>
        </w:rPr>
        <w:tab/>
        <w:t>Table 1 below identifies the projected administrative and financial implications of substantive agenda items for COP14, compiled by the Secretariat in accordance with Rule 14 of the Rules of Procedure</w:t>
      </w:r>
      <w:r w:rsidRPr="00236BBB">
        <w:rPr>
          <w:rStyle w:val="FootnoteReference"/>
          <w:rFonts w:asciiTheme="minorHAnsi" w:hAnsiTheme="minorHAnsi" w:cstheme="minorHAnsi"/>
          <w:sz w:val="22"/>
          <w:szCs w:val="22"/>
        </w:rPr>
        <w:footnoteReference w:id="1"/>
      </w:r>
      <w:r w:rsidRPr="00236BBB">
        <w:rPr>
          <w:rFonts w:asciiTheme="minorHAnsi" w:hAnsiTheme="minorHAnsi" w:cstheme="minorHAnsi"/>
          <w:sz w:val="22"/>
          <w:szCs w:val="22"/>
        </w:rPr>
        <w:t>.</w:t>
      </w:r>
    </w:p>
    <w:bookmarkEnd w:id="0"/>
    <w:p w14:paraId="570FC610" w14:textId="77777777" w:rsidR="002B429F" w:rsidRPr="00236BBB" w:rsidRDefault="002B429F" w:rsidP="00A451D1">
      <w:pPr>
        <w:widowControl w:val="0"/>
        <w:spacing w:after="160" w:line="259" w:lineRule="auto"/>
        <w:ind w:left="0" w:firstLine="0"/>
        <w:jc w:val="left"/>
        <w:rPr>
          <w:rFonts w:asciiTheme="minorHAnsi" w:hAnsiTheme="minorHAnsi" w:cstheme="minorHAnsi"/>
          <w:sz w:val="22"/>
          <w:szCs w:val="22"/>
        </w:rPr>
      </w:pPr>
      <w:r w:rsidRPr="00236BBB">
        <w:rPr>
          <w:rFonts w:asciiTheme="minorHAnsi" w:hAnsiTheme="minorHAnsi" w:cstheme="minorHAnsi"/>
          <w:i/>
          <w:sz w:val="22"/>
          <w:szCs w:val="22"/>
        </w:rPr>
        <w:br w:type="page"/>
      </w:r>
    </w:p>
    <w:p w14:paraId="4DF17515" w14:textId="57C3DFD2" w:rsidR="002B429F" w:rsidRPr="00236BBB" w:rsidRDefault="002B429F" w:rsidP="00A451D1">
      <w:pPr>
        <w:widowControl w:val="0"/>
        <w:ind w:left="425" w:hanging="425"/>
        <w:jc w:val="left"/>
        <w:rPr>
          <w:rFonts w:asciiTheme="minorHAnsi" w:hAnsiTheme="minorHAnsi" w:cstheme="minorHAnsi"/>
          <w:i/>
          <w:sz w:val="22"/>
          <w:szCs w:val="22"/>
        </w:rPr>
      </w:pPr>
      <w:r w:rsidRPr="00236BBB">
        <w:rPr>
          <w:rFonts w:asciiTheme="minorHAnsi" w:hAnsiTheme="minorHAnsi" w:cstheme="minorHAnsi"/>
          <w:i/>
          <w:sz w:val="22"/>
          <w:szCs w:val="22"/>
        </w:rPr>
        <w:lastRenderedPageBreak/>
        <w:t>Table 1: Projected administrative and financial implications of draft resolutions</w:t>
      </w:r>
    </w:p>
    <w:p w14:paraId="106E66AA" w14:textId="50F7674F" w:rsidR="00014D4E" w:rsidRPr="00236BBB" w:rsidRDefault="00014D4E" w:rsidP="00A451D1">
      <w:pPr>
        <w:widowControl w:val="0"/>
        <w:ind w:left="425" w:hanging="425"/>
        <w:jc w:val="left"/>
        <w:rPr>
          <w:rFonts w:asciiTheme="minorHAnsi" w:hAnsiTheme="minorHAnsi" w:cstheme="minorHAnsi"/>
          <w:bCs/>
          <w:sz w:val="22"/>
          <w:szCs w:val="22"/>
        </w:rPr>
      </w:pPr>
      <w:r w:rsidRPr="00236BBB">
        <w:rPr>
          <w:rFonts w:asciiTheme="minorHAnsi" w:hAnsiTheme="minorHAnsi" w:cstheme="minorHAnsi"/>
          <w:i/>
          <w:sz w:val="22"/>
          <w:szCs w:val="22"/>
        </w:rPr>
        <w:t>(Costs in Swiss francs CHF)</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5"/>
        <w:gridCol w:w="1842"/>
        <w:gridCol w:w="2835"/>
        <w:gridCol w:w="1560"/>
        <w:gridCol w:w="1984"/>
      </w:tblGrid>
      <w:tr w:rsidR="00236BBB" w:rsidRPr="00236BBB" w14:paraId="713C34C8" w14:textId="77777777" w:rsidTr="00236BBB">
        <w:trPr>
          <w:cantSplit/>
          <w:tblHeader/>
        </w:trPr>
        <w:tc>
          <w:tcPr>
            <w:tcW w:w="1135" w:type="dxa"/>
            <w:shd w:val="clear" w:color="auto" w:fill="D9D9D9" w:themeFill="background1" w:themeFillShade="D9"/>
            <w:noWrap/>
            <w:vAlign w:val="center"/>
          </w:tcPr>
          <w:p w14:paraId="4EFDD6A2" w14:textId="77777777" w:rsidR="00236BBB" w:rsidRPr="00236BBB" w:rsidRDefault="00236BBB" w:rsidP="0042447D">
            <w:pPr>
              <w:widowControl w:val="0"/>
              <w:ind w:left="0" w:firstLine="0"/>
              <w:jc w:val="center"/>
              <w:rPr>
                <w:rFonts w:asciiTheme="minorHAnsi" w:hAnsiTheme="minorHAnsi" w:cstheme="minorHAnsi"/>
                <w:b/>
                <w:bCs/>
                <w:color w:val="000000"/>
                <w:sz w:val="22"/>
                <w:szCs w:val="22"/>
              </w:rPr>
            </w:pPr>
            <w:r w:rsidRPr="00236BBB">
              <w:rPr>
                <w:rFonts w:asciiTheme="minorHAnsi" w:hAnsiTheme="minorHAnsi" w:cstheme="minorHAnsi"/>
                <w:b/>
                <w:bCs/>
                <w:color w:val="000000"/>
                <w:sz w:val="22"/>
                <w:szCs w:val="22"/>
              </w:rPr>
              <w:t>Document</w:t>
            </w:r>
          </w:p>
        </w:tc>
        <w:tc>
          <w:tcPr>
            <w:tcW w:w="1842" w:type="dxa"/>
            <w:shd w:val="clear" w:color="auto" w:fill="D9D9D9" w:themeFill="background1" w:themeFillShade="D9"/>
            <w:noWrap/>
            <w:vAlign w:val="center"/>
          </w:tcPr>
          <w:p w14:paraId="7B1FF384" w14:textId="1B3D7C7A" w:rsidR="00236BBB" w:rsidRPr="00236BBB" w:rsidRDefault="00236BBB" w:rsidP="0042447D">
            <w:pPr>
              <w:widowControl w:val="0"/>
              <w:ind w:left="0" w:firstLine="0"/>
              <w:jc w:val="center"/>
              <w:rPr>
                <w:rFonts w:asciiTheme="minorHAnsi" w:hAnsiTheme="minorHAnsi" w:cstheme="minorHAnsi"/>
                <w:b/>
                <w:bCs/>
                <w:color w:val="000000"/>
                <w:sz w:val="22"/>
                <w:szCs w:val="22"/>
              </w:rPr>
            </w:pPr>
            <w:r w:rsidRPr="00236BBB">
              <w:rPr>
                <w:rFonts w:asciiTheme="minorHAnsi" w:hAnsiTheme="minorHAnsi" w:cstheme="minorHAnsi"/>
                <w:b/>
                <w:bCs/>
                <w:color w:val="000000"/>
                <w:sz w:val="22"/>
                <w:szCs w:val="22"/>
              </w:rPr>
              <w:t>Draft Resolution</w:t>
            </w:r>
          </w:p>
        </w:tc>
        <w:tc>
          <w:tcPr>
            <w:tcW w:w="2835" w:type="dxa"/>
            <w:shd w:val="clear" w:color="auto" w:fill="D9D9D9" w:themeFill="background1" w:themeFillShade="D9"/>
            <w:vAlign w:val="center"/>
          </w:tcPr>
          <w:p w14:paraId="13CE1A06" w14:textId="50E9305A" w:rsidR="00236BBB" w:rsidRPr="00236BBB" w:rsidRDefault="00236BBB" w:rsidP="0042447D">
            <w:pPr>
              <w:widowControl w:val="0"/>
              <w:ind w:left="0" w:firstLine="0"/>
              <w:jc w:val="center"/>
              <w:rPr>
                <w:rFonts w:asciiTheme="minorHAnsi" w:hAnsiTheme="minorHAnsi" w:cstheme="minorHAnsi"/>
                <w:b/>
                <w:bCs/>
                <w:color w:val="000000"/>
                <w:sz w:val="22"/>
                <w:szCs w:val="22"/>
              </w:rPr>
            </w:pPr>
            <w:r w:rsidRPr="00236BBB">
              <w:rPr>
                <w:rFonts w:asciiTheme="minorHAnsi" w:hAnsiTheme="minorHAnsi" w:cstheme="minorHAnsi"/>
                <w:b/>
                <w:bCs/>
                <w:color w:val="000000"/>
                <w:sz w:val="22"/>
                <w:szCs w:val="22"/>
              </w:rPr>
              <w:t xml:space="preserve">Activities/Tasks required </w:t>
            </w:r>
          </w:p>
        </w:tc>
        <w:tc>
          <w:tcPr>
            <w:tcW w:w="1560" w:type="dxa"/>
            <w:shd w:val="clear" w:color="auto" w:fill="D9D9D9" w:themeFill="background1" w:themeFillShade="D9"/>
            <w:vAlign w:val="center"/>
          </w:tcPr>
          <w:p w14:paraId="64C91073" w14:textId="0EB9451A" w:rsidR="00236BBB" w:rsidRPr="00236BBB" w:rsidRDefault="00236BBB" w:rsidP="0042447D">
            <w:pPr>
              <w:widowControl w:val="0"/>
              <w:ind w:left="0" w:firstLine="0"/>
              <w:jc w:val="center"/>
              <w:rPr>
                <w:rFonts w:asciiTheme="minorHAnsi" w:hAnsiTheme="minorHAnsi" w:cstheme="minorHAnsi"/>
                <w:b/>
                <w:bCs/>
                <w:color w:val="000000"/>
                <w:sz w:val="22"/>
                <w:szCs w:val="22"/>
              </w:rPr>
            </w:pPr>
            <w:r w:rsidRPr="00236BBB">
              <w:rPr>
                <w:rFonts w:asciiTheme="minorHAnsi" w:hAnsiTheme="minorHAnsi" w:cstheme="minorHAnsi"/>
                <w:b/>
                <w:bCs/>
                <w:color w:val="000000"/>
                <w:sz w:val="22"/>
                <w:szCs w:val="22"/>
              </w:rPr>
              <w:t xml:space="preserve">Staff Days  </w:t>
            </w:r>
          </w:p>
        </w:tc>
        <w:tc>
          <w:tcPr>
            <w:tcW w:w="1984" w:type="dxa"/>
            <w:shd w:val="clear" w:color="auto" w:fill="D9D9D9" w:themeFill="background1" w:themeFillShade="D9"/>
            <w:vAlign w:val="center"/>
          </w:tcPr>
          <w:p w14:paraId="1088F56E" w14:textId="6D333F4C" w:rsidR="00236BBB" w:rsidRPr="00236BBB" w:rsidRDefault="00236BBB" w:rsidP="0042447D">
            <w:pPr>
              <w:widowControl w:val="0"/>
              <w:ind w:left="0" w:firstLine="0"/>
              <w:jc w:val="center"/>
              <w:rPr>
                <w:rFonts w:asciiTheme="minorHAnsi" w:hAnsiTheme="minorHAnsi" w:cstheme="minorHAnsi"/>
                <w:b/>
                <w:bCs/>
                <w:color w:val="000000"/>
                <w:sz w:val="22"/>
                <w:szCs w:val="22"/>
              </w:rPr>
            </w:pPr>
            <w:r w:rsidRPr="00236BBB">
              <w:rPr>
                <w:rFonts w:asciiTheme="minorHAnsi" w:hAnsiTheme="minorHAnsi" w:cstheme="minorHAnsi"/>
                <w:b/>
                <w:bCs/>
                <w:color w:val="000000"/>
                <w:sz w:val="22"/>
                <w:szCs w:val="22"/>
              </w:rPr>
              <w:t>Cost (CHF)</w:t>
            </w:r>
          </w:p>
        </w:tc>
      </w:tr>
      <w:tr w:rsidR="00236BBB" w:rsidRPr="00236BBB" w14:paraId="3683D293" w14:textId="77777777" w:rsidTr="00236BBB">
        <w:trPr>
          <w:cantSplit/>
        </w:trPr>
        <w:tc>
          <w:tcPr>
            <w:tcW w:w="1135" w:type="dxa"/>
            <w:shd w:val="clear" w:color="auto" w:fill="auto"/>
            <w:noWrap/>
          </w:tcPr>
          <w:p w14:paraId="553EEE6E" w14:textId="6A5AFB85"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Doc.18.1</w:t>
            </w:r>
          </w:p>
        </w:tc>
        <w:tc>
          <w:tcPr>
            <w:tcW w:w="1842" w:type="dxa"/>
            <w:shd w:val="clear" w:color="auto" w:fill="auto"/>
            <w:noWrap/>
          </w:tcPr>
          <w:p w14:paraId="6A4DCA13" w14:textId="77777777"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Draft resolution on financial and budgetary matters</w:t>
            </w:r>
          </w:p>
        </w:tc>
        <w:tc>
          <w:tcPr>
            <w:tcW w:w="2835" w:type="dxa"/>
            <w:shd w:val="clear" w:color="auto" w:fill="auto"/>
          </w:tcPr>
          <w:p w14:paraId="454E2C1E" w14:textId="0C5A23C6"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No significant new activities/tasks required.</w:t>
            </w:r>
          </w:p>
        </w:tc>
        <w:tc>
          <w:tcPr>
            <w:tcW w:w="1560" w:type="dxa"/>
            <w:shd w:val="clear" w:color="auto" w:fill="auto"/>
          </w:tcPr>
          <w:p w14:paraId="62FF6658" w14:textId="77777777"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0</w:t>
            </w:r>
          </w:p>
        </w:tc>
        <w:tc>
          <w:tcPr>
            <w:tcW w:w="1984" w:type="dxa"/>
            <w:shd w:val="clear" w:color="auto" w:fill="auto"/>
          </w:tcPr>
          <w:p w14:paraId="7B0629F0" w14:textId="2528EEEF" w:rsidR="00236BBB" w:rsidRPr="00236BBB" w:rsidDel="00886642"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0</w:t>
            </w:r>
          </w:p>
        </w:tc>
      </w:tr>
      <w:tr w:rsidR="00236BBB" w:rsidRPr="00236BBB" w:rsidDel="00886642" w14:paraId="68AD4191" w14:textId="77777777" w:rsidTr="00236BBB">
        <w:trPr>
          <w:cantSplit/>
        </w:trPr>
        <w:tc>
          <w:tcPr>
            <w:tcW w:w="1135" w:type="dxa"/>
            <w:shd w:val="clear" w:color="auto" w:fill="auto"/>
            <w:noWrap/>
          </w:tcPr>
          <w:p w14:paraId="24759D6C"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Doc.18.2</w:t>
            </w:r>
          </w:p>
        </w:tc>
        <w:tc>
          <w:tcPr>
            <w:tcW w:w="1842" w:type="dxa"/>
            <w:shd w:val="clear" w:color="auto" w:fill="auto"/>
            <w:noWrap/>
          </w:tcPr>
          <w:p w14:paraId="4F24EE68"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Draft resolution on roles and responsibilities of the Standing Committee</w:t>
            </w:r>
          </w:p>
        </w:tc>
        <w:tc>
          <w:tcPr>
            <w:tcW w:w="2835" w:type="dxa"/>
            <w:shd w:val="clear" w:color="auto" w:fill="auto"/>
          </w:tcPr>
          <w:p w14:paraId="56DAF222" w14:textId="7AA57F21"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No significant new activities/tasks required.</w:t>
            </w:r>
          </w:p>
        </w:tc>
        <w:tc>
          <w:tcPr>
            <w:tcW w:w="1560" w:type="dxa"/>
            <w:shd w:val="clear" w:color="auto" w:fill="auto"/>
          </w:tcPr>
          <w:p w14:paraId="2887E0D7"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c>
          <w:tcPr>
            <w:tcW w:w="1984" w:type="dxa"/>
            <w:shd w:val="clear" w:color="auto" w:fill="auto"/>
          </w:tcPr>
          <w:p w14:paraId="7FC94D73" w14:textId="272EC1E1" w:rsidR="00236BBB" w:rsidRPr="00236BBB" w:rsidDel="00886642"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r>
      <w:tr w:rsidR="00236BBB" w:rsidRPr="00236BBB" w14:paraId="12FD490E" w14:textId="77777777" w:rsidTr="00236BBB">
        <w:trPr>
          <w:cantSplit/>
        </w:trPr>
        <w:tc>
          <w:tcPr>
            <w:tcW w:w="1135" w:type="dxa"/>
            <w:shd w:val="clear" w:color="auto" w:fill="auto"/>
            <w:noWrap/>
          </w:tcPr>
          <w:p w14:paraId="2DF04F81"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Doc.18.3</w:t>
            </w:r>
          </w:p>
        </w:tc>
        <w:tc>
          <w:tcPr>
            <w:tcW w:w="1842" w:type="dxa"/>
            <w:shd w:val="clear" w:color="auto" w:fill="auto"/>
            <w:noWrap/>
          </w:tcPr>
          <w:p w14:paraId="7726DBEE"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Draft resolution on the Effectiveness and Efficiency of the Ramsar Convention</w:t>
            </w:r>
          </w:p>
        </w:tc>
        <w:tc>
          <w:tcPr>
            <w:tcW w:w="2835" w:type="dxa"/>
            <w:shd w:val="clear" w:color="auto" w:fill="auto"/>
          </w:tcPr>
          <w:p w14:paraId="39F39E52" w14:textId="4116A794" w:rsidR="00236BBB" w:rsidRPr="00236BBB" w:rsidRDefault="00236BBB" w:rsidP="00901528">
            <w:pPr>
              <w:widowControl w:val="0"/>
              <w:ind w:left="0" w:firstLine="0"/>
              <w:jc w:val="left"/>
              <w:rPr>
                <w:rFonts w:asciiTheme="minorHAnsi" w:hAnsiTheme="minorHAnsi" w:cstheme="minorHAnsi"/>
                <w:sz w:val="22"/>
                <w:szCs w:val="22"/>
                <w:lang w:eastAsia="en-US"/>
              </w:rPr>
            </w:pPr>
            <w:r w:rsidRPr="00236BBB">
              <w:rPr>
                <w:rFonts w:asciiTheme="minorHAnsi" w:hAnsiTheme="minorHAnsi" w:cstheme="minorHAnsi"/>
                <w:sz w:val="22"/>
                <w:szCs w:val="22"/>
                <w:lang w:eastAsia="en-US"/>
              </w:rPr>
              <w:t>Para 12 - Secretariat to hire an expert consultant to evaluate potential approaches and online systems to enhance collaboration between Contracting Parties.</w:t>
            </w:r>
          </w:p>
          <w:p w14:paraId="5959C9BF"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p>
          <w:p w14:paraId="28D03206" w14:textId="247C0936"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 xml:space="preserve">Para 15 – </w:t>
            </w:r>
            <w:r w:rsidRPr="00236BBB">
              <w:rPr>
                <w:rFonts w:asciiTheme="minorHAnsi" w:hAnsiTheme="minorHAnsi" w:cstheme="minorHAnsi"/>
                <w:sz w:val="22"/>
                <w:szCs w:val="22"/>
              </w:rPr>
              <w:t>Secretariat to propose ways to enhance decision making procedures and maintain the full and effective participation of all Contracting Parties.</w:t>
            </w:r>
          </w:p>
        </w:tc>
        <w:tc>
          <w:tcPr>
            <w:tcW w:w="1560" w:type="dxa"/>
            <w:shd w:val="clear" w:color="auto" w:fill="auto"/>
          </w:tcPr>
          <w:p w14:paraId="561BCDB2" w14:textId="29FBC751"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10</w:t>
            </w:r>
          </w:p>
        </w:tc>
        <w:tc>
          <w:tcPr>
            <w:tcW w:w="1984" w:type="dxa"/>
            <w:shd w:val="clear" w:color="auto" w:fill="auto"/>
          </w:tcPr>
          <w:p w14:paraId="7A6BF355" w14:textId="273FC98F" w:rsidR="00236BBB" w:rsidRPr="00236BBB" w:rsidRDefault="00236BBB" w:rsidP="00405ED4">
            <w:pPr>
              <w:pStyle w:val="ListParagraph"/>
              <w:widowControl w:val="0"/>
              <w:numPr>
                <w:ilvl w:val="0"/>
                <w:numId w:val="10"/>
              </w:numPr>
              <w:rPr>
                <w:rFonts w:cstheme="minorHAnsi"/>
                <w:bCs/>
                <w:color w:val="000000"/>
              </w:rPr>
            </w:pPr>
            <w:r w:rsidRPr="00236BBB">
              <w:rPr>
                <w:rFonts w:cstheme="minorHAnsi"/>
                <w:bCs/>
                <w:color w:val="000000"/>
              </w:rPr>
              <w:t>10,000 for expert consultant.</w:t>
            </w:r>
          </w:p>
          <w:p w14:paraId="1A7D55BE" w14:textId="1B28175E" w:rsidR="00236BBB" w:rsidRPr="00236BBB" w:rsidRDefault="00236BBB" w:rsidP="00405ED4">
            <w:pPr>
              <w:pStyle w:val="ListParagraph"/>
              <w:widowControl w:val="0"/>
              <w:numPr>
                <w:ilvl w:val="0"/>
                <w:numId w:val="10"/>
              </w:numPr>
              <w:rPr>
                <w:rFonts w:cstheme="minorHAnsi"/>
                <w:bCs/>
                <w:color w:val="000000"/>
              </w:rPr>
            </w:pPr>
            <w:r w:rsidRPr="00236BBB">
              <w:rPr>
                <w:rFonts w:cstheme="minorHAnsi"/>
                <w:bCs/>
                <w:color w:val="000000"/>
              </w:rPr>
              <w:t>DR proposes use of surplus funds.</w:t>
            </w:r>
          </w:p>
          <w:p w14:paraId="687D1645" w14:textId="3E1E0C2B" w:rsidR="00236BBB" w:rsidRPr="00236BBB" w:rsidRDefault="00236BBB" w:rsidP="00405ED4">
            <w:pPr>
              <w:pStyle w:val="ListParagraph"/>
              <w:widowControl w:val="0"/>
              <w:numPr>
                <w:ilvl w:val="0"/>
                <w:numId w:val="10"/>
              </w:numPr>
              <w:rPr>
                <w:rFonts w:cstheme="minorHAnsi"/>
                <w:bCs/>
                <w:color w:val="000000"/>
              </w:rPr>
            </w:pPr>
          </w:p>
          <w:p w14:paraId="6C47A120" w14:textId="460FBDF4" w:rsidR="00236BBB" w:rsidRPr="00236BBB" w:rsidRDefault="00236BBB" w:rsidP="00405ED4">
            <w:pPr>
              <w:pStyle w:val="ListParagraph"/>
              <w:widowControl w:val="0"/>
              <w:numPr>
                <w:ilvl w:val="0"/>
                <w:numId w:val="10"/>
              </w:numPr>
              <w:rPr>
                <w:rFonts w:cstheme="minorHAnsi"/>
                <w:bCs/>
                <w:color w:val="000000"/>
              </w:rPr>
            </w:pPr>
          </w:p>
        </w:tc>
      </w:tr>
      <w:tr w:rsidR="00236BBB" w:rsidRPr="00236BBB" w14:paraId="69730678" w14:textId="77777777" w:rsidTr="00236BBB">
        <w:trPr>
          <w:cantSplit/>
        </w:trPr>
        <w:tc>
          <w:tcPr>
            <w:tcW w:w="1135" w:type="dxa"/>
            <w:shd w:val="clear" w:color="auto" w:fill="auto"/>
            <w:noWrap/>
          </w:tcPr>
          <w:p w14:paraId="7B87D76C"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Doc.18.4</w:t>
            </w:r>
          </w:p>
        </w:tc>
        <w:tc>
          <w:tcPr>
            <w:tcW w:w="1842" w:type="dxa"/>
            <w:shd w:val="clear" w:color="auto" w:fill="auto"/>
            <w:noWrap/>
          </w:tcPr>
          <w:p w14:paraId="2560390E"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Draft resolution on review of the fourth Strategic Plan of the Ramsar Convention</w:t>
            </w:r>
          </w:p>
        </w:tc>
        <w:tc>
          <w:tcPr>
            <w:tcW w:w="2835" w:type="dxa"/>
            <w:shd w:val="clear" w:color="auto" w:fill="auto"/>
          </w:tcPr>
          <w:p w14:paraId="77799A6F" w14:textId="44106221"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Preparation of SP5 for adoption at COP15 (Budget of 90,000 CHF approved by Decision SC59-32). No further funding requested.</w:t>
            </w:r>
          </w:p>
        </w:tc>
        <w:tc>
          <w:tcPr>
            <w:tcW w:w="1560" w:type="dxa"/>
            <w:shd w:val="clear" w:color="auto" w:fill="auto"/>
          </w:tcPr>
          <w:p w14:paraId="0F26980D"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c>
          <w:tcPr>
            <w:tcW w:w="1984" w:type="dxa"/>
            <w:shd w:val="clear" w:color="auto" w:fill="auto"/>
          </w:tcPr>
          <w:p w14:paraId="56A3EAC9" w14:textId="687E02C6"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r>
      <w:tr w:rsidR="00236BBB" w:rsidRPr="00236BBB" w14:paraId="4AF98413" w14:textId="77777777" w:rsidTr="00236BBB">
        <w:trPr>
          <w:cantSplit/>
        </w:trPr>
        <w:tc>
          <w:tcPr>
            <w:tcW w:w="1135" w:type="dxa"/>
            <w:shd w:val="clear" w:color="auto" w:fill="auto"/>
            <w:noWrap/>
          </w:tcPr>
          <w:p w14:paraId="70AE69E3" w14:textId="77777777" w:rsidR="00236BBB" w:rsidRPr="00236BBB" w:rsidRDefault="00236BBB" w:rsidP="0042447D">
            <w:pPr>
              <w:widowControl w:val="0"/>
              <w:ind w:left="0" w:firstLine="0"/>
              <w:jc w:val="left"/>
              <w:rPr>
                <w:rFonts w:asciiTheme="minorHAnsi" w:hAnsiTheme="minorHAnsi" w:cstheme="minorHAnsi"/>
                <w:sz w:val="22"/>
                <w:szCs w:val="22"/>
              </w:rPr>
            </w:pPr>
            <w:r w:rsidRPr="00236BBB">
              <w:rPr>
                <w:rFonts w:asciiTheme="minorHAnsi" w:hAnsiTheme="minorHAnsi" w:cstheme="minorHAnsi"/>
                <w:sz w:val="22"/>
                <w:szCs w:val="22"/>
              </w:rPr>
              <w:t>Doc.18.5</w:t>
            </w:r>
          </w:p>
          <w:p w14:paraId="7A322AF0" w14:textId="2106607C"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Doc.18.6</w:t>
            </w:r>
          </w:p>
        </w:tc>
        <w:tc>
          <w:tcPr>
            <w:tcW w:w="1842" w:type="dxa"/>
            <w:shd w:val="clear" w:color="auto" w:fill="auto"/>
            <w:noWrap/>
          </w:tcPr>
          <w:p w14:paraId="71A63BB6" w14:textId="77777777"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Draft resolution on a process for the review and consolidation of Resolutions and Recommendations of the Conference of the Parties</w:t>
            </w:r>
          </w:p>
        </w:tc>
        <w:tc>
          <w:tcPr>
            <w:tcW w:w="2835" w:type="dxa"/>
            <w:shd w:val="clear" w:color="auto" w:fill="auto"/>
          </w:tcPr>
          <w:p w14:paraId="114D9F25" w14:textId="79F26096"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Para 19 – Expert consultant to prepare consolidated draft resolutions.</w:t>
            </w:r>
          </w:p>
        </w:tc>
        <w:tc>
          <w:tcPr>
            <w:tcW w:w="1560" w:type="dxa"/>
            <w:shd w:val="clear" w:color="auto" w:fill="auto"/>
          </w:tcPr>
          <w:p w14:paraId="69DF02D0" w14:textId="313985BA"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10</w:t>
            </w:r>
          </w:p>
        </w:tc>
        <w:tc>
          <w:tcPr>
            <w:tcW w:w="1984" w:type="dxa"/>
            <w:shd w:val="clear" w:color="auto" w:fill="auto"/>
          </w:tcPr>
          <w:p w14:paraId="10063239" w14:textId="5D5EF0B9" w:rsidR="00236BBB" w:rsidRPr="00236BBB" w:rsidRDefault="00236BBB" w:rsidP="0042447D">
            <w:pPr>
              <w:widowControl w:val="0"/>
              <w:ind w:left="0" w:firstLine="0"/>
              <w:jc w:val="left"/>
              <w:rPr>
                <w:rFonts w:asciiTheme="minorHAnsi" w:hAnsiTheme="minorHAnsi" w:cstheme="minorHAnsi"/>
                <w:sz w:val="22"/>
                <w:szCs w:val="22"/>
              </w:rPr>
            </w:pPr>
            <w:r w:rsidRPr="00236BBB">
              <w:rPr>
                <w:rFonts w:asciiTheme="minorHAnsi" w:hAnsiTheme="minorHAnsi" w:cstheme="minorHAnsi"/>
                <w:sz w:val="22"/>
                <w:szCs w:val="22"/>
              </w:rPr>
              <w:t>20,000 for expert consultant</w:t>
            </w:r>
          </w:p>
          <w:p w14:paraId="2B7BE47E" w14:textId="21C5A417" w:rsidR="00236BBB" w:rsidRPr="00236BBB" w:rsidDel="00886642" w:rsidRDefault="00236BBB" w:rsidP="0042447D">
            <w:pPr>
              <w:widowControl w:val="0"/>
              <w:ind w:left="0" w:firstLine="0"/>
              <w:jc w:val="left"/>
              <w:rPr>
                <w:rFonts w:asciiTheme="minorHAnsi" w:hAnsiTheme="minorHAnsi" w:cstheme="minorHAnsi"/>
                <w:bCs/>
                <w:color w:val="000000"/>
                <w:sz w:val="22"/>
                <w:szCs w:val="22"/>
              </w:rPr>
            </w:pPr>
          </w:p>
        </w:tc>
      </w:tr>
      <w:tr w:rsidR="00236BBB" w:rsidRPr="00236BBB" w14:paraId="331344DE" w14:textId="77777777" w:rsidTr="00236BBB">
        <w:trPr>
          <w:cantSplit/>
        </w:trPr>
        <w:tc>
          <w:tcPr>
            <w:tcW w:w="1135" w:type="dxa"/>
            <w:shd w:val="clear" w:color="auto" w:fill="auto"/>
          </w:tcPr>
          <w:p w14:paraId="0DEC9DE9"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Doc.18.7</w:t>
            </w:r>
          </w:p>
        </w:tc>
        <w:tc>
          <w:tcPr>
            <w:tcW w:w="1842" w:type="dxa"/>
            <w:shd w:val="clear" w:color="auto" w:fill="auto"/>
          </w:tcPr>
          <w:p w14:paraId="4972A47F" w14:textId="3BF38C88"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how to structure, write and handle Convention documents and messages</w:t>
            </w:r>
          </w:p>
        </w:tc>
        <w:tc>
          <w:tcPr>
            <w:tcW w:w="2835" w:type="dxa"/>
            <w:shd w:val="clear" w:color="auto" w:fill="auto"/>
            <w:noWrap/>
          </w:tcPr>
          <w:p w14:paraId="0F544B41" w14:textId="0B5B3220" w:rsidR="00236BBB" w:rsidRPr="00236BBB" w:rsidRDefault="00236BBB" w:rsidP="00901528">
            <w:pPr>
              <w:widowControl w:val="0"/>
              <w:ind w:left="0" w:firstLine="0"/>
              <w:jc w:val="left"/>
              <w:rPr>
                <w:rFonts w:asciiTheme="minorHAnsi" w:hAnsiTheme="minorHAnsi" w:cstheme="minorHAnsi"/>
                <w:sz w:val="22"/>
                <w:szCs w:val="22"/>
              </w:rPr>
            </w:pPr>
            <w:r w:rsidRPr="00236BBB">
              <w:rPr>
                <w:rFonts w:asciiTheme="minorHAnsi" w:hAnsiTheme="minorHAnsi" w:cstheme="minorHAnsi"/>
                <w:sz w:val="22"/>
                <w:szCs w:val="22"/>
              </w:rPr>
              <w:t>Para 38 – Secretariat to develop website functionality and process for publishing information not yet decided but under consideration.</w:t>
            </w:r>
          </w:p>
          <w:p w14:paraId="4E1D8676" w14:textId="236FB3E0" w:rsidR="00236BBB" w:rsidRPr="00236BBB" w:rsidRDefault="00236BBB" w:rsidP="00901528">
            <w:pPr>
              <w:widowControl w:val="0"/>
              <w:ind w:left="0" w:firstLine="0"/>
              <w:jc w:val="left"/>
              <w:rPr>
                <w:rFonts w:asciiTheme="minorHAnsi" w:hAnsiTheme="minorHAnsi" w:cstheme="minorHAnsi"/>
                <w:bCs/>
                <w:sz w:val="22"/>
                <w:szCs w:val="22"/>
              </w:rPr>
            </w:pPr>
          </w:p>
        </w:tc>
        <w:tc>
          <w:tcPr>
            <w:tcW w:w="1560" w:type="dxa"/>
          </w:tcPr>
          <w:p w14:paraId="5DBC2D0A" w14:textId="56682E54"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 xml:space="preserve">25 </w:t>
            </w:r>
          </w:p>
        </w:tc>
        <w:tc>
          <w:tcPr>
            <w:tcW w:w="1984" w:type="dxa"/>
            <w:shd w:val="clear" w:color="auto" w:fill="auto"/>
          </w:tcPr>
          <w:p w14:paraId="1F524AFB" w14:textId="7840F388"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 xml:space="preserve">Financial implication on the core budget to be determined </w:t>
            </w:r>
          </w:p>
        </w:tc>
      </w:tr>
      <w:tr w:rsidR="00236BBB" w:rsidRPr="00236BBB" w14:paraId="49345897" w14:textId="77777777" w:rsidTr="00236BBB">
        <w:trPr>
          <w:cantSplit/>
        </w:trPr>
        <w:tc>
          <w:tcPr>
            <w:tcW w:w="1135" w:type="dxa"/>
            <w:shd w:val="clear" w:color="auto" w:fill="auto"/>
            <w:noWrap/>
          </w:tcPr>
          <w:p w14:paraId="5082AB71" w14:textId="0A64B6F9"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lastRenderedPageBreak/>
              <w:t>Doc.18.8</w:t>
            </w:r>
          </w:p>
        </w:tc>
        <w:tc>
          <w:tcPr>
            <w:tcW w:w="1842" w:type="dxa"/>
            <w:shd w:val="clear" w:color="auto" w:fill="auto"/>
            <w:noWrap/>
          </w:tcPr>
          <w:p w14:paraId="3FF7F77A" w14:textId="77777777"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Draft resolution on enhancing the Convention’s visibility and synergies with other multilateral environmental agreements and other international institutions</w:t>
            </w:r>
          </w:p>
        </w:tc>
        <w:tc>
          <w:tcPr>
            <w:tcW w:w="2835" w:type="dxa"/>
            <w:shd w:val="clear" w:color="auto" w:fill="auto"/>
          </w:tcPr>
          <w:p w14:paraId="26DDCC9A" w14:textId="68E7184B" w:rsidR="00236BBB" w:rsidRPr="00236BBB" w:rsidRDefault="00236BBB" w:rsidP="0042447D">
            <w:pPr>
              <w:widowControl w:val="0"/>
              <w:ind w:left="0" w:firstLine="0"/>
              <w:jc w:val="left"/>
              <w:rPr>
                <w:rFonts w:asciiTheme="minorHAnsi" w:hAnsiTheme="minorHAnsi" w:cstheme="minorHAnsi"/>
                <w:sz w:val="22"/>
                <w:szCs w:val="22"/>
              </w:rPr>
            </w:pPr>
            <w:r w:rsidRPr="00236BBB">
              <w:rPr>
                <w:rFonts w:asciiTheme="minorHAnsi" w:hAnsiTheme="minorHAnsi" w:cstheme="minorHAnsi"/>
                <w:sz w:val="22"/>
                <w:szCs w:val="22"/>
              </w:rPr>
              <w:t>No significant new activities/tasks required.</w:t>
            </w:r>
          </w:p>
        </w:tc>
        <w:tc>
          <w:tcPr>
            <w:tcW w:w="1560" w:type="dxa"/>
            <w:shd w:val="clear" w:color="auto" w:fill="auto"/>
          </w:tcPr>
          <w:p w14:paraId="25FEFC26" w14:textId="77777777" w:rsidR="00236BBB" w:rsidRPr="00236BBB"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c>
          <w:tcPr>
            <w:tcW w:w="1984" w:type="dxa"/>
            <w:shd w:val="clear" w:color="auto" w:fill="auto"/>
          </w:tcPr>
          <w:p w14:paraId="421C0D3B" w14:textId="17048F5B" w:rsidR="00236BBB" w:rsidRPr="00236BBB" w:rsidDel="00886642" w:rsidRDefault="00236BBB" w:rsidP="0042447D">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r>
      <w:tr w:rsidR="00236BBB" w:rsidRPr="00236BBB" w14:paraId="6BDC6E97" w14:textId="77777777" w:rsidTr="00236BBB">
        <w:trPr>
          <w:cantSplit/>
        </w:trPr>
        <w:tc>
          <w:tcPr>
            <w:tcW w:w="1135" w:type="dxa"/>
            <w:shd w:val="clear" w:color="auto" w:fill="auto"/>
            <w:noWrap/>
          </w:tcPr>
          <w:p w14:paraId="77EF156F"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Doc.18.9</w:t>
            </w:r>
          </w:p>
        </w:tc>
        <w:tc>
          <w:tcPr>
            <w:tcW w:w="1842" w:type="dxa"/>
            <w:shd w:val="clear" w:color="auto" w:fill="auto"/>
            <w:noWrap/>
          </w:tcPr>
          <w:p w14:paraId="2A1643D4"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Draft resolution on Ramsar Regional Initiatives 2022-2024</w:t>
            </w:r>
          </w:p>
        </w:tc>
        <w:tc>
          <w:tcPr>
            <w:tcW w:w="2835" w:type="dxa"/>
            <w:shd w:val="clear" w:color="auto" w:fill="auto"/>
          </w:tcPr>
          <w:p w14:paraId="3334E346" w14:textId="74E3371F"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No significant new activities/tasks required.</w:t>
            </w:r>
          </w:p>
        </w:tc>
        <w:tc>
          <w:tcPr>
            <w:tcW w:w="1560" w:type="dxa"/>
            <w:shd w:val="clear" w:color="auto" w:fill="auto"/>
          </w:tcPr>
          <w:p w14:paraId="0EFFC44E"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c>
          <w:tcPr>
            <w:tcW w:w="1984" w:type="dxa"/>
            <w:shd w:val="clear" w:color="auto" w:fill="auto"/>
          </w:tcPr>
          <w:p w14:paraId="14E979DF" w14:textId="7CCEE7C0"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p w14:paraId="051AAFF1" w14:textId="0C2ADE55" w:rsidR="00236BBB" w:rsidRPr="00236BBB" w:rsidRDefault="00236BBB" w:rsidP="00901528">
            <w:pPr>
              <w:widowControl w:val="0"/>
              <w:ind w:left="0" w:firstLine="0"/>
              <w:jc w:val="left"/>
              <w:rPr>
                <w:rFonts w:asciiTheme="minorHAnsi" w:hAnsiTheme="minorHAnsi" w:cstheme="minorHAnsi"/>
                <w:bCs/>
                <w:color w:val="000000"/>
                <w:sz w:val="22"/>
                <w:szCs w:val="22"/>
              </w:rPr>
            </w:pPr>
          </w:p>
        </w:tc>
      </w:tr>
      <w:tr w:rsidR="00236BBB" w:rsidRPr="00236BBB" w14:paraId="47A2967D" w14:textId="77777777" w:rsidTr="00236BBB">
        <w:trPr>
          <w:cantSplit/>
        </w:trPr>
        <w:tc>
          <w:tcPr>
            <w:tcW w:w="1135" w:type="dxa"/>
            <w:shd w:val="clear" w:color="auto" w:fill="auto"/>
            <w:noWrap/>
          </w:tcPr>
          <w:p w14:paraId="5AB4924B"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Doc.18.10</w:t>
            </w:r>
          </w:p>
        </w:tc>
        <w:tc>
          <w:tcPr>
            <w:tcW w:w="1842" w:type="dxa"/>
            <w:shd w:val="clear" w:color="auto" w:fill="auto"/>
            <w:noWrap/>
          </w:tcPr>
          <w:p w14:paraId="5C5D2A26"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Draft resolution on the new CEPA approach</w:t>
            </w:r>
          </w:p>
        </w:tc>
        <w:tc>
          <w:tcPr>
            <w:tcW w:w="2835" w:type="dxa"/>
            <w:shd w:val="clear" w:color="auto" w:fill="auto"/>
          </w:tcPr>
          <w:p w14:paraId="7D26EB03" w14:textId="03CCCAC3"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Para 10 – New position to support CEPA implementation.</w:t>
            </w:r>
          </w:p>
        </w:tc>
        <w:tc>
          <w:tcPr>
            <w:tcW w:w="1560" w:type="dxa"/>
            <w:shd w:val="clear" w:color="auto" w:fill="auto"/>
          </w:tcPr>
          <w:p w14:paraId="5912D1EB" w14:textId="1218B51E"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New staff position</w:t>
            </w:r>
          </w:p>
        </w:tc>
        <w:tc>
          <w:tcPr>
            <w:tcW w:w="1984" w:type="dxa"/>
            <w:shd w:val="clear" w:color="auto" w:fill="auto"/>
          </w:tcPr>
          <w:p w14:paraId="6BB631D5" w14:textId="430224C0" w:rsidR="00236BBB" w:rsidRPr="00236BBB" w:rsidRDefault="00236BBB" w:rsidP="00901528">
            <w:pPr>
              <w:widowControl w:val="0"/>
              <w:ind w:left="0" w:firstLine="0"/>
              <w:jc w:val="left"/>
              <w:rPr>
                <w:rFonts w:asciiTheme="minorHAnsi" w:hAnsiTheme="minorHAnsi" w:cstheme="minorHAnsi"/>
              </w:rPr>
            </w:pPr>
            <w:r w:rsidRPr="00236BBB">
              <w:rPr>
                <w:rFonts w:asciiTheme="minorHAnsi" w:hAnsiTheme="minorHAnsi" w:cstheme="minorHAnsi"/>
                <w:bCs/>
                <w:color w:val="000000"/>
                <w:sz w:val="22"/>
                <w:szCs w:val="22"/>
              </w:rPr>
              <w:t>140,000 (annual cost of new P1 position)</w:t>
            </w:r>
          </w:p>
        </w:tc>
      </w:tr>
      <w:tr w:rsidR="00236BBB" w:rsidRPr="00236BBB" w14:paraId="4F005644" w14:textId="77777777" w:rsidTr="00236BBB">
        <w:trPr>
          <w:cantSplit/>
        </w:trPr>
        <w:tc>
          <w:tcPr>
            <w:tcW w:w="1135" w:type="dxa"/>
            <w:shd w:val="clear" w:color="auto" w:fill="auto"/>
            <w:hideMark/>
          </w:tcPr>
          <w:p w14:paraId="62CD49CE"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Doc.18.11</w:t>
            </w:r>
          </w:p>
        </w:tc>
        <w:tc>
          <w:tcPr>
            <w:tcW w:w="1842" w:type="dxa"/>
            <w:shd w:val="clear" w:color="auto" w:fill="auto"/>
            <w:hideMark/>
          </w:tcPr>
          <w:p w14:paraId="78955C3E" w14:textId="21844896"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the Ramsar Wetland Awards</w:t>
            </w:r>
          </w:p>
        </w:tc>
        <w:tc>
          <w:tcPr>
            <w:tcW w:w="2835" w:type="dxa"/>
            <w:shd w:val="clear" w:color="auto" w:fill="auto"/>
            <w:noWrap/>
            <w:hideMark/>
          </w:tcPr>
          <w:p w14:paraId="1500B2C2" w14:textId="30513F01" w:rsidR="00236BBB" w:rsidRPr="00236BBB" w:rsidRDefault="00236BBB" w:rsidP="00236BBB">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sz w:val="22"/>
                <w:szCs w:val="22"/>
              </w:rPr>
              <w:t>Para 14 - Awards recipients will receive a trophy and a certificate.</w:t>
            </w:r>
          </w:p>
        </w:tc>
        <w:tc>
          <w:tcPr>
            <w:tcW w:w="1560" w:type="dxa"/>
          </w:tcPr>
          <w:p w14:paraId="56D6763F" w14:textId="44CED31F"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c>
          <w:tcPr>
            <w:tcW w:w="1984" w:type="dxa"/>
            <w:shd w:val="clear" w:color="auto" w:fill="auto"/>
            <w:hideMark/>
          </w:tcPr>
          <w:p w14:paraId="7C832A72" w14:textId="368E3D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1,200 for trophies</w:t>
            </w:r>
          </w:p>
        </w:tc>
      </w:tr>
      <w:tr w:rsidR="00236BBB" w:rsidRPr="00236BBB" w14:paraId="7A5564E7" w14:textId="77777777" w:rsidTr="00236BBB">
        <w:trPr>
          <w:cantSplit/>
        </w:trPr>
        <w:tc>
          <w:tcPr>
            <w:tcW w:w="1135" w:type="dxa"/>
            <w:vMerge w:val="restart"/>
            <w:shd w:val="clear" w:color="auto" w:fill="auto"/>
          </w:tcPr>
          <w:p w14:paraId="1BEE73A3"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Doc.18.12</w:t>
            </w:r>
          </w:p>
        </w:tc>
        <w:tc>
          <w:tcPr>
            <w:tcW w:w="1842" w:type="dxa"/>
            <w:vMerge w:val="restart"/>
            <w:shd w:val="clear" w:color="auto" w:fill="auto"/>
          </w:tcPr>
          <w:p w14:paraId="25D6F7E1" w14:textId="636F2876"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 xml:space="preserve">Draft </w:t>
            </w:r>
            <w:r w:rsidRPr="00236BBB">
              <w:rPr>
                <w:rFonts w:asciiTheme="minorHAnsi" w:hAnsiTheme="minorHAnsi" w:cstheme="minorHAnsi"/>
                <w:sz w:val="22"/>
                <w:szCs w:val="22"/>
                <w:lang w:val="en-ZA" w:eastAsia="ko-KR"/>
              </w:rPr>
              <w:t>resolution on Updating the Wetland City Accreditation of the Ramsar Convention</w:t>
            </w:r>
          </w:p>
        </w:tc>
        <w:tc>
          <w:tcPr>
            <w:tcW w:w="2835" w:type="dxa"/>
            <w:shd w:val="clear" w:color="auto" w:fill="auto"/>
            <w:noWrap/>
          </w:tcPr>
          <w:p w14:paraId="42F0270A" w14:textId="16753794" w:rsidR="00236BBB" w:rsidRPr="00236BBB" w:rsidRDefault="00236BBB" w:rsidP="00901528">
            <w:pPr>
              <w:widowControl w:val="0"/>
              <w:ind w:left="0" w:firstLine="0"/>
              <w:jc w:val="left"/>
              <w:rPr>
                <w:rFonts w:asciiTheme="minorHAnsi" w:hAnsiTheme="minorHAnsi" w:cstheme="minorHAnsi"/>
                <w:sz w:val="22"/>
                <w:szCs w:val="22"/>
              </w:rPr>
            </w:pPr>
            <w:r w:rsidRPr="00236BBB">
              <w:rPr>
                <w:rFonts w:asciiTheme="minorHAnsi" w:hAnsiTheme="minorHAnsi" w:cstheme="minorHAnsi"/>
                <w:bCs/>
                <w:sz w:val="22"/>
                <w:szCs w:val="22"/>
              </w:rPr>
              <w:t>Para 16 - Secretariat to support the Wetland City Accreditation process (10 days per annum for support staff.</w:t>
            </w:r>
          </w:p>
        </w:tc>
        <w:tc>
          <w:tcPr>
            <w:tcW w:w="1560" w:type="dxa"/>
          </w:tcPr>
          <w:p w14:paraId="12167C3C" w14:textId="149E5210"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10</w:t>
            </w:r>
          </w:p>
        </w:tc>
        <w:tc>
          <w:tcPr>
            <w:tcW w:w="1984" w:type="dxa"/>
            <w:shd w:val="clear" w:color="auto" w:fill="auto"/>
          </w:tcPr>
          <w:p w14:paraId="03A8B5DC" w14:textId="5D0BB18C"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r>
      <w:tr w:rsidR="00236BBB" w:rsidRPr="00236BBB" w14:paraId="18621D80" w14:textId="77777777" w:rsidTr="00236BBB">
        <w:trPr>
          <w:cantSplit/>
        </w:trPr>
        <w:tc>
          <w:tcPr>
            <w:tcW w:w="1135" w:type="dxa"/>
            <w:vMerge/>
            <w:shd w:val="clear" w:color="auto" w:fill="auto"/>
          </w:tcPr>
          <w:p w14:paraId="390CE3A9"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3E869A0B"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4CD0750E" w14:textId="030AA4A4" w:rsidR="00236BBB" w:rsidRPr="00236BBB" w:rsidRDefault="00236BBB" w:rsidP="00901528">
            <w:pPr>
              <w:widowControl w:val="0"/>
              <w:ind w:left="0" w:firstLine="0"/>
              <w:jc w:val="left"/>
              <w:rPr>
                <w:rFonts w:asciiTheme="minorHAnsi" w:hAnsiTheme="minorHAnsi" w:cstheme="minorHAnsi"/>
                <w:bCs/>
                <w:sz w:val="22"/>
                <w:szCs w:val="22"/>
              </w:rPr>
            </w:pPr>
            <w:r w:rsidRPr="00236BBB">
              <w:rPr>
                <w:rFonts w:asciiTheme="minorHAnsi" w:hAnsiTheme="minorHAnsi" w:cstheme="minorHAnsi"/>
                <w:bCs/>
                <w:sz w:val="22"/>
                <w:szCs w:val="22"/>
              </w:rPr>
              <w:t>Annex II, Para 22 - Production of accreditation certificates.</w:t>
            </w:r>
          </w:p>
        </w:tc>
        <w:tc>
          <w:tcPr>
            <w:tcW w:w="1560" w:type="dxa"/>
          </w:tcPr>
          <w:p w14:paraId="74278ADA" w14:textId="52975715"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c>
          <w:tcPr>
            <w:tcW w:w="1984" w:type="dxa"/>
            <w:shd w:val="clear" w:color="auto" w:fill="auto"/>
          </w:tcPr>
          <w:p w14:paraId="2C06B533" w14:textId="3EDDD27F"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 xml:space="preserve">1,000 </w:t>
            </w:r>
          </w:p>
        </w:tc>
      </w:tr>
      <w:tr w:rsidR="00236BBB" w:rsidRPr="00236BBB" w14:paraId="145DE7FA" w14:textId="77777777" w:rsidTr="00236BBB">
        <w:trPr>
          <w:cantSplit/>
        </w:trPr>
        <w:tc>
          <w:tcPr>
            <w:tcW w:w="1135" w:type="dxa"/>
            <w:vMerge w:val="restart"/>
            <w:shd w:val="clear" w:color="auto" w:fill="auto"/>
            <w:hideMark/>
          </w:tcPr>
          <w:p w14:paraId="4A52E13E"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Doc.18.13</w:t>
            </w:r>
          </w:p>
        </w:tc>
        <w:tc>
          <w:tcPr>
            <w:tcW w:w="1842" w:type="dxa"/>
            <w:vMerge w:val="restart"/>
            <w:shd w:val="clear" w:color="auto" w:fill="auto"/>
            <w:hideMark/>
          </w:tcPr>
          <w:p w14:paraId="6897EC99"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Wetland education in the formal education sector</w:t>
            </w:r>
          </w:p>
        </w:tc>
        <w:tc>
          <w:tcPr>
            <w:tcW w:w="2835" w:type="dxa"/>
            <w:shd w:val="clear" w:color="auto" w:fill="auto"/>
            <w:noWrap/>
            <w:hideMark/>
          </w:tcPr>
          <w:p w14:paraId="275CAB0F" w14:textId="6B257801" w:rsidR="00236BBB" w:rsidRPr="00236BBB" w:rsidRDefault="00236BBB" w:rsidP="00901528">
            <w:pPr>
              <w:widowControl w:val="0"/>
              <w:ind w:left="0" w:firstLine="0"/>
              <w:jc w:val="left"/>
              <w:rPr>
                <w:rFonts w:asciiTheme="minorHAnsi" w:hAnsiTheme="minorHAnsi" w:cstheme="minorHAnsi"/>
                <w:sz w:val="22"/>
                <w:szCs w:val="22"/>
                <w:lang w:val="en-AU" w:eastAsia="ko-KR"/>
              </w:rPr>
            </w:pPr>
            <w:r w:rsidRPr="00236BBB">
              <w:rPr>
                <w:rFonts w:asciiTheme="minorHAnsi" w:hAnsiTheme="minorHAnsi" w:cstheme="minorHAnsi"/>
                <w:sz w:val="22"/>
                <w:szCs w:val="22"/>
                <w:lang w:val="en-AU" w:eastAsia="ko-KR"/>
              </w:rPr>
              <w:t>Para 27 - The Secretariat to analyse the progress of development and implementation of wetland education programmes based on National Reports in cooperation with a small working group consisting of CEPA experts especially created for this purpose and report the progress to the Contracting Parties through the COPs towards the goal of mainstreaming wetland education in formal education.</w:t>
            </w:r>
          </w:p>
        </w:tc>
        <w:tc>
          <w:tcPr>
            <w:tcW w:w="1560" w:type="dxa"/>
          </w:tcPr>
          <w:p w14:paraId="291B337F" w14:textId="47BB06B8"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2</w:t>
            </w:r>
          </w:p>
        </w:tc>
        <w:tc>
          <w:tcPr>
            <w:tcW w:w="1984" w:type="dxa"/>
            <w:shd w:val="clear" w:color="auto" w:fill="auto"/>
          </w:tcPr>
          <w:p w14:paraId="139348D6" w14:textId="7E1C161A"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r>
      <w:tr w:rsidR="00236BBB" w:rsidRPr="00236BBB" w14:paraId="3374781B" w14:textId="77777777" w:rsidTr="00236BBB">
        <w:trPr>
          <w:cantSplit/>
        </w:trPr>
        <w:tc>
          <w:tcPr>
            <w:tcW w:w="1135" w:type="dxa"/>
            <w:vMerge/>
            <w:shd w:val="clear" w:color="auto" w:fill="auto"/>
          </w:tcPr>
          <w:p w14:paraId="71991811"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193D3180"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5BA0AF93" w14:textId="47249566" w:rsidR="00236BBB" w:rsidRPr="00236BBB" w:rsidRDefault="00236BBB" w:rsidP="00901528">
            <w:pPr>
              <w:widowControl w:val="0"/>
              <w:ind w:left="0" w:firstLine="0"/>
              <w:jc w:val="left"/>
              <w:rPr>
                <w:rFonts w:asciiTheme="minorHAnsi" w:hAnsiTheme="minorHAnsi" w:cstheme="minorHAnsi"/>
                <w:sz w:val="22"/>
                <w:szCs w:val="22"/>
                <w:lang w:val="en-AU" w:eastAsia="ko-KR"/>
              </w:rPr>
            </w:pPr>
            <w:r w:rsidRPr="00236BBB">
              <w:rPr>
                <w:rFonts w:asciiTheme="minorHAnsi" w:hAnsiTheme="minorHAnsi" w:cstheme="minorHAnsi"/>
                <w:sz w:val="22"/>
                <w:szCs w:val="22"/>
                <w:lang w:val="en-AU"/>
              </w:rPr>
              <w:t>Para 28 - The Secretary General to coordinate with UNESCO and work to synergise Ramsar Convention’s goal of mainstreaming wetland education in formal education with UNESCO’s ESD for 2030 Roadmap.</w:t>
            </w:r>
          </w:p>
        </w:tc>
        <w:tc>
          <w:tcPr>
            <w:tcW w:w="1560" w:type="dxa"/>
          </w:tcPr>
          <w:p w14:paraId="3E7C7D75" w14:textId="58F5D3CE"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10</w:t>
            </w:r>
          </w:p>
        </w:tc>
        <w:tc>
          <w:tcPr>
            <w:tcW w:w="1984" w:type="dxa"/>
            <w:shd w:val="clear" w:color="auto" w:fill="auto"/>
          </w:tcPr>
          <w:p w14:paraId="48E5D04A" w14:textId="1D4D0093"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r>
      <w:tr w:rsidR="00236BBB" w:rsidRPr="00236BBB" w14:paraId="3377B209" w14:textId="77777777" w:rsidTr="00236BBB">
        <w:trPr>
          <w:cantSplit/>
        </w:trPr>
        <w:tc>
          <w:tcPr>
            <w:tcW w:w="1135" w:type="dxa"/>
            <w:vMerge w:val="restart"/>
            <w:shd w:val="clear" w:color="auto" w:fill="auto"/>
          </w:tcPr>
          <w:p w14:paraId="75A2C8F2"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Doc.18.14</w:t>
            </w:r>
          </w:p>
        </w:tc>
        <w:tc>
          <w:tcPr>
            <w:tcW w:w="1842" w:type="dxa"/>
            <w:vMerge w:val="restart"/>
            <w:shd w:val="clear" w:color="auto" w:fill="auto"/>
          </w:tcPr>
          <w:p w14:paraId="0103F590" w14:textId="78F5B925"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Strengthening Ramsar Connections Through Youth</w:t>
            </w:r>
          </w:p>
        </w:tc>
        <w:tc>
          <w:tcPr>
            <w:tcW w:w="2835" w:type="dxa"/>
            <w:shd w:val="clear" w:color="auto" w:fill="auto"/>
            <w:noWrap/>
          </w:tcPr>
          <w:p w14:paraId="0FF03C5A" w14:textId="07929BDC" w:rsidR="00236BBB" w:rsidRPr="00236BBB" w:rsidRDefault="00236BBB" w:rsidP="00901528">
            <w:pPr>
              <w:widowControl w:val="0"/>
              <w:ind w:left="0" w:firstLine="0"/>
              <w:jc w:val="left"/>
              <w:rPr>
                <w:rFonts w:asciiTheme="minorHAnsi" w:hAnsiTheme="minorHAnsi" w:cstheme="minorHAnsi"/>
                <w:bCs/>
                <w:sz w:val="22"/>
                <w:szCs w:val="22"/>
              </w:rPr>
            </w:pPr>
            <w:r w:rsidRPr="00236BBB">
              <w:rPr>
                <w:rFonts w:asciiTheme="minorHAnsi" w:hAnsiTheme="minorHAnsi" w:cstheme="minorHAnsi"/>
                <w:bCs/>
                <w:sz w:val="22"/>
                <w:szCs w:val="22"/>
              </w:rPr>
              <w:t>Para 15 - The Secretariat to explore hybrid models like virtual Forums that allow young people to meet ahead of and take part in the Conference of the Parties, for the purpose of expanding youth participation and regional outreach of the Conference.</w:t>
            </w:r>
          </w:p>
        </w:tc>
        <w:tc>
          <w:tcPr>
            <w:tcW w:w="1560" w:type="dxa"/>
          </w:tcPr>
          <w:p w14:paraId="0E481487" w14:textId="3AFCB7B1"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10</w:t>
            </w:r>
          </w:p>
        </w:tc>
        <w:tc>
          <w:tcPr>
            <w:tcW w:w="1984" w:type="dxa"/>
            <w:shd w:val="clear" w:color="auto" w:fill="auto"/>
          </w:tcPr>
          <w:p w14:paraId="7E483720" w14:textId="78E5BB05"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Financial implications to be determined based on outcome of exploratory process.</w:t>
            </w:r>
          </w:p>
        </w:tc>
      </w:tr>
      <w:tr w:rsidR="00236BBB" w:rsidRPr="00236BBB" w14:paraId="24B02D23" w14:textId="77777777" w:rsidTr="00236BBB">
        <w:trPr>
          <w:cantSplit/>
        </w:trPr>
        <w:tc>
          <w:tcPr>
            <w:tcW w:w="1135" w:type="dxa"/>
            <w:vMerge/>
            <w:shd w:val="clear" w:color="auto" w:fill="auto"/>
          </w:tcPr>
          <w:p w14:paraId="11F5D89E"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1F83D49B"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1F80026C" w14:textId="2FB10558" w:rsidR="00236BBB" w:rsidRPr="00236BBB" w:rsidRDefault="00236BBB" w:rsidP="00901528">
            <w:pPr>
              <w:widowControl w:val="0"/>
              <w:ind w:left="0" w:firstLine="0"/>
              <w:jc w:val="left"/>
              <w:rPr>
                <w:rFonts w:asciiTheme="minorHAnsi" w:hAnsiTheme="minorHAnsi" w:cstheme="minorHAnsi"/>
                <w:bCs/>
                <w:sz w:val="22"/>
                <w:szCs w:val="22"/>
              </w:rPr>
            </w:pPr>
            <w:r w:rsidRPr="00236BBB">
              <w:rPr>
                <w:rFonts w:asciiTheme="minorHAnsi" w:hAnsiTheme="minorHAnsi" w:cstheme="minorHAnsi"/>
                <w:sz w:val="22"/>
                <w:szCs w:val="22"/>
              </w:rPr>
              <w:t>Para 17 - Secretariat to employ the capacity of its junior professional programme to assist with coordination of the Ramsar Youth Working Group and the joint work plan with the Secretariat to call for voluntary contributions [including professional secondments] to support youth engagement and projects and to help coordinate this programme of work.</w:t>
            </w:r>
          </w:p>
        </w:tc>
        <w:tc>
          <w:tcPr>
            <w:tcW w:w="1560" w:type="dxa"/>
          </w:tcPr>
          <w:p w14:paraId="0CE9A0FC" w14:textId="5FE35265" w:rsidR="00236BBB" w:rsidRPr="00236BBB" w:rsidRDefault="00236BBB" w:rsidP="00F751D6">
            <w:pPr>
              <w:pStyle w:val="ListParagraph"/>
              <w:widowControl w:val="0"/>
              <w:ind w:left="3"/>
              <w:rPr>
                <w:rFonts w:cstheme="minorHAnsi"/>
                <w:color w:val="000000"/>
              </w:rPr>
            </w:pPr>
            <w:r w:rsidRPr="00236BBB">
              <w:rPr>
                <w:rFonts w:cstheme="minorHAnsi"/>
                <w:color w:val="000000"/>
              </w:rPr>
              <w:t>There is currently limited capacity with the Junior Professional staff to take on new responsibilities as their primary responsibility is updating and managing site information. The tasks requested in this DR would best be fulfilled through a new staff position.</w:t>
            </w:r>
          </w:p>
        </w:tc>
        <w:tc>
          <w:tcPr>
            <w:tcW w:w="1984" w:type="dxa"/>
            <w:shd w:val="clear" w:color="auto" w:fill="auto"/>
          </w:tcPr>
          <w:p w14:paraId="7FB35F80" w14:textId="77777777" w:rsidR="006E0870" w:rsidRPr="00913AE2" w:rsidRDefault="006E0870" w:rsidP="006E0870">
            <w:pPr>
              <w:widowControl w:val="0"/>
              <w:ind w:left="0" w:firstLine="0"/>
              <w:jc w:val="left"/>
              <w:rPr>
                <w:rFonts w:asciiTheme="minorHAnsi" w:hAnsiTheme="minorHAnsi" w:cstheme="minorHAnsi"/>
                <w:color w:val="000000"/>
                <w:sz w:val="22"/>
                <w:szCs w:val="22"/>
              </w:rPr>
            </w:pPr>
            <w:r w:rsidRPr="00913AE2">
              <w:rPr>
                <w:rFonts w:asciiTheme="minorHAnsi" w:hAnsiTheme="minorHAnsi" w:cstheme="minorHAnsi"/>
                <w:color w:val="000000"/>
                <w:sz w:val="22"/>
                <w:szCs w:val="22"/>
              </w:rPr>
              <w:t>90,000 (annual cost of new JP position)</w:t>
            </w:r>
          </w:p>
          <w:p w14:paraId="1F63A797" w14:textId="77777777" w:rsidR="006E0870" w:rsidRPr="00913AE2" w:rsidRDefault="006E0870" w:rsidP="006E0870">
            <w:pPr>
              <w:widowControl w:val="0"/>
              <w:ind w:left="0" w:firstLine="0"/>
              <w:jc w:val="left"/>
              <w:rPr>
                <w:rFonts w:asciiTheme="minorHAnsi" w:hAnsiTheme="minorHAnsi" w:cstheme="minorHAnsi"/>
                <w:color w:val="000000"/>
                <w:sz w:val="22"/>
                <w:szCs w:val="22"/>
              </w:rPr>
            </w:pPr>
            <w:r w:rsidRPr="00913AE2">
              <w:rPr>
                <w:rFonts w:asciiTheme="minorHAnsi" w:hAnsiTheme="minorHAnsi" w:cstheme="minorHAnsi"/>
                <w:sz w:val="22"/>
                <w:szCs w:val="22"/>
                <w:lang w:val="en-AU"/>
              </w:rPr>
              <w:t xml:space="preserve">Note: Australia has pledged a voluntary contribution </w:t>
            </w:r>
            <w:r w:rsidRPr="001A18B3">
              <w:rPr>
                <w:rFonts w:asciiTheme="minorHAnsi" w:hAnsiTheme="minorHAnsi" w:cstheme="minorHAnsi"/>
                <w:sz w:val="22"/>
                <w:szCs w:val="22"/>
                <w:lang w:val="en-AU"/>
              </w:rPr>
              <w:t xml:space="preserve">of 139,000 CHF to cover the salary of a Youth Advisor at P1 level </w:t>
            </w:r>
            <w:r w:rsidRPr="00913AE2">
              <w:rPr>
                <w:rFonts w:asciiTheme="minorHAnsi" w:hAnsiTheme="minorHAnsi" w:cstheme="minorHAnsi"/>
                <w:sz w:val="22"/>
                <w:szCs w:val="22"/>
                <w:lang w:val="en-AU"/>
              </w:rPr>
              <w:t>for year 1 pending adoption of the draft resolution.</w:t>
            </w:r>
            <w:r w:rsidRPr="00913AE2">
              <w:rPr>
                <w:rFonts w:asciiTheme="minorHAnsi" w:hAnsiTheme="minorHAnsi" w:cstheme="minorHAnsi"/>
                <w:sz w:val="22"/>
                <w:szCs w:val="22"/>
              </w:rPr>
              <w:t xml:space="preserve"> </w:t>
            </w:r>
          </w:p>
          <w:p w14:paraId="072B56DE"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r>
      <w:tr w:rsidR="00236BBB" w:rsidRPr="00236BBB" w:rsidDel="00886642" w14:paraId="36CF6966" w14:textId="77777777" w:rsidTr="00236BBB">
        <w:trPr>
          <w:cantSplit/>
        </w:trPr>
        <w:tc>
          <w:tcPr>
            <w:tcW w:w="1135" w:type="dxa"/>
            <w:shd w:val="clear" w:color="auto" w:fill="auto"/>
            <w:noWrap/>
          </w:tcPr>
          <w:p w14:paraId="5610D045"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Doc.18.15</w:t>
            </w:r>
          </w:p>
        </w:tc>
        <w:tc>
          <w:tcPr>
            <w:tcW w:w="1842" w:type="dxa"/>
            <w:shd w:val="clear" w:color="auto" w:fill="auto"/>
            <w:noWrap/>
          </w:tcPr>
          <w:p w14:paraId="5E12C506"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Draft resolution on status of Sites in the Ramsar List of Wetlands of International Importance</w:t>
            </w:r>
          </w:p>
        </w:tc>
        <w:tc>
          <w:tcPr>
            <w:tcW w:w="2835" w:type="dxa"/>
            <w:shd w:val="clear" w:color="auto" w:fill="auto"/>
          </w:tcPr>
          <w:p w14:paraId="111D6ED8" w14:textId="0E5C989F"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No significant new activities/tasks required.</w:t>
            </w:r>
          </w:p>
        </w:tc>
        <w:tc>
          <w:tcPr>
            <w:tcW w:w="1560" w:type="dxa"/>
            <w:shd w:val="clear" w:color="auto" w:fill="auto"/>
          </w:tcPr>
          <w:p w14:paraId="31320B05"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c>
          <w:tcPr>
            <w:tcW w:w="1984" w:type="dxa"/>
            <w:shd w:val="clear" w:color="auto" w:fill="auto"/>
          </w:tcPr>
          <w:p w14:paraId="67DD7B48" w14:textId="6965FC06" w:rsidR="00236BBB" w:rsidRPr="00236BBB" w:rsidDel="00886642"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r>
      <w:tr w:rsidR="00236BBB" w:rsidRPr="00236BBB" w14:paraId="2D8D75A0" w14:textId="77777777" w:rsidTr="00236BBB">
        <w:trPr>
          <w:cantSplit/>
        </w:trPr>
        <w:tc>
          <w:tcPr>
            <w:tcW w:w="1135" w:type="dxa"/>
            <w:vMerge w:val="restart"/>
            <w:shd w:val="clear" w:color="auto" w:fill="auto"/>
            <w:hideMark/>
          </w:tcPr>
          <w:p w14:paraId="2A9A100D"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lastRenderedPageBreak/>
              <w:t>Doc.18.16</w:t>
            </w:r>
          </w:p>
        </w:tc>
        <w:tc>
          <w:tcPr>
            <w:tcW w:w="1842" w:type="dxa"/>
            <w:vMerge w:val="restart"/>
            <w:shd w:val="clear" w:color="auto" w:fill="auto"/>
            <w:hideMark/>
          </w:tcPr>
          <w:p w14:paraId="73668F12"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review of the Ramsar criteria, and delisting of Ramsar Sites located in territories which are not recognized at the UN level as part of the territory of the submitting country</w:t>
            </w:r>
          </w:p>
        </w:tc>
        <w:tc>
          <w:tcPr>
            <w:tcW w:w="2835" w:type="dxa"/>
            <w:shd w:val="clear" w:color="auto" w:fill="auto"/>
            <w:noWrap/>
            <w:hideMark/>
          </w:tcPr>
          <w:p w14:paraId="408BA943" w14:textId="7C6946E1" w:rsidR="00236BBB" w:rsidRPr="00236BBB" w:rsidRDefault="00236BBB" w:rsidP="00901528">
            <w:pPr>
              <w:widowControl w:val="0"/>
              <w:autoSpaceDE w:val="0"/>
              <w:autoSpaceDN w:val="0"/>
              <w:adjustRightInd w:val="0"/>
              <w:ind w:left="36" w:firstLine="0"/>
              <w:jc w:val="left"/>
              <w:rPr>
                <w:rFonts w:asciiTheme="minorHAnsi" w:hAnsiTheme="minorHAnsi" w:cstheme="minorHAnsi"/>
                <w:color w:val="000000"/>
                <w:sz w:val="22"/>
                <w:szCs w:val="22"/>
              </w:rPr>
            </w:pPr>
            <w:r w:rsidRPr="00236BBB">
              <w:rPr>
                <w:rFonts w:asciiTheme="minorHAnsi" w:hAnsiTheme="minorHAnsi" w:cstheme="minorHAnsi"/>
                <w:sz w:val="22"/>
                <w:szCs w:val="22"/>
              </w:rPr>
              <w:t>Para 10 - The STRP to review the Ramsar Classification System for Wetland Type with a view to including additional aspects and consider creating a section in the Ramsar Information Sheet.</w:t>
            </w:r>
          </w:p>
        </w:tc>
        <w:tc>
          <w:tcPr>
            <w:tcW w:w="1560" w:type="dxa"/>
          </w:tcPr>
          <w:p w14:paraId="48E955C4" w14:textId="516AB4DD"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5</w:t>
            </w:r>
          </w:p>
        </w:tc>
        <w:tc>
          <w:tcPr>
            <w:tcW w:w="1984" w:type="dxa"/>
            <w:shd w:val="clear" w:color="auto" w:fill="auto"/>
            <w:noWrap/>
            <w:hideMark/>
          </w:tcPr>
          <w:p w14:paraId="3A8C25A8" w14:textId="0B90F7A3"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10,000 for expert consultant</w:t>
            </w:r>
          </w:p>
        </w:tc>
      </w:tr>
      <w:tr w:rsidR="00236BBB" w:rsidRPr="00236BBB" w14:paraId="1E756864" w14:textId="77777777" w:rsidTr="00236BBB">
        <w:trPr>
          <w:cantSplit/>
        </w:trPr>
        <w:tc>
          <w:tcPr>
            <w:tcW w:w="1135" w:type="dxa"/>
            <w:vMerge/>
            <w:shd w:val="clear" w:color="auto" w:fill="auto"/>
          </w:tcPr>
          <w:p w14:paraId="26E63B91"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6987E53E" w14:textId="77777777" w:rsidR="00236BBB" w:rsidRPr="00236BBB" w:rsidRDefault="00236BBB" w:rsidP="00901528">
            <w:pPr>
              <w:widowControl w:val="0"/>
              <w:ind w:left="0" w:firstLine="0"/>
              <w:jc w:val="left"/>
              <w:rPr>
                <w:rFonts w:asciiTheme="minorHAnsi" w:hAnsiTheme="minorHAnsi" w:cstheme="minorHAnsi"/>
                <w:color w:val="000000"/>
                <w:sz w:val="22"/>
                <w:szCs w:val="22"/>
              </w:rPr>
            </w:pPr>
          </w:p>
        </w:tc>
        <w:tc>
          <w:tcPr>
            <w:tcW w:w="2835" w:type="dxa"/>
            <w:shd w:val="clear" w:color="auto" w:fill="auto"/>
          </w:tcPr>
          <w:p w14:paraId="1D7264E0" w14:textId="50ABFAF4"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sz w:val="22"/>
                <w:szCs w:val="22"/>
              </w:rPr>
              <w:t>Para 11 - The Scientific and Technical Review Panel, in consultation with experts and competent partner organizations and with the assistance of the Secretariat, review the existing Criteria for Identifying Wetlands of International Importance and guidelines.</w:t>
            </w:r>
          </w:p>
        </w:tc>
        <w:tc>
          <w:tcPr>
            <w:tcW w:w="1560" w:type="dxa"/>
          </w:tcPr>
          <w:p w14:paraId="4894A7B0" w14:textId="6754B64D"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10</w:t>
            </w:r>
          </w:p>
        </w:tc>
        <w:tc>
          <w:tcPr>
            <w:tcW w:w="1984" w:type="dxa"/>
            <w:shd w:val="clear" w:color="auto" w:fill="auto"/>
          </w:tcPr>
          <w:p w14:paraId="09F1DB44" w14:textId="5D9C91F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10,000 for expert consultant</w:t>
            </w:r>
          </w:p>
        </w:tc>
      </w:tr>
      <w:tr w:rsidR="00236BBB" w:rsidRPr="00236BBB" w14:paraId="6C827681" w14:textId="77777777" w:rsidTr="00236BBB">
        <w:trPr>
          <w:cantSplit/>
        </w:trPr>
        <w:tc>
          <w:tcPr>
            <w:tcW w:w="1135" w:type="dxa"/>
            <w:tcBorders>
              <w:bottom w:val="single" w:sz="4" w:space="0" w:color="auto"/>
            </w:tcBorders>
            <w:shd w:val="clear" w:color="auto" w:fill="auto"/>
            <w:noWrap/>
          </w:tcPr>
          <w:p w14:paraId="351DB8C7"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Doc.18.17</w:t>
            </w:r>
          </w:p>
        </w:tc>
        <w:tc>
          <w:tcPr>
            <w:tcW w:w="1842" w:type="dxa"/>
            <w:tcBorders>
              <w:bottom w:val="single" w:sz="4" w:space="0" w:color="auto"/>
            </w:tcBorders>
            <w:shd w:val="clear" w:color="auto" w:fill="auto"/>
            <w:noWrap/>
          </w:tcPr>
          <w:p w14:paraId="50467D3D"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Draft Resolution on the future implementation of scientific and technical aspects of the Convention for 2023-2025</w:t>
            </w:r>
          </w:p>
        </w:tc>
        <w:tc>
          <w:tcPr>
            <w:tcW w:w="2835" w:type="dxa"/>
            <w:tcBorders>
              <w:bottom w:val="single" w:sz="4" w:space="0" w:color="auto"/>
            </w:tcBorders>
            <w:shd w:val="clear" w:color="auto" w:fill="auto"/>
          </w:tcPr>
          <w:p w14:paraId="3B3F69EC" w14:textId="7EC1BC4F"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sz w:val="22"/>
                <w:szCs w:val="22"/>
              </w:rPr>
              <w:t>No additional new activities/tasks required.</w:t>
            </w:r>
          </w:p>
        </w:tc>
        <w:tc>
          <w:tcPr>
            <w:tcW w:w="1560" w:type="dxa"/>
            <w:tcBorders>
              <w:bottom w:val="single" w:sz="4" w:space="0" w:color="auto"/>
            </w:tcBorders>
            <w:shd w:val="clear" w:color="auto" w:fill="auto"/>
          </w:tcPr>
          <w:p w14:paraId="0ACF57A2" w14:textId="77777777"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c>
          <w:tcPr>
            <w:tcW w:w="1984" w:type="dxa"/>
            <w:tcBorders>
              <w:bottom w:val="single" w:sz="4" w:space="0" w:color="auto"/>
            </w:tcBorders>
            <w:shd w:val="clear" w:color="auto" w:fill="auto"/>
          </w:tcPr>
          <w:p w14:paraId="4F618D9C" w14:textId="29B82CD3" w:rsidR="00236BBB" w:rsidRPr="00236BBB" w:rsidRDefault="00236BBB" w:rsidP="00901528">
            <w:pPr>
              <w:widowControl w:val="0"/>
              <w:ind w:left="0" w:firstLine="0"/>
              <w:jc w:val="left"/>
              <w:rPr>
                <w:rFonts w:asciiTheme="minorHAnsi" w:hAnsiTheme="minorHAnsi" w:cstheme="minorHAnsi"/>
                <w:bCs/>
                <w:color w:val="000000"/>
                <w:sz w:val="22"/>
                <w:szCs w:val="22"/>
              </w:rPr>
            </w:pPr>
            <w:r w:rsidRPr="00236BBB">
              <w:rPr>
                <w:rFonts w:asciiTheme="minorHAnsi" w:hAnsiTheme="minorHAnsi" w:cstheme="minorHAnsi"/>
                <w:bCs/>
                <w:color w:val="000000"/>
                <w:sz w:val="22"/>
                <w:szCs w:val="22"/>
              </w:rPr>
              <w:t>0</w:t>
            </w:r>
          </w:p>
        </w:tc>
      </w:tr>
      <w:tr w:rsidR="00236BBB" w:rsidRPr="00236BBB" w14:paraId="1D44C658" w14:textId="77777777" w:rsidTr="00236BBB">
        <w:trPr>
          <w:cantSplit/>
        </w:trPr>
        <w:tc>
          <w:tcPr>
            <w:tcW w:w="1135" w:type="dxa"/>
            <w:shd w:val="clear" w:color="auto" w:fill="auto"/>
            <w:hideMark/>
          </w:tcPr>
          <w:p w14:paraId="3373B36E"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Doc.18.18</w:t>
            </w:r>
          </w:p>
        </w:tc>
        <w:tc>
          <w:tcPr>
            <w:tcW w:w="1842" w:type="dxa"/>
            <w:shd w:val="clear" w:color="auto" w:fill="auto"/>
            <w:hideMark/>
          </w:tcPr>
          <w:p w14:paraId="78B75FB8" w14:textId="7777777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Guidance on Conservation and Management of Small Wetlands</w:t>
            </w:r>
          </w:p>
        </w:tc>
        <w:tc>
          <w:tcPr>
            <w:tcW w:w="2835" w:type="dxa"/>
            <w:shd w:val="clear" w:color="auto" w:fill="auto"/>
            <w:noWrap/>
            <w:hideMark/>
          </w:tcPr>
          <w:p w14:paraId="2DE0111A" w14:textId="403E929E" w:rsidR="00236BBB" w:rsidRPr="00236BBB" w:rsidRDefault="00236BBB" w:rsidP="00901528">
            <w:pPr>
              <w:widowControl w:val="0"/>
              <w:ind w:left="0" w:firstLine="0"/>
              <w:jc w:val="left"/>
              <w:rPr>
                <w:rFonts w:asciiTheme="minorHAnsi" w:eastAsia="SimSun" w:hAnsiTheme="minorHAnsi" w:cstheme="minorHAnsi"/>
                <w:bCs/>
                <w:sz w:val="22"/>
                <w:szCs w:val="22"/>
                <w:lang w:eastAsia="zh-CN"/>
              </w:rPr>
            </w:pPr>
            <w:r w:rsidRPr="00236BBB">
              <w:rPr>
                <w:rFonts w:asciiTheme="minorHAnsi" w:eastAsia="SimSun" w:hAnsiTheme="minorHAnsi" w:cstheme="minorHAnsi"/>
                <w:bCs/>
                <w:sz w:val="22"/>
                <w:szCs w:val="22"/>
                <w:lang w:eastAsia="zh-CN"/>
              </w:rPr>
              <w:t xml:space="preserve">Para 20 - </w:t>
            </w:r>
            <w:r w:rsidRPr="00236BBB">
              <w:rPr>
                <w:rFonts w:asciiTheme="minorHAnsi" w:hAnsiTheme="minorHAnsi" w:cstheme="minorHAnsi"/>
                <w:sz w:val="22"/>
                <w:szCs w:val="22"/>
              </w:rPr>
              <w:t>The Scientific and Technical Review Panel, based on the latest scientific knowledge and feedback from Contracting Parties, to develop guidance on inventories and monitoring of small wetlands and their multiple values for biodiversity conservation</w:t>
            </w:r>
            <w:r w:rsidRPr="00236BBB">
              <w:rPr>
                <w:rFonts w:asciiTheme="minorHAnsi" w:eastAsia="SimSun" w:hAnsiTheme="minorHAnsi" w:cstheme="minorHAnsi"/>
                <w:bCs/>
                <w:sz w:val="22"/>
                <w:szCs w:val="22"/>
                <w:lang w:eastAsia="zh-CN"/>
              </w:rPr>
              <w:t>.</w:t>
            </w:r>
          </w:p>
        </w:tc>
        <w:tc>
          <w:tcPr>
            <w:tcW w:w="1560" w:type="dxa"/>
          </w:tcPr>
          <w:p w14:paraId="07FCE4A5" w14:textId="745E6F87"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8</w:t>
            </w:r>
          </w:p>
        </w:tc>
        <w:tc>
          <w:tcPr>
            <w:tcW w:w="1984" w:type="dxa"/>
            <w:shd w:val="clear" w:color="auto" w:fill="auto"/>
            <w:hideMark/>
          </w:tcPr>
          <w:p w14:paraId="0BDC4B63" w14:textId="1EEF1CD3" w:rsidR="00236BBB" w:rsidRPr="00236BBB" w:rsidRDefault="00236BBB" w:rsidP="00405ED4">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 xml:space="preserve">10,000 for expert consultant </w:t>
            </w:r>
          </w:p>
        </w:tc>
      </w:tr>
      <w:tr w:rsidR="00236BBB" w:rsidRPr="00236BBB" w14:paraId="63EE264C" w14:textId="77777777" w:rsidTr="00236BBB">
        <w:trPr>
          <w:cantSplit/>
        </w:trPr>
        <w:tc>
          <w:tcPr>
            <w:tcW w:w="1135" w:type="dxa"/>
            <w:shd w:val="clear" w:color="auto" w:fill="auto"/>
            <w:hideMark/>
          </w:tcPr>
          <w:p w14:paraId="4284E3B1" w14:textId="4A6CC5A8"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Doc.18.19</w:t>
            </w:r>
          </w:p>
        </w:tc>
        <w:tc>
          <w:tcPr>
            <w:tcW w:w="1842" w:type="dxa"/>
            <w:shd w:val="clear" w:color="auto" w:fill="auto"/>
            <w:hideMark/>
          </w:tcPr>
          <w:p w14:paraId="7F1FDDE1" w14:textId="1FFA98AC"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Integrating wetland conservation and restoration into national sustainable development strategies</w:t>
            </w:r>
          </w:p>
        </w:tc>
        <w:tc>
          <w:tcPr>
            <w:tcW w:w="2835" w:type="dxa"/>
            <w:shd w:val="clear" w:color="auto" w:fill="auto"/>
            <w:noWrap/>
          </w:tcPr>
          <w:p w14:paraId="0490061D" w14:textId="4164FCB0" w:rsidR="00236BBB" w:rsidRPr="00236BBB" w:rsidRDefault="00236BBB" w:rsidP="00901528">
            <w:pPr>
              <w:widowControl w:val="0"/>
              <w:ind w:left="36" w:firstLine="0"/>
              <w:jc w:val="left"/>
              <w:rPr>
                <w:rFonts w:asciiTheme="minorHAnsi" w:eastAsia="仿宋" w:hAnsiTheme="minorHAnsi" w:cstheme="minorHAnsi"/>
                <w:sz w:val="22"/>
                <w:szCs w:val="22"/>
                <w:lang w:val="en-AU" w:eastAsia="zh-CN"/>
              </w:rPr>
            </w:pPr>
            <w:r w:rsidRPr="00236BBB">
              <w:rPr>
                <w:rFonts w:asciiTheme="minorHAnsi" w:hAnsiTheme="minorHAnsi" w:cstheme="minorHAnsi"/>
                <w:sz w:val="22"/>
                <w:szCs w:val="22"/>
              </w:rPr>
              <w:t>No significant new activities/tasks required.</w:t>
            </w:r>
          </w:p>
        </w:tc>
        <w:tc>
          <w:tcPr>
            <w:tcW w:w="1560" w:type="dxa"/>
          </w:tcPr>
          <w:p w14:paraId="2447464D" w14:textId="60230BC4"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c>
          <w:tcPr>
            <w:tcW w:w="1984" w:type="dxa"/>
            <w:shd w:val="clear" w:color="auto" w:fill="auto"/>
          </w:tcPr>
          <w:p w14:paraId="5D60C18D" w14:textId="43F16776" w:rsidR="00236BBB" w:rsidRPr="00236BBB" w:rsidRDefault="00236BBB" w:rsidP="00901528">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r>
      <w:tr w:rsidR="00236BBB" w:rsidRPr="00236BBB" w14:paraId="20A0A818" w14:textId="77777777" w:rsidTr="00236BBB">
        <w:trPr>
          <w:cantSplit/>
        </w:trPr>
        <w:tc>
          <w:tcPr>
            <w:tcW w:w="1135" w:type="dxa"/>
            <w:vMerge w:val="restart"/>
            <w:shd w:val="clear" w:color="auto" w:fill="auto"/>
            <w:hideMark/>
          </w:tcPr>
          <w:p w14:paraId="5483C3C6" w14:textId="056B2D49" w:rsidR="00236BBB" w:rsidRPr="00236BBB" w:rsidRDefault="00236BBB" w:rsidP="0042447D">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lastRenderedPageBreak/>
              <w:t>Doc.18.20</w:t>
            </w:r>
          </w:p>
        </w:tc>
        <w:tc>
          <w:tcPr>
            <w:tcW w:w="1842" w:type="dxa"/>
            <w:vMerge w:val="restart"/>
            <w:shd w:val="clear" w:color="auto" w:fill="auto"/>
            <w:hideMark/>
          </w:tcPr>
          <w:p w14:paraId="5DFA5E7E" w14:textId="77777777" w:rsidR="00236BBB" w:rsidRPr="00236BBB" w:rsidRDefault="00236BBB" w:rsidP="0042447D">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Protection, management and restoration of wetlands as Nature-based solutions to address the climate crisis</w:t>
            </w:r>
          </w:p>
        </w:tc>
        <w:tc>
          <w:tcPr>
            <w:tcW w:w="2835" w:type="dxa"/>
            <w:shd w:val="clear" w:color="auto" w:fill="auto"/>
            <w:hideMark/>
          </w:tcPr>
          <w:p w14:paraId="6907E043" w14:textId="0B111226" w:rsidR="00236BBB" w:rsidRPr="00236BBB" w:rsidRDefault="00236BBB" w:rsidP="0042447D">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lang w:val="en-US"/>
              </w:rPr>
              <w:t xml:space="preserve">Para 8 - The Secretariat to establish a community of practice by involving regional initiatives and other stakeholders on wetland conservation, management and restoration as NbS with the support of MedWet. </w:t>
            </w:r>
          </w:p>
        </w:tc>
        <w:tc>
          <w:tcPr>
            <w:tcW w:w="1560" w:type="dxa"/>
          </w:tcPr>
          <w:p w14:paraId="6E335808" w14:textId="13EACE43" w:rsidR="00236BBB" w:rsidRPr="00236BBB" w:rsidRDefault="00236BBB" w:rsidP="00405ED4">
            <w:pPr>
              <w:pStyle w:val="ListParagraph"/>
              <w:widowControl w:val="0"/>
              <w:ind w:left="0"/>
              <w:rPr>
                <w:rFonts w:cstheme="minorHAnsi"/>
                <w:color w:val="000000"/>
              </w:rPr>
            </w:pPr>
            <w:r w:rsidRPr="00236BBB">
              <w:rPr>
                <w:rFonts w:cstheme="minorHAnsi"/>
                <w:color w:val="000000"/>
              </w:rPr>
              <w:t xml:space="preserve">15 (tbc after the Secretariat role is clarified) </w:t>
            </w:r>
          </w:p>
        </w:tc>
        <w:tc>
          <w:tcPr>
            <w:tcW w:w="1984" w:type="dxa"/>
            <w:shd w:val="clear" w:color="auto" w:fill="auto"/>
            <w:hideMark/>
          </w:tcPr>
          <w:p w14:paraId="42C5281D" w14:textId="68F2CDB1" w:rsidR="00236BBB" w:rsidRPr="00236BBB" w:rsidRDefault="00236BBB" w:rsidP="0042447D">
            <w:pPr>
              <w:widowControl w:val="0"/>
              <w:ind w:left="0" w:firstLine="0"/>
              <w:jc w:val="left"/>
              <w:rPr>
                <w:rFonts w:asciiTheme="minorHAnsi" w:hAnsiTheme="minorHAnsi" w:cstheme="minorHAnsi"/>
                <w:color w:val="000000"/>
                <w:sz w:val="22"/>
                <w:szCs w:val="22"/>
                <w:highlight w:val="yellow"/>
              </w:rPr>
            </w:pPr>
            <w:r w:rsidRPr="00236BBB">
              <w:rPr>
                <w:rFonts w:asciiTheme="minorHAnsi" w:hAnsiTheme="minorHAnsi" w:cstheme="minorHAnsi"/>
                <w:color w:val="000000"/>
                <w:sz w:val="22"/>
                <w:szCs w:val="22"/>
              </w:rPr>
              <w:t>15,000 for expert consultant</w:t>
            </w:r>
          </w:p>
        </w:tc>
      </w:tr>
      <w:tr w:rsidR="00236BBB" w:rsidRPr="00236BBB" w14:paraId="770C2CEF" w14:textId="77777777" w:rsidTr="00236BBB">
        <w:trPr>
          <w:cantSplit/>
        </w:trPr>
        <w:tc>
          <w:tcPr>
            <w:tcW w:w="1135" w:type="dxa"/>
            <w:vMerge/>
            <w:hideMark/>
          </w:tcPr>
          <w:p w14:paraId="4E5D661A" w14:textId="77777777" w:rsidR="00236BBB" w:rsidRPr="00236BBB" w:rsidRDefault="00236BBB" w:rsidP="0042447D">
            <w:pPr>
              <w:widowControl w:val="0"/>
              <w:ind w:left="0" w:firstLine="0"/>
              <w:jc w:val="left"/>
              <w:rPr>
                <w:rFonts w:asciiTheme="minorHAnsi" w:hAnsiTheme="minorHAnsi" w:cstheme="minorHAnsi"/>
                <w:color w:val="000000"/>
                <w:sz w:val="22"/>
                <w:szCs w:val="22"/>
                <w:highlight w:val="yellow"/>
              </w:rPr>
            </w:pPr>
          </w:p>
        </w:tc>
        <w:tc>
          <w:tcPr>
            <w:tcW w:w="1842" w:type="dxa"/>
            <w:vMerge/>
            <w:hideMark/>
          </w:tcPr>
          <w:p w14:paraId="7022D4ED" w14:textId="77777777" w:rsidR="00236BBB" w:rsidRPr="00236BBB" w:rsidRDefault="00236BBB" w:rsidP="0042447D">
            <w:pPr>
              <w:widowControl w:val="0"/>
              <w:ind w:left="0" w:firstLine="0"/>
              <w:jc w:val="left"/>
              <w:rPr>
                <w:rFonts w:asciiTheme="minorHAnsi" w:hAnsiTheme="minorHAnsi" w:cstheme="minorHAnsi"/>
                <w:color w:val="000000"/>
                <w:sz w:val="22"/>
                <w:szCs w:val="22"/>
                <w:highlight w:val="yellow"/>
              </w:rPr>
            </w:pPr>
          </w:p>
        </w:tc>
        <w:tc>
          <w:tcPr>
            <w:tcW w:w="2835" w:type="dxa"/>
            <w:shd w:val="clear" w:color="auto" w:fill="auto"/>
            <w:hideMark/>
          </w:tcPr>
          <w:p w14:paraId="034F6E01" w14:textId="7FEFE3EF" w:rsidR="00236BBB" w:rsidRPr="00236BBB" w:rsidRDefault="00236BBB" w:rsidP="0042447D">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 xml:space="preserve">Para 11 - The </w:t>
            </w:r>
            <w:r w:rsidRPr="00236BBB">
              <w:rPr>
                <w:rFonts w:asciiTheme="minorHAnsi" w:eastAsia="SimSun" w:hAnsiTheme="minorHAnsi" w:cstheme="minorHAnsi"/>
                <w:bCs/>
                <w:sz w:val="22"/>
                <w:szCs w:val="22"/>
                <w:lang w:eastAsia="zh-CN"/>
              </w:rPr>
              <w:t xml:space="preserve">STRP to </w:t>
            </w:r>
            <w:r w:rsidRPr="00236BBB">
              <w:rPr>
                <w:rFonts w:asciiTheme="minorHAnsi" w:hAnsiTheme="minorHAnsi" w:cstheme="minorHAnsi"/>
                <w:color w:val="000000"/>
                <w:sz w:val="22"/>
                <w:szCs w:val="22"/>
              </w:rPr>
              <w:t xml:space="preserve">undertake a desktop study of wetland success stories and develop a technical handbook </w:t>
            </w:r>
            <w:r w:rsidRPr="00236BBB">
              <w:rPr>
                <w:rFonts w:asciiTheme="minorHAnsi" w:hAnsiTheme="minorHAnsi" w:cstheme="minorHAnsi"/>
                <w:sz w:val="22"/>
                <w:szCs w:val="22"/>
              </w:rPr>
              <w:t>on the use of wetland conservation, protection, management and restoration as nature-based solutions [or ecosystem-based approaches], to provide information on the full range of potentially applicable wetland-based solutions for climate change mitigation and adaptation.</w:t>
            </w:r>
          </w:p>
        </w:tc>
        <w:tc>
          <w:tcPr>
            <w:tcW w:w="1560" w:type="dxa"/>
          </w:tcPr>
          <w:p w14:paraId="193BD10A" w14:textId="27EB3DA5" w:rsidR="00236BBB" w:rsidRPr="00236BBB" w:rsidRDefault="00236BBB" w:rsidP="0042447D">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20</w:t>
            </w:r>
          </w:p>
        </w:tc>
        <w:tc>
          <w:tcPr>
            <w:tcW w:w="1984" w:type="dxa"/>
            <w:shd w:val="clear" w:color="auto" w:fill="auto"/>
            <w:hideMark/>
          </w:tcPr>
          <w:p w14:paraId="26CF3AB6" w14:textId="6C0666F6" w:rsidR="00236BBB" w:rsidRPr="00236BBB" w:rsidRDefault="00236BBB" w:rsidP="000D6BB7">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60,000 for expert consultant to undertake desktop study and develop technical handbook</w:t>
            </w:r>
          </w:p>
        </w:tc>
      </w:tr>
      <w:tr w:rsidR="00236BBB" w:rsidRPr="00236BBB" w14:paraId="54D57CE2" w14:textId="77777777" w:rsidTr="00236BBB">
        <w:trPr>
          <w:cantSplit/>
        </w:trPr>
        <w:tc>
          <w:tcPr>
            <w:tcW w:w="1135" w:type="dxa"/>
            <w:shd w:val="clear" w:color="auto" w:fill="auto"/>
          </w:tcPr>
          <w:p w14:paraId="4EA210AC" w14:textId="2550E020" w:rsidR="00236BBB" w:rsidRPr="00236BBB" w:rsidRDefault="00236BBB" w:rsidP="00085C6C">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Doc.18.21</w:t>
            </w:r>
          </w:p>
        </w:tc>
        <w:tc>
          <w:tcPr>
            <w:tcW w:w="1842" w:type="dxa"/>
            <w:shd w:val="clear" w:color="auto" w:fill="auto"/>
          </w:tcPr>
          <w:p w14:paraId="3A668587" w14:textId="2AB3004C" w:rsidR="00236BBB" w:rsidRPr="00236BBB" w:rsidRDefault="00236BBB" w:rsidP="00085C6C">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Waterbird population estimates to support new and existing Ramsar site designations under Ramsar Criterion 6 – use of alternative estimates</w:t>
            </w:r>
          </w:p>
        </w:tc>
        <w:tc>
          <w:tcPr>
            <w:tcW w:w="2835" w:type="dxa"/>
            <w:shd w:val="clear" w:color="auto" w:fill="auto"/>
            <w:noWrap/>
          </w:tcPr>
          <w:p w14:paraId="0A1D6D3B" w14:textId="63707797" w:rsidR="00236BBB" w:rsidRPr="00236BBB" w:rsidRDefault="00236BBB" w:rsidP="00085C6C">
            <w:pPr>
              <w:widowControl w:val="0"/>
              <w:ind w:left="0" w:firstLine="0"/>
              <w:jc w:val="left"/>
              <w:rPr>
                <w:rFonts w:asciiTheme="minorHAnsi" w:hAnsiTheme="minorHAnsi" w:cstheme="minorHAnsi"/>
                <w:bCs/>
                <w:sz w:val="22"/>
                <w:szCs w:val="22"/>
              </w:rPr>
            </w:pPr>
            <w:r w:rsidRPr="00236BBB">
              <w:rPr>
                <w:rFonts w:asciiTheme="minorHAnsi" w:hAnsiTheme="minorHAnsi" w:cstheme="minorHAnsi"/>
                <w:bCs/>
                <w:sz w:val="22"/>
                <w:szCs w:val="22"/>
              </w:rPr>
              <w:t xml:space="preserve">Para 16 – STRP to develop a technical proposal to enable the resourcing and implementation of future timely and comprehensive Waterbird population Estimates updates. </w:t>
            </w:r>
          </w:p>
        </w:tc>
        <w:tc>
          <w:tcPr>
            <w:tcW w:w="1560" w:type="dxa"/>
          </w:tcPr>
          <w:p w14:paraId="25F4141A" w14:textId="5727C222" w:rsidR="00236BBB" w:rsidRPr="00236BBB" w:rsidRDefault="00236BBB" w:rsidP="00085C6C">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tc>
        <w:tc>
          <w:tcPr>
            <w:tcW w:w="1984" w:type="dxa"/>
            <w:shd w:val="clear" w:color="auto" w:fill="auto"/>
          </w:tcPr>
          <w:p w14:paraId="1FB3EE9B" w14:textId="077630F6" w:rsidR="00236BBB" w:rsidRPr="00236BBB" w:rsidRDefault="00236BBB" w:rsidP="00085C6C">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5,000 for expert consultant</w:t>
            </w:r>
          </w:p>
        </w:tc>
      </w:tr>
      <w:tr w:rsidR="00236BBB" w:rsidRPr="00236BBB" w14:paraId="5E8CC0E8" w14:textId="77777777" w:rsidTr="00236BBB">
        <w:trPr>
          <w:cantSplit/>
        </w:trPr>
        <w:tc>
          <w:tcPr>
            <w:tcW w:w="1135" w:type="dxa"/>
            <w:vMerge w:val="restart"/>
            <w:shd w:val="clear" w:color="auto" w:fill="auto"/>
          </w:tcPr>
          <w:p w14:paraId="7F581FFC" w14:textId="77777777" w:rsidR="00236BBB" w:rsidRPr="00236BBB" w:rsidRDefault="00236BBB" w:rsidP="00B071C6">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Doc.18.22</w:t>
            </w:r>
          </w:p>
        </w:tc>
        <w:tc>
          <w:tcPr>
            <w:tcW w:w="1842" w:type="dxa"/>
            <w:vMerge w:val="restart"/>
            <w:shd w:val="clear" w:color="auto" w:fill="auto"/>
          </w:tcPr>
          <w:p w14:paraId="72D00387" w14:textId="77777777" w:rsidR="00236BBB" w:rsidRPr="00236BBB" w:rsidRDefault="00236BBB" w:rsidP="00B071C6">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Draft Resolution on the establishment of the International Mangrove Center in the Framework of the Ramsar Convention</w:t>
            </w:r>
          </w:p>
        </w:tc>
        <w:tc>
          <w:tcPr>
            <w:tcW w:w="2835" w:type="dxa"/>
            <w:shd w:val="clear" w:color="auto" w:fill="auto"/>
            <w:noWrap/>
          </w:tcPr>
          <w:p w14:paraId="31244210" w14:textId="243EFCB1" w:rsidR="00236BBB" w:rsidRPr="00236BBB" w:rsidRDefault="00236BBB" w:rsidP="00B071C6">
            <w:pPr>
              <w:widowControl w:val="0"/>
              <w:ind w:left="0" w:firstLine="0"/>
              <w:jc w:val="left"/>
              <w:rPr>
                <w:rFonts w:asciiTheme="minorHAnsi" w:hAnsiTheme="minorHAnsi" w:cstheme="minorHAnsi"/>
                <w:bCs/>
                <w:sz w:val="22"/>
                <w:szCs w:val="22"/>
              </w:rPr>
            </w:pPr>
            <w:r w:rsidRPr="00236BBB">
              <w:rPr>
                <w:rFonts w:asciiTheme="minorHAnsi" w:hAnsiTheme="minorHAnsi" w:cstheme="minorHAnsi"/>
                <w:bCs/>
                <w:sz w:val="22"/>
                <w:szCs w:val="22"/>
              </w:rPr>
              <w:t xml:space="preserve">Para 10 - The </w:t>
            </w:r>
            <w:r w:rsidRPr="00236BBB">
              <w:rPr>
                <w:rFonts w:asciiTheme="minorHAnsi" w:eastAsia="SimSun" w:hAnsiTheme="minorHAnsi" w:cstheme="minorHAnsi"/>
                <w:bCs/>
                <w:sz w:val="22"/>
                <w:szCs w:val="22"/>
                <w:lang w:eastAsia="zh-CN"/>
              </w:rPr>
              <w:t>Scientific and Technical Review Panel</w:t>
            </w:r>
            <w:r w:rsidRPr="00236BBB">
              <w:rPr>
                <w:rFonts w:asciiTheme="minorHAnsi" w:hAnsiTheme="minorHAnsi" w:cstheme="minorHAnsi"/>
                <w:bCs/>
                <w:sz w:val="22"/>
                <w:szCs w:val="22"/>
              </w:rPr>
              <w:t xml:space="preserve"> to provide scientific and technical support to the International Mangrove Center.</w:t>
            </w:r>
          </w:p>
        </w:tc>
        <w:tc>
          <w:tcPr>
            <w:tcW w:w="1560" w:type="dxa"/>
          </w:tcPr>
          <w:p w14:paraId="57072891" w14:textId="1F70C52E" w:rsidR="00236BBB" w:rsidRPr="00236BBB" w:rsidRDefault="00236BBB" w:rsidP="00B071C6">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bCs/>
                <w:sz w:val="22"/>
                <w:szCs w:val="22"/>
              </w:rPr>
              <w:t>tbc depending on extent of support required</w:t>
            </w:r>
            <w:r w:rsidRPr="00236BBB">
              <w:rPr>
                <w:rFonts w:asciiTheme="minorHAnsi" w:hAnsiTheme="minorHAnsi" w:cstheme="minorHAnsi"/>
                <w:color w:val="000000"/>
              </w:rPr>
              <w:t xml:space="preserve"> </w:t>
            </w:r>
          </w:p>
        </w:tc>
        <w:tc>
          <w:tcPr>
            <w:tcW w:w="1984" w:type="dxa"/>
            <w:shd w:val="clear" w:color="auto" w:fill="auto"/>
          </w:tcPr>
          <w:p w14:paraId="47A971FF" w14:textId="427CEAA7" w:rsidR="00236BBB" w:rsidRPr="00236BBB" w:rsidRDefault="00236BBB" w:rsidP="00B071C6">
            <w:pPr>
              <w:widowControl w:val="0"/>
              <w:ind w:left="0" w:firstLine="0"/>
              <w:jc w:val="left"/>
              <w:rPr>
                <w:rFonts w:asciiTheme="minorHAnsi" w:hAnsiTheme="minorHAnsi" w:cstheme="minorHAnsi"/>
                <w:color w:val="000000"/>
                <w:sz w:val="22"/>
                <w:szCs w:val="22"/>
              </w:rPr>
            </w:pPr>
            <w:r w:rsidRPr="00236BBB">
              <w:rPr>
                <w:rFonts w:asciiTheme="minorHAnsi" w:hAnsiTheme="minorHAnsi" w:cstheme="minorHAnsi"/>
                <w:color w:val="000000"/>
                <w:sz w:val="22"/>
                <w:szCs w:val="22"/>
              </w:rPr>
              <w:t>0</w:t>
            </w:r>
          </w:p>
          <w:p w14:paraId="170965A2" w14:textId="7810AEEB" w:rsidR="00236BBB" w:rsidRPr="00236BBB" w:rsidRDefault="00236BBB" w:rsidP="00B071C6">
            <w:pPr>
              <w:widowControl w:val="0"/>
              <w:ind w:left="0" w:firstLine="0"/>
              <w:jc w:val="left"/>
              <w:rPr>
                <w:rFonts w:asciiTheme="minorHAnsi" w:hAnsiTheme="minorHAnsi" w:cstheme="minorHAnsi"/>
                <w:color w:val="000000"/>
                <w:sz w:val="22"/>
                <w:szCs w:val="22"/>
              </w:rPr>
            </w:pPr>
          </w:p>
        </w:tc>
      </w:tr>
      <w:tr w:rsidR="00236BBB" w:rsidRPr="00236BBB" w14:paraId="3D19F9F9" w14:textId="77777777" w:rsidTr="00236BBB">
        <w:trPr>
          <w:cantSplit/>
        </w:trPr>
        <w:tc>
          <w:tcPr>
            <w:tcW w:w="1135" w:type="dxa"/>
            <w:vMerge/>
            <w:shd w:val="clear" w:color="auto" w:fill="auto"/>
          </w:tcPr>
          <w:p w14:paraId="58D161F1" w14:textId="77777777" w:rsidR="00236BBB" w:rsidRPr="00236BBB" w:rsidRDefault="00236BBB" w:rsidP="00B071C6">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73A73656" w14:textId="77777777" w:rsidR="00236BBB" w:rsidRPr="00236BBB" w:rsidRDefault="00236BBB" w:rsidP="00B071C6">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70DC6EA3" w14:textId="34D56885" w:rsidR="00236BBB" w:rsidRPr="00236BBB" w:rsidRDefault="00236BBB" w:rsidP="00B071C6">
            <w:pPr>
              <w:widowControl w:val="0"/>
              <w:ind w:left="0" w:firstLine="0"/>
              <w:jc w:val="left"/>
              <w:rPr>
                <w:rFonts w:asciiTheme="minorHAnsi" w:hAnsiTheme="minorHAnsi" w:cstheme="minorHAnsi"/>
                <w:bCs/>
                <w:sz w:val="22"/>
                <w:szCs w:val="22"/>
              </w:rPr>
            </w:pPr>
            <w:r w:rsidRPr="00236BBB">
              <w:rPr>
                <w:rFonts w:asciiTheme="minorHAnsi" w:hAnsiTheme="minorHAnsi" w:cstheme="minorHAnsi"/>
                <w:bCs/>
                <w:sz w:val="22"/>
                <w:szCs w:val="22"/>
              </w:rPr>
              <w:t xml:space="preserve">Para 11 - Secretariat to provide support in coordination and communication with regard to the establishment and operation of the International Mangrove Center. </w:t>
            </w:r>
          </w:p>
        </w:tc>
        <w:tc>
          <w:tcPr>
            <w:tcW w:w="1560" w:type="dxa"/>
          </w:tcPr>
          <w:p w14:paraId="538D448C" w14:textId="7A178B82" w:rsidR="00236BBB" w:rsidRPr="00236BBB" w:rsidRDefault="00236BBB" w:rsidP="00B071C6">
            <w:pPr>
              <w:pStyle w:val="ListParagraph"/>
              <w:widowControl w:val="0"/>
              <w:numPr>
                <w:ilvl w:val="0"/>
                <w:numId w:val="10"/>
              </w:numPr>
              <w:rPr>
                <w:rFonts w:cstheme="minorHAnsi"/>
                <w:color w:val="000000"/>
              </w:rPr>
            </w:pPr>
            <w:r w:rsidRPr="00236BBB">
              <w:rPr>
                <w:rFonts w:cstheme="minorHAnsi"/>
                <w:color w:val="000000"/>
              </w:rPr>
              <w:t>10 days pending ontasks expected</w:t>
            </w:r>
          </w:p>
        </w:tc>
        <w:tc>
          <w:tcPr>
            <w:tcW w:w="1984" w:type="dxa"/>
            <w:shd w:val="clear" w:color="auto" w:fill="auto"/>
          </w:tcPr>
          <w:p w14:paraId="02421B32" w14:textId="1A06C641" w:rsidR="00236BBB" w:rsidRPr="00236BBB" w:rsidRDefault="00236BBB" w:rsidP="00B071C6">
            <w:pPr>
              <w:pStyle w:val="ListParagraph"/>
              <w:widowControl w:val="0"/>
              <w:numPr>
                <w:ilvl w:val="0"/>
                <w:numId w:val="10"/>
              </w:numPr>
              <w:rPr>
                <w:rFonts w:cstheme="minorHAnsi"/>
                <w:color w:val="000000"/>
              </w:rPr>
            </w:pPr>
            <w:r w:rsidRPr="00236BBB">
              <w:rPr>
                <w:rFonts w:cstheme="minorHAnsi"/>
                <w:color w:val="000000"/>
              </w:rPr>
              <w:t>0</w:t>
            </w:r>
          </w:p>
        </w:tc>
      </w:tr>
    </w:tbl>
    <w:p w14:paraId="01313558" w14:textId="77777777" w:rsidR="00A451D1" w:rsidRPr="00236BBB" w:rsidRDefault="00A451D1" w:rsidP="00A451D1">
      <w:pPr>
        <w:widowControl w:val="0"/>
        <w:ind w:left="0" w:firstLine="0"/>
        <w:jc w:val="left"/>
        <w:rPr>
          <w:rFonts w:asciiTheme="minorHAnsi" w:hAnsiTheme="minorHAnsi" w:cstheme="minorHAnsi"/>
          <w:color w:val="000000"/>
          <w:sz w:val="22"/>
          <w:szCs w:val="22"/>
        </w:rPr>
      </w:pPr>
    </w:p>
    <w:sectPr w:rsidR="00A451D1" w:rsidRPr="00236BBB" w:rsidSect="003D6800">
      <w:foot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0F0BC" w16cid:durableId="26F28C63"/>
  <w16cid:commentId w16cid:paraId="24A68574" w16cid:durableId="26FBC7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5E973" w14:textId="77777777" w:rsidR="00F5204D" w:rsidRDefault="00F5204D" w:rsidP="006058B3">
      <w:r>
        <w:separator/>
      </w:r>
    </w:p>
  </w:endnote>
  <w:endnote w:type="continuationSeparator" w:id="0">
    <w:p w14:paraId="5A9299F2" w14:textId="77777777" w:rsidR="00F5204D" w:rsidRDefault="00F5204D"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DE03" w14:textId="227D1936" w:rsidR="006058B3" w:rsidRPr="006058B3" w:rsidRDefault="00132BF4" w:rsidP="00132BF4">
    <w:pPr>
      <w:pStyle w:val="Footer"/>
      <w:ind w:left="0" w:firstLine="0"/>
      <w:rPr>
        <w:rFonts w:asciiTheme="minorHAnsi" w:hAnsiTheme="minorHAnsi" w:cstheme="minorHAnsi"/>
        <w:sz w:val="20"/>
        <w:szCs w:val="20"/>
      </w:rPr>
    </w:pPr>
    <w:r>
      <w:rPr>
        <w:rFonts w:asciiTheme="minorHAnsi" w:hAnsiTheme="minorHAnsi" w:cstheme="minorHAnsi"/>
        <w:sz w:val="20"/>
        <w:szCs w:val="20"/>
      </w:rPr>
      <w:t>COP14</w:t>
    </w:r>
    <w:r w:rsidR="00AE6055" w:rsidRPr="00967BF4">
      <w:rPr>
        <w:rFonts w:asciiTheme="minorHAnsi" w:hAnsiTheme="minorHAnsi" w:cstheme="minorHAnsi"/>
        <w:sz w:val="20"/>
        <w:szCs w:val="20"/>
      </w:rPr>
      <w:t xml:space="preserve"> Doc.</w:t>
    </w:r>
    <w:r>
      <w:rPr>
        <w:rFonts w:asciiTheme="minorHAnsi" w:hAnsiTheme="minorHAnsi" w:cstheme="minorHAnsi"/>
        <w:sz w:val="20"/>
        <w:szCs w:val="20"/>
      </w:rPr>
      <w:t>14</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D44528">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32C3" w14:textId="77777777" w:rsidR="00F5204D" w:rsidRDefault="00F5204D" w:rsidP="006058B3">
      <w:r>
        <w:separator/>
      </w:r>
    </w:p>
  </w:footnote>
  <w:footnote w:type="continuationSeparator" w:id="0">
    <w:p w14:paraId="0827F94F" w14:textId="77777777" w:rsidR="00F5204D" w:rsidRDefault="00F5204D" w:rsidP="006058B3">
      <w:r>
        <w:continuationSeparator/>
      </w:r>
    </w:p>
  </w:footnote>
  <w:footnote w:id="1">
    <w:p w14:paraId="01C046EE" w14:textId="77777777" w:rsidR="00B22390" w:rsidRPr="004F20C4" w:rsidRDefault="00B22390" w:rsidP="006F7191">
      <w:pPr>
        <w:pStyle w:val="Default"/>
        <w:ind w:left="0" w:firstLine="0"/>
        <w:rPr>
          <w:rFonts w:asciiTheme="minorHAnsi" w:hAnsiTheme="minorHAnsi" w:cstheme="minorHAnsi"/>
          <w:b/>
          <w:bCs/>
          <w:sz w:val="20"/>
          <w:szCs w:val="20"/>
        </w:rPr>
      </w:pPr>
      <w:r w:rsidRPr="004F20C4">
        <w:rPr>
          <w:rStyle w:val="FootnoteReference"/>
          <w:rFonts w:asciiTheme="minorHAnsi" w:hAnsiTheme="minorHAnsi" w:cstheme="minorHAnsi"/>
          <w:sz w:val="20"/>
          <w:szCs w:val="20"/>
        </w:rPr>
        <w:footnoteRef/>
      </w:r>
      <w:r w:rsidRPr="004F20C4">
        <w:rPr>
          <w:rFonts w:asciiTheme="minorHAnsi" w:hAnsiTheme="minorHAnsi" w:cstheme="minorHAnsi"/>
          <w:sz w:val="20"/>
          <w:szCs w:val="20"/>
        </w:rPr>
        <w:t xml:space="preserve"> </w:t>
      </w:r>
      <w:r w:rsidRPr="004F20C4">
        <w:rPr>
          <w:rFonts w:asciiTheme="minorHAnsi" w:hAnsiTheme="minorHAnsi" w:cstheme="minorHAnsi"/>
          <w:b/>
          <w:bCs/>
          <w:sz w:val="20"/>
          <w:szCs w:val="20"/>
        </w:rPr>
        <w:t xml:space="preserve">Rule 14 Secretariat’s report on administrative and financial implications of agenda items </w:t>
      </w:r>
    </w:p>
    <w:p w14:paraId="486DC2F2" w14:textId="727AE13A" w:rsidR="00B22390" w:rsidRDefault="00B22390" w:rsidP="006F7191">
      <w:pPr>
        <w:ind w:left="0" w:firstLine="0"/>
        <w:rPr>
          <w:rFonts w:cs="Arial"/>
          <w:i/>
          <w:sz w:val="22"/>
          <w:szCs w:val="22"/>
        </w:rPr>
      </w:pPr>
      <w:r w:rsidRPr="004F20C4">
        <w:rPr>
          <w:rFonts w:asciiTheme="minorHAnsi" w:hAnsiTheme="minorHAnsi" w:cstheme="minorHAnsi"/>
          <w:sz w:val="20"/>
          <w:szCs w:val="20"/>
        </w:rPr>
        <w:t>The Secretariat shall report, within 24 hours of the opening of the meeting of the Conference of the Parties, on the projected administrative and financial implications of all substantive agenda items</w:t>
      </w:r>
      <w:r w:rsidR="006F7191" w:rsidRPr="004F20C4">
        <w:rPr>
          <w:rFonts w:asciiTheme="minorHAnsi" w:hAnsiTheme="minorHAnsi" w:cstheme="minorHAnsi"/>
          <w:sz w:val="20"/>
          <w:szCs w:val="20"/>
        </w:rPr>
        <w:t xml:space="preserve"> </w:t>
      </w:r>
      <w:r w:rsidRPr="004F20C4">
        <w:rPr>
          <w:rFonts w:asciiTheme="minorHAnsi" w:hAnsiTheme="minorHAnsi" w:cstheme="minorHAnsi"/>
          <w:sz w:val="20"/>
          <w:szCs w:val="20"/>
        </w:rPr>
        <w:t>submitted to the meeting and before decisions on these items are taken by the Conference of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D56597"/>
    <w:multiLevelType w:val="hybridMultilevel"/>
    <w:tmpl w:val="39D073EE"/>
    <w:lvl w:ilvl="0" w:tplc="EDA20F3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94814"/>
    <w:multiLevelType w:val="hybridMultilevel"/>
    <w:tmpl w:val="EFD6AEC6"/>
    <w:lvl w:ilvl="0" w:tplc="DFA2C69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B752DD"/>
    <w:multiLevelType w:val="hybridMultilevel"/>
    <w:tmpl w:val="38882276"/>
    <w:lvl w:ilvl="0" w:tplc="9A8ECB5C">
      <w:numFmt w:val="bullet"/>
      <w:lvlText w:val=""/>
      <w:lvlJc w:val="left"/>
      <w:pPr>
        <w:ind w:left="3" w:hanging="360"/>
      </w:pPr>
      <w:rPr>
        <w:rFonts w:ascii="Symbol" w:eastAsia="Times New Roman" w:hAnsi="Symbol" w:cstheme="minorHAnsi"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6" w15:restartNumberingAfterBreak="0">
    <w:nsid w:val="62F51A4C"/>
    <w:multiLevelType w:val="hybridMultilevel"/>
    <w:tmpl w:val="0FA448C8"/>
    <w:lvl w:ilvl="0" w:tplc="4656A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B321B"/>
    <w:multiLevelType w:val="hybridMultilevel"/>
    <w:tmpl w:val="93D49A7E"/>
    <w:lvl w:ilvl="0" w:tplc="02C21AE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8"/>
  </w:num>
  <w:num w:numId="6">
    <w:abstractNumId w:val="9"/>
  </w:num>
  <w:num w:numId="7">
    <w:abstractNumId w:val="6"/>
  </w:num>
  <w:num w:numId="8">
    <w:abstractNumId w:val="2"/>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1F75"/>
    <w:rsid w:val="0000755C"/>
    <w:rsid w:val="000111F0"/>
    <w:rsid w:val="00013636"/>
    <w:rsid w:val="00014D4E"/>
    <w:rsid w:val="000206E7"/>
    <w:rsid w:val="0002271C"/>
    <w:rsid w:val="00022A0A"/>
    <w:rsid w:val="000250FF"/>
    <w:rsid w:val="000267EF"/>
    <w:rsid w:val="00027336"/>
    <w:rsid w:val="00027DBC"/>
    <w:rsid w:val="0004186A"/>
    <w:rsid w:val="00046B52"/>
    <w:rsid w:val="000529E8"/>
    <w:rsid w:val="00065171"/>
    <w:rsid w:val="00065B8F"/>
    <w:rsid w:val="00071E79"/>
    <w:rsid w:val="000737A0"/>
    <w:rsid w:val="00074DFF"/>
    <w:rsid w:val="00076CE7"/>
    <w:rsid w:val="00085C6C"/>
    <w:rsid w:val="000878B9"/>
    <w:rsid w:val="00087E7E"/>
    <w:rsid w:val="0009062F"/>
    <w:rsid w:val="00090B48"/>
    <w:rsid w:val="000A76A7"/>
    <w:rsid w:val="000A7F0C"/>
    <w:rsid w:val="000C73F3"/>
    <w:rsid w:val="000D0626"/>
    <w:rsid w:val="000D6BB7"/>
    <w:rsid w:val="000E26D3"/>
    <w:rsid w:val="000E637A"/>
    <w:rsid w:val="000F55EE"/>
    <w:rsid w:val="000F75A0"/>
    <w:rsid w:val="00124DA7"/>
    <w:rsid w:val="00132BF4"/>
    <w:rsid w:val="001353CD"/>
    <w:rsid w:val="00141784"/>
    <w:rsid w:val="00142B6C"/>
    <w:rsid w:val="001438E6"/>
    <w:rsid w:val="00144492"/>
    <w:rsid w:val="001529FF"/>
    <w:rsid w:val="00152C0C"/>
    <w:rsid w:val="00154B23"/>
    <w:rsid w:val="00155904"/>
    <w:rsid w:val="001563AB"/>
    <w:rsid w:val="00165BEA"/>
    <w:rsid w:val="00190640"/>
    <w:rsid w:val="001A624D"/>
    <w:rsid w:val="001B1070"/>
    <w:rsid w:val="001B1EDC"/>
    <w:rsid w:val="001B6A31"/>
    <w:rsid w:val="001B6F33"/>
    <w:rsid w:val="001B7AB2"/>
    <w:rsid w:val="001C341F"/>
    <w:rsid w:val="001C4D6A"/>
    <w:rsid w:val="001D5A0F"/>
    <w:rsid w:val="001E2ECF"/>
    <w:rsid w:val="001E4D8E"/>
    <w:rsid w:val="001E57F5"/>
    <w:rsid w:val="001F488E"/>
    <w:rsid w:val="001F4AFA"/>
    <w:rsid w:val="00204143"/>
    <w:rsid w:val="00224BB3"/>
    <w:rsid w:val="002314AC"/>
    <w:rsid w:val="00236BBB"/>
    <w:rsid w:val="0025233F"/>
    <w:rsid w:val="00275E30"/>
    <w:rsid w:val="002864ED"/>
    <w:rsid w:val="00295E57"/>
    <w:rsid w:val="002A2118"/>
    <w:rsid w:val="002A4E81"/>
    <w:rsid w:val="002A5383"/>
    <w:rsid w:val="002B4297"/>
    <w:rsid w:val="002B429F"/>
    <w:rsid w:val="002C53D8"/>
    <w:rsid w:val="002C6100"/>
    <w:rsid w:val="002F4875"/>
    <w:rsid w:val="00303D77"/>
    <w:rsid w:val="00307B7E"/>
    <w:rsid w:val="00310867"/>
    <w:rsid w:val="00311716"/>
    <w:rsid w:val="003149A3"/>
    <w:rsid w:val="00317FDC"/>
    <w:rsid w:val="00322D06"/>
    <w:rsid w:val="00326747"/>
    <w:rsid w:val="00335C5A"/>
    <w:rsid w:val="0034011F"/>
    <w:rsid w:val="00343274"/>
    <w:rsid w:val="00343A90"/>
    <w:rsid w:val="003501A9"/>
    <w:rsid w:val="00354D36"/>
    <w:rsid w:val="00356572"/>
    <w:rsid w:val="003574E3"/>
    <w:rsid w:val="003615FA"/>
    <w:rsid w:val="00384AA8"/>
    <w:rsid w:val="003951B5"/>
    <w:rsid w:val="003D6800"/>
    <w:rsid w:val="003E79DA"/>
    <w:rsid w:val="003F63D8"/>
    <w:rsid w:val="004015D4"/>
    <w:rsid w:val="00405ED4"/>
    <w:rsid w:val="004063DA"/>
    <w:rsid w:val="00421460"/>
    <w:rsid w:val="00444FF1"/>
    <w:rsid w:val="00453CB9"/>
    <w:rsid w:val="004553B8"/>
    <w:rsid w:val="0046358E"/>
    <w:rsid w:val="00473C47"/>
    <w:rsid w:val="00482698"/>
    <w:rsid w:val="004911DF"/>
    <w:rsid w:val="00491BEE"/>
    <w:rsid w:val="004A510E"/>
    <w:rsid w:val="004A5C24"/>
    <w:rsid w:val="004C2EFD"/>
    <w:rsid w:val="004C6C80"/>
    <w:rsid w:val="004C6DCE"/>
    <w:rsid w:val="004E0DB3"/>
    <w:rsid w:val="004E40A9"/>
    <w:rsid w:val="004E75F7"/>
    <w:rsid w:val="004F02A6"/>
    <w:rsid w:val="004F0C81"/>
    <w:rsid w:val="004F20C4"/>
    <w:rsid w:val="004F2362"/>
    <w:rsid w:val="004F7BE5"/>
    <w:rsid w:val="00501575"/>
    <w:rsid w:val="0050587A"/>
    <w:rsid w:val="005069A3"/>
    <w:rsid w:val="005078BB"/>
    <w:rsid w:val="0051038A"/>
    <w:rsid w:val="0052167B"/>
    <w:rsid w:val="00524FEB"/>
    <w:rsid w:val="00534D5A"/>
    <w:rsid w:val="00535F9D"/>
    <w:rsid w:val="005425A6"/>
    <w:rsid w:val="0054615C"/>
    <w:rsid w:val="00557311"/>
    <w:rsid w:val="00557635"/>
    <w:rsid w:val="00561CB9"/>
    <w:rsid w:val="00563A39"/>
    <w:rsid w:val="005653D8"/>
    <w:rsid w:val="005855E2"/>
    <w:rsid w:val="00591F47"/>
    <w:rsid w:val="00594ED0"/>
    <w:rsid w:val="005972F5"/>
    <w:rsid w:val="005A3E31"/>
    <w:rsid w:val="005A4ACE"/>
    <w:rsid w:val="005A5742"/>
    <w:rsid w:val="005B7669"/>
    <w:rsid w:val="005C4558"/>
    <w:rsid w:val="005C6528"/>
    <w:rsid w:val="005D106B"/>
    <w:rsid w:val="005E573E"/>
    <w:rsid w:val="00601430"/>
    <w:rsid w:val="00601CC8"/>
    <w:rsid w:val="006058B3"/>
    <w:rsid w:val="0061068E"/>
    <w:rsid w:val="00610993"/>
    <w:rsid w:val="00620BAA"/>
    <w:rsid w:val="006320E6"/>
    <w:rsid w:val="00634417"/>
    <w:rsid w:val="00644C1D"/>
    <w:rsid w:val="006451A9"/>
    <w:rsid w:val="00663013"/>
    <w:rsid w:val="0066368E"/>
    <w:rsid w:val="0068240A"/>
    <w:rsid w:val="00685785"/>
    <w:rsid w:val="00686267"/>
    <w:rsid w:val="00695535"/>
    <w:rsid w:val="00696FF1"/>
    <w:rsid w:val="006978F0"/>
    <w:rsid w:val="006A5172"/>
    <w:rsid w:val="006A7C44"/>
    <w:rsid w:val="006B72AF"/>
    <w:rsid w:val="006E0870"/>
    <w:rsid w:val="006F30DC"/>
    <w:rsid w:val="006F48CA"/>
    <w:rsid w:val="006F69C6"/>
    <w:rsid w:val="006F7191"/>
    <w:rsid w:val="007114C9"/>
    <w:rsid w:val="00713A51"/>
    <w:rsid w:val="007337BF"/>
    <w:rsid w:val="007350D4"/>
    <w:rsid w:val="00746135"/>
    <w:rsid w:val="00750225"/>
    <w:rsid w:val="007557D5"/>
    <w:rsid w:val="0075712F"/>
    <w:rsid w:val="00772E80"/>
    <w:rsid w:val="00773024"/>
    <w:rsid w:val="00780AFD"/>
    <w:rsid w:val="00795C6E"/>
    <w:rsid w:val="007A38D2"/>
    <w:rsid w:val="007A58EA"/>
    <w:rsid w:val="007B5F17"/>
    <w:rsid w:val="007C36A8"/>
    <w:rsid w:val="007C5393"/>
    <w:rsid w:val="007F15B5"/>
    <w:rsid w:val="007F7F60"/>
    <w:rsid w:val="008047D8"/>
    <w:rsid w:val="00807C3B"/>
    <w:rsid w:val="00810872"/>
    <w:rsid w:val="008116CB"/>
    <w:rsid w:val="00846E9B"/>
    <w:rsid w:val="00853A4C"/>
    <w:rsid w:val="00857CD6"/>
    <w:rsid w:val="0086272A"/>
    <w:rsid w:val="00863D03"/>
    <w:rsid w:val="00863F37"/>
    <w:rsid w:val="00867F74"/>
    <w:rsid w:val="00873BE1"/>
    <w:rsid w:val="00885247"/>
    <w:rsid w:val="00886642"/>
    <w:rsid w:val="0089103F"/>
    <w:rsid w:val="008952D7"/>
    <w:rsid w:val="008A1B89"/>
    <w:rsid w:val="008B6904"/>
    <w:rsid w:val="008C1D57"/>
    <w:rsid w:val="008C2764"/>
    <w:rsid w:val="008D0D24"/>
    <w:rsid w:val="008D1C4F"/>
    <w:rsid w:val="008D3772"/>
    <w:rsid w:val="008F2E14"/>
    <w:rsid w:val="00905A09"/>
    <w:rsid w:val="00910559"/>
    <w:rsid w:val="0092489D"/>
    <w:rsid w:val="00943E75"/>
    <w:rsid w:val="00956B48"/>
    <w:rsid w:val="00960912"/>
    <w:rsid w:val="00967BF4"/>
    <w:rsid w:val="0097291E"/>
    <w:rsid w:val="00973085"/>
    <w:rsid w:val="00973990"/>
    <w:rsid w:val="0097657A"/>
    <w:rsid w:val="00984032"/>
    <w:rsid w:val="0098508D"/>
    <w:rsid w:val="009978A7"/>
    <w:rsid w:val="009A4362"/>
    <w:rsid w:val="009B10DA"/>
    <w:rsid w:val="009B2C8F"/>
    <w:rsid w:val="009B687A"/>
    <w:rsid w:val="009B769F"/>
    <w:rsid w:val="009C24AD"/>
    <w:rsid w:val="009C3ABB"/>
    <w:rsid w:val="009C4474"/>
    <w:rsid w:val="009C6711"/>
    <w:rsid w:val="009D3818"/>
    <w:rsid w:val="009D3854"/>
    <w:rsid w:val="009D4F79"/>
    <w:rsid w:val="009D6313"/>
    <w:rsid w:val="009E03EE"/>
    <w:rsid w:val="009E159F"/>
    <w:rsid w:val="00A01347"/>
    <w:rsid w:val="00A01851"/>
    <w:rsid w:val="00A10B27"/>
    <w:rsid w:val="00A156E5"/>
    <w:rsid w:val="00A2244A"/>
    <w:rsid w:val="00A24454"/>
    <w:rsid w:val="00A32562"/>
    <w:rsid w:val="00A451D1"/>
    <w:rsid w:val="00A52A09"/>
    <w:rsid w:val="00A52DA8"/>
    <w:rsid w:val="00A64F64"/>
    <w:rsid w:val="00A66157"/>
    <w:rsid w:val="00A66527"/>
    <w:rsid w:val="00A7752F"/>
    <w:rsid w:val="00A82FE8"/>
    <w:rsid w:val="00AA2341"/>
    <w:rsid w:val="00AA2EDD"/>
    <w:rsid w:val="00AA3927"/>
    <w:rsid w:val="00AA3973"/>
    <w:rsid w:val="00AB00C2"/>
    <w:rsid w:val="00AB27D7"/>
    <w:rsid w:val="00AB60B1"/>
    <w:rsid w:val="00AC138B"/>
    <w:rsid w:val="00AC56C4"/>
    <w:rsid w:val="00AD0037"/>
    <w:rsid w:val="00AD2236"/>
    <w:rsid w:val="00AE6055"/>
    <w:rsid w:val="00AE7B3F"/>
    <w:rsid w:val="00AF1A7C"/>
    <w:rsid w:val="00AF25A0"/>
    <w:rsid w:val="00AF2D24"/>
    <w:rsid w:val="00B01809"/>
    <w:rsid w:val="00B02590"/>
    <w:rsid w:val="00B035BB"/>
    <w:rsid w:val="00B071C6"/>
    <w:rsid w:val="00B10629"/>
    <w:rsid w:val="00B1462E"/>
    <w:rsid w:val="00B17F01"/>
    <w:rsid w:val="00B22390"/>
    <w:rsid w:val="00B25366"/>
    <w:rsid w:val="00B3141D"/>
    <w:rsid w:val="00B44012"/>
    <w:rsid w:val="00B4577C"/>
    <w:rsid w:val="00B50635"/>
    <w:rsid w:val="00B50F62"/>
    <w:rsid w:val="00B556D3"/>
    <w:rsid w:val="00B57B00"/>
    <w:rsid w:val="00B64C7E"/>
    <w:rsid w:val="00B87966"/>
    <w:rsid w:val="00B9629C"/>
    <w:rsid w:val="00BA3A1E"/>
    <w:rsid w:val="00BB61DD"/>
    <w:rsid w:val="00BC31BC"/>
    <w:rsid w:val="00BC5325"/>
    <w:rsid w:val="00BD2193"/>
    <w:rsid w:val="00BD6389"/>
    <w:rsid w:val="00BE0188"/>
    <w:rsid w:val="00BE10E3"/>
    <w:rsid w:val="00BE2889"/>
    <w:rsid w:val="00BE4075"/>
    <w:rsid w:val="00BE72A2"/>
    <w:rsid w:val="00BF4895"/>
    <w:rsid w:val="00C026E3"/>
    <w:rsid w:val="00C058D7"/>
    <w:rsid w:val="00C23B4A"/>
    <w:rsid w:val="00C30C01"/>
    <w:rsid w:val="00C32315"/>
    <w:rsid w:val="00C36260"/>
    <w:rsid w:val="00C41747"/>
    <w:rsid w:val="00C56C0A"/>
    <w:rsid w:val="00C63E7B"/>
    <w:rsid w:val="00C6401E"/>
    <w:rsid w:val="00C648EB"/>
    <w:rsid w:val="00C65B97"/>
    <w:rsid w:val="00C70B61"/>
    <w:rsid w:val="00CA19C8"/>
    <w:rsid w:val="00CA43DA"/>
    <w:rsid w:val="00CC14FE"/>
    <w:rsid w:val="00CE6D64"/>
    <w:rsid w:val="00D01E5E"/>
    <w:rsid w:val="00D04785"/>
    <w:rsid w:val="00D07161"/>
    <w:rsid w:val="00D22D6F"/>
    <w:rsid w:val="00D25E69"/>
    <w:rsid w:val="00D37C9C"/>
    <w:rsid w:val="00D415F5"/>
    <w:rsid w:val="00D44528"/>
    <w:rsid w:val="00D4473F"/>
    <w:rsid w:val="00D5325E"/>
    <w:rsid w:val="00D5550F"/>
    <w:rsid w:val="00D56785"/>
    <w:rsid w:val="00D644E3"/>
    <w:rsid w:val="00D70864"/>
    <w:rsid w:val="00D86598"/>
    <w:rsid w:val="00D97DCC"/>
    <w:rsid w:val="00DB794D"/>
    <w:rsid w:val="00DC0AFC"/>
    <w:rsid w:val="00DC43EE"/>
    <w:rsid w:val="00DE0D5F"/>
    <w:rsid w:val="00DE1EEC"/>
    <w:rsid w:val="00DE49B6"/>
    <w:rsid w:val="00DF1EBC"/>
    <w:rsid w:val="00DF3152"/>
    <w:rsid w:val="00E06E63"/>
    <w:rsid w:val="00E07995"/>
    <w:rsid w:val="00E101A9"/>
    <w:rsid w:val="00E122ED"/>
    <w:rsid w:val="00E14014"/>
    <w:rsid w:val="00E16770"/>
    <w:rsid w:val="00E25AA5"/>
    <w:rsid w:val="00E2758F"/>
    <w:rsid w:val="00E414F9"/>
    <w:rsid w:val="00E41D81"/>
    <w:rsid w:val="00E4593D"/>
    <w:rsid w:val="00E507B6"/>
    <w:rsid w:val="00E5772D"/>
    <w:rsid w:val="00E57E6C"/>
    <w:rsid w:val="00E66FA6"/>
    <w:rsid w:val="00E67184"/>
    <w:rsid w:val="00E70C14"/>
    <w:rsid w:val="00E86EB9"/>
    <w:rsid w:val="00E9062A"/>
    <w:rsid w:val="00E95E62"/>
    <w:rsid w:val="00EB1F8C"/>
    <w:rsid w:val="00EB248D"/>
    <w:rsid w:val="00EB5FFE"/>
    <w:rsid w:val="00EB6433"/>
    <w:rsid w:val="00EC10D9"/>
    <w:rsid w:val="00EC6D69"/>
    <w:rsid w:val="00ED3C9E"/>
    <w:rsid w:val="00EE11FB"/>
    <w:rsid w:val="00F00776"/>
    <w:rsid w:val="00F022D4"/>
    <w:rsid w:val="00F04CFC"/>
    <w:rsid w:val="00F12993"/>
    <w:rsid w:val="00F14174"/>
    <w:rsid w:val="00F40DCA"/>
    <w:rsid w:val="00F44FBF"/>
    <w:rsid w:val="00F5204D"/>
    <w:rsid w:val="00F536C7"/>
    <w:rsid w:val="00F60C7B"/>
    <w:rsid w:val="00F751D6"/>
    <w:rsid w:val="00F86F5D"/>
    <w:rsid w:val="00F87343"/>
    <w:rsid w:val="00F927BD"/>
    <w:rsid w:val="00FB7720"/>
    <w:rsid w:val="00FC3682"/>
    <w:rsid w:val="00FC5F91"/>
    <w:rsid w:val="00FD282B"/>
    <w:rsid w:val="00FE63C6"/>
    <w:rsid w:val="00FF1427"/>
    <w:rsid w:val="00FF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2A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uiPriority w:val="99"/>
    <w:semiHidden/>
    <w:unhideWhenUsed/>
    <w:rsid w:val="00AE7B3F"/>
    <w:rPr>
      <w:sz w:val="16"/>
      <w:szCs w:val="16"/>
    </w:rPr>
  </w:style>
  <w:style w:type="paragraph" w:styleId="CommentText">
    <w:name w:val="annotation text"/>
    <w:basedOn w:val="Normal"/>
    <w:link w:val="CommentTextChar"/>
    <w:uiPriority w:val="99"/>
    <w:unhideWhenUsed/>
    <w:rsid w:val="00AE7B3F"/>
    <w:rPr>
      <w:sz w:val="20"/>
      <w:szCs w:val="20"/>
    </w:rPr>
  </w:style>
  <w:style w:type="character" w:customStyle="1" w:styleId="CommentTextChar">
    <w:name w:val="Comment Text Char"/>
    <w:basedOn w:val="DefaultParagraphFont"/>
    <w:link w:val="CommentText"/>
    <w:uiPriority w:val="99"/>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paragraph" w:styleId="Revision">
    <w:name w:val="Revision"/>
    <w:hidden/>
    <w:uiPriority w:val="99"/>
    <w:semiHidden/>
    <w:rsid w:val="0048269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4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248465961">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26198269">
      <w:bodyDiv w:val="1"/>
      <w:marLeft w:val="0"/>
      <w:marRight w:val="0"/>
      <w:marTop w:val="0"/>
      <w:marBottom w:val="0"/>
      <w:divBdr>
        <w:top w:val="none" w:sz="0" w:space="0" w:color="auto"/>
        <w:left w:val="none" w:sz="0" w:space="0" w:color="auto"/>
        <w:bottom w:val="none" w:sz="0" w:space="0" w:color="auto"/>
        <w:right w:val="none" w:sz="0" w:space="0" w:color="auto"/>
      </w:divBdr>
    </w:div>
    <w:div w:id="834761879">
      <w:bodyDiv w:val="1"/>
      <w:marLeft w:val="0"/>
      <w:marRight w:val="0"/>
      <w:marTop w:val="0"/>
      <w:marBottom w:val="0"/>
      <w:divBdr>
        <w:top w:val="none" w:sz="0" w:space="0" w:color="auto"/>
        <w:left w:val="none" w:sz="0" w:space="0" w:color="auto"/>
        <w:bottom w:val="none" w:sz="0" w:space="0" w:color="auto"/>
        <w:right w:val="none" w:sz="0" w:space="0" w:color="auto"/>
      </w:divBdr>
    </w:div>
    <w:div w:id="947393875">
      <w:bodyDiv w:val="1"/>
      <w:marLeft w:val="0"/>
      <w:marRight w:val="0"/>
      <w:marTop w:val="0"/>
      <w:marBottom w:val="0"/>
      <w:divBdr>
        <w:top w:val="none" w:sz="0" w:space="0" w:color="auto"/>
        <w:left w:val="none" w:sz="0" w:space="0" w:color="auto"/>
        <w:bottom w:val="none" w:sz="0" w:space="0" w:color="auto"/>
        <w:right w:val="none" w:sz="0" w:space="0" w:color="auto"/>
      </w:divBdr>
    </w:div>
    <w:div w:id="95710219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028919084">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 w:id="1499542462">
      <w:bodyDiv w:val="1"/>
      <w:marLeft w:val="0"/>
      <w:marRight w:val="0"/>
      <w:marTop w:val="0"/>
      <w:marBottom w:val="0"/>
      <w:divBdr>
        <w:top w:val="none" w:sz="0" w:space="0" w:color="auto"/>
        <w:left w:val="none" w:sz="0" w:space="0" w:color="auto"/>
        <w:bottom w:val="none" w:sz="0" w:space="0" w:color="auto"/>
        <w:right w:val="none" w:sz="0" w:space="0" w:color="auto"/>
      </w:divBdr>
    </w:div>
    <w:div w:id="1654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973C-F81A-4C7F-AB1E-0034F21AA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EA916-19D4-4B41-800A-1B7C448A1581}">
  <ds:schemaRefs>
    <ds:schemaRef ds:uri="http://schemas.microsoft.com/sharepoint/v3/contenttype/forms"/>
  </ds:schemaRefs>
</ds:datastoreItem>
</file>

<file path=customXml/itemProps3.xml><?xml version="1.0" encoding="utf-8"?>
<ds:datastoreItem xmlns:ds="http://schemas.openxmlformats.org/officeDocument/2006/customXml" ds:itemID="{28771A80-3EB5-4641-8AA9-F2C9D0472AE0}">
  <ds:schemaRefs>
    <ds:schemaRef ds:uri="http://purl.org/dc/dcmitype/"/>
    <ds:schemaRef ds:uri="http://schemas.microsoft.com/office/infopath/2007/PartnerControls"/>
    <ds:schemaRef ds:uri="8c0b6b05-eb82-4bda-97e8-cd82d0d6b453"/>
    <ds:schemaRef ds:uri="http://schemas.microsoft.com/office/2006/documentManagement/types"/>
    <ds:schemaRef ds:uri="http://www.w3.org/XML/1998/namespace"/>
    <ds:schemaRef ds:uri="http://purl.org/dc/elements/1.1/"/>
    <ds:schemaRef ds:uri="http://schemas.openxmlformats.org/package/2006/metadata/core-properties"/>
    <ds:schemaRef ds:uri="aedd258d-19a7-41ba-8260-b0918f25313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5C01E7F-1553-4C5F-A1E0-F79AB95D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6</cp:revision>
  <cp:lastPrinted>2022-10-27T15:17:00Z</cp:lastPrinted>
  <dcterms:created xsi:type="dcterms:W3CDTF">2022-10-24T16:04:00Z</dcterms:created>
  <dcterms:modified xsi:type="dcterms:W3CDTF">2022-10-27T15:19:00Z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