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DE60E" w14:textId="77777777" w:rsidR="0042455D" w:rsidRDefault="0042455D">
      <w:pPr>
        <w:spacing w:after="0" w:line="240" w:lineRule="auto"/>
        <w:ind w:right="17"/>
        <w:jc w:val="center"/>
        <w:outlineLvl w:val="0"/>
      </w:pPr>
    </w:p>
    <w:p w14:paraId="0B9F8FB0" w14:textId="1A572465" w:rsidR="0042455D" w:rsidRDefault="002A52CE">
      <w:pPr>
        <w:spacing w:after="0" w:line="240" w:lineRule="auto"/>
        <w:ind w:right="17"/>
        <w:jc w:val="center"/>
        <w:outlineLvl w:val="0"/>
      </w:pPr>
      <w:r>
        <w:rPr>
          <w:rFonts w:eastAsia="Times New Roman" w:cstheme="majorHAnsi"/>
          <w:b/>
          <w:bCs/>
          <w:sz w:val="24"/>
          <w:szCs w:val="24"/>
        </w:rPr>
        <w:t>14ª Reunión de la Conferencia de las Partes Contratantes</w:t>
      </w:r>
      <w:r>
        <w:rPr>
          <w:rFonts w:eastAsia="Times New Roman" w:cstheme="majorHAnsi"/>
          <w:b/>
          <w:bCs/>
          <w:sz w:val="24"/>
          <w:szCs w:val="24"/>
        </w:rPr>
        <w:br/>
      </w:r>
      <w:r w:rsidR="00040CD9">
        <w:rPr>
          <w:rFonts w:eastAsia="Times New Roman" w:cstheme="majorHAnsi"/>
          <w:b/>
          <w:bCs/>
          <w:sz w:val="24"/>
          <w:szCs w:val="24"/>
        </w:rPr>
        <w:t>en</w:t>
      </w:r>
      <w:r>
        <w:rPr>
          <w:rFonts w:eastAsia="Times New Roman" w:cstheme="majorHAnsi"/>
          <w:b/>
          <w:bCs/>
          <w:sz w:val="24"/>
          <w:szCs w:val="24"/>
        </w:rPr>
        <w:t xml:space="preserve"> la Convención de Ramsar sobre los Humedales</w:t>
      </w:r>
    </w:p>
    <w:p w14:paraId="03581C4C" w14:textId="77777777" w:rsidR="0042455D" w:rsidRDefault="0042455D">
      <w:pPr>
        <w:spacing w:after="0" w:line="240" w:lineRule="auto"/>
        <w:ind w:right="17"/>
        <w:jc w:val="center"/>
        <w:outlineLvl w:val="0"/>
      </w:pPr>
    </w:p>
    <w:p w14:paraId="66423C6A" w14:textId="6C583AA5" w:rsidR="0042455D" w:rsidRDefault="002A52CE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>
        <w:rPr>
          <w:rFonts w:eastAsia="Times New Roman" w:cstheme="majorHAnsi"/>
          <w:b/>
          <w:bCs/>
          <w:sz w:val="24"/>
          <w:szCs w:val="24"/>
        </w:rPr>
        <w:t xml:space="preserve">"Acciones </w:t>
      </w:r>
      <w:r w:rsidR="00040CD9">
        <w:rPr>
          <w:rFonts w:eastAsia="Times New Roman" w:cstheme="majorHAnsi"/>
          <w:b/>
          <w:bCs/>
          <w:sz w:val="24"/>
          <w:szCs w:val="24"/>
        </w:rPr>
        <w:t>a favor de</w:t>
      </w:r>
      <w:r>
        <w:rPr>
          <w:rFonts w:eastAsia="Times New Roman" w:cstheme="majorHAnsi"/>
          <w:b/>
          <w:bCs/>
          <w:sz w:val="24"/>
          <w:szCs w:val="24"/>
        </w:rPr>
        <w:t xml:space="preserve"> los humedales para las personas y la naturaleza"</w:t>
      </w:r>
      <w:r>
        <w:rPr>
          <w:rFonts w:eastAsia="Times New Roman" w:cstheme="majorHAnsi"/>
          <w:b/>
          <w:bCs/>
          <w:sz w:val="24"/>
          <w:szCs w:val="24"/>
        </w:rPr>
        <w:br/>
        <w:t>Wuhan, China</w:t>
      </w:r>
      <w:r w:rsidR="00040CD9">
        <w:rPr>
          <w:rFonts w:eastAsia="Times New Roman" w:cstheme="majorHAnsi"/>
          <w:b/>
          <w:bCs/>
          <w:sz w:val="24"/>
          <w:szCs w:val="24"/>
        </w:rPr>
        <w:t>,</w:t>
      </w:r>
      <w:r>
        <w:rPr>
          <w:rFonts w:eastAsia="Times New Roman" w:cstheme="majorHAnsi"/>
          <w:b/>
          <w:bCs/>
          <w:sz w:val="24"/>
          <w:szCs w:val="24"/>
        </w:rPr>
        <w:t xml:space="preserve"> y Ginebra, Suiza, 5</w:t>
      </w:r>
      <w:r w:rsidR="00040CD9">
        <w:rPr>
          <w:rFonts w:eastAsia="Times New Roman" w:cstheme="majorHAnsi"/>
          <w:b/>
          <w:bCs/>
          <w:sz w:val="24"/>
          <w:szCs w:val="24"/>
        </w:rPr>
        <w:t xml:space="preserve"> a </w:t>
      </w:r>
      <w:r>
        <w:rPr>
          <w:rFonts w:eastAsia="Times New Roman" w:cstheme="majorHAnsi"/>
          <w:b/>
          <w:bCs/>
          <w:sz w:val="24"/>
          <w:szCs w:val="24"/>
        </w:rPr>
        <w:t>13 de noviembre de 2022</w:t>
      </w:r>
    </w:p>
    <w:p w14:paraId="0FCEAC74" w14:textId="77777777" w:rsidR="00040CD9" w:rsidRDefault="00040CD9">
      <w:pPr>
        <w:spacing w:after="0" w:line="240" w:lineRule="auto"/>
        <w:ind w:right="17"/>
        <w:jc w:val="center"/>
        <w:outlineLvl w:val="0"/>
      </w:pPr>
    </w:p>
    <w:tbl>
      <w:tblPr>
        <w:tblW w:w="5000" w:type="pct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42455D" w14:paraId="3051A6E1" w14:textId="77777777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A02D" w14:textId="77777777" w:rsidR="0042455D" w:rsidRDefault="002A52CE">
            <w:pPr>
              <w:widowControl w:val="0"/>
              <w:spacing w:after="0" w:line="240" w:lineRule="auto"/>
              <w:ind w:right="67"/>
              <w:jc w:val="right"/>
              <w:outlineLvl w:val="0"/>
            </w:pPr>
            <w:r>
              <w:rPr>
                <w:rFonts w:eastAsia="Times New Roman" w:cstheme="majorHAnsi"/>
                <w:b/>
                <w:bCs/>
                <w:sz w:val="24"/>
                <w:szCs w:val="24"/>
              </w:rPr>
              <w:t>Ramsar COP14 Doc.8</w:t>
            </w:r>
          </w:p>
        </w:tc>
      </w:tr>
    </w:tbl>
    <w:p w14:paraId="477BD8FC" w14:textId="77777777" w:rsidR="0042455D" w:rsidRDefault="0042455D">
      <w:pPr>
        <w:spacing w:after="0" w:line="240" w:lineRule="auto"/>
        <w:ind w:right="16"/>
        <w:rPr>
          <w:rFonts w:eastAsia="Times New Roman" w:cstheme="minorHAnsi"/>
          <w:iCs/>
        </w:rPr>
      </w:pPr>
    </w:p>
    <w:p w14:paraId="75400DD1" w14:textId="77777777" w:rsidR="0042455D" w:rsidRDefault="0042455D">
      <w:pPr>
        <w:spacing w:after="0" w:line="240" w:lineRule="auto"/>
        <w:ind w:right="16"/>
        <w:rPr>
          <w:rFonts w:eastAsia="Times New Roman" w:cstheme="minorHAnsi"/>
          <w:iCs/>
        </w:rPr>
      </w:pPr>
    </w:p>
    <w:p w14:paraId="355EF5B3" w14:textId="035161B8" w:rsidR="0042455D" w:rsidRDefault="002A52CE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Informe </w:t>
      </w:r>
      <w:r w:rsidRPr="002A52CE">
        <w:rPr>
          <w:b/>
          <w:sz w:val="28"/>
          <w:szCs w:val="28"/>
        </w:rPr>
        <w:t>del Presidente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del Comité Permanente</w:t>
      </w:r>
    </w:p>
    <w:p w14:paraId="1704A7BA" w14:textId="77777777" w:rsidR="0042455D" w:rsidRDefault="0042455D">
      <w:pPr>
        <w:spacing w:after="0" w:line="240" w:lineRule="auto"/>
        <w:rPr>
          <w:rFonts w:asciiTheme="minorHAnsi" w:hAnsiTheme="minorHAnsi"/>
        </w:rPr>
      </w:pPr>
    </w:p>
    <w:p w14:paraId="28A339ED" w14:textId="77777777" w:rsidR="0042455D" w:rsidRDefault="0042455D">
      <w:pPr>
        <w:spacing w:after="0" w:line="240" w:lineRule="auto"/>
        <w:rPr>
          <w:rFonts w:asciiTheme="minorHAnsi" w:hAnsiTheme="minorHAnsi"/>
        </w:rPr>
      </w:pPr>
    </w:p>
    <w:p w14:paraId="18F20B26" w14:textId="77777777" w:rsidR="0042455D" w:rsidRDefault="002A52CE">
      <w:pPr>
        <w:spacing w:after="0" w:line="240" w:lineRule="auto"/>
      </w:pPr>
      <w:r>
        <w:rPr>
          <w:rFonts w:cs="Garamond"/>
          <w:bCs/>
          <w:u w:val="single"/>
        </w:rPr>
        <w:t>Introducción</w:t>
      </w:r>
    </w:p>
    <w:p w14:paraId="18A26050" w14:textId="77777777" w:rsidR="0042455D" w:rsidRDefault="0042455D">
      <w:pPr>
        <w:spacing w:after="0" w:line="240" w:lineRule="auto"/>
        <w:rPr>
          <w:rFonts w:asciiTheme="minorHAnsi" w:hAnsiTheme="minorHAnsi"/>
        </w:rPr>
      </w:pPr>
    </w:p>
    <w:p w14:paraId="285596AF" w14:textId="2E7848BE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rPr>
          <w:rFonts w:cs="Garamond"/>
        </w:rPr>
        <w:t>1.</w:t>
      </w:r>
      <w:r>
        <w:rPr>
          <w:rFonts w:cs="Garamond"/>
        </w:rPr>
        <w:tab/>
      </w:r>
      <w:r>
        <w:rPr>
          <w:rFonts w:asciiTheme="minorHAnsi" w:hAnsiTheme="minorHAnsi"/>
        </w:rPr>
        <w:t xml:space="preserve">El Comité Permanente de la Convención sobre los Humedales fue creado mediante la </w:t>
      </w:r>
      <w:hyperlink r:id="rId10">
        <w:r>
          <w:rPr>
            <w:rStyle w:val="LienInternet"/>
            <w:rFonts w:asciiTheme="minorHAnsi" w:hAnsiTheme="minorHAnsi"/>
          </w:rPr>
          <w:t>Resolución 3.3</w:t>
        </w:r>
      </w:hyperlink>
      <w:r>
        <w:rPr>
          <w:rFonts w:asciiTheme="minorHAnsi" w:hAnsiTheme="minorHAnsi"/>
        </w:rPr>
        <w:t xml:space="preserve"> (Regina, 1987) con el fin de supervisar los asuntos de la Convención y las actividades de la Secretaría durante los </w:t>
      </w:r>
      <w:r w:rsidR="00A15775">
        <w:rPr>
          <w:rFonts w:asciiTheme="minorHAnsi" w:hAnsiTheme="minorHAnsi"/>
        </w:rPr>
        <w:t>período</w:t>
      </w:r>
      <w:r>
        <w:rPr>
          <w:rFonts w:asciiTheme="minorHAnsi" w:hAnsiTheme="minorHAnsi"/>
        </w:rPr>
        <w:t>s entre las reuniones ordinarias de la Conferencia de las Partes Contratantes. La composición regional, las funciones</w:t>
      </w:r>
      <w:r>
        <w:rPr>
          <w:rFonts w:asciiTheme="minorHAnsi" w:hAnsiTheme="minorHAnsi"/>
        </w:rPr>
        <w:t xml:space="preserve"> y las responsabilidades del Comité Permanente y sus miembros se rigen por la </w:t>
      </w:r>
      <w:hyperlink r:id="rId11">
        <w:r>
          <w:rPr>
            <w:rStyle w:val="LienInternet"/>
            <w:rFonts w:asciiTheme="minorHAnsi" w:hAnsiTheme="minorHAnsi"/>
          </w:rPr>
          <w:t>Resolución VII.1</w:t>
        </w:r>
      </w:hyperlink>
      <w:r>
        <w:rPr>
          <w:rFonts w:asciiTheme="minorHAnsi" w:hAnsiTheme="minorHAnsi"/>
        </w:rPr>
        <w:t xml:space="preserve"> (1999), modificada</w:t>
      </w:r>
      <w:r>
        <w:rPr>
          <w:rFonts w:asciiTheme="minorHAnsi" w:hAnsiTheme="minorHAnsi"/>
        </w:rPr>
        <w:t xml:space="preserve"> por la </w:t>
      </w:r>
      <w:hyperlink r:id="rId12">
        <w:r>
          <w:rPr>
            <w:rStyle w:val="LienInternet"/>
            <w:rFonts w:asciiTheme="minorHAnsi" w:hAnsiTheme="minorHAnsi"/>
          </w:rPr>
          <w:t>Resolución XI.19</w:t>
        </w:r>
      </w:hyperlink>
      <w:r>
        <w:rPr>
          <w:rFonts w:asciiTheme="minorHAnsi" w:hAnsiTheme="minorHAnsi"/>
        </w:rPr>
        <w:t xml:space="preserve"> (2012), y que fue a su vez sustituida por la </w:t>
      </w:r>
      <w:hyperlink r:id="rId13">
        <w:r>
          <w:rPr>
            <w:rStyle w:val="LienInternet"/>
            <w:rFonts w:asciiTheme="minorHAnsi" w:hAnsiTheme="minorHAnsi"/>
          </w:rPr>
          <w:t>Resolución XIII.4</w:t>
        </w:r>
      </w:hyperlink>
      <w:r>
        <w:rPr>
          <w:rFonts w:asciiTheme="minorHAnsi" w:hAnsiTheme="minorHAnsi"/>
        </w:rPr>
        <w:t xml:space="preserve"> (2018). En todas las cuestiones no especificadas en la Resolución VII.1, el reglamento de las reuniones del Comité Permanente se rige </w:t>
      </w:r>
      <w:r>
        <w:rPr>
          <w:rFonts w:asciiTheme="minorHAnsi" w:hAnsiTheme="minorHAnsi"/>
          <w:i/>
          <w:iCs/>
        </w:rPr>
        <w:t>mutatis mutandi</w:t>
      </w:r>
      <w:r>
        <w:rPr>
          <w:rFonts w:asciiTheme="minorHAnsi" w:hAnsiTheme="minorHAnsi"/>
          <w:i/>
          <w:iCs/>
        </w:rPr>
        <w:t>s</w:t>
      </w:r>
      <w:r>
        <w:rPr>
          <w:rFonts w:asciiTheme="minorHAnsi" w:hAnsiTheme="minorHAnsi"/>
        </w:rPr>
        <w:t xml:space="preserve"> por el </w:t>
      </w:r>
      <w:hyperlink r:id="rId14">
        <w:r>
          <w:rPr>
            <w:rStyle w:val="LienInternet"/>
            <w:rFonts w:asciiTheme="minorHAnsi" w:hAnsiTheme="minorHAnsi"/>
          </w:rPr>
          <w:t>Reglamento de la Conferencia de las Partes Contratantes</w:t>
        </w:r>
      </w:hyperlink>
      <w:r>
        <w:rPr>
          <w:rFonts w:asciiTheme="minorHAnsi" w:hAnsiTheme="minorHAnsi"/>
        </w:rPr>
        <w:t>.</w:t>
      </w:r>
    </w:p>
    <w:p w14:paraId="76828532" w14:textId="77777777" w:rsidR="0042455D" w:rsidRDefault="0042455D">
      <w:pPr>
        <w:tabs>
          <w:tab w:val="left" w:pos="5672"/>
        </w:tabs>
        <w:spacing w:after="0" w:line="240" w:lineRule="auto"/>
        <w:ind w:left="425" w:hanging="425"/>
        <w:jc w:val="center"/>
        <w:rPr>
          <w:rFonts w:asciiTheme="minorHAnsi" w:hAnsiTheme="minorHAnsi" w:cs="Garamond"/>
        </w:rPr>
      </w:pPr>
    </w:p>
    <w:p w14:paraId="083CD643" w14:textId="1886ECC2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rPr>
          <w:rFonts w:cs="Garamond"/>
        </w:rPr>
        <w:t>2.</w:t>
      </w:r>
      <w:r>
        <w:rPr>
          <w:rFonts w:cs="Garamond"/>
        </w:rPr>
        <w:tab/>
      </w:r>
      <w:r>
        <w:rPr>
          <w:rFonts w:cstheme="minorHAnsi"/>
        </w:rPr>
        <w:t>En su 13ª reunión (COP13, Dubái, 2018), la Conferencia de las Partes Contratantes eligió a los nuevos miembros regionales del Comité Permanente para supervisar los asuntos de la Convención durante el trienio hasta la siguiente COP. En su primera reunión de</w:t>
      </w:r>
      <w:r>
        <w:rPr>
          <w:rFonts w:cstheme="minorHAnsi"/>
        </w:rPr>
        <w:t xml:space="preserve">spués de la COP13, el Comité Permanente eligió a los Emiratos Árabes Unidos como </w:t>
      </w:r>
      <w:r w:rsidR="00A15775">
        <w:rPr>
          <w:rFonts w:cstheme="minorHAnsi"/>
        </w:rPr>
        <w:t>P</w:t>
      </w:r>
      <w:r>
        <w:rPr>
          <w:rFonts w:cstheme="minorHAnsi"/>
        </w:rPr>
        <w:t>residen</w:t>
      </w:r>
      <w:r w:rsidR="00A15775">
        <w:rPr>
          <w:rFonts w:cstheme="minorHAnsi"/>
        </w:rPr>
        <w:t>cia</w:t>
      </w:r>
      <w:r>
        <w:rPr>
          <w:rFonts w:cstheme="minorHAnsi"/>
        </w:rPr>
        <w:t xml:space="preserve">, a Suecia como </w:t>
      </w:r>
      <w:r w:rsidR="00A15775">
        <w:rPr>
          <w:rFonts w:cstheme="minorHAnsi"/>
        </w:rPr>
        <w:t>V</w:t>
      </w:r>
      <w:r>
        <w:rPr>
          <w:rFonts w:cstheme="minorHAnsi"/>
        </w:rPr>
        <w:t>icepresiden</w:t>
      </w:r>
      <w:r w:rsidR="00A15775">
        <w:rPr>
          <w:rFonts w:cstheme="minorHAnsi"/>
        </w:rPr>
        <w:t>cia</w:t>
      </w:r>
      <w:r>
        <w:rPr>
          <w:rFonts w:cstheme="minorHAnsi"/>
        </w:rPr>
        <w:t xml:space="preserve"> y a México como </w:t>
      </w:r>
      <w:r w:rsidR="00A15775">
        <w:rPr>
          <w:rFonts w:cstheme="minorHAnsi"/>
        </w:rPr>
        <w:t>P</w:t>
      </w:r>
      <w:r>
        <w:rPr>
          <w:rFonts w:cstheme="minorHAnsi"/>
        </w:rPr>
        <w:t>residen</w:t>
      </w:r>
      <w:r w:rsidR="00A15775">
        <w:rPr>
          <w:rFonts w:cstheme="minorHAnsi"/>
        </w:rPr>
        <w:t>cia</w:t>
      </w:r>
      <w:r>
        <w:rPr>
          <w:rFonts w:cstheme="minorHAnsi"/>
        </w:rPr>
        <w:t xml:space="preserve"> del Subgrupo de Finanzas. Los Emiratos Árabes Unidos han estado representados en la Presidencia por S.E.</w:t>
      </w:r>
      <w:r>
        <w:rPr>
          <w:rFonts w:cstheme="minorHAnsi"/>
        </w:rPr>
        <w:t xml:space="preserve"> Mohamed Al Afkham.</w:t>
      </w:r>
    </w:p>
    <w:p w14:paraId="20F48F00" w14:textId="77777777" w:rsidR="0042455D" w:rsidRDefault="0042455D">
      <w:pPr>
        <w:tabs>
          <w:tab w:val="left" w:pos="720"/>
          <w:tab w:val="left" w:pos="4253"/>
        </w:tabs>
        <w:spacing w:after="0" w:line="240" w:lineRule="auto"/>
        <w:ind w:left="425" w:hanging="425"/>
        <w:rPr>
          <w:rFonts w:asciiTheme="minorHAnsi" w:hAnsiTheme="minorHAnsi"/>
        </w:rPr>
      </w:pPr>
    </w:p>
    <w:p w14:paraId="611EB17D" w14:textId="77777777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</w:r>
      <w:r>
        <w:rPr>
          <w:rFonts w:cstheme="minorHAnsi"/>
        </w:rPr>
        <w:t>La composición actual del Comité Permanente refleja el sistema proporcional de representación regional previsto en la Resolución XIII.4, como se indica a continuación:</w:t>
      </w:r>
    </w:p>
    <w:p w14:paraId="718BF4FB" w14:textId="77777777" w:rsidR="0042455D" w:rsidRDefault="0042455D">
      <w:pPr>
        <w:tabs>
          <w:tab w:val="left" w:pos="2001"/>
        </w:tabs>
        <w:spacing w:after="0" w:line="240" w:lineRule="auto"/>
        <w:rPr>
          <w:rFonts w:asciiTheme="minorHAnsi" w:hAnsiTheme="minorHAnsi" w:cs="Garamond"/>
        </w:rPr>
      </w:pPr>
    </w:p>
    <w:p w14:paraId="21422298" w14:textId="647049B5" w:rsidR="0042455D" w:rsidRDefault="002A52CE">
      <w:pPr>
        <w:spacing w:after="0" w:line="240" w:lineRule="auto"/>
        <w:ind w:left="425"/>
      </w:pPr>
      <w:r>
        <w:rPr>
          <w:rFonts w:asciiTheme="minorHAnsi" w:hAnsiTheme="minorHAnsi"/>
          <w:b/>
          <w:bCs/>
        </w:rPr>
        <w:t>África</w:t>
      </w:r>
      <w:r>
        <w:rPr>
          <w:rFonts w:asciiTheme="minorHAnsi" w:hAnsiTheme="minorHAnsi"/>
        </w:rPr>
        <w:t>: Argelia, Chad, Sierra Leona, Uganda</w:t>
      </w:r>
      <w:r w:rsidR="00A15775">
        <w:rPr>
          <w:rFonts w:asciiTheme="minorHAnsi" w:hAnsiTheme="minorHAnsi"/>
        </w:rPr>
        <w:t xml:space="preserve"> y</w:t>
      </w:r>
      <w:r>
        <w:rPr>
          <w:rFonts w:asciiTheme="minorHAnsi" w:hAnsiTheme="minorHAnsi"/>
        </w:rPr>
        <w:t xml:space="preserve"> Zambia;</w:t>
      </w:r>
    </w:p>
    <w:p w14:paraId="0135D9CB" w14:textId="0E6CA1C5" w:rsidR="0042455D" w:rsidRDefault="002A52CE">
      <w:pPr>
        <w:spacing w:after="0" w:line="240" w:lineRule="auto"/>
        <w:ind w:left="425"/>
      </w:pPr>
      <w:r>
        <w:rPr>
          <w:rFonts w:asciiTheme="minorHAnsi" w:hAnsiTheme="minorHAnsi"/>
          <w:b/>
          <w:bCs/>
        </w:rPr>
        <w:t>Asia</w:t>
      </w:r>
      <w:r>
        <w:rPr>
          <w:rFonts w:asciiTheme="minorHAnsi" w:hAnsiTheme="minorHAnsi"/>
        </w:rPr>
        <w:t>: B</w:t>
      </w:r>
      <w:r w:rsidR="00A15775">
        <w:rPr>
          <w:rFonts w:asciiTheme="minorHAnsi" w:hAnsiTheme="minorHAnsi"/>
        </w:rPr>
        <w:t>h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</w:rPr>
        <w:t>tán, Japón</w:t>
      </w:r>
      <w:r w:rsidR="00A15775">
        <w:rPr>
          <w:rFonts w:asciiTheme="minorHAnsi" w:hAnsiTheme="minorHAnsi"/>
        </w:rPr>
        <w:t xml:space="preserve"> y</w:t>
      </w:r>
      <w:r>
        <w:rPr>
          <w:rFonts w:asciiTheme="minorHAnsi" w:hAnsiTheme="minorHAnsi"/>
        </w:rPr>
        <w:t xml:space="preserve"> Omán;</w:t>
      </w:r>
    </w:p>
    <w:p w14:paraId="09F0F98C" w14:textId="6F315665" w:rsidR="0042455D" w:rsidRDefault="002A52CE">
      <w:pPr>
        <w:spacing w:after="0" w:line="240" w:lineRule="auto"/>
        <w:ind w:left="425"/>
      </w:pPr>
      <w:r>
        <w:rPr>
          <w:rFonts w:asciiTheme="minorHAnsi" w:hAnsiTheme="minorHAnsi"/>
          <w:b/>
          <w:bCs/>
        </w:rPr>
        <w:t>Europa</w:t>
      </w:r>
      <w:r>
        <w:rPr>
          <w:rFonts w:asciiTheme="minorHAnsi" w:hAnsiTheme="minorHAnsi"/>
        </w:rPr>
        <w:t>: Armenia, Azerbaiyán, Suecia</w:t>
      </w:r>
      <w:r w:rsidR="00A15775">
        <w:rPr>
          <w:rFonts w:asciiTheme="minorHAnsi" w:hAnsiTheme="minorHAnsi"/>
        </w:rPr>
        <w:t xml:space="preserve"> y </w:t>
      </w:r>
      <w:r>
        <w:rPr>
          <w:rFonts w:asciiTheme="minorHAnsi" w:hAnsiTheme="minorHAnsi"/>
        </w:rPr>
        <w:t>Reino Unido de Gran Bretaña e Irlanda del Norte;</w:t>
      </w:r>
    </w:p>
    <w:p w14:paraId="7CA21732" w14:textId="003005FA" w:rsidR="0042455D" w:rsidRDefault="002A52CE">
      <w:pPr>
        <w:spacing w:after="0" w:line="240" w:lineRule="auto"/>
        <w:ind w:left="425"/>
      </w:pPr>
      <w:r>
        <w:rPr>
          <w:rFonts w:cs="Garamond"/>
          <w:b/>
          <w:bCs/>
        </w:rPr>
        <w:t>América Latina y el Caribe</w:t>
      </w:r>
      <w:r>
        <w:rPr>
          <w:rFonts w:cs="Garamond"/>
        </w:rPr>
        <w:t>: Costa Rica, República Dominicana</w:t>
      </w:r>
      <w:r w:rsidR="00A15775">
        <w:rPr>
          <w:rFonts w:cs="Garamond"/>
        </w:rPr>
        <w:t xml:space="preserve"> y</w:t>
      </w:r>
      <w:r>
        <w:rPr>
          <w:rFonts w:cs="Garamond"/>
        </w:rPr>
        <w:t xml:space="preserve"> Uruguay;</w:t>
      </w:r>
    </w:p>
    <w:p w14:paraId="7160CC5D" w14:textId="77777777" w:rsidR="0042455D" w:rsidRDefault="002A52CE">
      <w:pPr>
        <w:spacing w:after="0" w:line="240" w:lineRule="auto"/>
        <w:ind w:left="425"/>
      </w:pPr>
      <w:r>
        <w:rPr>
          <w:rFonts w:asciiTheme="minorHAnsi" w:hAnsiTheme="minorHAnsi"/>
          <w:b/>
          <w:bCs/>
        </w:rPr>
        <w:t>América del Norte</w:t>
      </w:r>
      <w:r>
        <w:rPr>
          <w:rFonts w:asciiTheme="minorHAnsi" w:hAnsiTheme="minorHAnsi"/>
        </w:rPr>
        <w:t>: México;</w:t>
      </w:r>
    </w:p>
    <w:p w14:paraId="298D034C" w14:textId="77777777" w:rsidR="0042455D" w:rsidRDefault="002A52CE">
      <w:pPr>
        <w:spacing w:after="0" w:line="240" w:lineRule="auto"/>
        <w:ind w:left="425"/>
      </w:pPr>
      <w:r>
        <w:rPr>
          <w:rFonts w:cs="Garamond"/>
          <w:b/>
          <w:bCs/>
        </w:rPr>
        <w:t>Oceanía</w:t>
      </w:r>
      <w:r>
        <w:rPr>
          <w:rFonts w:cs="Garamond"/>
        </w:rPr>
        <w:t>: Australia.</w:t>
      </w:r>
    </w:p>
    <w:p w14:paraId="21C449A9" w14:textId="77777777" w:rsidR="0042455D" w:rsidRDefault="0042455D">
      <w:pPr>
        <w:tabs>
          <w:tab w:val="left" w:pos="5966"/>
        </w:tabs>
        <w:spacing w:after="0" w:line="240" w:lineRule="auto"/>
        <w:rPr>
          <w:rFonts w:asciiTheme="minorHAnsi" w:hAnsiTheme="minorHAnsi"/>
        </w:rPr>
      </w:pPr>
    </w:p>
    <w:p w14:paraId="024AA414" w14:textId="77777777" w:rsidR="0042455D" w:rsidRDefault="002A52CE">
      <w:pPr>
        <w:tabs>
          <w:tab w:val="left" w:pos="4253"/>
        </w:tabs>
        <w:spacing w:after="0" w:line="240" w:lineRule="auto"/>
        <w:ind w:left="425" w:firstLine="1"/>
      </w:pPr>
      <w:r>
        <w:rPr>
          <w:rFonts w:cs="Garamond"/>
        </w:rPr>
        <w:t>Los países anfitriones de la C</w:t>
      </w:r>
      <w:r>
        <w:rPr>
          <w:rFonts w:cs="Garamond"/>
        </w:rPr>
        <w:t>OP13 (Emiratos Árabes Unidos) y de la COP14 (China) también son miembros.</w:t>
      </w:r>
    </w:p>
    <w:p w14:paraId="048531EA" w14:textId="77777777" w:rsidR="0042455D" w:rsidRDefault="0042455D">
      <w:pPr>
        <w:spacing w:after="0" w:line="240" w:lineRule="auto"/>
        <w:ind w:left="425" w:hanging="425"/>
        <w:rPr>
          <w:rFonts w:asciiTheme="minorHAnsi" w:hAnsiTheme="minorHAnsi" w:cs="Garamond"/>
        </w:rPr>
      </w:pPr>
    </w:p>
    <w:p w14:paraId="04D89CA7" w14:textId="14B06CD6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rPr>
          <w:rFonts w:asciiTheme="minorHAnsi" w:hAnsiTheme="minorHAnsi"/>
        </w:rPr>
        <w:t xml:space="preserve">4. </w:t>
      </w:r>
      <w:r>
        <w:rPr>
          <w:rFonts w:asciiTheme="minorHAnsi" w:hAnsiTheme="minorHAnsi"/>
        </w:rPr>
        <w:tab/>
      </w:r>
      <w:r>
        <w:rPr>
          <w:rFonts w:cs="Garamond"/>
        </w:rPr>
        <w:t xml:space="preserve">Suiza (como país anfitrión de la Secretaría de la Convención) participa como observador permanente. </w:t>
      </w:r>
      <w:r w:rsidR="00A15775">
        <w:rPr>
          <w:rFonts w:cs="Garamond"/>
        </w:rPr>
        <w:t xml:space="preserve">La Presidencia </w:t>
      </w:r>
      <w:r>
        <w:rPr>
          <w:rFonts w:cs="Garamond"/>
        </w:rPr>
        <w:t>del Grupo de Examen Científico y Técnico y seis organizaciones</w:t>
      </w:r>
      <w:r>
        <w:rPr>
          <w:rFonts w:cs="Garamond"/>
        </w:rPr>
        <w:t xml:space="preserve"> internacionales asociadas oficiales (BirdLife International, </w:t>
      </w:r>
      <w:r w:rsidR="00A15775">
        <w:rPr>
          <w:rFonts w:cs="Garamond"/>
        </w:rPr>
        <w:t xml:space="preserve">la </w:t>
      </w:r>
      <w:r>
        <w:rPr>
          <w:rFonts w:cs="Garamond"/>
        </w:rPr>
        <w:t xml:space="preserve">Unión Internacional para la Conservación de la Naturaleza, International Water Management Institute, Wetlands </w:t>
      </w:r>
      <w:r>
        <w:rPr>
          <w:rFonts w:cs="Garamond"/>
        </w:rPr>
        <w:lastRenderedPageBreak/>
        <w:t xml:space="preserve">International, WWF International y Wildfowl </w:t>
      </w:r>
      <w:r w:rsidR="00A15775">
        <w:rPr>
          <w:rFonts w:cs="Garamond"/>
        </w:rPr>
        <w:t>and</w:t>
      </w:r>
      <w:r>
        <w:rPr>
          <w:rFonts w:cs="Garamond"/>
        </w:rPr>
        <w:t xml:space="preserve"> Wetlands Trust) son invitados a p</w:t>
      </w:r>
      <w:r>
        <w:rPr>
          <w:rFonts w:cs="Garamond"/>
        </w:rPr>
        <w:t>articipar como observadores en las reuniones del Comité Permanente.</w:t>
      </w:r>
    </w:p>
    <w:p w14:paraId="04FE7772" w14:textId="77777777" w:rsidR="0042455D" w:rsidRDefault="0042455D">
      <w:pPr>
        <w:spacing w:after="0" w:line="240" w:lineRule="auto"/>
        <w:ind w:left="425" w:hanging="425"/>
        <w:rPr>
          <w:rFonts w:asciiTheme="minorHAnsi" w:hAnsiTheme="minorHAnsi" w:cs="Garamond"/>
        </w:rPr>
      </w:pPr>
    </w:p>
    <w:p w14:paraId="31391142" w14:textId="3C9FAC33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rPr>
          <w:rFonts w:cs="Garamond"/>
        </w:rPr>
        <w:t>5.</w:t>
      </w:r>
      <w:r>
        <w:rPr>
          <w:rFonts w:cs="Garamond"/>
        </w:rPr>
        <w:tab/>
      </w:r>
      <w:r>
        <w:rPr>
          <w:rFonts w:asciiTheme="minorHAnsi" w:hAnsiTheme="minorHAnsi"/>
        </w:rPr>
        <w:t xml:space="preserve">Los países que no son Partes Contratantes, pero que han expresado su interés en adherirse a la </w:t>
      </w:r>
      <w:r w:rsidRPr="00A15775">
        <w:rPr>
          <w:rFonts w:asciiTheme="minorHAnsi" w:hAnsiTheme="minorHAnsi"/>
        </w:rPr>
        <w:t>Convención</w:t>
      </w:r>
      <w:r>
        <w:rPr>
          <w:rFonts w:asciiTheme="minorHAnsi" w:hAnsiTheme="minorHAnsi"/>
        </w:rPr>
        <w:t xml:space="preserve">, así como otros expertos o instituciones que el Comité Permanente considere apropiados para ayudar a </w:t>
      </w:r>
      <w:r w:rsidR="00A15775">
        <w:rPr>
          <w:rFonts w:asciiTheme="minorHAnsi" w:hAnsiTheme="minorHAnsi"/>
        </w:rPr>
        <w:t>examinar</w:t>
      </w:r>
      <w:r>
        <w:rPr>
          <w:rFonts w:asciiTheme="minorHAnsi" w:hAnsiTheme="minorHAnsi"/>
        </w:rPr>
        <w:t xml:space="preserve"> determinados puntos del orden del día, también pueden ser admitidos como observadores en las reuniones del Comité Permanente.</w:t>
      </w:r>
    </w:p>
    <w:p w14:paraId="7557D06E" w14:textId="77777777" w:rsidR="0042455D" w:rsidRDefault="0042455D">
      <w:pPr>
        <w:spacing w:after="0" w:line="240" w:lineRule="auto"/>
        <w:ind w:left="425" w:hanging="425"/>
        <w:rPr>
          <w:rFonts w:ascii="Sakkal Majalla" w:hAnsi="Sakkal Majalla" w:cs="Sakkal Majalla"/>
          <w:sz w:val="28"/>
          <w:szCs w:val="28"/>
        </w:rPr>
      </w:pPr>
    </w:p>
    <w:p w14:paraId="44E3F725" w14:textId="3ACD04D4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rPr>
          <w:rFonts w:asciiTheme="minorHAnsi" w:hAnsiTheme="minorHAnsi"/>
        </w:rPr>
        <w:t xml:space="preserve">6. </w:t>
      </w:r>
      <w:r>
        <w:rPr>
          <w:rFonts w:asciiTheme="minorHAnsi" w:hAnsiTheme="minorHAnsi"/>
        </w:rPr>
        <w:tab/>
      </w:r>
      <w:r>
        <w:rPr>
          <w:rFonts w:cs="Garamond"/>
        </w:rPr>
        <w:t>La Conferencia</w:t>
      </w:r>
      <w:r>
        <w:rPr>
          <w:rFonts w:cs="Garamond"/>
        </w:rPr>
        <w:t xml:space="preserve"> de las Partes Contratantes ha encomendado al Comité Permanente la supervisión de los asuntos en curso durante el trienio. Entre ellos se encuentran los asuntos financieros y presupuestarios, el Plan Estratégico de la Convención para 2016-2024, el aumento </w:t>
      </w:r>
      <w:r>
        <w:rPr>
          <w:rFonts w:cs="Garamond"/>
        </w:rPr>
        <w:t xml:space="preserve">de la visibilidad de la Convención, las </w:t>
      </w:r>
      <w:r w:rsidR="00A15775">
        <w:rPr>
          <w:rFonts w:cs="Garamond"/>
        </w:rPr>
        <w:t>i</w:t>
      </w:r>
      <w:r>
        <w:rPr>
          <w:rFonts w:cs="Garamond"/>
        </w:rPr>
        <w:t xml:space="preserve">niciativas </w:t>
      </w:r>
      <w:r w:rsidR="00A15775">
        <w:rPr>
          <w:rFonts w:cs="Garamond"/>
        </w:rPr>
        <w:t>r</w:t>
      </w:r>
      <w:r>
        <w:rPr>
          <w:rFonts w:cs="Garamond"/>
        </w:rPr>
        <w:t>egionales de Ramsar y la preparación de la COP14, así como el examen de cualquier otro asunto pertinente planteado por los miembros y observadores.</w:t>
      </w:r>
    </w:p>
    <w:p w14:paraId="788D2D51" w14:textId="77777777" w:rsidR="0042455D" w:rsidRDefault="0042455D">
      <w:pPr>
        <w:spacing w:after="0" w:line="240" w:lineRule="auto"/>
        <w:ind w:left="425" w:hanging="425"/>
        <w:rPr>
          <w:rFonts w:asciiTheme="minorHAnsi" w:hAnsiTheme="minorHAnsi" w:cs="Garamond"/>
        </w:rPr>
      </w:pPr>
    </w:p>
    <w:p w14:paraId="5B106553" w14:textId="5B2BD38D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rPr>
          <w:rFonts w:asciiTheme="minorHAnsi" w:hAnsiTheme="minorHAnsi"/>
        </w:rPr>
        <w:t xml:space="preserve">7. </w:t>
      </w:r>
      <w:r>
        <w:rPr>
          <w:rFonts w:asciiTheme="minorHAnsi" w:hAnsiTheme="minorHAnsi"/>
        </w:rPr>
        <w:tab/>
      </w:r>
      <w:r>
        <w:rPr>
          <w:rFonts w:cs="Garamond"/>
        </w:rPr>
        <w:t>Se informó a todas las Partes Contratantes de cada</w:t>
      </w:r>
      <w:r>
        <w:rPr>
          <w:rFonts w:cs="Garamond"/>
        </w:rPr>
        <w:t xml:space="preserve"> reunión del Comité Permanente mediante nota diplomática, y las Partes que no son miembros del Comité fueron invitadas a asistir en calidad de observadoras. La Secretaría preparó la documentación que se examinaría en cada reunión del Comité Permanente de c</w:t>
      </w:r>
      <w:r>
        <w:rPr>
          <w:rFonts w:cs="Garamond"/>
        </w:rPr>
        <w:t xml:space="preserve">onformidad con el </w:t>
      </w:r>
      <w:r w:rsidR="00B45D53">
        <w:rPr>
          <w:rFonts w:cs="Garamond"/>
        </w:rPr>
        <w:t>r</w:t>
      </w:r>
      <w:r>
        <w:rPr>
          <w:rFonts w:cs="Garamond"/>
        </w:rPr>
        <w:t xml:space="preserve">eglamento. Los documentos </w:t>
      </w:r>
      <w:r w:rsidR="00B45D53">
        <w:rPr>
          <w:rFonts w:cs="Garamond"/>
        </w:rPr>
        <w:t>se</w:t>
      </w:r>
      <w:r>
        <w:rPr>
          <w:rFonts w:cs="Garamond"/>
        </w:rPr>
        <w:t xml:space="preserve"> publica</w:t>
      </w:r>
      <w:r w:rsidR="00B45D53">
        <w:rPr>
          <w:rFonts w:cs="Garamond"/>
        </w:rPr>
        <w:t>ron</w:t>
      </w:r>
      <w:r>
        <w:rPr>
          <w:rFonts w:cs="Garamond"/>
        </w:rPr>
        <w:t xml:space="preserve"> en el sitio web de la Convención.</w:t>
      </w:r>
    </w:p>
    <w:p w14:paraId="1F0C0662" w14:textId="77777777" w:rsidR="0042455D" w:rsidRDefault="0042455D">
      <w:pPr>
        <w:spacing w:after="0" w:line="240" w:lineRule="auto"/>
        <w:ind w:left="425" w:hanging="425"/>
        <w:rPr>
          <w:rFonts w:asciiTheme="minorHAnsi" w:hAnsiTheme="minorHAnsi" w:cs="Garamond"/>
        </w:rPr>
      </w:pPr>
    </w:p>
    <w:p w14:paraId="2B5DA04A" w14:textId="1C0D7BFD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rPr>
          <w:rFonts w:asciiTheme="minorHAnsi" w:hAnsiTheme="minorHAnsi"/>
        </w:rPr>
        <w:t xml:space="preserve">8. </w:t>
      </w:r>
      <w:r>
        <w:rPr>
          <w:rFonts w:asciiTheme="minorHAnsi" w:hAnsiTheme="minorHAnsi"/>
        </w:rPr>
        <w:tab/>
        <w:t xml:space="preserve">Los informes y las decisiones de cada reunión del Comité Permanente </w:t>
      </w:r>
      <w:r w:rsidR="00B45D53">
        <w:rPr>
          <w:rFonts w:asciiTheme="minorHAnsi" w:hAnsiTheme="minorHAnsi"/>
        </w:rPr>
        <w:t>se han</w:t>
      </w:r>
      <w:r>
        <w:rPr>
          <w:rFonts w:asciiTheme="minorHAnsi" w:hAnsiTheme="minorHAnsi"/>
        </w:rPr>
        <w:t xml:space="preserve"> distribuido a todas las Partes Contratantes mediante notas diplomáticas en los tres</w:t>
      </w:r>
      <w:r>
        <w:rPr>
          <w:rFonts w:asciiTheme="minorHAnsi" w:hAnsiTheme="minorHAnsi"/>
        </w:rPr>
        <w:t xml:space="preserve"> idiomas oficiales de la Convención, y también </w:t>
      </w:r>
      <w:r w:rsidR="00B45D53">
        <w:rPr>
          <w:rFonts w:asciiTheme="minorHAnsi" w:hAnsiTheme="minorHAnsi"/>
        </w:rPr>
        <w:t>se han publicado</w:t>
      </w:r>
      <w:r>
        <w:rPr>
          <w:rFonts w:asciiTheme="minorHAnsi" w:hAnsiTheme="minorHAnsi"/>
        </w:rPr>
        <w:t xml:space="preserve"> en el </w:t>
      </w:r>
      <w:hyperlink r:id="rId15">
        <w:r>
          <w:rPr>
            <w:rStyle w:val="LienInternet"/>
            <w:rFonts w:asciiTheme="minorHAnsi" w:hAnsiTheme="minorHAnsi"/>
          </w:rPr>
          <w:t>sitio web de la Convención</w:t>
        </w:r>
      </w:hyperlink>
      <w:r>
        <w:rPr>
          <w:rFonts w:asciiTheme="minorHAnsi" w:hAnsiTheme="minorHAnsi"/>
        </w:rPr>
        <w:t>.</w:t>
      </w:r>
    </w:p>
    <w:p w14:paraId="41DB03AF" w14:textId="77777777" w:rsidR="0042455D" w:rsidRDefault="0042455D">
      <w:pPr>
        <w:spacing w:after="0" w:line="240" w:lineRule="auto"/>
        <w:ind w:left="425" w:hanging="425"/>
        <w:rPr>
          <w:rFonts w:asciiTheme="minorHAnsi" w:hAnsiTheme="minorHAnsi" w:cs="Garamond"/>
        </w:rPr>
      </w:pPr>
    </w:p>
    <w:p w14:paraId="0A293163" w14:textId="77777777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rPr>
          <w:rFonts w:asciiTheme="minorHAnsi" w:hAnsiTheme="minorHAnsi"/>
        </w:rPr>
        <w:t>9.</w:t>
      </w:r>
      <w:r>
        <w:rPr>
          <w:rFonts w:asciiTheme="minorHAnsi" w:hAnsiTheme="minorHAnsi"/>
        </w:rPr>
        <w:tab/>
      </w:r>
      <w:r>
        <w:rPr>
          <w:rFonts w:cs="Garamond"/>
        </w:rPr>
        <w:t>El presente informe abarca el período comprendido entre noviembre de 2018 (la clausura de la 13ª reunión de la Co</w:t>
      </w:r>
      <w:r>
        <w:rPr>
          <w:rFonts w:cs="Garamond"/>
        </w:rPr>
        <w:t>nferencia de las Partes) y el final de julio de 2022.</w:t>
      </w:r>
    </w:p>
    <w:p w14:paraId="69584A26" w14:textId="77777777" w:rsidR="0042455D" w:rsidRDefault="0042455D">
      <w:pPr>
        <w:tabs>
          <w:tab w:val="left" w:pos="1982"/>
        </w:tabs>
        <w:spacing w:after="0" w:line="240" w:lineRule="auto"/>
        <w:rPr>
          <w:rFonts w:asciiTheme="minorHAnsi" w:hAnsiTheme="minorHAnsi" w:cs="Garamond"/>
        </w:rPr>
      </w:pPr>
    </w:p>
    <w:p w14:paraId="7B2193EE" w14:textId="19ADE7B9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rPr>
          <w:rFonts w:asciiTheme="minorHAnsi" w:hAnsiTheme="minorHAnsi"/>
        </w:rPr>
        <w:t>10.</w:t>
      </w:r>
      <w:r>
        <w:rPr>
          <w:rFonts w:asciiTheme="minorHAnsi" w:hAnsiTheme="minorHAnsi"/>
        </w:rPr>
        <w:tab/>
        <w:t xml:space="preserve">El Comité Permanente celebró ocho reuniones durante este </w:t>
      </w:r>
      <w:r w:rsidR="00A15775">
        <w:rPr>
          <w:rFonts w:asciiTheme="minorHAnsi" w:hAnsiTheme="minorHAnsi"/>
        </w:rPr>
        <w:t>período</w:t>
      </w:r>
      <w:r>
        <w:rPr>
          <w:rFonts w:asciiTheme="minorHAnsi" w:hAnsiTheme="minorHAnsi"/>
        </w:rPr>
        <w:t xml:space="preserve">: </w:t>
      </w:r>
    </w:p>
    <w:p w14:paraId="52350287" w14:textId="22A20EB1" w:rsidR="0042455D" w:rsidRDefault="002A52CE">
      <w:pPr>
        <w:pStyle w:val="ListParagraph"/>
        <w:numPr>
          <w:ilvl w:val="0"/>
          <w:numId w:val="1"/>
        </w:numPr>
        <w:spacing w:after="0" w:line="240" w:lineRule="auto"/>
        <w:ind w:left="850" w:hanging="425"/>
      </w:pPr>
      <w:r>
        <w:rPr>
          <w:rFonts w:cs="Garamond"/>
        </w:rPr>
        <w:t>56ª reunión: inmediatamente después de la clausura de la COP13 en Dubá</w:t>
      </w:r>
      <w:r w:rsidR="00B45D53">
        <w:rPr>
          <w:rFonts w:cs="Garamond"/>
        </w:rPr>
        <w:t>i (</w:t>
      </w:r>
      <w:r>
        <w:rPr>
          <w:rFonts w:cs="Garamond"/>
        </w:rPr>
        <w:t>Emiratos Árabes Unidos</w:t>
      </w:r>
      <w:r w:rsidR="00B45D53">
        <w:rPr>
          <w:rFonts w:cs="Garamond"/>
        </w:rPr>
        <w:t>)</w:t>
      </w:r>
      <w:r>
        <w:rPr>
          <w:rFonts w:cs="Garamond"/>
        </w:rPr>
        <w:t>, el 29 de octubre de 2018;</w:t>
      </w:r>
    </w:p>
    <w:p w14:paraId="56AED2A1" w14:textId="11CAC044" w:rsidR="0042455D" w:rsidRDefault="002A52CE">
      <w:pPr>
        <w:pStyle w:val="ListParagraph"/>
        <w:numPr>
          <w:ilvl w:val="0"/>
          <w:numId w:val="1"/>
        </w:numPr>
        <w:spacing w:after="0" w:line="240" w:lineRule="auto"/>
        <w:ind w:left="850" w:hanging="425"/>
      </w:pPr>
      <w:r>
        <w:rPr>
          <w:rFonts w:cs="Garamond"/>
        </w:rPr>
        <w:t>57ª re</w:t>
      </w:r>
      <w:r>
        <w:rPr>
          <w:rFonts w:cs="Garamond"/>
        </w:rPr>
        <w:t>unión: 24</w:t>
      </w:r>
      <w:r w:rsidR="00B45D53">
        <w:rPr>
          <w:rFonts w:cs="Garamond"/>
        </w:rPr>
        <w:t xml:space="preserve"> a </w:t>
      </w:r>
      <w:r>
        <w:rPr>
          <w:rFonts w:cs="Garamond"/>
        </w:rPr>
        <w:t>28 de junio de 2019</w:t>
      </w:r>
      <w:r w:rsidR="00B45D53">
        <w:rPr>
          <w:rFonts w:cs="Garamond"/>
        </w:rPr>
        <w:t>,</w:t>
      </w:r>
      <w:r>
        <w:rPr>
          <w:rFonts w:cs="Garamond"/>
        </w:rPr>
        <w:t xml:space="preserve"> Gland</w:t>
      </w:r>
      <w:r w:rsidR="00B45D53">
        <w:rPr>
          <w:rFonts w:cs="Garamond"/>
        </w:rPr>
        <w:t xml:space="preserve"> (</w:t>
      </w:r>
      <w:r>
        <w:rPr>
          <w:rFonts w:cs="Garamond"/>
        </w:rPr>
        <w:t>Suiza</w:t>
      </w:r>
      <w:r w:rsidR="00B45D53">
        <w:rPr>
          <w:rFonts w:cs="Garamond"/>
        </w:rPr>
        <w:t>)</w:t>
      </w:r>
      <w:r>
        <w:rPr>
          <w:rFonts w:cs="Garamond"/>
        </w:rPr>
        <w:t>;</w:t>
      </w:r>
    </w:p>
    <w:p w14:paraId="0BD33F50" w14:textId="3FDCCE01" w:rsidR="0042455D" w:rsidRDefault="002A52CE">
      <w:pPr>
        <w:pStyle w:val="ListParagraph"/>
        <w:numPr>
          <w:ilvl w:val="0"/>
          <w:numId w:val="1"/>
        </w:numPr>
        <w:spacing w:after="0" w:line="240" w:lineRule="auto"/>
        <w:ind w:left="850" w:hanging="425"/>
      </w:pPr>
      <w:r>
        <w:rPr>
          <w:rFonts w:cs="Garamond"/>
        </w:rPr>
        <w:t>58ª reunión: 23 y 25 de junio de 2020</w:t>
      </w:r>
      <w:r w:rsidR="00B45D53">
        <w:rPr>
          <w:rFonts w:cs="Garamond"/>
        </w:rPr>
        <w:t>,</w:t>
      </w:r>
      <w:r>
        <w:rPr>
          <w:rFonts w:cs="Garamond"/>
        </w:rPr>
        <w:t xml:space="preserve"> en línea;</w:t>
      </w:r>
    </w:p>
    <w:p w14:paraId="423084DA" w14:textId="029F71D4" w:rsidR="0042455D" w:rsidRDefault="002A52CE">
      <w:pPr>
        <w:pStyle w:val="ListParagraph"/>
        <w:numPr>
          <w:ilvl w:val="0"/>
          <w:numId w:val="1"/>
        </w:numPr>
        <w:spacing w:after="0" w:line="240" w:lineRule="auto"/>
        <w:ind w:left="850" w:hanging="425"/>
      </w:pPr>
      <w:r>
        <w:rPr>
          <w:rFonts w:cs="Garamond"/>
        </w:rPr>
        <w:t>59ª reunión (primera sesión): 21</w:t>
      </w:r>
      <w:r w:rsidR="00B45D53">
        <w:rPr>
          <w:rFonts w:cs="Garamond"/>
        </w:rPr>
        <w:t xml:space="preserve"> a </w:t>
      </w:r>
      <w:r>
        <w:rPr>
          <w:rFonts w:cs="Garamond"/>
        </w:rPr>
        <w:t>25 de junio de 2021</w:t>
      </w:r>
      <w:r w:rsidR="00B45D53">
        <w:rPr>
          <w:rFonts w:cs="Garamond"/>
        </w:rPr>
        <w:t>,</w:t>
      </w:r>
      <w:r>
        <w:rPr>
          <w:rFonts w:cs="Garamond"/>
        </w:rPr>
        <w:t xml:space="preserve"> en línea;</w:t>
      </w:r>
    </w:p>
    <w:p w14:paraId="5A658027" w14:textId="5902FA34" w:rsidR="0042455D" w:rsidRDefault="002A52CE">
      <w:pPr>
        <w:pStyle w:val="ListParagraph"/>
        <w:numPr>
          <w:ilvl w:val="0"/>
          <w:numId w:val="1"/>
        </w:numPr>
        <w:spacing w:after="0" w:line="240" w:lineRule="auto"/>
        <w:ind w:left="850" w:hanging="425"/>
      </w:pPr>
      <w:r>
        <w:rPr>
          <w:rFonts w:cs="Garamond"/>
        </w:rPr>
        <w:t xml:space="preserve">59ª reunión (reanudación de la </w:t>
      </w:r>
      <w:r w:rsidR="00B45D53">
        <w:rPr>
          <w:rFonts w:cs="Garamond"/>
        </w:rPr>
        <w:t>reunión</w:t>
      </w:r>
      <w:r>
        <w:rPr>
          <w:rFonts w:cs="Garamond"/>
        </w:rPr>
        <w:t>): 15 de noviembre de 2021</w:t>
      </w:r>
      <w:r w:rsidR="00B45D53">
        <w:rPr>
          <w:rFonts w:cs="Garamond"/>
        </w:rPr>
        <w:t>,</w:t>
      </w:r>
      <w:r>
        <w:rPr>
          <w:rFonts w:cs="Garamond"/>
        </w:rPr>
        <w:t xml:space="preserve"> en línea;</w:t>
      </w:r>
    </w:p>
    <w:p w14:paraId="02F233A9" w14:textId="565055E6" w:rsidR="0042455D" w:rsidRDefault="002A52CE">
      <w:pPr>
        <w:pStyle w:val="ListParagraph"/>
        <w:numPr>
          <w:ilvl w:val="0"/>
          <w:numId w:val="1"/>
        </w:numPr>
        <w:spacing w:after="0" w:line="240" w:lineRule="auto"/>
        <w:ind w:left="850" w:hanging="425"/>
      </w:pPr>
      <w:r>
        <w:rPr>
          <w:rFonts w:cs="Garamond"/>
        </w:rPr>
        <w:t>59</w:t>
      </w:r>
      <w:r w:rsidR="00B45D53">
        <w:rPr>
          <w:rFonts w:cs="Garamond"/>
        </w:rPr>
        <w:t xml:space="preserve">ª reunión </w:t>
      </w:r>
      <w:r>
        <w:rPr>
          <w:rFonts w:cs="Garamond"/>
        </w:rPr>
        <w:t>(</w:t>
      </w:r>
      <w:r w:rsidR="00B45D53">
        <w:rPr>
          <w:rFonts w:cs="Garamond"/>
        </w:rPr>
        <w:t>reanudación de la reunión</w:t>
      </w:r>
      <w:r>
        <w:rPr>
          <w:rFonts w:cs="Garamond"/>
        </w:rPr>
        <w:t>): 23-27 May 2022; Gland</w:t>
      </w:r>
      <w:r w:rsidR="00B45D53">
        <w:rPr>
          <w:rFonts w:cs="Garamond"/>
        </w:rPr>
        <w:t xml:space="preserve"> (Suiza)</w:t>
      </w:r>
      <w:r>
        <w:rPr>
          <w:rFonts w:cs="Garamond"/>
        </w:rPr>
        <w:t>;</w:t>
      </w:r>
    </w:p>
    <w:p w14:paraId="20B4858E" w14:textId="00627BA7" w:rsidR="0042455D" w:rsidRDefault="002A52CE">
      <w:pPr>
        <w:pStyle w:val="ListParagraph"/>
        <w:numPr>
          <w:ilvl w:val="0"/>
          <w:numId w:val="1"/>
        </w:numPr>
        <w:spacing w:after="0" w:line="240" w:lineRule="auto"/>
        <w:ind w:left="850" w:hanging="425"/>
      </w:pPr>
      <w:r>
        <w:rPr>
          <w:rFonts w:cs="Garamond"/>
        </w:rPr>
        <w:t>59ª reunión (sesión adicional): 21 de junio</w:t>
      </w:r>
      <w:r w:rsidR="00B45D53">
        <w:rPr>
          <w:rFonts w:cs="Garamond"/>
        </w:rPr>
        <w:t>,</w:t>
      </w:r>
      <w:r>
        <w:rPr>
          <w:rFonts w:cs="Garamond"/>
        </w:rPr>
        <w:t xml:space="preserve"> en línea;</w:t>
      </w:r>
    </w:p>
    <w:p w14:paraId="4874640A" w14:textId="56FAB3D5" w:rsidR="0042455D" w:rsidRDefault="002A52CE">
      <w:pPr>
        <w:pStyle w:val="ListParagraph"/>
        <w:numPr>
          <w:ilvl w:val="0"/>
          <w:numId w:val="1"/>
        </w:numPr>
        <w:spacing w:after="0" w:line="240" w:lineRule="auto"/>
        <w:ind w:left="850" w:hanging="425"/>
      </w:pPr>
      <w:r>
        <w:rPr>
          <w:rFonts w:cs="Garamond"/>
        </w:rPr>
        <w:t>Sesión cerrada: 19 de julio de 2022</w:t>
      </w:r>
      <w:r w:rsidR="00B45D53">
        <w:rPr>
          <w:rFonts w:cs="Garamond"/>
        </w:rPr>
        <w:t>,</w:t>
      </w:r>
      <w:r>
        <w:rPr>
          <w:rFonts w:cs="Garamond"/>
        </w:rPr>
        <w:t xml:space="preserve"> en línea.</w:t>
      </w:r>
    </w:p>
    <w:p w14:paraId="342EC11B" w14:textId="77777777" w:rsidR="0042455D" w:rsidRDefault="0042455D">
      <w:pPr>
        <w:spacing w:after="0" w:line="240" w:lineRule="auto"/>
        <w:rPr>
          <w:rFonts w:asciiTheme="minorHAnsi" w:hAnsiTheme="minorHAnsi" w:cs="Garamond"/>
        </w:rPr>
      </w:pPr>
    </w:p>
    <w:p w14:paraId="00B2EAC0" w14:textId="38EFF40A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rPr>
          <w:rFonts w:cs="Garamond"/>
        </w:rPr>
        <w:tab/>
        <w:t>Los informes y decisiones de las reuniones del Comité Permanente están disponibles en</w:t>
      </w:r>
      <w:r w:rsidR="00B45D53">
        <w:rPr>
          <w:rFonts w:cs="Garamond"/>
        </w:rPr>
        <w:t xml:space="preserve"> el siguiente enlace</w:t>
      </w:r>
      <w:r>
        <w:rPr>
          <w:rFonts w:cs="Garamond"/>
        </w:rPr>
        <w:t xml:space="preserve">: </w:t>
      </w:r>
      <w:hyperlink r:id="rId16">
        <w:r>
          <w:rPr>
            <w:rStyle w:val="LienInternet"/>
            <w:rFonts w:cs="Garamond"/>
          </w:rPr>
          <w:t>https://www.ramsar.org/es/acerca-de/el-comite-permanente-actual-2018-2022-las-reuniones</w:t>
        </w:r>
      </w:hyperlink>
    </w:p>
    <w:p w14:paraId="6AE4753B" w14:textId="77777777" w:rsidR="0042455D" w:rsidRDefault="0042455D">
      <w:pPr>
        <w:spacing w:after="0" w:line="240" w:lineRule="auto"/>
        <w:rPr>
          <w:rFonts w:asciiTheme="minorHAnsi" w:hAnsiTheme="minorHAnsi" w:cs="Garamond"/>
        </w:rPr>
      </w:pPr>
    </w:p>
    <w:p w14:paraId="59723C17" w14:textId="2FAD4544" w:rsidR="0042455D" w:rsidRDefault="002A52CE">
      <w:pPr>
        <w:spacing w:after="0" w:line="240" w:lineRule="auto"/>
        <w:ind w:left="426" w:hanging="426"/>
      </w:pPr>
      <w:r>
        <w:rPr>
          <w:rFonts w:cs="Garamond"/>
        </w:rPr>
        <w:t>11.</w:t>
      </w:r>
      <w:r>
        <w:rPr>
          <w:rFonts w:cs="Garamond"/>
        </w:rPr>
        <w:tab/>
        <w:t xml:space="preserve">Una </w:t>
      </w:r>
      <w:r w:rsidR="00B147C9">
        <w:rPr>
          <w:rFonts w:cs="Garamond"/>
        </w:rPr>
        <w:t>consecuencia</w:t>
      </w:r>
      <w:r>
        <w:rPr>
          <w:rFonts w:cs="Garamond"/>
        </w:rPr>
        <w:t xml:space="preserve"> importante de la </w:t>
      </w:r>
      <w:r>
        <w:rPr>
          <w:rFonts w:cs="Garamond"/>
        </w:rPr>
        <w:t>pandemia de COVID-19 fue la necesidad de aplazar la COP14 hasta noviembre de 2022 y la necesidad de convocar una COP extraordinaria virtual (ExCOP3) para aprobar nuevas fechas para la COP y adoptar un presupuesto para el funcionamiento continuo de la Conve</w:t>
      </w:r>
      <w:r>
        <w:rPr>
          <w:rFonts w:cs="Garamond"/>
        </w:rPr>
        <w:t xml:space="preserve">nción para 2022. La ExCOP3 </w:t>
      </w:r>
      <w:r w:rsidR="00B147C9">
        <w:rPr>
          <w:rFonts w:cs="Garamond"/>
        </w:rPr>
        <w:t>se celebró</w:t>
      </w:r>
      <w:r>
        <w:rPr>
          <w:rFonts w:cs="Garamond"/>
        </w:rPr>
        <w:t xml:space="preserve"> del 25 de octubre al 4 de noviembre de 2021 con el fin de tomar estas decisiones urgentes, en vista de la imposibilidad de celebrar la COP14 físicamente en noviembre de 2021, como estaba previsto inicialmente. Durante </w:t>
      </w:r>
      <w:r>
        <w:rPr>
          <w:rFonts w:cs="Garamond"/>
        </w:rPr>
        <w:t>la ExCOP3, las Partes Contratantes acordaron aplazar la COP14 hasta noviembre de 2022 y aprobaron un presupuesto básico para 2022.</w:t>
      </w:r>
    </w:p>
    <w:p w14:paraId="0E7813B4" w14:textId="77777777" w:rsidR="0042455D" w:rsidRDefault="0042455D">
      <w:pPr>
        <w:spacing w:after="0" w:line="240" w:lineRule="auto"/>
        <w:rPr>
          <w:rFonts w:asciiTheme="minorHAnsi" w:hAnsiTheme="minorHAnsi" w:cs="Garamond"/>
        </w:rPr>
      </w:pPr>
    </w:p>
    <w:p w14:paraId="2F988F99" w14:textId="77777777" w:rsidR="0042455D" w:rsidRDefault="002A52CE">
      <w:pPr>
        <w:spacing w:after="0" w:line="240" w:lineRule="auto"/>
        <w:ind w:left="426"/>
      </w:pPr>
      <w:r>
        <w:rPr>
          <w:rFonts w:cs="Garamond"/>
        </w:rPr>
        <w:t xml:space="preserve">El informe y las decisiones de la ExCOP3 están disponibles aquí: </w:t>
      </w:r>
      <w:hyperlink r:id="rId17">
        <w:r>
          <w:rPr>
            <w:rStyle w:val="LienInternet"/>
            <w:rFonts w:cs="Garamond"/>
          </w:rPr>
          <w:t>https://www.ramsar.org/es/documento/informe-de-la-tercera-reunion-extraordinaria-de-la-conferencia-de-las-partes-contratantes</w:t>
        </w:r>
      </w:hyperlink>
    </w:p>
    <w:p w14:paraId="0AC9A4B2" w14:textId="77777777" w:rsidR="0042455D" w:rsidRDefault="0042455D">
      <w:pPr>
        <w:spacing w:after="0" w:line="240" w:lineRule="auto"/>
        <w:rPr>
          <w:rFonts w:asciiTheme="minorHAnsi" w:hAnsiTheme="minorHAnsi"/>
        </w:rPr>
      </w:pPr>
      <w:bookmarkStart w:id="1" w:name="page5"/>
      <w:bookmarkEnd w:id="1"/>
    </w:p>
    <w:p w14:paraId="74BFF868" w14:textId="63956328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rPr>
          <w:rFonts w:asciiTheme="minorHAnsi" w:hAnsiTheme="minorHAnsi"/>
        </w:rPr>
        <w:t>12.</w:t>
      </w:r>
      <w:r>
        <w:rPr>
          <w:rFonts w:asciiTheme="minorHAnsi" w:hAnsiTheme="minorHAnsi"/>
        </w:rPr>
        <w:tab/>
        <w:t xml:space="preserve">El Grupo de Trabajo Administrativo del </w:t>
      </w:r>
      <w:r>
        <w:rPr>
          <w:rFonts w:asciiTheme="minorHAnsi" w:hAnsiTheme="minorHAnsi"/>
        </w:rPr>
        <w:t xml:space="preserve">Comité Permanente se reunió en siete ocasiones durante el </w:t>
      </w:r>
      <w:r w:rsidR="00A15775">
        <w:rPr>
          <w:rFonts w:asciiTheme="minorHAnsi" w:hAnsiTheme="minorHAnsi"/>
        </w:rPr>
        <w:t>período</w:t>
      </w:r>
      <w:r>
        <w:rPr>
          <w:rFonts w:asciiTheme="minorHAnsi" w:hAnsiTheme="minorHAnsi"/>
        </w:rPr>
        <w:t xml:space="preserve"> de referencia para debatir cuestiones de su competencia e informar de sus recomendaciones a la reunión plenaria del Comité Permanente. Los miembros de las Partes Contratantes del Grupo de Tr</w:t>
      </w:r>
      <w:r>
        <w:rPr>
          <w:rFonts w:asciiTheme="minorHAnsi" w:hAnsiTheme="minorHAnsi"/>
        </w:rPr>
        <w:t>abajo Administrativo participaron en el proceso de selección del próxim</w:t>
      </w:r>
      <w:r w:rsidR="006426BB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r w:rsidR="006426BB">
        <w:rPr>
          <w:rFonts w:asciiTheme="minorHAnsi" w:hAnsiTheme="minorHAnsi"/>
        </w:rPr>
        <w:t>S</w:t>
      </w:r>
      <w:r w:rsidR="00B147C9">
        <w:rPr>
          <w:rFonts w:asciiTheme="minorHAnsi" w:hAnsiTheme="minorHAnsi"/>
        </w:rPr>
        <w:t>ecretaria</w:t>
      </w:r>
      <w:r>
        <w:rPr>
          <w:rFonts w:asciiTheme="minorHAnsi" w:hAnsiTheme="minorHAnsi"/>
        </w:rPr>
        <w:t xml:space="preserve"> General.</w:t>
      </w:r>
    </w:p>
    <w:p w14:paraId="03A9B362" w14:textId="77777777" w:rsidR="0042455D" w:rsidRDefault="0042455D">
      <w:pPr>
        <w:spacing w:after="0" w:line="240" w:lineRule="auto"/>
        <w:rPr>
          <w:rFonts w:asciiTheme="minorHAnsi" w:hAnsiTheme="minorHAnsi" w:cs="Garamond"/>
          <w:bCs/>
          <w:u w:val="single"/>
        </w:rPr>
      </w:pPr>
    </w:p>
    <w:p w14:paraId="205364FC" w14:textId="15CD73C4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rPr>
          <w:rFonts w:cs="Garamond"/>
        </w:rPr>
        <w:t>13.</w:t>
      </w:r>
      <w:r>
        <w:rPr>
          <w:rFonts w:cs="Garamond"/>
        </w:rPr>
        <w:tab/>
        <w:t xml:space="preserve">Durante el </w:t>
      </w:r>
      <w:r w:rsidR="00A15775">
        <w:rPr>
          <w:rFonts w:cs="Garamond"/>
        </w:rPr>
        <w:t>período</w:t>
      </w:r>
      <w:r>
        <w:rPr>
          <w:rFonts w:cs="Garamond"/>
        </w:rPr>
        <w:t xml:space="preserve"> </w:t>
      </w:r>
      <w:r w:rsidR="00B147C9">
        <w:rPr>
          <w:rFonts w:cs="Garamond"/>
        </w:rPr>
        <w:t>que abarca</w:t>
      </w:r>
      <w:r>
        <w:rPr>
          <w:rFonts w:cs="Garamond"/>
        </w:rPr>
        <w:t xml:space="preserve"> este informe, la pandemia de COVID y las dificultades para reunirse de modo presencial han representado un reto para el avance de los trabajos de los órganos rectores y subsidiarios. Cuando las reuniones no pudieron celebrarse físicamente, las Partes Cont</w:t>
      </w:r>
      <w:r>
        <w:rPr>
          <w:rFonts w:cs="Garamond"/>
        </w:rPr>
        <w:t xml:space="preserve">ratantes, con el apoyo de la Secretaría, pudieron avanzar en su labor y tomar decisiones </w:t>
      </w:r>
      <w:r w:rsidR="00B147C9">
        <w:rPr>
          <w:rFonts w:cs="Garamond"/>
        </w:rPr>
        <w:t>urgentes</w:t>
      </w:r>
      <w:r>
        <w:rPr>
          <w:rFonts w:cs="Garamond"/>
        </w:rPr>
        <w:t xml:space="preserve"> mediante la celebración de reuniones virtuales, inclu</w:t>
      </w:r>
      <w:r w:rsidR="00B147C9">
        <w:rPr>
          <w:rFonts w:cs="Garamond"/>
        </w:rPr>
        <w:t>idas</w:t>
      </w:r>
      <w:r>
        <w:rPr>
          <w:rFonts w:cs="Garamond"/>
        </w:rPr>
        <w:t xml:space="preserve"> la SC58, la primera sesión de la SC59 y varias reuniones entre sesiones. La pandemia de COVID-19 ha </w:t>
      </w:r>
      <w:r>
        <w:rPr>
          <w:rFonts w:cs="Garamond"/>
        </w:rPr>
        <w:t xml:space="preserve">requerido encontrar nuevas formas de trabajar, y la Convención se ha adaptado a esto. A pesar de estos desafíos, tanto las Partes Contratantes como la Secretaría siguieron tomando las medidas esenciales para aplicar las decisiones </w:t>
      </w:r>
      <w:r w:rsidR="00B147C9">
        <w:rPr>
          <w:rFonts w:cs="Garamond"/>
        </w:rPr>
        <w:t>adoptadas</w:t>
      </w:r>
      <w:r>
        <w:rPr>
          <w:rFonts w:cs="Garamond"/>
        </w:rPr>
        <w:t xml:space="preserve"> en la COP13, as</w:t>
      </w:r>
      <w:r>
        <w:rPr>
          <w:rFonts w:cs="Garamond"/>
        </w:rPr>
        <w:t>í como en la</w:t>
      </w:r>
      <w:r w:rsidR="00B147C9">
        <w:rPr>
          <w:rFonts w:cs="Garamond"/>
        </w:rPr>
        <w:t>s reuniones</w:t>
      </w:r>
      <w:r>
        <w:rPr>
          <w:rFonts w:cs="Garamond"/>
        </w:rPr>
        <w:t xml:space="preserve"> SC57, SC58 y SC59, adaptándose al contexto del nuevo entorno de trabajo.</w:t>
      </w:r>
    </w:p>
    <w:p w14:paraId="3A55DBBB" w14:textId="77777777" w:rsidR="0042455D" w:rsidRDefault="0042455D">
      <w:pPr>
        <w:spacing w:after="0" w:line="240" w:lineRule="auto"/>
        <w:ind w:left="425" w:hanging="425"/>
        <w:rPr>
          <w:rFonts w:asciiTheme="minorHAnsi" w:hAnsiTheme="minorHAnsi" w:cs="Garamond"/>
        </w:rPr>
      </w:pPr>
    </w:p>
    <w:p w14:paraId="0ADB7A04" w14:textId="79484D5E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rPr>
          <w:rFonts w:cs="Garamond"/>
        </w:rPr>
        <w:t>14.</w:t>
      </w:r>
      <w:r>
        <w:rPr>
          <w:rFonts w:cs="Garamond"/>
        </w:rPr>
        <w:tab/>
        <w:t xml:space="preserve">A pesar de las dificultades para llevar a cabo reuniones presenciales, las Partes Contratantes han mostrado una activa participación en línea. Durante la </w:t>
      </w:r>
      <w:r w:rsidR="00B147C9">
        <w:rPr>
          <w:rFonts w:cs="Garamond"/>
        </w:rPr>
        <w:t xml:space="preserve">reunión </w:t>
      </w:r>
      <w:r>
        <w:rPr>
          <w:rFonts w:cs="Garamond"/>
        </w:rPr>
        <w:t xml:space="preserve">SC58, 66 participantes de 34 Partes Contratantes participaron virtualmente. </w:t>
      </w:r>
      <w:r w:rsidR="00B147C9">
        <w:rPr>
          <w:rFonts w:cs="Garamond"/>
        </w:rPr>
        <w:t>En</w:t>
      </w:r>
      <w:r>
        <w:rPr>
          <w:rFonts w:cs="Garamond"/>
        </w:rPr>
        <w:t xml:space="preserve"> la primera reunión de la SC59, 97 participantes de 43 Partes Contratantes y 27 observadores participaron virtualmente. La ExCOP3 contó con la participación virtual de 28</w:t>
      </w:r>
      <w:r>
        <w:rPr>
          <w:rFonts w:cs="Garamond"/>
        </w:rPr>
        <w:t>7 delegados de 120 Partes Contratantes.</w:t>
      </w:r>
    </w:p>
    <w:p w14:paraId="20E4A034" w14:textId="77777777" w:rsidR="0042455D" w:rsidRDefault="0042455D">
      <w:pPr>
        <w:spacing w:after="0" w:line="240" w:lineRule="auto"/>
        <w:ind w:left="425" w:hanging="425"/>
        <w:rPr>
          <w:rFonts w:asciiTheme="minorHAnsi" w:hAnsiTheme="minorHAnsi" w:cs="Garamond"/>
        </w:rPr>
      </w:pPr>
    </w:p>
    <w:p w14:paraId="7DE2BFEE" w14:textId="028F5993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t>15.</w:t>
      </w:r>
      <w:r>
        <w:tab/>
        <w:t xml:space="preserve">Durante este </w:t>
      </w:r>
      <w:r w:rsidR="00A15775">
        <w:t>período</w:t>
      </w:r>
      <w:r>
        <w:t xml:space="preserve">, </w:t>
      </w:r>
      <w:r w:rsidR="00B147C9">
        <w:t xml:space="preserve">la Presidencia </w:t>
      </w:r>
      <w:r>
        <w:t>y el Equipo Ejecutivo orientaron a la Secretaría en relación con el proceso de aplicación de la Resolución XIII.1 sobre la declaración del Día Mundial de los Humedales por la</w:t>
      </w:r>
      <w:r>
        <w:t xml:space="preserve"> Asamblea General de las Naciones Unidas, alentando a las Partes a copatrocinar y apoyar este esfuerzo.</w:t>
      </w:r>
    </w:p>
    <w:p w14:paraId="7EEA13E1" w14:textId="77777777" w:rsidR="0042455D" w:rsidRDefault="0042455D">
      <w:pPr>
        <w:spacing w:after="0" w:line="240" w:lineRule="auto"/>
        <w:ind w:left="425"/>
        <w:rPr>
          <w:rFonts w:asciiTheme="minorHAnsi" w:hAnsiTheme="minorHAnsi" w:cs="Garamond"/>
        </w:rPr>
      </w:pPr>
    </w:p>
    <w:p w14:paraId="750999D8" w14:textId="43E10B21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t>16.</w:t>
      </w:r>
      <w:r>
        <w:tab/>
        <w:t xml:space="preserve">Además, </w:t>
      </w:r>
      <w:r w:rsidR="00B147C9">
        <w:t>la Presidencia</w:t>
      </w:r>
      <w:r>
        <w:t xml:space="preserve"> y el Equipo Ejecutivo también prestaron asesoramiento sobre las cuestiones relacionadas con el Grupo de Examen Científico y </w:t>
      </w:r>
      <w:r>
        <w:t>Técnico. Se mantuvo un contacto regular con la Secretaria General para asesorar sobre el nombramiento de</w:t>
      </w:r>
      <w:r w:rsidR="00B147C9">
        <w:t xml:space="preserve"> la nueva Presidencia </w:t>
      </w:r>
      <w:r>
        <w:t>del GECT y la cancelación de la 23ª reunión del Grupo (GECT23).</w:t>
      </w:r>
    </w:p>
    <w:p w14:paraId="0C5FDE18" w14:textId="77777777" w:rsidR="0042455D" w:rsidRDefault="0042455D">
      <w:pPr>
        <w:spacing w:after="0" w:line="240" w:lineRule="auto"/>
        <w:ind w:left="425"/>
        <w:rPr>
          <w:rFonts w:asciiTheme="minorHAnsi" w:hAnsiTheme="minorHAnsi" w:cs="Garamond"/>
        </w:rPr>
      </w:pPr>
    </w:p>
    <w:p w14:paraId="54D8047A" w14:textId="10890EE3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t>17.</w:t>
      </w:r>
      <w:r>
        <w:tab/>
        <w:t xml:space="preserve">La Presidencia se ocupó de los preparativos </w:t>
      </w:r>
      <w:r w:rsidR="00B147C9">
        <w:t>d</w:t>
      </w:r>
      <w:r>
        <w:t xml:space="preserve">el </w:t>
      </w:r>
      <w:r w:rsidR="00B147C9">
        <w:t>taller</w:t>
      </w:r>
      <w:r>
        <w:t xml:space="preserve"> consul</w:t>
      </w:r>
      <w:r>
        <w:t xml:space="preserve">tivo de los convenios relacionados con la biodiversidad sobre el </w:t>
      </w:r>
      <w:r w:rsidR="00B147C9">
        <w:t>m</w:t>
      </w:r>
      <w:r>
        <w:t xml:space="preserve">arco </w:t>
      </w:r>
      <w:r w:rsidR="00B147C9">
        <w:t>m</w:t>
      </w:r>
      <w:r>
        <w:t xml:space="preserve">undial de la </w:t>
      </w:r>
      <w:r w:rsidR="00B147C9">
        <w:t>d</w:t>
      </w:r>
      <w:r>
        <w:t xml:space="preserve">iversidad </w:t>
      </w:r>
      <w:r w:rsidR="00B147C9">
        <w:t>b</w:t>
      </w:r>
      <w:r>
        <w:t>iológica posterior a 2020 ("Berna II"), celebrado en diciembre de 2020, en el que participaron representantes de las Partes Contratantes en nombre de la Conven</w:t>
      </w:r>
      <w:r>
        <w:t>ción sobre los Humedales.</w:t>
      </w:r>
    </w:p>
    <w:p w14:paraId="7E309A47" w14:textId="77777777" w:rsidR="0042455D" w:rsidRDefault="0042455D">
      <w:pPr>
        <w:spacing w:after="0" w:line="240" w:lineRule="auto"/>
        <w:rPr>
          <w:rFonts w:asciiTheme="minorHAnsi" w:hAnsiTheme="minorHAnsi" w:cstheme="minorHAnsi"/>
        </w:rPr>
      </w:pPr>
    </w:p>
    <w:p w14:paraId="299B8D75" w14:textId="306F2C06" w:rsidR="0042455D" w:rsidRDefault="002A52CE">
      <w:pPr>
        <w:spacing w:after="0" w:line="240" w:lineRule="auto"/>
      </w:pPr>
      <w:r>
        <w:rPr>
          <w:rFonts w:cstheme="minorHAnsi"/>
          <w:u w:val="single"/>
        </w:rPr>
        <w:t xml:space="preserve">Observaciones </w:t>
      </w:r>
      <w:r w:rsidR="00B147C9">
        <w:rPr>
          <w:rFonts w:cstheme="minorHAnsi"/>
          <w:u w:val="single"/>
        </w:rPr>
        <w:t>de la Presidencia</w:t>
      </w:r>
    </w:p>
    <w:p w14:paraId="4F8E7820" w14:textId="77777777" w:rsidR="0042455D" w:rsidRDefault="0042455D">
      <w:pPr>
        <w:keepNext/>
        <w:spacing w:after="0" w:line="240" w:lineRule="auto"/>
        <w:ind w:left="425" w:hanging="425"/>
        <w:rPr>
          <w:rFonts w:asciiTheme="minorHAnsi" w:hAnsiTheme="minorHAnsi" w:cs="Garamond"/>
        </w:rPr>
      </w:pPr>
    </w:p>
    <w:p w14:paraId="27A34D6D" w14:textId="08278BA6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rPr>
          <w:rFonts w:cs="Garamond"/>
        </w:rPr>
        <w:t>18.</w:t>
      </w:r>
      <w:r>
        <w:rPr>
          <w:rFonts w:cs="Garamond"/>
        </w:rPr>
        <w:tab/>
        <w:t xml:space="preserve">Durante este </w:t>
      </w:r>
      <w:r w:rsidR="00A15775">
        <w:rPr>
          <w:rFonts w:cs="Garamond"/>
        </w:rPr>
        <w:t>período</w:t>
      </w:r>
      <w:r>
        <w:rPr>
          <w:rFonts w:cs="Garamond"/>
        </w:rPr>
        <w:t xml:space="preserve">, </w:t>
      </w:r>
      <w:r w:rsidR="00B147C9">
        <w:rPr>
          <w:rFonts w:cs="Garamond"/>
        </w:rPr>
        <w:t xml:space="preserve">llegó a su fin </w:t>
      </w:r>
      <w:r>
        <w:rPr>
          <w:rFonts w:cs="Garamond"/>
        </w:rPr>
        <w:t>el segundo mandato de la Secretaria General, Martha Rojas Urrego. El Comité Permanente eligió por unanimidad a la próxima Secretaria General</w:t>
      </w:r>
      <w:r>
        <w:rPr>
          <w:rFonts w:cs="Garamond"/>
        </w:rPr>
        <w:t xml:space="preserve"> de la Convención, la Dra. Musonda Mumba, siguiendo las recomendaciones del Comité de Selección. Me gustaría agradecer al Comité de Selección su eficiente y eficaz trabajo en la selección de nuestra nueva Secretaria General. Además, me gustaría extender mi</w:t>
      </w:r>
      <w:r>
        <w:rPr>
          <w:rFonts w:cs="Garamond"/>
        </w:rPr>
        <w:t xml:space="preserve"> profundo agradecimiento y reconocimiento a Martha por su apoyo y asistencia en el desempeño de mis funciones.</w:t>
      </w:r>
    </w:p>
    <w:p w14:paraId="3EDE145B" w14:textId="77777777" w:rsidR="0042455D" w:rsidRDefault="0042455D">
      <w:pPr>
        <w:spacing w:after="0" w:line="240" w:lineRule="auto"/>
        <w:rPr>
          <w:rFonts w:asciiTheme="minorHAnsi" w:hAnsiTheme="minorHAnsi" w:cs="Garamond"/>
          <w:highlight w:val="yellow"/>
        </w:rPr>
      </w:pPr>
    </w:p>
    <w:p w14:paraId="68BFC504" w14:textId="5A41050A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rPr>
          <w:rFonts w:cs="Garamond"/>
        </w:rPr>
        <w:t>19.</w:t>
      </w:r>
      <w:r>
        <w:rPr>
          <w:rFonts w:cs="Garamond"/>
        </w:rPr>
        <w:tab/>
        <w:t>Como Preside</w:t>
      </w:r>
      <w:r w:rsidR="006426BB">
        <w:rPr>
          <w:rFonts w:cs="Garamond"/>
        </w:rPr>
        <w:t>nte</w:t>
      </w:r>
      <w:r>
        <w:rPr>
          <w:rFonts w:cs="Garamond"/>
        </w:rPr>
        <w:t xml:space="preserve"> del Comité Permanente, me gustaría dar las gracias a todos los miembros del Comité Permanente, así como a los observadores, </w:t>
      </w:r>
      <w:r>
        <w:rPr>
          <w:rFonts w:cs="Garamond"/>
        </w:rPr>
        <w:t xml:space="preserve">a otras Partes Contratantes, a las Organizaciones Internacionales Asociadas, al GECT, a los miembros de la Secretaría y a la Secretaria General Martha Rojas Urrego. El compromiso activo de todos y la actitud constructiva ante los trabajos de la Convención </w:t>
      </w:r>
      <w:r>
        <w:rPr>
          <w:rFonts w:cs="Garamond"/>
        </w:rPr>
        <w:t>han contribuido de forma significativa al progreso de nuestras tareas.</w:t>
      </w:r>
    </w:p>
    <w:p w14:paraId="1FF6221E" w14:textId="77777777" w:rsidR="0042455D" w:rsidRDefault="0042455D">
      <w:pPr>
        <w:spacing w:after="0" w:line="240" w:lineRule="auto"/>
        <w:ind w:left="425" w:hanging="425"/>
        <w:rPr>
          <w:rFonts w:asciiTheme="minorHAnsi" w:hAnsiTheme="minorHAnsi" w:cs="Garamond"/>
        </w:rPr>
      </w:pPr>
    </w:p>
    <w:p w14:paraId="40878F72" w14:textId="200BEE02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rPr>
          <w:rFonts w:cs="Garamond"/>
        </w:rPr>
        <w:t>20.</w:t>
      </w:r>
      <w:r>
        <w:rPr>
          <w:rFonts w:cs="Garamond"/>
        </w:rPr>
        <w:tab/>
        <w:t xml:space="preserve">Quisiera reconocer el trabajo y la dedicación de quienes, en los Estados que son </w:t>
      </w:r>
      <w:r w:rsidR="006426BB">
        <w:rPr>
          <w:rFonts w:cs="Garamond"/>
        </w:rPr>
        <w:t>P</w:t>
      </w:r>
      <w:r>
        <w:rPr>
          <w:rFonts w:cs="Garamond"/>
        </w:rPr>
        <w:t xml:space="preserve">arte </w:t>
      </w:r>
      <w:r w:rsidR="006426BB">
        <w:rPr>
          <w:rFonts w:cs="Garamond"/>
        </w:rPr>
        <w:t>en</w:t>
      </w:r>
      <w:r>
        <w:rPr>
          <w:rFonts w:cs="Garamond"/>
        </w:rPr>
        <w:t xml:space="preserve"> la Convención, son los actores fundamentales para la protección y el uso sostenible de los</w:t>
      </w:r>
      <w:r>
        <w:rPr>
          <w:rFonts w:cs="Garamond"/>
        </w:rPr>
        <w:t xml:space="preserve"> humedales, muchos de ellos héroes que a menudo se enfrentan a la adversidad en su trabajo diario. En cada uno de nuestros países, ellos hacen que la Convención sea una realidad, y a todos ellos les debemos nuestro reconocimiento.</w:t>
      </w:r>
    </w:p>
    <w:p w14:paraId="2B96EB3F" w14:textId="77777777" w:rsidR="0042455D" w:rsidRDefault="0042455D">
      <w:pPr>
        <w:spacing w:after="0" w:line="240" w:lineRule="auto"/>
        <w:ind w:left="425" w:hanging="425"/>
        <w:rPr>
          <w:rFonts w:asciiTheme="minorHAnsi" w:hAnsiTheme="minorHAnsi" w:cs="Garamond"/>
        </w:rPr>
      </w:pPr>
    </w:p>
    <w:p w14:paraId="57CB99C4" w14:textId="5146EDD3" w:rsidR="0042455D" w:rsidRDefault="002A52CE">
      <w:pPr>
        <w:spacing w:after="0" w:line="240" w:lineRule="auto"/>
        <w:ind w:left="425" w:hanging="425"/>
      </w:pPr>
      <w:r>
        <w:rPr>
          <w:rFonts w:cs="Garamond"/>
        </w:rPr>
        <w:t>21.</w:t>
      </w:r>
      <w:r>
        <w:rPr>
          <w:rFonts w:cs="Garamond"/>
        </w:rPr>
        <w:tab/>
        <w:t>Por último, me gusta</w:t>
      </w:r>
      <w:r>
        <w:rPr>
          <w:rFonts w:cs="Garamond"/>
        </w:rPr>
        <w:t>ría dar las gracias y expresar mi reconocimiento a mis colegas del Equipo Ejecutivo, la Vicepresiden</w:t>
      </w:r>
      <w:r w:rsidR="006426BB">
        <w:rPr>
          <w:rFonts w:cs="Garamond"/>
        </w:rPr>
        <w:t>ta</w:t>
      </w:r>
      <w:r>
        <w:rPr>
          <w:rFonts w:cs="Garamond"/>
        </w:rPr>
        <w:t xml:space="preserve"> Jenny Lonnstad, de Suecia, y Ra</w:t>
      </w:r>
      <w:r w:rsidR="006426BB">
        <w:rPr>
          <w:rFonts w:cs="Garamond"/>
        </w:rPr>
        <w:t>ú</w:t>
      </w:r>
      <w:r>
        <w:rPr>
          <w:rFonts w:cs="Garamond"/>
        </w:rPr>
        <w:t xml:space="preserve">l Vargas, de México, como Presidente del Subgrupo de Finanzas, con los que he trabajado codo con codo durante las </w:t>
      </w:r>
      <w:r>
        <w:rPr>
          <w:rFonts w:cs="Garamond"/>
        </w:rPr>
        <w:t>sesiones del Comité Permanente, y en particular entre sus reuniones.</w:t>
      </w:r>
    </w:p>
    <w:p w14:paraId="38D6D1CA" w14:textId="77777777" w:rsidR="0042455D" w:rsidRDefault="0042455D">
      <w:pPr>
        <w:spacing w:after="0" w:line="240" w:lineRule="auto"/>
        <w:ind w:left="425" w:hanging="425"/>
        <w:rPr>
          <w:rFonts w:asciiTheme="minorHAnsi" w:hAnsiTheme="minorHAnsi" w:cs="Garamond"/>
        </w:rPr>
      </w:pPr>
    </w:p>
    <w:p w14:paraId="243B0734" w14:textId="77777777" w:rsidR="0042455D" w:rsidRDefault="002A52CE">
      <w:pPr>
        <w:tabs>
          <w:tab w:val="left" w:pos="720"/>
          <w:tab w:val="left" w:pos="4253"/>
        </w:tabs>
        <w:spacing w:after="0" w:line="240" w:lineRule="auto"/>
        <w:ind w:left="425" w:hanging="425"/>
      </w:pPr>
      <w:r>
        <w:rPr>
          <w:rFonts w:cs="Garamond"/>
        </w:rPr>
        <w:t>22.</w:t>
      </w:r>
      <w:r>
        <w:rPr>
          <w:rFonts w:cs="Garamond"/>
        </w:rPr>
        <w:tab/>
        <w:t>Deseo al nuevo Comité Permanente y a todas las Partes Contratantes un gran éxito en el cumplimiento de nuestra misión en el nuevo período que ahora comienza.</w:t>
      </w:r>
    </w:p>
    <w:p w14:paraId="0790210C" w14:textId="77777777" w:rsidR="0042455D" w:rsidRDefault="0042455D">
      <w:pPr>
        <w:spacing w:after="0" w:line="240" w:lineRule="auto"/>
        <w:rPr>
          <w:rFonts w:asciiTheme="minorHAnsi" w:hAnsiTheme="minorHAnsi"/>
        </w:rPr>
      </w:pPr>
    </w:p>
    <w:p w14:paraId="3F5083F4" w14:textId="77777777" w:rsidR="0042455D" w:rsidRDefault="002A52CE">
      <w:pPr>
        <w:spacing w:after="0" w:line="240" w:lineRule="auto"/>
      </w:pPr>
      <w:r>
        <w:rPr>
          <w:rFonts w:cstheme="minorHAnsi"/>
        </w:rPr>
        <w:t xml:space="preserve">S.E. Mohamed Al Afkham </w:t>
      </w:r>
      <w:r>
        <w:rPr>
          <w:rFonts w:cstheme="minorHAnsi"/>
        </w:rPr>
        <w:br/>
        <w:t>Presidente del Comité Permanente 2018-2022</w:t>
      </w:r>
    </w:p>
    <w:sectPr w:rsidR="0042455D">
      <w:footerReference w:type="default" r:id="rId18"/>
      <w:pgSz w:w="11906" w:h="16838"/>
      <w:pgMar w:top="1440" w:right="1440" w:bottom="1440" w:left="1440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ACA06" w14:textId="77777777" w:rsidR="00EB14F0" w:rsidRDefault="00EB14F0">
      <w:pPr>
        <w:spacing w:after="0" w:line="240" w:lineRule="auto"/>
      </w:pPr>
      <w:r>
        <w:separator/>
      </w:r>
    </w:p>
  </w:endnote>
  <w:endnote w:type="continuationSeparator" w:id="0">
    <w:p w14:paraId="46038916" w14:textId="77777777" w:rsidR="00EB14F0" w:rsidRDefault="00EB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altName w:val="Times New Roman"/>
    <w:charset w:val="B2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79883" w14:textId="79B614EC" w:rsidR="0042455D" w:rsidRDefault="002A52CE">
    <w:pPr>
      <w:pStyle w:val="Footer"/>
    </w:pPr>
    <w:r>
      <w:rPr>
        <w:rFonts w:asciiTheme="minorHAnsi" w:hAnsiTheme="minorHAnsi"/>
        <w:sz w:val="20"/>
        <w:szCs w:val="20"/>
      </w:rPr>
      <w:t>COP14 Doc.8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BE660" w14:textId="77777777" w:rsidR="00EB14F0" w:rsidRDefault="00EB14F0">
      <w:pPr>
        <w:spacing w:after="0" w:line="240" w:lineRule="auto"/>
      </w:pPr>
      <w:r>
        <w:separator/>
      </w:r>
    </w:p>
  </w:footnote>
  <w:footnote w:type="continuationSeparator" w:id="0">
    <w:p w14:paraId="651204F1" w14:textId="77777777" w:rsidR="00EB14F0" w:rsidRDefault="00EB1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BB2"/>
    <w:multiLevelType w:val="multilevel"/>
    <w:tmpl w:val="BC383A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855011"/>
    <w:multiLevelType w:val="multilevel"/>
    <w:tmpl w:val="D4CE97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/>
      </w:rPr>
    </w:lvl>
    <w:lvl w:ilvl="2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5D"/>
    <w:rsid w:val="00040CD9"/>
    <w:rsid w:val="002A52CE"/>
    <w:rsid w:val="0042455D"/>
    <w:rsid w:val="006426BB"/>
    <w:rsid w:val="007D40D5"/>
    <w:rsid w:val="00A15775"/>
    <w:rsid w:val="00A21A3D"/>
    <w:rsid w:val="00B147C9"/>
    <w:rsid w:val="00B45D53"/>
    <w:rsid w:val="00BF5B64"/>
    <w:rsid w:val="00E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1AFC"/>
  <w15:docId w15:val="{222251D6-8E22-9B4B-9696-7099FBC5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E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uiPriority w:val="99"/>
    <w:unhideWhenUsed/>
    <w:rsid w:val="009F56D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qFormat/>
    <w:rsid w:val="00532A55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qFormat/>
    <w:rsid w:val="00532A55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532A55"/>
    <w:rPr>
      <w:b/>
      <w:bCs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532A55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5173B"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5173B"/>
    <w:rPr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13697"/>
    <w:rPr>
      <w:rFonts w:ascii="Times New Roman" w:eastAsia="Arial Unicode MS" w:hAnsi="Times New Roman" w:cs="Mangal"/>
      <w:kern w:val="2"/>
      <w:szCs w:val="18"/>
      <w:lang w:eastAsia="zh-CN" w:bidi="hi-IN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D13697"/>
    <w:rPr>
      <w:vertAlign w:val="superscript"/>
    </w:rPr>
  </w:style>
  <w:style w:type="character" w:styleId="Strong">
    <w:name w:val="Strong"/>
    <w:uiPriority w:val="22"/>
    <w:qFormat/>
    <w:rsid w:val="00A81510"/>
    <w:rPr>
      <w:b/>
      <w:bCs/>
    </w:rPr>
  </w:style>
  <w:style w:type="character" w:customStyle="1" w:styleId="LienInternetvisit">
    <w:name w:val="Lien Internet visité"/>
    <w:basedOn w:val="DefaultParagraphFont"/>
    <w:uiPriority w:val="99"/>
    <w:semiHidden/>
    <w:unhideWhenUsed/>
    <w:rsid w:val="0033796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BE7A33"/>
    <w:rPr>
      <w:color w:val="605E5C"/>
      <w:shd w:val="clear" w:color="auto" w:fill="E1DFDD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F56D8"/>
    <w:pPr>
      <w:ind w:left="720"/>
      <w:contextualSpacing/>
    </w:pPr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32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32A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2A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5173B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5173B"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3697"/>
    <w:pPr>
      <w:widowControl w:val="0"/>
      <w:spacing w:after="0" w:line="240" w:lineRule="auto"/>
      <w:textAlignment w:val="baseline"/>
    </w:pPr>
    <w:rPr>
      <w:rFonts w:ascii="Times New Roman" w:eastAsia="Arial Unicode MS" w:hAnsi="Times New Roman" w:cs="Mangal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amsar.org/es/documento/resolucion-xiii4-responsabilidades-funciones-y-composicion-del-comite-permanente-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amsar.org/es/documento/resolucion-xi19-ajustes-a-las-disposiciones-de-la-resolucion-71-sobre-composicion" TargetMode="External"/><Relationship Id="rId17" Type="http://schemas.openxmlformats.org/officeDocument/2006/relationships/hyperlink" Target="https://www.ramsar.org/es/documento/informe-de-la-tercera-reunion-extraordinaria-de-la-conferencia-de-las-partes-contratant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amsar.org/es/acerca-de/el-comite-permanente-actual-2018-2022-las-reunio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amsar.org/es/documento/resolucion-vii1-clasificacion-de-los-paises-por-regiones-en-el-marco-de-la-convencion-y" TargetMode="External"/><Relationship Id="rId5" Type="http://schemas.openxmlformats.org/officeDocument/2006/relationships/styles" Target="styles.xml"/><Relationship Id="rId15" Type="http://schemas.openxmlformats.org/officeDocument/2006/relationships/hyperlink" Target="https://ramsar.org/es" TargetMode="External"/><Relationship Id="rId10" Type="http://schemas.openxmlformats.org/officeDocument/2006/relationships/hyperlink" Target="https://www.ramsar.org/es/documento/resolucion-33-la-creacion-de-un-comite-permanent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amsar.org/es/documento/reglamento-de-ramsar-cop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6E785-0979-4BFF-B1FE-2D5419808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93B42-6243-4944-9FF0-EA6176F08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4418D-8FF2-4036-B028-E179F1E96E0A}">
  <ds:schemaRefs>
    <ds:schemaRef ds:uri="http://www.w3.org/XML/1998/namespace"/>
    <ds:schemaRef ds:uri="aedd258d-19a7-41ba-8260-b0918f25313d"/>
    <ds:schemaRef ds:uri="http://purl.org/dc/dcmitype/"/>
    <ds:schemaRef ds:uri="http://schemas.microsoft.com/office/2006/documentManagement/types"/>
    <ds:schemaRef ds:uri="http://purl.org/dc/elements/1.1/"/>
    <ds:schemaRef ds:uri="8c0b6b05-eb82-4bda-97e8-cd82d0d6b45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1750</Words>
  <Characters>9976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MVOTMA</dc:creator>
  <dc:description/>
  <cp:lastModifiedBy>Ed Jennings</cp:lastModifiedBy>
  <cp:revision>4</cp:revision>
  <cp:lastPrinted>2022-08-25T10:22:00Z</cp:lastPrinted>
  <dcterms:created xsi:type="dcterms:W3CDTF">2022-09-05T07:37:00Z</dcterms:created>
  <dcterms:modified xsi:type="dcterms:W3CDTF">2022-09-05T07:48:00Z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