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3" w:rsidRDefault="00275F13" w:rsidP="007972E0">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w:t>
      </w:r>
      <w:r w:rsidR="00DF2386">
        <w:rPr>
          <w:bCs/>
          <w:sz w:val="24"/>
          <w:szCs w:val="24"/>
        </w:rPr>
        <w:t xml:space="preserve">CONVENTION ON WETLANDS </w:t>
      </w:r>
    </w:p>
    <w:p w:rsidR="00DF2386" w:rsidRDefault="00DF2386" w:rsidP="007972E0">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275F13">
        <w:rPr>
          <w:bCs/>
          <w:sz w:val="24"/>
          <w:szCs w:val="24"/>
        </w:rPr>
        <w:t>4th</w:t>
      </w:r>
      <w:r>
        <w:rPr>
          <w:bCs/>
          <w:sz w:val="24"/>
          <w:szCs w:val="24"/>
        </w:rPr>
        <w:t xml:space="preserve"> Meeting of the Standing Committee</w:t>
      </w:r>
    </w:p>
    <w:p w:rsidR="00DF2386" w:rsidRDefault="00DF2386" w:rsidP="007972E0">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Gland, Switzerland, 2</w:t>
      </w:r>
      <w:r w:rsidR="00275F13">
        <w:rPr>
          <w:bCs/>
          <w:sz w:val="24"/>
          <w:szCs w:val="24"/>
        </w:rPr>
        <w:t xml:space="preserve">3 </w:t>
      </w:r>
      <w:r>
        <w:rPr>
          <w:bCs/>
          <w:sz w:val="24"/>
          <w:szCs w:val="24"/>
        </w:rPr>
        <w:t>– 2</w:t>
      </w:r>
      <w:r w:rsidR="00275F13">
        <w:rPr>
          <w:bCs/>
          <w:sz w:val="24"/>
          <w:szCs w:val="24"/>
        </w:rPr>
        <w:t>7</w:t>
      </w:r>
      <w:r>
        <w:rPr>
          <w:bCs/>
          <w:sz w:val="24"/>
          <w:szCs w:val="24"/>
        </w:rPr>
        <w:t xml:space="preserve"> </w:t>
      </w:r>
      <w:r w:rsidR="00275F13">
        <w:rPr>
          <w:bCs/>
          <w:sz w:val="24"/>
          <w:szCs w:val="24"/>
        </w:rPr>
        <w:t>April 2018</w:t>
      </w:r>
    </w:p>
    <w:p w:rsidR="00DF2386" w:rsidRDefault="00DF2386" w:rsidP="007972E0">
      <w:pPr>
        <w:outlineLvl w:val="0"/>
        <w:rPr>
          <w:b/>
        </w:rPr>
      </w:pPr>
    </w:p>
    <w:p w:rsidR="00DF2386" w:rsidRPr="00D245A1" w:rsidRDefault="007972E0" w:rsidP="005C445D">
      <w:pPr>
        <w:ind w:left="0" w:firstLine="0"/>
        <w:jc w:val="right"/>
        <w:rPr>
          <w:rFonts w:cs="Arial"/>
          <w:sz w:val="28"/>
          <w:szCs w:val="28"/>
        </w:rPr>
      </w:pPr>
      <w:r>
        <w:rPr>
          <w:rFonts w:cs="Arial"/>
          <w:b/>
          <w:sz w:val="28"/>
          <w:szCs w:val="28"/>
        </w:rPr>
        <w:t xml:space="preserve">Doc. </w:t>
      </w:r>
      <w:r w:rsidR="00DF2386">
        <w:rPr>
          <w:rFonts w:cs="Arial"/>
          <w:b/>
          <w:sz w:val="28"/>
          <w:szCs w:val="28"/>
        </w:rPr>
        <w:t>SC5</w:t>
      </w:r>
      <w:r w:rsidR="00275F13">
        <w:rPr>
          <w:rFonts w:cs="Arial"/>
          <w:b/>
          <w:sz w:val="28"/>
          <w:szCs w:val="28"/>
        </w:rPr>
        <w:t>4</w:t>
      </w:r>
      <w:r w:rsidR="00DF2386">
        <w:rPr>
          <w:rFonts w:cs="Arial"/>
          <w:b/>
          <w:sz w:val="28"/>
          <w:szCs w:val="28"/>
        </w:rPr>
        <w:t>-</w:t>
      </w:r>
      <w:r>
        <w:rPr>
          <w:rFonts w:cs="Arial"/>
          <w:b/>
          <w:sz w:val="28"/>
          <w:szCs w:val="28"/>
        </w:rPr>
        <w:t>17</w:t>
      </w:r>
      <w:r w:rsidR="00D245A1">
        <w:rPr>
          <w:rFonts w:cs="Arial"/>
          <w:b/>
          <w:sz w:val="28"/>
          <w:szCs w:val="28"/>
        </w:rPr>
        <w:t xml:space="preserve"> </w:t>
      </w:r>
    </w:p>
    <w:p w:rsidR="00DF2386" w:rsidRDefault="00DF2386" w:rsidP="005C445D">
      <w:pPr>
        <w:ind w:left="0" w:firstLine="0"/>
        <w:rPr>
          <w:rFonts w:cs="Arial"/>
          <w:b/>
          <w:sz w:val="28"/>
          <w:szCs w:val="28"/>
        </w:rPr>
      </w:pPr>
    </w:p>
    <w:p w:rsidR="00DF2386" w:rsidRDefault="00EC4519" w:rsidP="005C445D">
      <w:pPr>
        <w:ind w:left="0" w:firstLine="0"/>
        <w:jc w:val="center"/>
        <w:rPr>
          <w:rFonts w:cs="Arial"/>
          <w:b/>
          <w:sz w:val="28"/>
          <w:szCs w:val="28"/>
        </w:rPr>
      </w:pPr>
      <w:r>
        <w:rPr>
          <w:rFonts w:cs="Arial"/>
          <w:b/>
          <w:sz w:val="28"/>
          <w:szCs w:val="28"/>
        </w:rPr>
        <w:t xml:space="preserve">Ramsar Convention Resource Mobilization </w:t>
      </w:r>
      <w:r w:rsidR="00CC63F8">
        <w:rPr>
          <w:rFonts w:cs="Arial"/>
          <w:b/>
          <w:sz w:val="28"/>
          <w:szCs w:val="28"/>
        </w:rPr>
        <w:t>Work Plan</w:t>
      </w:r>
    </w:p>
    <w:p w:rsidR="00DF2386" w:rsidRDefault="00DF2386" w:rsidP="007972E0">
      <w:pPr>
        <w:rPr>
          <w:rFonts w:ascii="Garamond" w:hAnsi="Garamond" w:cs="Arial"/>
        </w:rPr>
      </w:pPr>
    </w:p>
    <w:p w:rsidR="009E0AE8" w:rsidRPr="009B2CEE" w:rsidRDefault="000C2489" w:rsidP="007972E0">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1B8BDF7E" wp14:editId="6009B698">
                <wp:extent cx="5829300" cy="890752"/>
                <wp:effectExtent l="0" t="0" r="1905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90752"/>
                        </a:xfrm>
                        <a:prstGeom prst="rect">
                          <a:avLst/>
                        </a:prstGeom>
                        <a:solidFill>
                          <a:srgbClr val="FFFFFF"/>
                        </a:solidFill>
                        <a:ln w="9525">
                          <a:solidFill>
                            <a:srgbClr val="000000"/>
                          </a:solidFill>
                          <a:miter lim="800000"/>
                          <a:headEnd/>
                          <a:tailEnd/>
                        </a:ln>
                      </wps:spPr>
                      <wps:txb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EC4519" w:rsidRPr="00C2411D" w:rsidRDefault="007972E0" w:rsidP="006305C5">
                            <w:pPr>
                              <w:pStyle w:val="ColorfulList-Accent11"/>
                              <w:ind w:left="0" w:firstLine="0"/>
                              <w:rPr>
                                <w:rFonts w:cs="Calibri"/>
                              </w:rPr>
                            </w:pPr>
                            <w:r>
                              <w:t xml:space="preserve">The </w:t>
                            </w:r>
                            <w:r w:rsidR="000C2489">
                              <w:t xml:space="preserve">Standing Committee is </w:t>
                            </w:r>
                            <w:r w:rsidR="00C2411D">
                              <w:rPr>
                                <w:rFonts w:cs="Calibri"/>
                              </w:rPr>
                              <w:t>invited to endorse</w:t>
                            </w:r>
                            <w:r w:rsidR="00B54D17">
                              <w:rPr>
                                <w:rFonts w:cs="Calibri"/>
                              </w:rPr>
                              <w:t xml:space="preserve"> the Ramsar Convention Resource Mobilization </w:t>
                            </w:r>
                            <w:r w:rsidR="00CC63F8">
                              <w:rPr>
                                <w:rFonts w:cs="Calibri"/>
                              </w:rPr>
                              <w:t>Work Plan</w:t>
                            </w:r>
                            <w:r w:rsidR="00B54D17">
                              <w:rPr>
                                <w:rFonts w:cs="Calibri"/>
                              </w:rPr>
                              <w:t>.</w:t>
                            </w:r>
                          </w:p>
                          <w:p w:rsidR="000C2489" w:rsidRDefault="000C2489" w:rsidP="00275F13">
                            <w:pPr>
                              <w:pStyle w:val="ColorfulList-Accent11"/>
                              <w:ind w:left="360"/>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9pt;height: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">
                <v:textbo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EC4519" w:rsidRPr="00C2411D" w:rsidRDefault="007972E0" w:rsidP="006305C5">
                      <w:pPr>
                        <w:pStyle w:val="ColorfulList-Accent11"/>
                        <w:ind w:left="0" w:firstLine="0"/>
                        <w:rPr>
                          <w:rFonts w:cs="Calibri"/>
                        </w:rPr>
                      </w:pPr>
                      <w:r>
                        <w:t xml:space="preserve">The </w:t>
                      </w:r>
                      <w:r w:rsidR="000C2489">
                        <w:t xml:space="preserve">Standing Committee is </w:t>
                      </w:r>
                      <w:r w:rsidR="00C2411D">
                        <w:rPr>
                          <w:rFonts w:cs="Calibri"/>
                        </w:rPr>
                        <w:t>invited to endorse</w:t>
                      </w:r>
                      <w:r w:rsidR="00B54D17">
                        <w:rPr>
                          <w:rFonts w:cs="Calibri"/>
                        </w:rPr>
                        <w:t xml:space="preserve"> the Ramsar Convention Resource Mobilization </w:t>
                      </w:r>
                      <w:r w:rsidR="00CC63F8">
                        <w:rPr>
                          <w:rFonts w:cs="Calibri"/>
                        </w:rPr>
                        <w:t>Work Plan</w:t>
                      </w:r>
                      <w:r w:rsidR="00B54D17">
                        <w:rPr>
                          <w:rFonts w:cs="Calibri"/>
                        </w:rPr>
                        <w:t>.</w:t>
                      </w:r>
                    </w:p>
                    <w:p w:rsidR="000C2489" w:rsidRDefault="000C2489" w:rsidP="00275F13">
                      <w:pPr>
                        <w:pStyle w:val="ColorfulList-Accent11"/>
                        <w:ind w:left="360"/>
                      </w:pPr>
                    </w:p>
                  </w:txbxContent>
                </v:textbox>
                <w10:anchorlock/>
              </v:shape>
            </w:pict>
          </mc:Fallback>
        </mc:AlternateContent>
      </w:r>
    </w:p>
    <w:p w:rsidR="00EC4519" w:rsidRDefault="00EC4519" w:rsidP="007972E0">
      <w:pPr>
        <w:rPr>
          <w:rFonts w:cs="Arial"/>
          <w:b/>
        </w:rPr>
      </w:pPr>
    </w:p>
    <w:p w:rsidR="007972E0" w:rsidRDefault="007972E0" w:rsidP="007972E0">
      <w:pPr>
        <w:rPr>
          <w:rFonts w:cs="Arial"/>
          <w:b/>
        </w:rPr>
      </w:pPr>
    </w:p>
    <w:p w:rsidR="00EC4519" w:rsidRPr="00EC4519" w:rsidRDefault="00EC4519" w:rsidP="007972E0">
      <w:pPr>
        <w:rPr>
          <w:rFonts w:asciiTheme="minorHAnsi" w:eastAsiaTheme="minorHAnsi" w:hAnsiTheme="minorHAnsi" w:cstheme="minorHAnsi"/>
          <w:b/>
        </w:rPr>
      </w:pPr>
      <w:r w:rsidRPr="00EC4519">
        <w:rPr>
          <w:rFonts w:asciiTheme="minorHAnsi" w:eastAsiaTheme="minorHAnsi" w:hAnsiTheme="minorHAnsi" w:cstheme="minorHAnsi"/>
          <w:b/>
        </w:rPr>
        <w:t>Introduction</w:t>
      </w:r>
    </w:p>
    <w:p w:rsidR="00EC4519" w:rsidRPr="00EC4519" w:rsidRDefault="00EC4519" w:rsidP="007972E0">
      <w:pPr>
        <w:rPr>
          <w:rFonts w:asciiTheme="minorHAnsi" w:eastAsiaTheme="minorHAnsi" w:hAnsiTheme="minorHAnsi" w:cstheme="minorHAnsi"/>
        </w:rPr>
      </w:pPr>
    </w:p>
    <w:p w:rsidR="00EC4519" w:rsidRPr="00EC4519" w:rsidRDefault="006305C5" w:rsidP="007972E0">
      <w:pPr>
        <w:contextualSpacing/>
        <w:rPr>
          <w:rFonts w:asciiTheme="minorHAnsi" w:eastAsiaTheme="minorHAnsi" w:hAnsiTheme="minorHAnsi" w:cstheme="minorHAnsi"/>
        </w:rPr>
      </w:pPr>
      <w:r>
        <w:rPr>
          <w:rFonts w:asciiTheme="minorHAnsi" w:eastAsiaTheme="minorHAnsi" w:hAnsiTheme="minorHAnsi" w:cstheme="minorHAnsi"/>
        </w:rPr>
        <w:t>1.</w:t>
      </w:r>
      <w:r>
        <w:rPr>
          <w:rFonts w:asciiTheme="minorHAnsi" w:eastAsiaTheme="minorHAnsi" w:hAnsiTheme="minorHAnsi" w:cstheme="minorHAnsi"/>
        </w:rPr>
        <w:tab/>
      </w:r>
      <w:r w:rsidR="00EC4519" w:rsidRPr="00EC4519">
        <w:rPr>
          <w:rFonts w:asciiTheme="minorHAnsi" w:eastAsiaTheme="minorHAnsi" w:hAnsiTheme="minorHAnsi" w:cstheme="minorHAnsi"/>
        </w:rPr>
        <w:t xml:space="preserve">The Ramsar 4th Strategic Plan 2016 – 2024 (Resolution XII.2) identifies mobilization of resources at the local, national, regional and global levels as an enabling condition for the implementation of the strategic plan. </w:t>
      </w:r>
    </w:p>
    <w:p w:rsidR="00EC4519" w:rsidRPr="00EC4519" w:rsidRDefault="00EC4519" w:rsidP="007972E0">
      <w:pPr>
        <w:contextualSpacing/>
        <w:rPr>
          <w:rFonts w:asciiTheme="minorHAnsi" w:eastAsiaTheme="minorHAnsi" w:hAnsiTheme="minorHAnsi" w:cstheme="minorHAnsi"/>
        </w:rPr>
      </w:pPr>
    </w:p>
    <w:p w:rsidR="00EC4519" w:rsidRPr="00EC4519" w:rsidRDefault="006305C5" w:rsidP="007972E0">
      <w:r>
        <w:t>2.</w:t>
      </w:r>
      <w:r>
        <w:tab/>
      </w:r>
      <w:r w:rsidR="00EC4519" w:rsidRPr="00EC4519">
        <w:t xml:space="preserve">The Resource Mobilization and Partnership Framework (Resolution XII.7) calls for the Secretariat to prioritize fundraising activities to fund non-core budget activities from all sources, with a view to significantly increasing non-Party contributions. </w:t>
      </w:r>
    </w:p>
    <w:p w:rsidR="00EC4519" w:rsidRPr="00EC4519" w:rsidRDefault="00EC4519" w:rsidP="007972E0"/>
    <w:p w:rsidR="002A02DF" w:rsidRDefault="006305C5" w:rsidP="007972E0">
      <w:r>
        <w:t>3.</w:t>
      </w:r>
      <w:r>
        <w:tab/>
      </w:r>
      <w:r w:rsidR="002A02DF">
        <w:t xml:space="preserve">The Annex to </w:t>
      </w:r>
      <w:r w:rsidR="002A02DF" w:rsidRPr="00EC4519">
        <w:t>Resolution X.12 provides principles for partnership between the Ramsar Convention and the business sector which will be followed when mobilizing resources from the business sector.</w:t>
      </w:r>
    </w:p>
    <w:p w:rsidR="002A02DF" w:rsidRPr="00754B07" w:rsidRDefault="002A02DF" w:rsidP="007972E0"/>
    <w:p w:rsidR="00EC4519" w:rsidRPr="00EC4519" w:rsidRDefault="006305C5" w:rsidP="007972E0">
      <w:r>
        <w:t>4.</w:t>
      </w:r>
      <w:r>
        <w:tab/>
      </w:r>
      <w:r w:rsidR="00EC4519" w:rsidRPr="00EC4519">
        <w:t>Annex 4</w:t>
      </w:r>
      <w:r w:rsidR="0052408D">
        <w:t xml:space="preserve"> to the report of Standing Committee 52</w:t>
      </w:r>
      <w:r w:rsidR="007972E0">
        <w:rPr>
          <w:rStyle w:val="FootnoteReference"/>
          <w:rFonts w:asciiTheme="minorHAnsi" w:eastAsiaTheme="minorHAnsi" w:hAnsiTheme="minorHAnsi" w:cstheme="minorHAnsi"/>
        </w:rPr>
        <w:footnoteReference w:id="1"/>
      </w:r>
      <w:r w:rsidR="0052408D">
        <w:t xml:space="preserve"> includes</w:t>
      </w:r>
      <w:r w:rsidR="00EC4519" w:rsidRPr="00EC4519">
        <w:t xml:space="preserve"> a Resource Mobilization Framework that provides guidance as to how resources should be mobilized within a whole-of-Secretariat approach. Of particu</w:t>
      </w:r>
      <w:r w:rsidR="00C2411D">
        <w:t>lar importance as reflected in D</w:t>
      </w:r>
      <w:r w:rsidR="00EC4519" w:rsidRPr="00EC4519">
        <w:t>ecision SC52</w:t>
      </w:r>
      <w:r w:rsidR="0052408D">
        <w:t>-23</w:t>
      </w:r>
      <w:r w:rsidR="00EC4519" w:rsidRPr="00EC4519">
        <w:t xml:space="preserve">, all members of the Secretariat staff </w:t>
      </w:r>
      <w:r w:rsidR="0052408D">
        <w:t>are to</w:t>
      </w:r>
      <w:r w:rsidR="0052408D" w:rsidRPr="00EC4519">
        <w:t xml:space="preserve"> </w:t>
      </w:r>
      <w:r w:rsidR="00EC4519" w:rsidRPr="00EC4519">
        <w:t>support the efforts for fundraising as a part of their jobs and work together to support efforts in this regard.</w:t>
      </w:r>
    </w:p>
    <w:p w:rsidR="00EC4519" w:rsidRPr="00EC4519" w:rsidRDefault="00EC4519" w:rsidP="007972E0"/>
    <w:p w:rsidR="00EC4519" w:rsidRPr="00EC4519" w:rsidRDefault="006305C5" w:rsidP="007972E0">
      <w:r>
        <w:t>5.</w:t>
      </w:r>
      <w:r>
        <w:tab/>
      </w:r>
      <w:r w:rsidR="002A02DF" w:rsidRPr="00EC4519" w:rsidDel="002A02DF">
        <w:t xml:space="preserve"> </w:t>
      </w:r>
      <w:r w:rsidR="00EC4519" w:rsidRPr="00EC4519">
        <w:t xml:space="preserve">Decision SC52-23 </w:t>
      </w:r>
      <w:r w:rsidR="0052408D">
        <w:t xml:space="preserve">also </w:t>
      </w:r>
      <w:r w:rsidR="00EC4519" w:rsidRPr="00EC4519">
        <w:t xml:space="preserve">requests that the Secretariat develop the Convention’s first full Resource Mobilization </w:t>
      </w:r>
      <w:r w:rsidR="00CC63F8">
        <w:t>Work Plan</w:t>
      </w:r>
      <w:r w:rsidR="00EC4519" w:rsidRPr="00EC4519">
        <w:t xml:space="preserve"> and that this </w:t>
      </w:r>
      <w:r w:rsidR="00CC63F8">
        <w:t>Work Plan</w:t>
      </w:r>
      <w:r w:rsidR="00EC4519" w:rsidRPr="00EC4519">
        <w:t xml:space="preserve"> be adopted</w:t>
      </w:r>
      <w:r w:rsidR="00C2411D">
        <w:t xml:space="preserve"> at a f</w:t>
      </w:r>
      <w:r w:rsidR="00EC4519" w:rsidRPr="00EC4519">
        <w:t xml:space="preserve">uture Standing Committee, SC53 if possible. </w:t>
      </w:r>
    </w:p>
    <w:p w:rsidR="00EC4519" w:rsidRPr="00EC4519" w:rsidRDefault="00EC4519" w:rsidP="007972E0"/>
    <w:p w:rsidR="00EC4519" w:rsidRPr="00EC4519" w:rsidRDefault="006305C5" w:rsidP="007972E0">
      <w:r>
        <w:t>6.</w:t>
      </w:r>
      <w:r>
        <w:tab/>
      </w:r>
      <w:r w:rsidR="00CC63F8">
        <w:t>The</w:t>
      </w:r>
      <w:r w:rsidR="00EC4519" w:rsidRPr="00EC4519">
        <w:t xml:space="preserve"> Resource Mobilization </w:t>
      </w:r>
      <w:r w:rsidR="00CC63F8">
        <w:t>Work Plan</w:t>
      </w:r>
      <w:r w:rsidR="00EC4519" w:rsidRPr="00EC4519">
        <w:t xml:space="preserve"> aims to 1) secure non-core funding for budgeted non-core activities as currently identified in Resolution XII.1 Annex 3, and 2) facilitate resource mobilization at the local, national and regional levels as referenced in Resolution XII.7.</w:t>
      </w:r>
    </w:p>
    <w:p w:rsidR="00EC4519" w:rsidRPr="00EC4519" w:rsidRDefault="00EC4519" w:rsidP="007972E0"/>
    <w:p w:rsidR="00EC4519" w:rsidRPr="00EC4519" w:rsidRDefault="006305C5" w:rsidP="007972E0">
      <w:r>
        <w:t>7.</w:t>
      </w:r>
      <w:r>
        <w:tab/>
      </w:r>
      <w:r w:rsidR="00EC4519" w:rsidRPr="00EC4519">
        <w:t xml:space="preserve">This </w:t>
      </w:r>
      <w:r w:rsidR="00CC63F8">
        <w:t>Work Plan</w:t>
      </w:r>
      <w:r w:rsidR="00EC4519" w:rsidRPr="00EC4519">
        <w:t xml:space="preserve"> seeks to simultaneously achieve the resource mobilization outcomes identified in the current 2016</w:t>
      </w:r>
      <w:r w:rsidR="006E131B">
        <w:t>-</w:t>
      </w:r>
      <w:r w:rsidR="00EC4519" w:rsidRPr="00EC4519">
        <w:t>2018 triennium, as well as to establish the strategic direction, capacity and momentum required for effective resource mobilization in the next triennium. Given t</w:t>
      </w:r>
      <w:r w:rsidR="00CC63F8">
        <w:t>hat raising funds can take</w:t>
      </w:r>
      <w:r w:rsidR="00EC4519" w:rsidRPr="00EC4519">
        <w:t xml:space="preserve"> </w:t>
      </w:r>
      <w:r w:rsidR="006E131B">
        <w:t xml:space="preserve">from 12 to </w:t>
      </w:r>
      <w:r w:rsidR="00EC4519" w:rsidRPr="00EC4519">
        <w:t xml:space="preserve">18 months from an initial approach to securing a gift, much of the work undertaken in 2018 will result in revenue being realized in the next triennium. </w:t>
      </w:r>
    </w:p>
    <w:p w:rsidR="00EC4519" w:rsidRPr="00EC4519" w:rsidRDefault="00EC4519" w:rsidP="007972E0"/>
    <w:p w:rsidR="00EC4519" w:rsidRPr="00EC4519" w:rsidRDefault="006305C5" w:rsidP="007972E0">
      <w:r>
        <w:t>8.</w:t>
      </w:r>
      <w:r>
        <w:tab/>
      </w:r>
      <w:r w:rsidR="00EB68CB">
        <w:t>Annex 1</w:t>
      </w:r>
      <w:r w:rsidR="00EC4519" w:rsidRPr="00EC4519">
        <w:t xml:space="preserve"> of this </w:t>
      </w:r>
      <w:r w:rsidR="00CC63F8">
        <w:t>Work Plan</w:t>
      </w:r>
      <w:r w:rsidR="00EC4519" w:rsidRPr="00EC4519">
        <w:t xml:space="preserve"> maps resource mobilization activities across 2018, as well as </w:t>
      </w:r>
      <w:r w:rsidR="00CC63F8">
        <w:t>the next triennium</w:t>
      </w:r>
      <w:r w:rsidR="00EC4519" w:rsidRPr="00EC4519">
        <w:t xml:space="preserve">. This </w:t>
      </w:r>
      <w:r w:rsidR="00AC07F6">
        <w:t xml:space="preserve">slightly longer, </w:t>
      </w:r>
      <w:r w:rsidR="00EC4519" w:rsidRPr="00EC4519">
        <w:t xml:space="preserve">four-year </w:t>
      </w:r>
      <w:r w:rsidR="002A02DF">
        <w:t>outlook</w:t>
      </w:r>
      <w:r w:rsidR="00EC4519" w:rsidRPr="00EC4519">
        <w:t xml:space="preserve"> will enable the Secretariat to undertake work and outreach during 2018 that will realize results both in 2018 and importantly, in the next triennium. It is acknowledged that adjustments will need to be made to this </w:t>
      </w:r>
      <w:r w:rsidR="00CC63F8">
        <w:t>Work Plan</w:t>
      </w:r>
      <w:r w:rsidR="006E131B">
        <w:t xml:space="preserve"> for the years 2019-</w:t>
      </w:r>
      <w:r w:rsidR="00EC4519" w:rsidRPr="00EC4519">
        <w:t>2021 based on the guidance and direction provided by the Parties at C</w:t>
      </w:r>
      <w:r w:rsidR="00CC63F8">
        <w:t>OP</w:t>
      </w:r>
      <w:r w:rsidR="00EC4519" w:rsidRPr="00EC4519">
        <w:t>13.</w:t>
      </w:r>
    </w:p>
    <w:p w:rsidR="00EC4519" w:rsidRPr="00EC4519" w:rsidRDefault="00EC4519" w:rsidP="006305C5">
      <w:pPr>
        <w:contextualSpacing/>
        <w:rPr>
          <w:rFonts w:asciiTheme="minorHAnsi" w:eastAsiaTheme="minorHAnsi" w:hAnsiTheme="minorHAnsi" w:cstheme="minorHAnsi"/>
        </w:rPr>
      </w:pPr>
    </w:p>
    <w:p w:rsidR="00EC4519" w:rsidRPr="00EC4519" w:rsidRDefault="00EC4519" w:rsidP="007972E0">
      <w:pPr>
        <w:rPr>
          <w:rFonts w:asciiTheme="minorHAnsi" w:eastAsiaTheme="minorHAnsi" w:hAnsiTheme="minorHAnsi" w:cstheme="minorHAnsi"/>
          <w:b/>
        </w:rPr>
      </w:pPr>
      <w:r w:rsidRPr="00EC4519">
        <w:rPr>
          <w:rFonts w:asciiTheme="minorHAnsi" w:eastAsiaTheme="minorHAnsi" w:hAnsiTheme="minorHAnsi" w:cstheme="minorHAnsi"/>
          <w:b/>
        </w:rPr>
        <w:t xml:space="preserve">Objectives of the </w:t>
      </w:r>
      <w:r w:rsidR="00CC63F8">
        <w:rPr>
          <w:rFonts w:asciiTheme="minorHAnsi" w:eastAsiaTheme="minorHAnsi" w:hAnsiTheme="minorHAnsi" w:cstheme="minorHAnsi"/>
          <w:b/>
        </w:rPr>
        <w:t>Work Plan</w:t>
      </w:r>
    </w:p>
    <w:p w:rsidR="00EC4519" w:rsidRPr="00EC4519" w:rsidRDefault="00EC4519" w:rsidP="007972E0">
      <w:pPr>
        <w:rPr>
          <w:rFonts w:asciiTheme="minorHAnsi" w:eastAsiaTheme="minorHAnsi" w:hAnsiTheme="minorHAnsi" w:cstheme="minorHAnsi"/>
        </w:rPr>
      </w:pPr>
    </w:p>
    <w:p w:rsidR="00EC4519" w:rsidRPr="00553FC9" w:rsidRDefault="006305C5" w:rsidP="007972E0">
      <w:r>
        <w:t>9.</w:t>
      </w:r>
      <w:r>
        <w:tab/>
      </w:r>
      <w:r w:rsidR="00EC4519" w:rsidRPr="00553FC9">
        <w:t xml:space="preserve">This </w:t>
      </w:r>
      <w:r w:rsidR="00CC63F8">
        <w:t>Work Plan</w:t>
      </w:r>
      <w:r w:rsidR="00EC4519" w:rsidRPr="00553FC9">
        <w:t xml:space="preserve"> has two overarching objectives</w:t>
      </w:r>
      <w:r w:rsidR="00AC07F6">
        <w:t>:</w:t>
      </w:r>
      <w:r w:rsidR="00EC4519" w:rsidRPr="00553FC9">
        <w:t xml:space="preserve"> 1) securing non-core funding for activities within the Secretariat’s current non-core budget (Resolution XII.1 Ann</w:t>
      </w:r>
      <w:r w:rsidR="00CC63F8">
        <w:t>ex 3) through outreach to multi</w:t>
      </w:r>
      <w:r w:rsidR="00EC4519" w:rsidRPr="00553FC9">
        <w:t>lateral funds, the private sector, and Contracting Parties, and 2) facilitate resource mobilization for Contracting Parties at the national and regional levels through the identification of funding sources and the provision of resource mobilization guidance (Resolution XII.7).</w:t>
      </w:r>
    </w:p>
    <w:p w:rsidR="00EC4519" w:rsidRPr="00EC4519" w:rsidRDefault="00EC4519" w:rsidP="007972E0"/>
    <w:p w:rsidR="00EC4519" w:rsidRPr="00EC4519" w:rsidRDefault="006305C5" w:rsidP="007972E0">
      <w:r>
        <w:t>10.</w:t>
      </w:r>
      <w:r>
        <w:tab/>
      </w:r>
      <w:r w:rsidR="00EC4519" w:rsidRPr="00EC4519">
        <w:t xml:space="preserve">This </w:t>
      </w:r>
      <w:r w:rsidR="00CC63F8">
        <w:t>Work Plan</w:t>
      </w:r>
      <w:r w:rsidR="00EC4519" w:rsidRPr="00EC4519">
        <w:t xml:space="preserve"> is not intended to mobilize resources for p</w:t>
      </w:r>
      <w:r w:rsidR="00CC63F8">
        <w:t>rojects. Given that most donors</w:t>
      </w:r>
      <w:r w:rsidR="00EC4519" w:rsidRPr="00EC4519">
        <w:t xml:space="preserve"> seek to fund projects, the funding available for budgeted non-core activity areas is </w:t>
      </w:r>
      <w:r w:rsidR="00AC07F6">
        <w:t xml:space="preserve">likely </w:t>
      </w:r>
      <w:r w:rsidR="00EC4519" w:rsidRPr="00EC4519">
        <w:t xml:space="preserve">limited. This </w:t>
      </w:r>
      <w:r w:rsidR="00CC63F8">
        <w:t>Work Plan</w:t>
      </w:r>
      <w:r w:rsidR="00EC4519" w:rsidRPr="00EC4519">
        <w:t xml:space="preserve"> acknowledges this constraint and seeks to prioritize those activities and funding channels that represent the greatest potential for non-core funding.</w:t>
      </w:r>
    </w:p>
    <w:p w:rsidR="00EC4519" w:rsidRPr="00EC4519" w:rsidRDefault="00EC4519" w:rsidP="007972E0"/>
    <w:p w:rsidR="00EC4519" w:rsidRPr="00EC4519" w:rsidRDefault="006305C5" w:rsidP="007972E0">
      <w:r>
        <w:t>11.</w:t>
      </w:r>
      <w:r>
        <w:tab/>
      </w:r>
      <w:r w:rsidR="00EC4519" w:rsidRPr="00EC4519">
        <w:t xml:space="preserve">The number and diversity of non-core funding priorities put forth in Resolution XII.1 Annex 3 are ambitious. This </w:t>
      </w:r>
      <w:r w:rsidR="00CC63F8">
        <w:t>Work Plan proposes an</w:t>
      </w:r>
      <w:r w:rsidR="00EC4519" w:rsidRPr="00EC4519">
        <w:t xml:space="preserve"> ap</w:t>
      </w:r>
      <w:r w:rsidR="00CC63F8">
        <w:t>proach of focusing on a select</w:t>
      </w:r>
      <w:r w:rsidR="00EC4519" w:rsidRPr="00EC4519">
        <w:t xml:space="preserve"> number of funding needs in year 1 and as funding is secured and capacities increased, pursuing additional funding needs in</w:t>
      </w:r>
      <w:r w:rsidR="00CC63F8">
        <w:t xml:space="preserve"> years two and three </w:t>
      </w:r>
      <w:r w:rsidR="00EC4519" w:rsidRPr="00EC4519">
        <w:t xml:space="preserve">of the plan. </w:t>
      </w:r>
    </w:p>
    <w:p w:rsidR="00EC4519" w:rsidRPr="00EC4519" w:rsidRDefault="00EC4519" w:rsidP="007972E0"/>
    <w:p w:rsidR="00EC4519" w:rsidRPr="00EC4519" w:rsidRDefault="006305C5" w:rsidP="007972E0">
      <w:r>
        <w:t>12.</w:t>
      </w:r>
      <w:r>
        <w:tab/>
      </w:r>
      <w:r w:rsidR="00EC4519" w:rsidRPr="00EC4519">
        <w:t xml:space="preserve">This plan has been designed with flexibility that will allow changes to the non-core funding priorities </w:t>
      </w:r>
      <w:r w:rsidR="00197D3C">
        <w:t>in anticipation that a</w:t>
      </w:r>
      <w:r w:rsidR="00EC4519" w:rsidRPr="00EC4519">
        <w:t xml:space="preserve">djustments </w:t>
      </w:r>
      <w:r w:rsidR="00197D3C">
        <w:t xml:space="preserve">may be needed to address Parties’ future </w:t>
      </w:r>
      <w:r w:rsidR="00EC4519" w:rsidRPr="00EC4519">
        <w:t>prioritization</w:t>
      </w:r>
      <w:r w:rsidR="00197D3C">
        <w:t>, as</w:t>
      </w:r>
      <w:r w:rsidR="00EC4519" w:rsidRPr="00EC4519">
        <w:t xml:space="preserve"> determined by </w:t>
      </w:r>
      <w:r w:rsidR="00197D3C">
        <w:t xml:space="preserve">COP resolutions and/or Standing Committee </w:t>
      </w:r>
      <w:r w:rsidR="00EC4519" w:rsidRPr="00EC4519">
        <w:t xml:space="preserve">decisions. </w:t>
      </w:r>
    </w:p>
    <w:p w:rsidR="00EC4519" w:rsidRPr="00EC4519" w:rsidRDefault="00EC4519" w:rsidP="006305C5">
      <w:pPr>
        <w:contextualSpacing/>
        <w:rPr>
          <w:rFonts w:asciiTheme="minorHAnsi" w:eastAsiaTheme="minorHAnsi" w:hAnsiTheme="minorHAnsi" w:cstheme="minorHAnsi"/>
        </w:rPr>
      </w:pPr>
    </w:p>
    <w:p w:rsidR="00EC4519" w:rsidRPr="00EC4519" w:rsidRDefault="00EC4519" w:rsidP="007972E0">
      <w:pPr>
        <w:rPr>
          <w:rFonts w:asciiTheme="minorHAnsi" w:eastAsiaTheme="minorHAnsi" w:hAnsiTheme="minorHAnsi" w:cstheme="minorHAnsi"/>
          <w:b/>
        </w:rPr>
      </w:pPr>
      <w:r w:rsidRPr="00EC4519">
        <w:rPr>
          <w:rFonts w:asciiTheme="minorHAnsi" w:eastAsiaTheme="minorHAnsi" w:hAnsiTheme="minorHAnsi" w:cstheme="minorHAnsi"/>
          <w:b/>
        </w:rPr>
        <w:t>Securing Non-Core Funding (Strategic Aim #1)</w:t>
      </w:r>
    </w:p>
    <w:p w:rsidR="00EC4519" w:rsidRPr="00EC4519" w:rsidRDefault="00EC4519" w:rsidP="007972E0">
      <w:pPr>
        <w:rPr>
          <w:rFonts w:asciiTheme="minorHAnsi" w:eastAsiaTheme="minorHAnsi" w:hAnsiTheme="minorHAnsi" w:cstheme="minorHAnsi"/>
        </w:rPr>
      </w:pPr>
    </w:p>
    <w:p w:rsidR="00EC4519" w:rsidRPr="00EC4519" w:rsidRDefault="006305C5" w:rsidP="007972E0">
      <w:r>
        <w:t>13.</w:t>
      </w:r>
      <w:r>
        <w:tab/>
      </w:r>
      <w:r w:rsidR="00CC63F8">
        <w:t>Three categories of potential donors</w:t>
      </w:r>
      <w:r w:rsidR="00EC4519" w:rsidRPr="00EC4519">
        <w:t xml:space="preserve"> represent the greatest potential for securing non-core funding</w:t>
      </w:r>
      <w:r w:rsidR="004B4D26">
        <w:t>:</w:t>
      </w:r>
      <w:r w:rsidR="004B4D26" w:rsidRPr="00EC4519">
        <w:t xml:space="preserve"> </w:t>
      </w:r>
      <w:r w:rsidR="00CC63F8">
        <w:t>multi</w:t>
      </w:r>
      <w:r w:rsidR="00EC4519" w:rsidRPr="00EC4519">
        <w:t xml:space="preserve">lateral funds, the private sector and Contracting Parties. All three of these categories have a strong bias towards funding </w:t>
      </w:r>
      <w:r w:rsidR="004B4D26">
        <w:t xml:space="preserve">specific </w:t>
      </w:r>
      <w:r w:rsidR="00EC4519" w:rsidRPr="00EC4519">
        <w:t>projects rather than providing support for budgeted non-core activity areas</w:t>
      </w:r>
      <w:r w:rsidR="004B4D26">
        <w:t>, which are typically a bit broader in scope</w:t>
      </w:r>
      <w:r w:rsidR="00CC63F8">
        <w:t xml:space="preserve">. Given this, the following </w:t>
      </w:r>
      <w:r w:rsidR="00EC4519" w:rsidRPr="00EC4519">
        <w:t>acti</w:t>
      </w:r>
      <w:r w:rsidR="00CC63F8">
        <w:t>vities have been identified to</w:t>
      </w:r>
      <w:r w:rsidR="00EC4519" w:rsidRPr="00EC4519">
        <w:t xml:space="preserve"> support the mobilization of non-core funding.</w:t>
      </w:r>
    </w:p>
    <w:p w:rsidR="00EC4519" w:rsidRPr="00EC4519" w:rsidRDefault="00EC4519" w:rsidP="007972E0">
      <w:pPr>
        <w:rPr>
          <w:rFonts w:asciiTheme="minorHAnsi" w:eastAsiaTheme="minorHAnsi" w:hAnsiTheme="minorHAnsi" w:cstheme="minorHAnsi"/>
        </w:rPr>
      </w:pPr>
    </w:p>
    <w:p w:rsidR="00EC4519" w:rsidRDefault="006305C5" w:rsidP="006305C5">
      <w:pPr>
        <w:ind w:left="850"/>
      </w:pPr>
      <w:r>
        <w:t>a.</w:t>
      </w:r>
      <w:r>
        <w:tab/>
      </w:r>
      <w:r w:rsidR="00EC4519" w:rsidRPr="00EC4519">
        <w:t>Develop funding proposals for selected non-core budgeted activities</w:t>
      </w:r>
      <w:r w:rsidR="00CC63F8">
        <w:t>;</w:t>
      </w:r>
    </w:p>
    <w:p w:rsidR="006305C5" w:rsidRPr="00EC4519" w:rsidRDefault="006305C5" w:rsidP="006305C5"/>
    <w:p w:rsidR="00EC4519" w:rsidRDefault="006305C5" w:rsidP="006305C5">
      <w:pPr>
        <w:ind w:left="850"/>
      </w:pPr>
      <w:r>
        <w:t>b.</w:t>
      </w:r>
      <w:r>
        <w:tab/>
      </w:r>
      <w:r w:rsidR="00EC4519" w:rsidRPr="00EC4519">
        <w:t>Identify entities interested in funding wetland conserv</w:t>
      </w:r>
      <w:r w:rsidR="00CC63F8">
        <w:t>ation and related activities which</w:t>
      </w:r>
      <w:r w:rsidR="00EC4519" w:rsidRPr="00EC4519">
        <w:t xml:space="preserve"> have funding of administration and overhead within their funding scope</w:t>
      </w:r>
      <w:r w:rsidR="00CC63F8">
        <w:t>;</w:t>
      </w:r>
    </w:p>
    <w:p w:rsidR="006305C5" w:rsidRPr="00EC4519" w:rsidRDefault="006305C5" w:rsidP="006305C5"/>
    <w:p w:rsidR="00EC4519" w:rsidRDefault="006305C5" w:rsidP="006305C5">
      <w:pPr>
        <w:ind w:left="850"/>
      </w:pPr>
      <w:r>
        <w:t>c.</w:t>
      </w:r>
      <w:r>
        <w:tab/>
      </w:r>
      <w:r w:rsidR="00CC63F8">
        <w:t>Proactively approach no fewer</w:t>
      </w:r>
      <w:r w:rsidR="00EC4519" w:rsidRPr="00EC4519">
        <w:t xml:space="preserve"> than </w:t>
      </w:r>
      <w:r w:rsidR="006E131B">
        <w:t>ten</w:t>
      </w:r>
      <w:r w:rsidR="007972E0" w:rsidRPr="007972E0">
        <w:t xml:space="preserve"> potential funders each quarter</w:t>
      </w:r>
      <w:r w:rsidR="00EC4519" w:rsidRPr="00EC4519">
        <w:t xml:space="preserve"> with funding proposals</w:t>
      </w:r>
      <w:r w:rsidR="00CC63F8">
        <w:t>; and</w:t>
      </w:r>
    </w:p>
    <w:p w:rsidR="006305C5" w:rsidRPr="00EC4519" w:rsidRDefault="006305C5" w:rsidP="006305C5"/>
    <w:p w:rsidR="00EC4519" w:rsidRPr="00EC4519" w:rsidRDefault="006305C5" w:rsidP="006305C5">
      <w:pPr>
        <w:ind w:left="850"/>
      </w:pPr>
      <w:r>
        <w:t>d.</w:t>
      </w:r>
      <w:r>
        <w:tab/>
      </w:r>
      <w:r w:rsidR="00EC4519" w:rsidRPr="00EC4519">
        <w:t>Access targeted</w:t>
      </w:r>
      <w:r w:rsidR="00CC63F8">
        <w:t xml:space="preserve"> potential</w:t>
      </w:r>
      <w:r w:rsidR="00EC4519" w:rsidRPr="00EC4519">
        <w:t xml:space="preserve"> funders </w:t>
      </w:r>
      <w:r w:rsidR="004B4D26">
        <w:t xml:space="preserve">by leveraging Secretariat </w:t>
      </w:r>
      <w:r w:rsidR="00EC4519" w:rsidRPr="00EC4519">
        <w:t>attendance and participation in strategic fora and events</w:t>
      </w:r>
      <w:r w:rsidR="006E131B">
        <w:t>.</w:t>
      </w:r>
    </w:p>
    <w:p w:rsidR="00EC4519" w:rsidRPr="00EC4519" w:rsidRDefault="00EC4519" w:rsidP="006305C5">
      <w:pPr>
        <w:contextualSpacing/>
        <w:rPr>
          <w:rFonts w:asciiTheme="minorHAnsi" w:eastAsiaTheme="minorHAnsi" w:hAnsiTheme="minorHAnsi" w:cstheme="minorHAnsi"/>
        </w:rPr>
      </w:pPr>
    </w:p>
    <w:p w:rsidR="00EC4519" w:rsidRPr="006305C5" w:rsidRDefault="006305C5" w:rsidP="006305C5">
      <w:r>
        <w:lastRenderedPageBreak/>
        <w:t>14.</w:t>
      </w:r>
      <w:r>
        <w:tab/>
      </w:r>
      <w:r w:rsidR="00EC4519" w:rsidRPr="006305C5">
        <w:t xml:space="preserve">Non-core funding priorities as put forth in Resolution XII.1 Annex 3 that are both time sensitive and most critical to desired outcomes of the Parties have </w:t>
      </w:r>
      <w:r w:rsidR="00E63842" w:rsidRPr="006305C5">
        <w:t>been given the most attention in the near term</w:t>
      </w:r>
      <w:r w:rsidR="00EC4519" w:rsidRPr="006305C5">
        <w:t xml:space="preserve">. This </w:t>
      </w:r>
      <w:r w:rsidR="00E63842" w:rsidRPr="006305C5">
        <w:t xml:space="preserve">approach </w:t>
      </w:r>
      <w:r w:rsidR="00EC4519" w:rsidRPr="006305C5">
        <w:t>is reflected in Annex 1</w:t>
      </w:r>
      <w:r w:rsidR="00F1199E" w:rsidRPr="006305C5">
        <w:t xml:space="preserve"> of this document</w:t>
      </w:r>
      <w:r w:rsidR="00EC4519" w:rsidRPr="006305C5">
        <w:t>.</w:t>
      </w:r>
    </w:p>
    <w:p w:rsidR="00EC4519" w:rsidRPr="00EC4519" w:rsidRDefault="00EC4519" w:rsidP="007972E0">
      <w:pPr>
        <w:rPr>
          <w:rFonts w:asciiTheme="minorHAnsi" w:eastAsiaTheme="minorHAnsi" w:hAnsiTheme="minorHAnsi" w:cstheme="minorHAnsi"/>
          <w:b/>
        </w:rPr>
      </w:pPr>
    </w:p>
    <w:p w:rsidR="00EC4519" w:rsidRPr="00EC4519" w:rsidRDefault="00EC4519" w:rsidP="006305C5">
      <w:pPr>
        <w:ind w:left="0" w:firstLine="0"/>
        <w:rPr>
          <w:rFonts w:asciiTheme="minorHAnsi" w:eastAsiaTheme="minorHAnsi" w:hAnsiTheme="minorHAnsi" w:cstheme="minorHAnsi"/>
          <w:b/>
        </w:rPr>
      </w:pPr>
      <w:r w:rsidRPr="00EC4519">
        <w:rPr>
          <w:rFonts w:asciiTheme="minorHAnsi" w:eastAsiaTheme="minorHAnsi" w:hAnsiTheme="minorHAnsi" w:cstheme="minorHAnsi"/>
          <w:b/>
        </w:rPr>
        <w:t>Facilitate Resource Mobilization for Contracting Parties at the Local, National and Regional Levels (Strategic Aim #2)</w:t>
      </w:r>
    </w:p>
    <w:p w:rsidR="00EC4519" w:rsidRPr="00EC4519" w:rsidRDefault="00EC4519" w:rsidP="007972E0">
      <w:pPr>
        <w:rPr>
          <w:rFonts w:asciiTheme="minorHAnsi" w:eastAsiaTheme="minorHAnsi" w:hAnsiTheme="minorHAnsi" w:cstheme="minorHAnsi"/>
        </w:rPr>
      </w:pPr>
    </w:p>
    <w:p w:rsidR="00EC4519" w:rsidRPr="006305C5" w:rsidRDefault="006305C5" w:rsidP="006305C5">
      <w:r>
        <w:t>15.</w:t>
      </w:r>
      <w:r>
        <w:tab/>
      </w:r>
      <w:r w:rsidR="00EC4519" w:rsidRPr="006305C5">
        <w:t xml:space="preserve">Contracting Parties have expressed a need for </w:t>
      </w:r>
      <w:r w:rsidR="007972E0" w:rsidRPr="006305C5">
        <w:t>support</w:t>
      </w:r>
      <w:r w:rsidR="00EC4519" w:rsidRPr="006305C5">
        <w:t xml:space="preserve"> to mobilize resources at the national and regional levels</w:t>
      </w:r>
      <w:r w:rsidR="00694B11" w:rsidRPr="006305C5">
        <w:t>, in particular through</w:t>
      </w:r>
      <w:r w:rsidR="00EC4519" w:rsidRPr="006305C5">
        <w:t xml:space="preserve"> identification of potential funders of wetland</w:t>
      </w:r>
      <w:r w:rsidR="00CC63F8" w:rsidRPr="006305C5">
        <w:t xml:space="preserve"> conservation, and skills in writing proposals and grant applications. </w:t>
      </w:r>
      <w:r w:rsidR="00EC4519" w:rsidRPr="006305C5">
        <w:t xml:space="preserve">This </w:t>
      </w:r>
      <w:r w:rsidR="00CC63F8" w:rsidRPr="006305C5">
        <w:t>Work Plan</w:t>
      </w:r>
      <w:r w:rsidR="00EC4519" w:rsidRPr="006305C5">
        <w:t xml:space="preserve"> proposes the provision of three services by the Secr</w:t>
      </w:r>
      <w:r w:rsidR="00CC63F8" w:rsidRPr="006305C5">
        <w:t>etariat for Contracting Parties, as follows.</w:t>
      </w:r>
    </w:p>
    <w:p w:rsidR="00EC4519" w:rsidRPr="00EC4519" w:rsidRDefault="00EC4519" w:rsidP="007972E0">
      <w:pPr>
        <w:rPr>
          <w:rFonts w:asciiTheme="minorHAnsi" w:eastAsiaTheme="minorHAnsi" w:hAnsiTheme="minorHAnsi" w:cstheme="minorHAnsi"/>
        </w:rPr>
      </w:pPr>
    </w:p>
    <w:p w:rsidR="00EC4519" w:rsidRPr="00305EA1" w:rsidRDefault="00305EA1" w:rsidP="00305EA1">
      <w:pPr>
        <w:ind w:left="850"/>
      </w:pPr>
      <w:r>
        <w:t>a.</w:t>
      </w:r>
      <w:r>
        <w:tab/>
      </w:r>
      <w:r w:rsidR="00EC4519" w:rsidRPr="00305EA1">
        <w:t>Development of a database of organizations interested in funding conservation of wetlands (and related activities). This database will provide basic information about the funding organi</w:t>
      </w:r>
      <w:r w:rsidR="00CC63F8" w:rsidRPr="00305EA1">
        <w:t xml:space="preserve">zation, their funding interests and </w:t>
      </w:r>
      <w:r w:rsidR="00EC4519" w:rsidRPr="00305EA1">
        <w:t xml:space="preserve">requirements, and guidance on the process for securing funding. </w:t>
      </w:r>
    </w:p>
    <w:p w:rsidR="00305EA1" w:rsidRDefault="00305EA1" w:rsidP="00305EA1">
      <w:pPr>
        <w:ind w:left="850"/>
      </w:pPr>
    </w:p>
    <w:p w:rsidR="00EC4519" w:rsidRPr="00305EA1" w:rsidRDefault="00305EA1" w:rsidP="00305EA1">
      <w:pPr>
        <w:ind w:left="850"/>
      </w:pPr>
      <w:r>
        <w:t>b.</w:t>
      </w:r>
      <w:r>
        <w:tab/>
      </w:r>
      <w:r w:rsidR="00694B11" w:rsidRPr="00305EA1">
        <w:t>Creation of a</w:t>
      </w:r>
      <w:r w:rsidR="00EC4519" w:rsidRPr="00305EA1">
        <w:t xml:space="preserve"> suite of basic resource mobilization tools including sample proposals, a PowerPoint presentation template, and guidance on effective </w:t>
      </w:r>
      <w:r w:rsidR="00CC63F8" w:rsidRPr="00305EA1">
        <w:t xml:space="preserve">writing of proposals and grant applications </w:t>
      </w:r>
      <w:r w:rsidR="00EC4519" w:rsidRPr="00305EA1">
        <w:t>will be made available to all Contracting Parties</w:t>
      </w:r>
      <w:r w:rsidR="00694B11" w:rsidRPr="00305EA1">
        <w:t>.</w:t>
      </w:r>
    </w:p>
    <w:p w:rsidR="00CC63F8" w:rsidRPr="00305EA1" w:rsidRDefault="00CC63F8" w:rsidP="00305EA1">
      <w:pPr>
        <w:ind w:left="850"/>
      </w:pPr>
    </w:p>
    <w:p w:rsidR="00EC4519" w:rsidRPr="00305EA1" w:rsidRDefault="00305EA1" w:rsidP="00305EA1">
      <w:pPr>
        <w:ind w:left="850"/>
      </w:pPr>
      <w:r>
        <w:t>c.</w:t>
      </w:r>
      <w:r>
        <w:tab/>
      </w:r>
      <w:r w:rsidR="00EC4519" w:rsidRPr="00305EA1">
        <w:t xml:space="preserve">Resource mobilization capacity building will be offered to Parties through a variety of channels including a resource mobilization training provided at </w:t>
      </w:r>
      <w:r w:rsidR="007F68AC" w:rsidRPr="00305EA1">
        <w:t xml:space="preserve">regularly scheduled </w:t>
      </w:r>
      <w:r w:rsidR="00652D40" w:rsidRPr="00305EA1">
        <w:t>regional p</w:t>
      </w:r>
      <w:r w:rsidR="00EC4519" w:rsidRPr="00305EA1">
        <w:t xml:space="preserve">re-COP meetings, a resource mobilization webinar, and trainings and guidance provided to regional initiatives. </w:t>
      </w:r>
      <w:r w:rsidR="009F40B7" w:rsidRPr="00305EA1">
        <w:t xml:space="preserve">Consideration will be given to utilizing cost effective training approaches that will minimize costs for both the Secretariat and Parties. </w:t>
      </w:r>
      <w:r w:rsidR="00EC4519" w:rsidRPr="00305EA1">
        <w:t>The capacity building efforts will take a “train the trainer” approach seeking over time to strengthen capacity at the nati</w:t>
      </w:r>
      <w:r w:rsidR="00CC63F8" w:rsidRPr="00305EA1">
        <w:t>onal level via National</w:t>
      </w:r>
      <w:r w:rsidR="00EC4519" w:rsidRPr="00305EA1">
        <w:t xml:space="preserve"> Focal Points</w:t>
      </w:r>
      <w:r w:rsidR="009F40B7" w:rsidRPr="00305EA1">
        <w:t xml:space="preserve">. </w:t>
      </w:r>
    </w:p>
    <w:p w:rsidR="00EC4519" w:rsidRPr="00EC4519" w:rsidRDefault="00EC4519" w:rsidP="007972E0">
      <w:pPr>
        <w:ind w:left="1440"/>
        <w:contextualSpacing/>
        <w:rPr>
          <w:rFonts w:asciiTheme="minorHAnsi" w:eastAsiaTheme="minorHAnsi" w:hAnsiTheme="minorHAnsi" w:cstheme="minorHAnsi"/>
        </w:rPr>
      </w:pPr>
    </w:p>
    <w:p w:rsidR="00EC4519" w:rsidRPr="00305EA1" w:rsidRDefault="00305EA1" w:rsidP="00305EA1">
      <w:r>
        <w:t>16.</w:t>
      </w:r>
      <w:r>
        <w:tab/>
      </w:r>
      <w:r w:rsidR="00EC4519" w:rsidRPr="00305EA1">
        <w:t>The utility and effectiveness of these services to Contracting Parties will be evaluated on an ongoing basis using online survey tools for participants in we</w:t>
      </w:r>
      <w:r w:rsidR="00CC63F8" w:rsidRPr="00305EA1">
        <w:t>binars and training provided at</w:t>
      </w:r>
      <w:r w:rsidR="00A451CF">
        <w:t xml:space="preserve"> p</w:t>
      </w:r>
      <w:r w:rsidR="00EC4519" w:rsidRPr="00305EA1">
        <w:t>re-COP meetings. To determine how national capacity has been strengthened over time, a baseline survey of a sample of national focal points will be conducted in 2018. A follow-up survey will be conducted in 2020.</w:t>
      </w:r>
    </w:p>
    <w:p w:rsidR="00EC4519" w:rsidRPr="00EC4519" w:rsidRDefault="00EC4519" w:rsidP="007972E0">
      <w:pPr>
        <w:rPr>
          <w:rFonts w:asciiTheme="minorHAnsi" w:eastAsiaTheme="minorHAnsi" w:hAnsiTheme="minorHAnsi" w:cstheme="minorHAnsi"/>
        </w:rPr>
      </w:pPr>
    </w:p>
    <w:p w:rsidR="00EC4519" w:rsidRPr="00EC4519" w:rsidRDefault="00CC63F8" w:rsidP="007972E0">
      <w:pPr>
        <w:rPr>
          <w:rFonts w:asciiTheme="minorHAnsi" w:eastAsiaTheme="minorHAnsi" w:hAnsiTheme="minorHAnsi" w:cstheme="minorHAnsi"/>
          <w:b/>
        </w:rPr>
      </w:pPr>
      <w:r>
        <w:rPr>
          <w:rFonts w:asciiTheme="minorHAnsi" w:eastAsiaTheme="minorHAnsi" w:hAnsiTheme="minorHAnsi" w:cstheme="minorHAnsi"/>
          <w:b/>
        </w:rPr>
        <w:t>Implementation &amp; t</w:t>
      </w:r>
      <w:r w:rsidR="00EC4519" w:rsidRPr="00EC4519">
        <w:rPr>
          <w:rFonts w:asciiTheme="minorHAnsi" w:eastAsiaTheme="minorHAnsi" w:hAnsiTheme="minorHAnsi" w:cstheme="minorHAnsi"/>
          <w:b/>
        </w:rPr>
        <w:t>imeline</w:t>
      </w:r>
    </w:p>
    <w:p w:rsidR="00EC4519" w:rsidRPr="00EC4519" w:rsidRDefault="00EC4519" w:rsidP="00305EA1"/>
    <w:p w:rsidR="00EC4519" w:rsidRPr="00EC4519" w:rsidRDefault="00305EA1" w:rsidP="00305EA1">
      <w:r>
        <w:t>17.</w:t>
      </w:r>
      <w:r>
        <w:tab/>
      </w:r>
      <w:r w:rsidR="00EC4519" w:rsidRPr="00EC4519">
        <w:t xml:space="preserve">The actions and deliverables proposed in this </w:t>
      </w:r>
      <w:r w:rsidR="00CC63F8">
        <w:t>Work Plan</w:t>
      </w:r>
      <w:r w:rsidR="00EC4519" w:rsidRPr="00EC4519">
        <w:t xml:space="preserve"> will be implemented in a sequenced manner during 2018 and the next triennium. The</w:t>
      </w:r>
      <w:r w:rsidR="00CC63F8">
        <w:t xml:space="preserve"> planned</w:t>
      </w:r>
      <w:r w:rsidR="00EC4519" w:rsidRPr="00EC4519">
        <w:t xml:space="preserve"> timeline and sequencing for implementation Plan are presented in Annex </w:t>
      </w:r>
      <w:r w:rsidR="00EB68CB">
        <w:t>1</w:t>
      </w:r>
      <w:r w:rsidR="00EC4519" w:rsidRPr="00EC4519">
        <w:t xml:space="preserve">. </w:t>
      </w:r>
    </w:p>
    <w:p w:rsidR="00EC4519" w:rsidRPr="00EC4519" w:rsidRDefault="00EC4519" w:rsidP="00305EA1"/>
    <w:p w:rsidR="00EC4519" w:rsidRDefault="00305EA1" w:rsidP="00305EA1">
      <w:r>
        <w:t>18.</w:t>
      </w:r>
      <w:r>
        <w:tab/>
      </w:r>
      <w:r w:rsidR="00EC4519" w:rsidRPr="00EC4519">
        <w:t xml:space="preserve">It is recommended that all elements of this Resource Mobilization </w:t>
      </w:r>
      <w:r w:rsidR="00CC63F8">
        <w:t>Work Plan</w:t>
      </w:r>
      <w:r w:rsidR="00EC4519" w:rsidRPr="00EC4519">
        <w:t xml:space="preserve"> for 2019 through 202</w:t>
      </w:r>
      <w:r w:rsidR="006846BB">
        <w:t>1 be reflected within the 2019-</w:t>
      </w:r>
      <w:r w:rsidR="00EC4519" w:rsidRPr="00EC4519">
        <w:t xml:space="preserve">2021 Ramsar Secretariat </w:t>
      </w:r>
      <w:r w:rsidR="00CC63F8">
        <w:t>Work Plan</w:t>
      </w:r>
      <w:r w:rsidR="00EC4519" w:rsidRPr="00EC4519">
        <w:t xml:space="preserve"> </w:t>
      </w:r>
      <w:r w:rsidR="00CC63F8">
        <w:t xml:space="preserve">for that triennium </w:t>
      </w:r>
      <w:r w:rsidR="00EC4519" w:rsidRPr="00EC4519">
        <w:t>and</w:t>
      </w:r>
      <w:r w:rsidR="00CC63F8">
        <w:t xml:space="preserve"> that</w:t>
      </w:r>
      <w:r w:rsidR="00EC4519" w:rsidRPr="00EC4519">
        <w:t xml:space="preserve"> the implementation of the resource mobilization activities be reported in and monitored through the upcoming and subsequent Secretariat </w:t>
      </w:r>
      <w:r w:rsidR="00CC63F8">
        <w:t>Work Plan</w:t>
      </w:r>
      <w:r w:rsidR="00EC4519" w:rsidRPr="00EC4519">
        <w:t>s</w:t>
      </w:r>
      <w:r w:rsidR="00694B11">
        <w:t xml:space="preserve"> as a means to further foster a whole-of-Secretariat approach, integration, and accountability</w:t>
      </w:r>
      <w:r w:rsidR="00EC4519" w:rsidRPr="00EC4519">
        <w:t>.</w:t>
      </w:r>
    </w:p>
    <w:p w:rsidR="00EB68CB" w:rsidRDefault="00EB68CB">
      <w:pPr>
        <w:rPr>
          <w:rFonts w:asciiTheme="minorHAnsi" w:eastAsiaTheme="minorHAnsi" w:hAnsiTheme="minorHAnsi" w:cstheme="minorHAnsi"/>
        </w:rPr>
      </w:pPr>
    </w:p>
    <w:p w:rsidR="00EB68CB" w:rsidRDefault="00EB68CB">
      <w:pPr>
        <w:rPr>
          <w:rFonts w:asciiTheme="minorHAnsi" w:eastAsiaTheme="minorHAnsi" w:hAnsiTheme="minorHAnsi" w:cstheme="minorHAnsi"/>
        </w:rPr>
      </w:pPr>
    </w:p>
    <w:p w:rsidR="00EB68CB" w:rsidRDefault="00EB68CB">
      <w:pPr>
        <w:rPr>
          <w:rFonts w:asciiTheme="minorHAnsi" w:eastAsiaTheme="minorHAnsi" w:hAnsiTheme="minorHAnsi" w:cstheme="minorHAnsi"/>
        </w:rPr>
        <w:sectPr w:rsidR="00EB68CB" w:rsidSect="002137E0">
          <w:headerReference w:type="default" r:id="rId9"/>
          <w:footerReference w:type="default" r:id="rId10"/>
          <w:pgSz w:w="11906" w:h="16838"/>
          <w:pgMar w:top="1440" w:right="1440" w:bottom="1440" w:left="1440" w:header="709" w:footer="709" w:gutter="0"/>
          <w:cols w:space="708"/>
          <w:titlePg/>
          <w:docGrid w:linePitch="360"/>
        </w:sectPr>
      </w:pPr>
    </w:p>
    <w:p w:rsidR="009B2CEE" w:rsidRPr="00EB68CB" w:rsidRDefault="00EB68CB" w:rsidP="007972E0">
      <w:pPr>
        <w:contextual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lastRenderedPageBreak/>
        <w:t>Annex 1</w:t>
      </w:r>
    </w:p>
    <w:p w:rsidR="00EB68CB" w:rsidRPr="00EB68CB" w:rsidRDefault="00EB68CB" w:rsidP="007972E0">
      <w:pPr>
        <w:contextualSpacing/>
        <w:rPr>
          <w:rFonts w:asciiTheme="minorHAnsi" w:eastAsiaTheme="minorHAnsi" w:hAnsiTheme="minorHAnsi" w:cstheme="minorHAnsi"/>
          <w:b/>
          <w:sz w:val="24"/>
          <w:szCs w:val="24"/>
        </w:rPr>
      </w:pPr>
    </w:p>
    <w:p w:rsidR="00EB68CB" w:rsidRPr="00EB68CB" w:rsidRDefault="00EB68CB" w:rsidP="007972E0">
      <w:pPr>
        <w:contextualSpacing/>
        <w:rPr>
          <w:rFonts w:asciiTheme="minorHAnsi" w:eastAsiaTheme="minorHAnsi" w:hAnsiTheme="minorHAnsi" w:cstheme="minorHAnsi"/>
          <w:b/>
          <w:sz w:val="24"/>
          <w:szCs w:val="24"/>
        </w:rPr>
      </w:pPr>
      <w:r w:rsidRPr="00EB68CB">
        <w:rPr>
          <w:rFonts w:asciiTheme="minorHAnsi" w:eastAsiaTheme="minorHAnsi" w:hAnsiTheme="minorHAnsi" w:cstheme="minorHAnsi"/>
          <w:b/>
          <w:sz w:val="24"/>
          <w:szCs w:val="24"/>
        </w:rPr>
        <w:t>Work Plan Implementation Timeline</w:t>
      </w:r>
    </w:p>
    <w:p w:rsidR="0022042A" w:rsidRDefault="0022042A" w:rsidP="007972E0">
      <w:pPr>
        <w:contextualSpacing/>
        <w:rPr>
          <w:rFonts w:asciiTheme="minorHAnsi" w:eastAsiaTheme="minorHAnsi" w:hAnsiTheme="minorHAnsi" w:cstheme="minorHAnsi"/>
        </w:rPr>
      </w:pPr>
    </w:p>
    <w:p w:rsidR="00EB68CB" w:rsidRPr="0006198A" w:rsidRDefault="00EB68CB" w:rsidP="007972E0">
      <w:pPr>
        <w:contextualSpacing/>
        <w:rPr>
          <w:rFonts w:asciiTheme="minorHAnsi" w:eastAsiaTheme="minorHAnsi" w:hAnsiTheme="minorHAnsi" w:cstheme="minorHAnsi"/>
        </w:rPr>
      </w:pPr>
      <w:r w:rsidRPr="00EB68CB">
        <w:rPr>
          <w:rFonts w:eastAsia="Times New Roman"/>
          <w:b/>
          <w:bCs/>
          <w:color w:val="000000"/>
          <w:lang w:eastAsia="en-GB"/>
        </w:rPr>
        <w:t>Non-Core Funding</w:t>
      </w:r>
      <w:r w:rsidRPr="00EB68CB">
        <w:rPr>
          <w:rFonts w:eastAsia="Times New Roman"/>
          <w:color w:val="000000"/>
          <w:lang w:eastAsia="en-GB"/>
        </w:rPr>
        <w:t xml:space="preserve"> (Strategic Aim #1)</w:t>
      </w:r>
    </w:p>
    <w:tbl>
      <w:tblPr>
        <w:tblW w:w="14458" w:type="dxa"/>
        <w:tblInd w:w="93" w:type="dxa"/>
        <w:tblCellMar>
          <w:top w:w="28" w:type="dxa"/>
          <w:left w:w="57" w:type="dxa"/>
          <w:bottom w:w="28" w:type="dxa"/>
          <w:right w:w="57" w:type="dxa"/>
        </w:tblCellMar>
        <w:tblLook w:val="04A0" w:firstRow="1" w:lastRow="0" w:firstColumn="1" w:lastColumn="0" w:noHBand="0" w:noVBand="1"/>
      </w:tblPr>
      <w:tblGrid>
        <w:gridCol w:w="2355"/>
        <w:gridCol w:w="2835"/>
        <w:gridCol w:w="763"/>
        <w:gridCol w:w="2835"/>
        <w:gridCol w:w="2835"/>
        <w:gridCol w:w="2835"/>
      </w:tblGrid>
      <w:tr w:rsidR="00EB68CB" w:rsidRPr="0006198A" w:rsidTr="0006198A">
        <w:tc>
          <w:tcPr>
            <w:tcW w:w="2355" w:type="dxa"/>
            <w:tcBorders>
              <w:top w:val="single" w:sz="8" w:space="0" w:color="auto"/>
              <w:left w:val="single" w:sz="8" w:space="0" w:color="auto"/>
              <w:bottom w:val="single" w:sz="4" w:space="0" w:color="auto"/>
              <w:right w:val="single" w:sz="4" w:space="0" w:color="auto"/>
            </w:tcBorders>
            <w:shd w:val="clear" w:color="000000" w:fill="B4C6E7"/>
            <w:noWrap/>
            <w:vAlign w:val="center"/>
            <w:hideMark/>
          </w:tcPr>
          <w:p w:rsidR="00EB68CB" w:rsidRPr="00EB68CB" w:rsidRDefault="00EB68CB" w:rsidP="00E96B1B">
            <w:pPr>
              <w:ind w:left="0" w:firstLine="0"/>
              <w:jc w:val="center"/>
              <w:rPr>
                <w:rFonts w:asciiTheme="minorHAnsi" w:eastAsia="Times New Roman" w:hAnsiTheme="minorHAnsi"/>
                <w:b/>
                <w:bCs/>
                <w:color w:val="000000"/>
                <w:sz w:val="20"/>
                <w:szCs w:val="20"/>
                <w:lang w:eastAsia="en-GB"/>
              </w:rPr>
            </w:pPr>
            <w:r w:rsidRPr="00EB68CB">
              <w:rPr>
                <w:rFonts w:asciiTheme="minorHAnsi" w:eastAsia="Times New Roman" w:hAnsiTheme="minorHAnsi"/>
                <w:b/>
                <w:bCs/>
                <w:color w:val="000000"/>
                <w:sz w:val="20"/>
                <w:szCs w:val="20"/>
                <w:lang w:eastAsia="en-GB"/>
              </w:rPr>
              <w:t>Non-core Budget Items</w:t>
            </w:r>
          </w:p>
        </w:tc>
        <w:tc>
          <w:tcPr>
            <w:tcW w:w="2835" w:type="dxa"/>
            <w:tcBorders>
              <w:top w:val="single" w:sz="8" w:space="0" w:color="auto"/>
              <w:left w:val="nil"/>
              <w:bottom w:val="single" w:sz="4" w:space="0" w:color="auto"/>
              <w:right w:val="nil"/>
            </w:tcBorders>
            <w:shd w:val="clear" w:color="000000" w:fill="B4C6E7"/>
            <w:noWrap/>
            <w:vAlign w:val="center"/>
            <w:hideMark/>
          </w:tcPr>
          <w:p w:rsidR="00EB68CB" w:rsidRPr="00EB68CB" w:rsidRDefault="00EB68CB" w:rsidP="00E96B1B">
            <w:pPr>
              <w:ind w:left="0" w:firstLine="0"/>
              <w:jc w:val="center"/>
              <w:rPr>
                <w:rFonts w:asciiTheme="minorHAnsi" w:eastAsia="Times New Roman" w:hAnsiTheme="minorHAnsi"/>
                <w:color w:val="000000"/>
                <w:sz w:val="20"/>
                <w:szCs w:val="20"/>
                <w:lang w:eastAsia="en-GB"/>
              </w:rPr>
            </w:pPr>
            <w:r w:rsidRPr="00EB68CB">
              <w:rPr>
                <w:rFonts w:asciiTheme="minorHAnsi" w:eastAsia="Times New Roman" w:hAnsiTheme="minorHAnsi"/>
                <w:b/>
                <w:bCs/>
                <w:color w:val="000000"/>
                <w:sz w:val="20"/>
                <w:szCs w:val="20"/>
                <w:lang w:eastAsia="en-GB"/>
              </w:rPr>
              <w:t>2018</w:t>
            </w:r>
          </w:p>
        </w:tc>
        <w:tc>
          <w:tcPr>
            <w:tcW w:w="763" w:type="dxa"/>
            <w:tcBorders>
              <w:top w:val="single" w:sz="8" w:space="0" w:color="auto"/>
              <w:left w:val="single" w:sz="4" w:space="0" w:color="auto"/>
              <w:bottom w:val="single" w:sz="4" w:space="0" w:color="auto"/>
              <w:right w:val="single" w:sz="4" w:space="0" w:color="auto"/>
            </w:tcBorders>
            <w:shd w:val="clear" w:color="000000" w:fill="B4C6E7"/>
            <w:noWrap/>
            <w:vAlign w:val="center"/>
          </w:tcPr>
          <w:p w:rsidR="00EB68CB" w:rsidRPr="00EB68CB" w:rsidRDefault="00EB68CB" w:rsidP="00E96B1B">
            <w:pPr>
              <w:ind w:left="0" w:firstLine="0"/>
              <w:jc w:val="center"/>
              <w:rPr>
                <w:rFonts w:asciiTheme="minorHAnsi" w:eastAsia="Times New Roman" w:hAnsiTheme="minorHAnsi"/>
                <w:b/>
                <w:bCs/>
                <w:color w:val="000000"/>
                <w:sz w:val="20"/>
                <w:szCs w:val="20"/>
                <w:lang w:eastAsia="en-GB"/>
              </w:rPr>
            </w:pPr>
            <w:r w:rsidRPr="00EB68CB">
              <w:rPr>
                <w:rFonts w:asciiTheme="minorHAnsi" w:eastAsia="Times New Roman" w:hAnsiTheme="minorHAnsi"/>
                <w:b/>
                <w:bCs/>
                <w:color w:val="000000"/>
                <w:sz w:val="20"/>
                <w:szCs w:val="20"/>
                <w:lang w:eastAsia="en-GB"/>
              </w:rPr>
              <w:t>CHF</w:t>
            </w:r>
          </w:p>
        </w:tc>
        <w:tc>
          <w:tcPr>
            <w:tcW w:w="2835" w:type="dxa"/>
            <w:tcBorders>
              <w:top w:val="single" w:sz="8" w:space="0" w:color="auto"/>
              <w:left w:val="nil"/>
              <w:bottom w:val="single" w:sz="4" w:space="0" w:color="auto"/>
              <w:right w:val="single" w:sz="4" w:space="0" w:color="auto"/>
            </w:tcBorders>
            <w:shd w:val="clear" w:color="000000" w:fill="B4C6E7"/>
            <w:noWrap/>
            <w:vAlign w:val="center"/>
          </w:tcPr>
          <w:p w:rsidR="00EB68CB" w:rsidRPr="00EB68CB" w:rsidRDefault="00EB68CB" w:rsidP="00E96B1B">
            <w:pPr>
              <w:ind w:left="0" w:firstLine="0"/>
              <w:jc w:val="center"/>
              <w:rPr>
                <w:rFonts w:asciiTheme="minorHAnsi" w:eastAsia="Times New Roman" w:hAnsiTheme="minorHAnsi"/>
                <w:b/>
                <w:bCs/>
                <w:color w:val="000000"/>
                <w:sz w:val="20"/>
                <w:szCs w:val="20"/>
                <w:lang w:eastAsia="en-GB"/>
              </w:rPr>
            </w:pPr>
            <w:r w:rsidRPr="00EB68CB">
              <w:rPr>
                <w:rFonts w:asciiTheme="minorHAnsi" w:eastAsia="Times New Roman" w:hAnsiTheme="minorHAnsi"/>
                <w:b/>
                <w:bCs/>
                <w:color w:val="000000"/>
                <w:sz w:val="20"/>
                <w:szCs w:val="20"/>
                <w:lang w:eastAsia="en-GB"/>
              </w:rPr>
              <w:t>2019</w:t>
            </w:r>
          </w:p>
        </w:tc>
        <w:tc>
          <w:tcPr>
            <w:tcW w:w="2835" w:type="dxa"/>
            <w:tcBorders>
              <w:top w:val="single" w:sz="8" w:space="0" w:color="auto"/>
              <w:left w:val="nil"/>
              <w:bottom w:val="single" w:sz="4" w:space="0" w:color="auto"/>
              <w:right w:val="single" w:sz="4" w:space="0" w:color="auto"/>
            </w:tcBorders>
            <w:shd w:val="clear" w:color="auto" w:fill="B4C6E7"/>
            <w:noWrap/>
            <w:vAlign w:val="center"/>
            <w:hideMark/>
          </w:tcPr>
          <w:p w:rsidR="00EB68CB" w:rsidRPr="00EB68CB" w:rsidRDefault="00EB68CB" w:rsidP="00E96B1B">
            <w:pPr>
              <w:ind w:left="0" w:firstLine="0"/>
              <w:jc w:val="center"/>
              <w:rPr>
                <w:rFonts w:asciiTheme="minorHAnsi" w:eastAsia="Times New Roman" w:hAnsiTheme="minorHAnsi"/>
                <w:b/>
                <w:bCs/>
                <w:color w:val="000000"/>
                <w:sz w:val="20"/>
                <w:szCs w:val="20"/>
                <w:lang w:eastAsia="en-GB"/>
              </w:rPr>
            </w:pPr>
            <w:r w:rsidRPr="00EB68CB">
              <w:rPr>
                <w:rFonts w:asciiTheme="minorHAnsi" w:eastAsia="Times New Roman" w:hAnsiTheme="minorHAnsi"/>
                <w:b/>
                <w:bCs/>
                <w:color w:val="000000"/>
                <w:sz w:val="20"/>
                <w:szCs w:val="20"/>
                <w:lang w:eastAsia="en-GB"/>
              </w:rPr>
              <w:t>2020</w:t>
            </w:r>
          </w:p>
        </w:tc>
        <w:tc>
          <w:tcPr>
            <w:tcW w:w="2835" w:type="dxa"/>
            <w:tcBorders>
              <w:top w:val="single" w:sz="4" w:space="0" w:color="auto"/>
              <w:left w:val="single" w:sz="4" w:space="0" w:color="auto"/>
              <w:bottom w:val="single" w:sz="4" w:space="0" w:color="auto"/>
              <w:right w:val="single" w:sz="4" w:space="0" w:color="auto"/>
            </w:tcBorders>
            <w:shd w:val="clear" w:color="auto" w:fill="B4C6E7"/>
            <w:vAlign w:val="center"/>
          </w:tcPr>
          <w:p w:rsidR="00EB68CB" w:rsidRPr="00EB68CB" w:rsidRDefault="00EB68CB" w:rsidP="00E96B1B">
            <w:pPr>
              <w:ind w:left="0" w:firstLine="0"/>
              <w:jc w:val="center"/>
              <w:rPr>
                <w:rFonts w:asciiTheme="minorHAnsi" w:eastAsia="Times New Roman" w:hAnsiTheme="minorHAnsi"/>
                <w:b/>
                <w:bCs/>
                <w:color w:val="000000"/>
                <w:sz w:val="20"/>
                <w:szCs w:val="20"/>
                <w:lang w:eastAsia="en-GB"/>
              </w:rPr>
            </w:pPr>
            <w:r w:rsidRPr="00EB68CB">
              <w:rPr>
                <w:rFonts w:asciiTheme="minorHAnsi" w:eastAsia="Times New Roman" w:hAnsiTheme="minorHAnsi"/>
                <w:b/>
                <w:bCs/>
                <w:color w:val="000000"/>
                <w:sz w:val="20"/>
                <w:szCs w:val="20"/>
                <w:lang w:eastAsia="en-GB"/>
              </w:rPr>
              <w:t>2021</w:t>
            </w:r>
          </w:p>
        </w:tc>
      </w:tr>
      <w:tr w:rsidR="00EB68CB" w:rsidRPr="0006198A" w:rsidTr="0006198A">
        <w:tc>
          <w:tcPr>
            <w:tcW w:w="2355" w:type="dxa"/>
            <w:vMerge w:val="restart"/>
            <w:tcBorders>
              <w:top w:val="nil"/>
              <w:left w:val="single" w:sz="8" w:space="0" w:color="auto"/>
              <w:right w:val="single"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1</w:t>
            </w:r>
            <w:r w:rsidRPr="0006198A">
              <w:rPr>
                <w:rFonts w:asciiTheme="minorHAnsi" w:eastAsia="Times New Roman" w:hAnsiTheme="minorHAnsi"/>
                <w:color w:val="000000"/>
                <w:sz w:val="20"/>
                <w:szCs w:val="20"/>
                <w:lang w:eastAsia="en-GB"/>
              </w:rPr>
              <w:t xml:space="preserve"> </w:t>
            </w:r>
            <w:r w:rsidRPr="00EB68CB">
              <w:rPr>
                <w:rFonts w:asciiTheme="minorHAnsi" w:eastAsia="Times New Roman" w:hAnsiTheme="minorHAnsi"/>
                <w:color w:val="000000"/>
                <w:sz w:val="20"/>
                <w:szCs w:val="20"/>
                <w:lang w:eastAsia="en-GB"/>
              </w:rPr>
              <w:t>RAMs</w:t>
            </w:r>
          </w:p>
        </w:tc>
        <w:tc>
          <w:tcPr>
            <w:tcW w:w="2835" w:type="dxa"/>
            <w:tcBorders>
              <w:top w:val="nil"/>
              <w:left w:val="single" w:sz="4" w:space="0" w:color="auto"/>
              <w:bottom w:val="nil"/>
              <w:right w:val="dotted"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Identify Missions</w:t>
            </w:r>
          </w:p>
        </w:tc>
        <w:tc>
          <w:tcPr>
            <w:tcW w:w="763" w:type="dxa"/>
            <w:tcBorders>
              <w:top w:val="nil"/>
              <w:left w:val="nil"/>
              <w:bottom w:val="nil"/>
              <w:right w:val="single" w:sz="4" w:space="0" w:color="auto"/>
            </w:tcBorders>
            <w:shd w:val="clear" w:color="auto" w:fill="auto"/>
            <w:noWrap/>
            <w:vAlign w:val="center"/>
            <w:hideMark/>
          </w:tcPr>
          <w:p w:rsidR="00EB68CB" w:rsidRPr="00EB68CB" w:rsidRDefault="00EB68CB" w:rsidP="0006198A">
            <w:pPr>
              <w:ind w:left="0" w:firstLine="0"/>
              <w:jc w:val="right"/>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200k</w:t>
            </w:r>
          </w:p>
        </w:tc>
        <w:tc>
          <w:tcPr>
            <w:tcW w:w="2835" w:type="dxa"/>
            <w:tcBorders>
              <w:top w:val="nil"/>
              <w:left w:val="nil"/>
              <w:bottom w:val="nil"/>
              <w:right w:val="single"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Develop 2019 Mission List</w:t>
            </w:r>
          </w:p>
        </w:tc>
        <w:tc>
          <w:tcPr>
            <w:tcW w:w="2835" w:type="dxa"/>
            <w:tcBorders>
              <w:top w:val="nil"/>
              <w:left w:val="nil"/>
              <w:bottom w:val="nil"/>
              <w:right w:val="nil"/>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Develop 2020 Mission List</w:t>
            </w:r>
          </w:p>
        </w:tc>
        <w:tc>
          <w:tcPr>
            <w:tcW w:w="2835" w:type="dxa"/>
            <w:tcBorders>
              <w:top w:val="single" w:sz="4" w:space="0" w:color="auto"/>
              <w:left w:val="single" w:sz="4" w:space="0" w:color="auto"/>
              <w:bottom w:val="nil"/>
              <w:right w:val="single" w:sz="8"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Develop 2021 Mission List</w:t>
            </w:r>
          </w:p>
        </w:tc>
      </w:tr>
      <w:tr w:rsidR="00EB68CB" w:rsidRPr="0006198A" w:rsidTr="0006198A">
        <w:tc>
          <w:tcPr>
            <w:tcW w:w="2355" w:type="dxa"/>
            <w:vMerge/>
            <w:tcBorders>
              <w:left w:val="single" w:sz="8" w:space="0" w:color="auto"/>
              <w:right w:val="single" w:sz="4" w:space="0" w:color="auto"/>
            </w:tcBorders>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p>
        </w:tc>
        <w:tc>
          <w:tcPr>
            <w:tcW w:w="2835" w:type="dxa"/>
            <w:tcBorders>
              <w:top w:val="nil"/>
              <w:left w:val="single" w:sz="4" w:space="0" w:color="auto"/>
              <w:bottom w:val="nil"/>
              <w:right w:val="dashed"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Develop Funding Proposal</w:t>
            </w:r>
          </w:p>
        </w:tc>
        <w:tc>
          <w:tcPr>
            <w:tcW w:w="763" w:type="dxa"/>
            <w:tcBorders>
              <w:top w:val="nil"/>
              <w:left w:val="nil"/>
              <w:bottom w:val="nil"/>
              <w:right w:val="nil"/>
            </w:tcBorders>
            <w:shd w:val="clear" w:color="auto" w:fill="auto"/>
            <w:noWrap/>
            <w:vAlign w:val="center"/>
            <w:hideMark/>
          </w:tcPr>
          <w:p w:rsidR="00EB68CB" w:rsidRPr="00EB68CB" w:rsidRDefault="00EB68CB" w:rsidP="0006198A">
            <w:pPr>
              <w:ind w:left="0" w:firstLine="0"/>
              <w:jc w:val="right"/>
              <w:rPr>
                <w:rFonts w:asciiTheme="minorHAnsi" w:eastAsia="Times New Roman" w:hAnsiTheme="minorHAnsi"/>
                <w:color w:val="000000"/>
                <w:sz w:val="20"/>
                <w:szCs w:val="20"/>
                <w:lang w:eastAsia="en-GB"/>
              </w:rPr>
            </w:pPr>
          </w:p>
        </w:tc>
        <w:tc>
          <w:tcPr>
            <w:tcW w:w="2835" w:type="dxa"/>
            <w:tcBorders>
              <w:top w:val="nil"/>
              <w:left w:val="single" w:sz="4" w:space="0" w:color="auto"/>
              <w:bottom w:val="nil"/>
              <w:right w:val="single"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nil"/>
              <w:bottom w:val="nil"/>
              <w:right w:val="single"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nil"/>
              <w:bottom w:val="nil"/>
              <w:right w:val="single" w:sz="8"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r>
      <w:tr w:rsidR="00EB68CB" w:rsidRPr="0006198A" w:rsidTr="0006198A">
        <w:tc>
          <w:tcPr>
            <w:tcW w:w="2355" w:type="dxa"/>
            <w:vMerge/>
            <w:tcBorders>
              <w:left w:val="single" w:sz="8" w:space="0" w:color="auto"/>
              <w:right w:val="single" w:sz="4" w:space="0" w:color="auto"/>
            </w:tcBorders>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p>
        </w:tc>
        <w:tc>
          <w:tcPr>
            <w:tcW w:w="2835" w:type="dxa"/>
            <w:tcBorders>
              <w:top w:val="nil"/>
              <w:left w:val="single" w:sz="4" w:space="0" w:color="auto"/>
              <w:bottom w:val="nil"/>
              <w:right w:val="dashed"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Identify Potential Funders</w:t>
            </w:r>
          </w:p>
        </w:tc>
        <w:tc>
          <w:tcPr>
            <w:tcW w:w="763" w:type="dxa"/>
            <w:tcBorders>
              <w:top w:val="nil"/>
              <w:left w:val="nil"/>
              <w:bottom w:val="nil"/>
              <w:right w:val="nil"/>
            </w:tcBorders>
            <w:shd w:val="clear" w:color="auto" w:fill="auto"/>
            <w:noWrap/>
            <w:vAlign w:val="center"/>
            <w:hideMark/>
          </w:tcPr>
          <w:p w:rsidR="00EB68CB" w:rsidRPr="00EB68CB" w:rsidRDefault="00EB68CB" w:rsidP="0006198A">
            <w:pPr>
              <w:ind w:left="0" w:firstLine="0"/>
              <w:jc w:val="right"/>
              <w:rPr>
                <w:rFonts w:asciiTheme="minorHAnsi" w:eastAsia="Times New Roman" w:hAnsiTheme="minorHAnsi"/>
                <w:color w:val="000000"/>
                <w:sz w:val="20"/>
                <w:szCs w:val="20"/>
                <w:lang w:eastAsia="en-GB"/>
              </w:rPr>
            </w:pPr>
          </w:p>
        </w:tc>
        <w:tc>
          <w:tcPr>
            <w:tcW w:w="2835" w:type="dxa"/>
            <w:tcBorders>
              <w:top w:val="nil"/>
              <w:left w:val="single" w:sz="4" w:space="0" w:color="auto"/>
              <w:bottom w:val="nil"/>
              <w:right w:val="single"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nil"/>
              <w:bottom w:val="nil"/>
              <w:right w:val="single"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nil"/>
              <w:bottom w:val="nil"/>
              <w:right w:val="single" w:sz="8"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r>
      <w:tr w:rsidR="00EB68CB" w:rsidRPr="0006198A" w:rsidTr="0006198A">
        <w:tc>
          <w:tcPr>
            <w:tcW w:w="2355" w:type="dxa"/>
            <w:vMerge/>
            <w:tcBorders>
              <w:left w:val="single" w:sz="8" w:space="0" w:color="auto"/>
              <w:bottom w:val="single" w:sz="4" w:space="0" w:color="000000"/>
              <w:right w:val="single" w:sz="4" w:space="0" w:color="auto"/>
            </w:tcBorders>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p>
        </w:tc>
        <w:tc>
          <w:tcPr>
            <w:tcW w:w="2835" w:type="dxa"/>
            <w:tcBorders>
              <w:top w:val="nil"/>
              <w:left w:val="single" w:sz="4" w:space="0" w:color="auto"/>
              <w:bottom w:val="single" w:sz="4" w:space="0" w:color="auto"/>
              <w:right w:val="dashed"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Outreach to Potential Funders</w:t>
            </w:r>
          </w:p>
        </w:tc>
        <w:tc>
          <w:tcPr>
            <w:tcW w:w="763" w:type="dxa"/>
            <w:tcBorders>
              <w:top w:val="nil"/>
              <w:left w:val="nil"/>
              <w:bottom w:val="single" w:sz="4" w:space="0" w:color="auto"/>
              <w:right w:val="nil"/>
            </w:tcBorders>
            <w:shd w:val="clear" w:color="auto" w:fill="auto"/>
            <w:noWrap/>
            <w:vAlign w:val="center"/>
            <w:hideMark/>
          </w:tcPr>
          <w:p w:rsidR="00EB68CB" w:rsidRPr="00EB68CB" w:rsidRDefault="00EB68CB" w:rsidP="0006198A">
            <w:pPr>
              <w:ind w:left="0" w:firstLine="0"/>
              <w:jc w:val="right"/>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Outreach to Potential Funders</w:t>
            </w:r>
          </w:p>
        </w:tc>
        <w:tc>
          <w:tcPr>
            <w:tcW w:w="2835" w:type="dxa"/>
            <w:tcBorders>
              <w:top w:val="nil"/>
              <w:left w:val="nil"/>
              <w:bottom w:val="single" w:sz="4" w:space="0" w:color="auto"/>
              <w:right w:val="nil"/>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Outreach to Potential Funders</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Outreach to Potential Funders</w:t>
            </w:r>
          </w:p>
        </w:tc>
      </w:tr>
      <w:tr w:rsidR="00EB68CB" w:rsidRPr="0006198A" w:rsidTr="0006198A">
        <w:tc>
          <w:tcPr>
            <w:tcW w:w="2355" w:type="dxa"/>
            <w:tcBorders>
              <w:top w:val="nil"/>
              <w:left w:val="single" w:sz="8" w:space="0" w:color="auto"/>
              <w:bottom w:val="single" w:sz="4" w:space="0" w:color="auto"/>
              <w:right w:val="single" w:sz="4"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2</w:t>
            </w:r>
            <w:r w:rsidRPr="0006198A">
              <w:rPr>
                <w:rFonts w:asciiTheme="minorHAnsi" w:eastAsia="Times New Roman" w:hAnsiTheme="minorHAnsi"/>
                <w:color w:val="000000"/>
                <w:sz w:val="20"/>
                <w:szCs w:val="20"/>
                <w:lang w:eastAsia="en-GB"/>
              </w:rPr>
              <w:t xml:space="preserve"> </w:t>
            </w:r>
            <w:r w:rsidRPr="00EB68CB">
              <w:rPr>
                <w:rFonts w:asciiTheme="minorHAnsi" w:eastAsia="Times New Roman" w:hAnsiTheme="minorHAnsi"/>
                <w:color w:val="000000"/>
                <w:sz w:val="20"/>
                <w:szCs w:val="20"/>
                <w:lang w:eastAsia="en-GB"/>
              </w:rPr>
              <w:t>STRP</w:t>
            </w:r>
          </w:p>
        </w:tc>
        <w:tc>
          <w:tcPr>
            <w:tcW w:w="2835" w:type="dxa"/>
            <w:tcBorders>
              <w:top w:val="nil"/>
              <w:left w:val="nil"/>
              <w:bottom w:val="single" w:sz="4" w:space="0" w:color="auto"/>
              <w:right w:val="dashed" w:sz="4"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see note a)</w:t>
            </w:r>
          </w:p>
        </w:tc>
        <w:tc>
          <w:tcPr>
            <w:tcW w:w="763" w:type="dxa"/>
            <w:tcBorders>
              <w:top w:val="nil"/>
              <w:left w:val="nil"/>
              <w:bottom w:val="single" w:sz="4" w:space="0" w:color="auto"/>
              <w:right w:val="nil"/>
            </w:tcBorders>
            <w:shd w:val="clear" w:color="000000" w:fill="DDEBF7"/>
            <w:noWrap/>
            <w:vAlign w:val="center"/>
            <w:hideMark/>
          </w:tcPr>
          <w:p w:rsidR="00EB68CB" w:rsidRPr="00EB68CB" w:rsidRDefault="00EB68CB" w:rsidP="0006198A">
            <w:pPr>
              <w:ind w:left="0" w:firstLine="0"/>
              <w:jc w:val="right"/>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00</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nil"/>
              <w:bottom w:val="single" w:sz="4" w:space="0" w:color="auto"/>
              <w:right w:val="nil"/>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single" w:sz="4" w:space="0" w:color="auto"/>
              <w:bottom w:val="single" w:sz="4" w:space="0" w:color="auto"/>
              <w:right w:val="single" w:sz="8"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r>
      <w:tr w:rsidR="00EB68CB" w:rsidRPr="0006198A" w:rsidTr="0006198A">
        <w:tc>
          <w:tcPr>
            <w:tcW w:w="2355" w:type="dxa"/>
            <w:tcBorders>
              <w:top w:val="nil"/>
              <w:left w:val="single" w:sz="8" w:space="0" w:color="auto"/>
              <w:bottom w:val="single" w:sz="4" w:space="0" w:color="auto"/>
              <w:right w:val="single"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3</w:t>
            </w:r>
            <w:r w:rsidRPr="0006198A">
              <w:rPr>
                <w:rFonts w:asciiTheme="minorHAnsi" w:eastAsia="Times New Roman" w:hAnsiTheme="minorHAnsi"/>
                <w:color w:val="000000"/>
                <w:sz w:val="20"/>
                <w:szCs w:val="20"/>
                <w:lang w:eastAsia="en-GB"/>
              </w:rPr>
              <w:t xml:space="preserve"> </w:t>
            </w:r>
            <w:r w:rsidRPr="00EB68CB">
              <w:rPr>
                <w:rFonts w:asciiTheme="minorHAnsi" w:eastAsia="Times New Roman" w:hAnsiTheme="minorHAnsi"/>
                <w:color w:val="000000"/>
                <w:sz w:val="20"/>
                <w:szCs w:val="20"/>
                <w:lang w:eastAsia="en-GB"/>
              </w:rPr>
              <w:t>RSIS</w:t>
            </w:r>
          </w:p>
        </w:tc>
        <w:tc>
          <w:tcPr>
            <w:tcW w:w="2835" w:type="dxa"/>
            <w:tcBorders>
              <w:top w:val="nil"/>
              <w:left w:val="nil"/>
              <w:bottom w:val="single" w:sz="4" w:space="0" w:color="auto"/>
              <w:right w:val="dashed"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xml:space="preserve">see note b) </w:t>
            </w:r>
          </w:p>
        </w:tc>
        <w:tc>
          <w:tcPr>
            <w:tcW w:w="763" w:type="dxa"/>
            <w:tcBorders>
              <w:top w:val="nil"/>
              <w:left w:val="nil"/>
              <w:bottom w:val="single" w:sz="4" w:space="0" w:color="auto"/>
              <w:right w:val="nil"/>
            </w:tcBorders>
            <w:shd w:val="clear" w:color="auto" w:fill="auto"/>
            <w:noWrap/>
            <w:vAlign w:val="center"/>
            <w:hideMark/>
          </w:tcPr>
          <w:p w:rsidR="00EB68CB" w:rsidRPr="00EB68CB" w:rsidRDefault="00EB68CB" w:rsidP="0006198A">
            <w:pPr>
              <w:ind w:left="0" w:firstLine="0"/>
              <w:jc w:val="right"/>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00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nil"/>
              <w:bottom w:val="single" w:sz="4" w:space="0" w:color="auto"/>
              <w:right w:val="nil"/>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r>
      <w:tr w:rsidR="00EB68CB" w:rsidRPr="0006198A" w:rsidTr="0006198A">
        <w:tc>
          <w:tcPr>
            <w:tcW w:w="2355" w:type="dxa"/>
            <w:tcBorders>
              <w:top w:val="nil"/>
              <w:left w:val="single" w:sz="8" w:space="0" w:color="auto"/>
              <w:bottom w:val="single" w:sz="4" w:space="0" w:color="auto"/>
              <w:right w:val="single" w:sz="4"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4</w:t>
            </w:r>
            <w:r w:rsidRPr="0006198A">
              <w:rPr>
                <w:rFonts w:asciiTheme="minorHAnsi" w:eastAsia="Times New Roman" w:hAnsiTheme="minorHAnsi"/>
                <w:color w:val="000000"/>
                <w:sz w:val="20"/>
                <w:szCs w:val="20"/>
                <w:lang w:eastAsia="en-GB"/>
              </w:rPr>
              <w:t xml:space="preserve"> </w:t>
            </w:r>
            <w:r w:rsidRPr="00EB68CB">
              <w:rPr>
                <w:rFonts w:asciiTheme="minorHAnsi" w:eastAsia="Times New Roman" w:hAnsiTheme="minorHAnsi"/>
                <w:color w:val="000000"/>
                <w:sz w:val="20"/>
                <w:szCs w:val="20"/>
                <w:lang w:eastAsia="en-GB"/>
              </w:rPr>
              <w:t>Pre COP Travel</w:t>
            </w:r>
          </w:p>
        </w:tc>
        <w:tc>
          <w:tcPr>
            <w:tcW w:w="2835" w:type="dxa"/>
            <w:tcBorders>
              <w:top w:val="nil"/>
              <w:left w:val="nil"/>
              <w:bottom w:val="single" w:sz="4" w:space="0" w:color="auto"/>
              <w:right w:val="dashed" w:sz="4"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Pre-COP Travel Outreach to Parties</w:t>
            </w:r>
          </w:p>
        </w:tc>
        <w:tc>
          <w:tcPr>
            <w:tcW w:w="763" w:type="dxa"/>
            <w:tcBorders>
              <w:top w:val="nil"/>
              <w:left w:val="nil"/>
              <w:bottom w:val="single" w:sz="4" w:space="0" w:color="auto"/>
              <w:right w:val="nil"/>
            </w:tcBorders>
            <w:shd w:val="clear" w:color="000000" w:fill="DDEBF7"/>
            <w:noWrap/>
            <w:vAlign w:val="center"/>
            <w:hideMark/>
          </w:tcPr>
          <w:p w:rsidR="00EB68CB" w:rsidRPr="00EB68CB" w:rsidRDefault="00EB68CB" w:rsidP="0006198A">
            <w:pPr>
              <w:ind w:left="0" w:firstLine="0"/>
              <w:jc w:val="right"/>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250</w:t>
            </w:r>
            <w:r w:rsidR="007B23F9">
              <w:rPr>
                <w:rFonts w:asciiTheme="minorHAnsi" w:eastAsia="Times New Roman" w:hAnsiTheme="minorHAnsi"/>
                <w:color w:val="000000"/>
                <w:sz w:val="20"/>
                <w:szCs w:val="20"/>
                <w:lang w:eastAsia="en-GB"/>
              </w:rPr>
              <w:t>k</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nil"/>
              <w:bottom w:val="single" w:sz="4" w:space="0" w:color="auto"/>
              <w:right w:val="nil"/>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Pre-COP14 Travel Outreach to Parties</w:t>
            </w:r>
          </w:p>
        </w:tc>
        <w:tc>
          <w:tcPr>
            <w:tcW w:w="2835" w:type="dxa"/>
            <w:tcBorders>
              <w:top w:val="nil"/>
              <w:left w:val="single" w:sz="4" w:space="0" w:color="auto"/>
              <w:bottom w:val="single" w:sz="4" w:space="0" w:color="auto"/>
              <w:right w:val="single" w:sz="8"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Pre-COP14 Travel Outreach to Parties</w:t>
            </w:r>
          </w:p>
        </w:tc>
      </w:tr>
      <w:tr w:rsidR="00EB68CB" w:rsidRPr="0006198A" w:rsidTr="0006198A">
        <w:tc>
          <w:tcPr>
            <w:tcW w:w="2355" w:type="dxa"/>
            <w:tcBorders>
              <w:top w:val="nil"/>
              <w:left w:val="single" w:sz="8" w:space="0" w:color="auto"/>
              <w:bottom w:val="single" w:sz="4" w:space="0" w:color="auto"/>
              <w:right w:val="single"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5</w:t>
            </w:r>
            <w:r w:rsidRPr="0006198A">
              <w:rPr>
                <w:rFonts w:asciiTheme="minorHAnsi" w:eastAsia="Times New Roman" w:hAnsiTheme="minorHAnsi"/>
                <w:color w:val="000000"/>
                <w:sz w:val="20"/>
                <w:szCs w:val="20"/>
                <w:lang w:eastAsia="en-GB"/>
              </w:rPr>
              <w:t xml:space="preserve"> </w:t>
            </w:r>
            <w:r w:rsidRPr="00EB68CB">
              <w:rPr>
                <w:rFonts w:asciiTheme="minorHAnsi" w:eastAsia="Times New Roman" w:hAnsiTheme="minorHAnsi"/>
                <w:color w:val="000000"/>
                <w:sz w:val="20"/>
                <w:szCs w:val="20"/>
                <w:lang w:eastAsia="en-GB"/>
              </w:rPr>
              <w:t>COP Travel</w:t>
            </w:r>
          </w:p>
        </w:tc>
        <w:tc>
          <w:tcPr>
            <w:tcW w:w="2835" w:type="dxa"/>
            <w:tcBorders>
              <w:top w:val="nil"/>
              <w:left w:val="nil"/>
              <w:bottom w:val="single" w:sz="4" w:space="0" w:color="auto"/>
              <w:right w:val="dashed"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COP13 Travel Outreach to Parties</w:t>
            </w:r>
          </w:p>
        </w:tc>
        <w:tc>
          <w:tcPr>
            <w:tcW w:w="763" w:type="dxa"/>
            <w:tcBorders>
              <w:top w:val="nil"/>
              <w:left w:val="nil"/>
              <w:bottom w:val="single" w:sz="4" w:space="0" w:color="auto"/>
              <w:right w:val="nil"/>
            </w:tcBorders>
            <w:shd w:val="clear" w:color="auto" w:fill="auto"/>
            <w:noWrap/>
            <w:vAlign w:val="center"/>
            <w:hideMark/>
          </w:tcPr>
          <w:p w:rsidR="00EB68CB" w:rsidRPr="00EB68CB" w:rsidRDefault="00EB68CB" w:rsidP="0006198A">
            <w:pPr>
              <w:ind w:left="0" w:firstLine="0"/>
              <w:jc w:val="right"/>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450k</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nil"/>
              <w:bottom w:val="single" w:sz="4" w:space="0" w:color="auto"/>
              <w:right w:val="nil"/>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COP14 Travel Outreach to Parties</w:t>
            </w:r>
          </w:p>
        </w:tc>
      </w:tr>
      <w:tr w:rsidR="00EB68CB" w:rsidRPr="0006198A" w:rsidTr="0006198A">
        <w:tc>
          <w:tcPr>
            <w:tcW w:w="2355" w:type="dxa"/>
            <w:tcBorders>
              <w:top w:val="nil"/>
              <w:left w:val="single" w:sz="8" w:space="0" w:color="auto"/>
              <w:bottom w:val="single" w:sz="4" w:space="0" w:color="auto"/>
              <w:right w:val="single" w:sz="4"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6</w:t>
            </w:r>
            <w:r w:rsidRPr="0006198A">
              <w:rPr>
                <w:rFonts w:asciiTheme="minorHAnsi" w:eastAsia="Times New Roman" w:hAnsiTheme="minorHAnsi"/>
                <w:color w:val="000000"/>
                <w:sz w:val="20"/>
                <w:szCs w:val="20"/>
                <w:lang w:eastAsia="en-GB"/>
              </w:rPr>
              <w:t xml:space="preserve"> </w:t>
            </w:r>
            <w:r w:rsidRPr="00EB68CB">
              <w:rPr>
                <w:rFonts w:asciiTheme="minorHAnsi" w:eastAsia="Times New Roman" w:hAnsiTheme="minorHAnsi"/>
                <w:color w:val="000000"/>
                <w:sz w:val="20"/>
                <w:szCs w:val="20"/>
                <w:lang w:eastAsia="en-GB"/>
              </w:rPr>
              <w:t>Arabic Language</w:t>
            </w:r>
          </w:p>
        </w:tc>
        <w:tc>
          <w:tcPr>
            <w:tcW w:w="2835" w:type="dxa"/>
            <w:tcBorders>
              <w:top w:val="nil"/>
              <w:left w:val="nil"/>
              <w:bottom w:val="single" w:sz="4" w:space="0" w:color="auto"/>
              <w:right w:val="dashed" w:sz="4"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see note c)</w:t>
            </w:r>
          </w:p>
        </w:tc>
        <w:tc>
          <w:tcPr>
            <w:tcW w:w="763" w:type="dxa"/>
            <w:tcBorders>
              <w:top w:val="nil"/>
              <w:left w:val="nil"/>
              <w:bottom w:val="single" w:sz="4" w:space="0" w:color="auto"/>
              <w:right w:val="nil"/>
            </w:tcBorders>
            <w:shd w:val="clear" w:color="000000" w:fill="DDEBF7"/>
            <w:noWrap/>
            <w:vAlign w:val="center"/>
            <w:hideMark/>
          </w:tcPr>
          <w:p w:rsidR="00EB68CB" w:rsidRPr="00EB68CB" w:rsidRDefault="00EB68CB" w:rsidP="0006198A">
            <w:pPr>
              <w:ind w:left="0" w:firstLine="0"/>
              <w:jc w:val="right"/>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00</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nil"/>
              <w:bottom w:val="single" w:sz="4" w:space="0" w:color="auto"/>
              <w:right w:val="nil"/>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single" w:sz="4" w:space="0" w:color="auto"/>
              <w:bottom w:val="single" w:sz="4" w:space="0" w:color="auto"/>
              <w:right w:val="single" w:sz="8"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r>
      <w:tr w:rsidR="00EB68CB" w:rsidRPr="0006198A" w:rsidTr="0006198A">
        <w:tc>
          <w:tcPr>
            <w:tcW w:w="2355" w:type="dxa"/>
            <w:tcBorders>
              <w:top w:val="nil"/>
              <w:left w:val="single" w:sz="8" w:space="0" w:color="auto"/>
              <w:bottom w:val="nil"/>
              <w:right w:val="single"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7</w:t>
            </w:r>
            <w:r w:rsidRPr="0006198A">
              <w:rPr>
                <w:rFonts w:asciiTheme="minorHAnsi" w:eastAsia="Times New Roman" w:hAnsiTheme="minorHAnsi"/>
                <w:color w:val="000000"/>
                <w:sz w:val="20"/>
                <w:szCs w:val="20"/>
                <w:lang w:eastAsia="en-GB"/>
              </w:rPr>
              <w:t xml:space="preserve"> </w:t>
            </w:r>
            <w:r w:rsidRPr="00EB68CB">
              <w:rPr>
                <w:rFonts w:asciiTheme="minorHAnsi" w:eastAsia="Times New Roman" w:hAnsiTheme="minorHAnsi"/>
                <w:color w:val="000000"/>
                <w:sz w:val="20"/>
                <w:szCs w:val="20"/>
                <w:lang w:eastAsia="en-GB"/>
              </w:rPr>
              <w:t>Small Grants Fund</w:t>
            </w:r>
          </w:p>
        </w:tc>
        <w:tc>
          <w:tcPr>
            <w:tcW w:w="2835" w:type="dxa"/>
            <w:tcBorders>
              <w:top w:val="nil"/>
              <w:left w:val="nil"/>
              <w:bottom w:val="nil"/>
              <w:right w:val="dashed"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xml:space="preserve">see note d) </w:t>
            </w:r>
          </w:p>
        </w:tc>
        <w:tc>
          <w:tcPr>
            <w:tcW w:w="763" w:type="dxa"/>
            <w:tcBorders>
              <w:top w:val="nil"/>
              <w:left w:val="nil"/>
              <w:bottom w:val="nil"/>
              <w:right w:val="nil"/>
            </w:tcBorders>
            <w:shd w:val="clear" w:color="auto" w:fill="auto"/>
            <w:noWrap/>
            <w:vAlign w:val="center"/>
            <w:hideMark/>
          </w:tcPr>
          <w:p w:rsidR="00EB68CB" w:rsidRPr="00EB68CB" w:rsidRDefault="00EB68CB" w:rsidP="0006198A">
            <w:pPr>
              <w:ind w:left="0" w:firstLine="0"/>
              <w:jc w:val="right"/>
              <w:rPr>
                <w:rFonts w:asciiTheme="minorHAnsi" w:eastAsia="Times New Roman" w:hAnsiTheme="minorHAnsi"/>
                <w:color w:val="000000"/>
                <w:sz w:val="20"/>
                <w:szCs w:val="20"/>
                <w:lang w:eastAsia="en-GB"/>
              </w:rPr>
            </w:pPr>
            <w:bookmarkStart w:id="0" w:name="_GoBack"/>
            <w:bookmarkEnd w:id="0"/>
            <w:r w:rsidRPr="00EB68CB">
              <w:rPr>
                <w:rFonts w:asciiTheme="minorHAnsi" w:eastAsia="Times New Roman" w:hAnsiTheme="minorHAnsi"/>
                <w:color w:val="000000"/>
                <w:sz w:val="20"/>
                <w:szCs w:val="20"/>
                <w:lang w:eastAsia="en-GB"/>
              </w:rPr>
              <w:t>00</w:t>
            </w:r>
          </w:p>
        </w:tc>
        <w:tc>
          <w:tcPr>
            <w:tcW w:w="2835" w:type="dxa"/>
            <w:tcBorders>
              <w:top w:val="nil"/>
              <w:left w:val="single" w:sz="4" w:space="0" w:color="auto"/>
              <w:bottom w:val="nil"/>
              <w:right w:val="single" w:sz="4"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nil"/>
              <w:bottom w:val="nil"/>
              <w:right w:val="nil"/>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single" w:sz="4" w:space="0" w:color="auto"/>
              <w:bottom w:val="nil"/>
              <w:right w:val="single" w:sz="8" w:space="0" w:color="auto"/>
            </w:tcBorders>
            <w:shd w:val="clear" w:color="auto" w:fill="auto"/>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r>
      <w:tr w:rsidR="00EB68CB" w:rsidRPr="0006198A" w:rsidTr="0006198A">
        <w:tc>
          <w:tcPr>
            <w:tcW w:w="2355" w:type="dxa"/>
            <w:vMerge w:val="restart"/>
            <w:tcBorders>
              <w:top w:val="single" w:sz="4" w:space="0" w:color="auto"/>
              <w:left w:val="single" w:sz="8" w:space="0" w:color="auto"/>
              <w:right w:val="single" w:sz="4"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8</w:t>
            </w:r>
            <w:r w:rsidRPr="0006198A">
              <w:rPr>
                <w:rFonts w:asciiTheme="minorHAnsi" w:eastAsia="Times New Roman" w:hAnsiTheme="minorHAnsi"/>
                <w:color w:val="000000"/>
                <w:sz w:val="20"/>
                <w:szCs w:val="20"/>
                <w:lang w:eastAsia="en-GB"/>
              </w:rPr>
              <w:t xml:space="preserve"> </w:t>
            </w:r>
            <w:r w:rsidRPr="00EB68CB">
              <w:rPr>
                <w:rFonts w:asciiTheme="minorHAnsi" w:eastAsia="Times New Roman" w:hAnsiTheme="minorHAnsi"/>
                <w:color w:val="000000"/>
                <w:sz w:val="20"/>
                <w:szCs w:val="20"/>
                <w:lang w:eastAsia="en-GB"/>
              </w:rPr>
              <w:t>Regional Initiatives</w:t>
            </w:r>
          </w:p>
        </w:tc>
        <w:tc>
          <w:tcPr>
            <w:tcW w:w="2835" w:type="dxa"/>
            <w:tcBorders>
              <w:top w:val="single" w:sz="4" w:space="0" w:color="auto"/>
              <w:left w:val="single" w:sz="4" w:space="0" w:color="auto"/>
              <w:bottom w:val="nil"/>
              <w:right w:val="dotted" w:sz="4"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Determine Regional Funding Needs</w:t>
            </w:r>
          </w:p>
        </w:tc>
        <w:tc>
          <w:tcPr>
            <w:tcW w:w="763" w:type="dxa"/>
            <w:tcBorders>
              <w:top w:val="single" w:sz="4" w:space="0" w:color="auto"/>
              <w:left w:val="nil"/>
              <w:bottom w:val="nil"/>
              <w:right w:val="nil"/>
            </w:tcBorders>
            <w:shd w:val="clear" w:color="000000" w:fill="DDEBF7"/>
            <w:noWrap/>
            <w:vAlign w:val="center"/>
            <w:hideMark/>
          </w:tcPr>
          <w:p w:rsidR="00EB68CB" w:rsidRPr="00EB68CB" w:rsidRDefault="00EB68CB" w:rsidP="0006198A">
            <w:pPr>
              <w:ind w:left="0" w:firstLine="0"/>
              <w:jc w:val="right"/>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100k</w:t>
            </w:r>
          </w:p>
        </w:tc>
        <w:tc>
          <w:tcPr>
            <w:tcW w:w="2835" w:type="dxa"/>
            <w:tcBorders>
              <w:top w:val="single" w:sz="4" w:space="0" w:color="auto"/>
              <w:left w:val="single" w:sz="4" w:space="0" w:color="auto"/>
              <w:bottom w:val="nil"/>
              <w:right w:val="nil"/>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single" w:sz="4" w:space="0" w:color="auto"/>
              <w:left w:val="single" w:sz="4" w:space="0" w:color="auto"/>
              <w:bottom w:val="nil"/>
              <w:right w:val="nil"/>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single" w:sz="4" w:space="0" w:color="auto"/>
              <w:left w:val="single" w:sz="4" w:space="0" w:color="auto"/>
              <w:bottom w:val="nil"/>
              <w:right w:val="single" w:sz="8"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r>
      <w:tr w:rsidR="00EB68CB" w:rsidRPr="0006198A" w:rsidTr="0006198A">
        <w:tc>
          <w:tcPr>
            <w:tcW w:w="2355" w:type="dxa"/>
            <w:vMerge/>
            <w:tcBorders>
              <w:left w:val="single" w:sz="8" w:space="0" w:color="auto"/>
              <w:right w:val="single" w:sz="4" w:space="0" w:color="auto"/>
            </w:tcBorders>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p>
        </w:tc>
        <w:tc>
          <w:tcPr>
            <w:tcW w:w="2835" w:type="dxa"/>
            <w:tcBorders>
              <w:top w:val="nil"/>
              <w:left w:val="single" w:sz="4" w:space="0" w:color="auto"/>
              <w:bottom w:val="nil"/>
              <w:right w:val="dotted" w:sz="4"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Develop Regional Proposals</w:t>
            </w:r>
          </w:p>
        </w:tc>
        <w:tc>
          <w:tcPr>
            <w:tcW w:w="763" w:type="dxa"/>
            <w:tcBorders>
              <w:top w:val="nil"/>
              <w:left w:val="nil"/>
              <w:bottom w:val="nil"/>
              <w:right w:val="nil"/>
            </w:tcBorders>
            <w:shd w:val="clear" w:color="000000" w:fill="DDEBF7"/>
            <w:noWrap/>
            <w:vAlign w:val="center"/>
            <w:hideMark/>
          </w:tcPr>
          <w:p w:rsidR="00EB68CB" w:rsidRPr="00EB68CB" w:rsidRDefault="00EB68CB" w:rsidP="0006198A">
            <w:pPr>
              <w:ind w:left="0" w:firstLine="0"/>
              <w:jc w:val="right"/>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single" w:sz="4" w:space="0" w:color="auto"/>
              <w:bottom w:val="nil"/>
              <w:right w:val="nil"/>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single" w:sz="4" w:space="0" w:color="auto"/>
              <w:bottom w:val="nil"/>
              <w:right w:val="nil"/>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single" w:sz="4" w:space="0" w:color="auto"/>
              <w:bottom w:val="nil"/>
              <w:right w:val="single" w:sz="8"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r>
      <w:tr w:rsidR="00EB68CB" w:rsidRPr="0006198A" w:rsidTr="0006198A">
        <w:tc>
          <w:tcPr>
            <w:tcW w:w="2355" w:type="dxa"/>
            <w:vMerge/>
            <w:tcBorders>
              <w:left w:val="single" w:sz="8" w:space="0" w:color="auto"/>
              <w:bottom w:val="single" w:sz="4" w:space="0" w:color="000000"/>
              <w:right w:val="single" w:sz="4" w:space="0" w:color="auto"/>
            </w:tcBorders>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p>
        </w:tc>
        <w:tc>
          <w:tcPr>
            <w:tcW w:w="2835" w:type="dxa"/>
            <w:tcBorders>
              <w:top w:val="nil"/>
              <w:left w:val="single" w:sz="4" w:space="0" w:color="auto"/>
              <w:bottom w:val="single" w:sz="4" w:space="0" w:color="auto"/>
              <w:right w:val="dotted" w:sz="4"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Outreach to Potential Funders</w:t>
            </w:r>
          </w:p>
        </w:tc>
        <w:tc>
          <w:tcPr>
            <w:tcW w:w="763" w:type="dxa"/>
            <w:tcBorders>
              <w:top w:val="nil"/>
              <w:left w:val="nil"/>
              <w:bottom w:val="single" w:sz="4" w:space="0" w:color="auto"/>
              <w:right w:val="nil"/>
            </w:tcBorders>
            <w:shd w:val="clear" w:color="000000" w:fill="DDEBF7"/>
            <w:noWrap/>
            <w:vAlign w:val="center"/>
            <w:hideMark/>
          </w:tcPr>
          <w:p w:rsidR="00EB68CB" w:rsidRPr="00EB68CB" w:rsidRDefault="00EB68CB" w:rsidP="0006198A">
            <w:pPr>
              <w:ind w:left="0" w:firstLine="0"/>
              <w:jc w:val="right"/>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single" w:sz="4" w:space="0" w:color="auto"/>
              <w:bottom w:val="single" w:sz="4" w:space="0" w:color="auto"/>
              <w:right w:val="nil"/>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Outreach to Potential Funders</w:t>
            </w:r>
          </w:p>
        </w:tc>
        <w:tc>
          <w:tcPr>
            <w:tcW w:w="2835" w:type="dxa"/>
            <w:tcBorders>
              <w:top w:val="nil"/>
              <w:left w:val="single" w:sz="4" w:space="0" w:color="auto"/>
              <w:bottom w:val="single" w:sz="4" w:space="0" w:color="auto"/>
              <w:right w:val="nil"/>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Outreach to Potential Funders</w:t>
            </w:r>
          </w:p>
        </w:tc>
        <w:tc>
          <w:tcPr>
            <w:tcW w:w="2835" w:type="dxa"/>
            <w:tcBorders>
              <w:top w:val="nil"/>
              <w:left w:val="single" w:sz="4" w:space="0" w:color="auto"/>
              <w:bottom w:val="single" w:sz="4" w:space="0" w:color="auto"/>
              <w:right w:val="single" w:sz="8" w:space="0" w:color="auto"/>
            </w:tcBorders>
            <w:shd w:val="clear" w:color="000000" w:fill="DDEBF7"/>
            <w:noWrap/>
            <w:vAlign w:val="center"/>
            <w:hideMark/>
          </w:tcPr>
          <w:p w:rsidR="00EB68CB" w:rsidRPr="00EB68CB" w:rsidRDefault="00EB68CB"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Outreach to Potential Funders</w:t>
            </w:r>
          </w:p>
        </w:tc>
      </w:tr>
      <w:tr w:rsidR="0006198A" w:rsidRPr="0006198A" w:rsidTr="0006198A">
        <w:tc>
          <w:tcPr>
            <w:tcW w:w="2355" w:type="dxa"/>
            <w:vMerge w:val="restart"/>
            <w:tcBorders>
              <w:top w:val="nil"/>
              <w:left w:val="single" w:sz="8" w:space="0" w:color="auto"/>
              <w:right w:val="single" w:sz="4" w:space="0" w:color="auto"/>
            </w:tcBorders>
            <w:shd w:val="clear" w:color="auto" w:fill="auto"/>
            <w:noWrap/>
            <w:vAlign w:val="center"/>
            <w:hideMark/>
          </w:tcPr>
          <w:p w:rsidR="0006198A" w:rsidRPr="00EB68CB" w:rsidRDefault="0006198A" w:rsidP="0006198A">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9</w:t>
            </w:r>
            <w:r w:rsidRPr="0006198A">
              <w:rPr>
                <w:rFonts w:asciiTheme="minorHAnsi" w:eastAsia="Times New Roman" w:hAnsiTheme="minorHAnsi"/>
                <w:color w:val="000000"/>
                <w:sz w:val="20"/>
                <w:szCs w:val="20"/>
                <w:lang w:eastAsia="en-GB"/>
              </w:rPr>
              <w:t xml:space="preserve"> </w:t>
            </w:r>
            <w:r w:rsidRPr="00EB68CB">
              <w:rPr>
                <w:rFonts w:asciiTheme="minorHAnsi" w:eastAsia="Times New Roman" w:hAnsiTheme="minorHAnsi"/>
                <w:color w:val="000000"/>
                <w:sz w:val="20"/>
                <w:szCs w:val="20"/>
                <w:lang w:eastAsia="en-GB"/>
              </w:rPr>
              <w:t>CEPA</w:t>
            </w:r>
          </w:p>
        </w:tc>
        <w:tc>
          <w:tcPr>
            <w:tcW w:w="2835" w:type="dxa"/>
            <w:tcBorders>
              <w:top w:val="nil"/>
              <w:left w:val="single" w:sz="4" w:space="0" w:color="auto"/>
              <w:bottom w:val="nil"/>
              <w:right w:val="dashed" w:sz="4" w:space="0" w:color="auto"/>
            </w:tcBorders>
            <w:shd w:val="clear" w:color="auto" w:fill="auto"/>
            <w:noWrap/>
            <w:vAlign w:val="center"/>
            <w:hideMark/>
          </w:tcPr>
          <w:p w:rsidR="0006198A" w:rsidRPr="00EB68CB" w:rsidRDefault="0006198A"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Develop Funding Proposal</w:t>
            </w:r>
          </w:p>
        </w:tc>
        <w:tc>
          <w:tcPr>
            <w:tcW w:w="763" w:type="dxa"/>
            <w:tcBorders>
              <w:top w:val="nil"/>
              <w:left w:val="nil"/>
              <w:bottom w:val="nil"/>
              <w:right w:val="nil"/>
            </w:tcBorders>
            <w:shd w:val="clear" w:color="auto" w:fill="auto"/>
            <w:noWrap/>
            <w:vAlign w:val="center"/>
            <w:hideMark/>
          </w:tcPr>
          <w:p w:rsidR="0006198A" w:rsidRPr="00EB68CB" w:rsidRDefault="0006198A" w:rsidP="0006198A">
            <w:pPr>
              <w:ind w:left="0" w:firstLine="0"/>
              <w:jc w:val="right"/>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100k</w:t>
            </w:r>
          </w:p>
        </w:tc>
        <w:tc>
          <w:tcPr>
            <w:tcW w:w="2835" w:type="dxa"/>
            <w:tcBorders>
              <w:top w:val="nil"/>
              <w:left w:val="single" w:sz="4" w:space="0" w:color="auto"/>
              <w:bottom w:val="nil"/>
              <w:right w:val="single" w:sz="4" w:space="0" w:color="auto"/>
            </w:tcBorders>
            <w:shd w:val="clear" w:color="auto" w:fill="auto"/>
            <w:noWrap/>
            <w:vAlign w:val="center"/>
            <w:hideMark/>
          </w:tcPr>
          <w:p w:rsidR="0006198A" w:rsidRPr="00EB68CB" w:rsidRDefault="0006198A"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nil"/>
              <w:bottom w:val="nil"/>
              <w:right w:val="nil"/>
            </w:tcBorders>
            <w:shd w:val="clear" w:color="auto" w:fill="auto"/>
            <w:noWrap/>
            <w:vAlign w:val="center"/>
            <w:hideMark/>
          </w:tcPr>
          <w:p w:rsidR="0006198A" w:rsidRPr="00EB68CB" w:rsidRDefault="0006198A" w:rsidP="00EB68CB">
            <w:pPr>
              <w:ind w:left="0" w:firstLine="0"/>
              <w:rPr>
                <w:rFonts w:asciiTheme="minorHAnsi" w:eastAsia="Times New Roman" w:hAnsiTheme="minorHAnsi"/>
                <w:color w:val="000000"/>
                <w:sz w:val="20"/>
                <w:szCs w:val="20"/>
                <w:lang w:eastAsia="en-GB"/>
              </w:rPr>
            </w:pPr>
          </w:p>
        </w:tc>
        <w:tc>
          <w:tcPr>
            <w:tcW w:w="2835" w:type="dxa"/>
            <w:tcBorders>
              <w:top w:val="nil"/>
              <w:left w:val="single" w:sz="4" w:space="0" w:color="auto"/>
              <w:bottom w:val="nil"/>
              <w:right w:val="single" w:sz="8" w:space="0" w:color="auto"/>
            </w:tcBorders>
            <w:shd w:val="clear" w:color="auto" w:fill="auto"/>
            <w:noWrap/>
            <w:vAlign w:val="center"/>
            <w:hideMark/>
          </w:tcPr>
          <w:p w:rsidR="0006198A" w:rsidRPr="00EB68CB" w:rsidRDefault="0006198A"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r>
      <w:tr w:rsidR="0006198A" w:rsidRPr="0006198A" w:rsidTr="0006198A">
        <w:tc>
          <w:tcPr>
            <w:tcW w:w="2355" w:type="dxa"/>
            <w:vMerge/>
            <w:tcBorders>
              <w:left w:val="single" w:sz="8" w:space="0" w:color="auto"/>
              <w:bottom w:val="single" w:sz="4" w:space="0" w:color="000000"/>
              <w:right w:val="single" w:sz="4" w:space="0" w:color="auto"/>
            </w:tcBorders>
            <w:vAlign w:val="center"/>
            <w:hideMark/>
          </w:tcPr>
          <w:p w:rsidR="0006198A" w:rsidRPr="00EB68CB" w:rsidRDefault="0006198A" w:rsidP="0006198A">
            <w:pPr>
              <w:ind w:left="0" w:firstLine="0"/>
              <w:rPr>
                <w:rFonts w:asciiTheme="minorHAnsi" w:eastAsia="Times New Roman" w:hAnsiTheme="minorHAnsi"/>
                <w:color w:val="000000"/>
                <w:sz w:val="20"/>
                <w:szCs w:val="20"/>
                <w:lang w:eastAsia="en-GB"/>
              </w:rPr>
            </w:pPr>
          </w:p>
        </w:tc>
        <w:tc>
          <w:tcPr>
            <w:tcW w:w="2835" w:type="dxa"/>
            <w:tcBorders>
              <w:top w:val="nil"/>
              <w:left w:val="single" w:sz="4" w:space="0" w:color="auto"/>
              <w:bottom w:val="single" w:sz="4" w:space="0" w:color="auto"/>
              <w:right w:val="dashed" w:sz="4" w:space="0" w:color="auto"/>
            </w:tcBorders>
            <w:shd w:val="clear" w:color="auto" w:fill="auto"/>
            <w:noWrap/>
            <w:vAlign w:val="center"/>
            <w:hideMark/>
          </w:tcPr>
          <w:p w:rsidR="0006198A" w:rsidRPr="00EB68CB" w:rsidRDefault="0006198A"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Identify Potential Funders</w:t>
            </w:r>
          </w:p>
        </w:tc>
        <w:tc>
          <w:tcPr>
            <w:tcW w:w="763" w:type="dxa"/>
            <w:tcBorders>
              <w:top w:val="nil"/>
              <w:left w:val="nil"/>
              <w:bottom w:val="single" w:sz="4" w:space="0" w:color="auto"/>
              <w:right w:val="nil"/>
            </w:tcBorders>
            <w:shd w:val="clear" w:color="auto" w:fill="auto"/>
            <w:noWrap/>
            <w:vAlign w:val="center"/>
            <w:hideMark/>
          </w:tcPr>
          <w:p w:rsidR="0006198A" w:rsidRPr="00EB68CB" w:rsidRDefault="0006198A" w:rsidP="0006198A">
            <w:pPr>
              <w:ind w:left="0" w:firstLine="0"/>
              <w:jc w:val="right"/>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06198A" w:rsidRPr="00EB68CB" w:rsidRDefault="0006198A"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Outreach to Potential Funders</w:t>
            </w:r>
          </w:p>
        </w:tc>
        <w:tc>
          <w:tcPr>
            <w:tcW w:w="2835" w:type="dxa"/>
            <w:tcBorders>
              <w:top w:val="nil"/>
              <w:left w:val="nil"/>
              <w:bottom w:val="single" w:sz="4" w:space="0" w:color="auto"/>
              <w:right w:val="nil"/>
            </w:tcBorders>
            <w:shd w:val="clear" w:color="auto" w:fill="auto"/>
            <w:noWrap/>
            <w:vAlign w:val="center"/>
            <w:hideMark/>
          </w:tcPr>
          <w:p w:rsidR="0006198A" w:rsidRPr="00EB68CB" w:rsidRDefault="0006198A"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Outreach to Potential Funders</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06198A" w:rsidRPr="00EB68CB" w:rsidRDefault="0006198A"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Outreach to Potential Funders</w:t>
            </w:r>
          </w:p>
        </w:tc>
      </w:tr>
      <w:tr w:rsidR="0006198A" w:rsidRPr="0006198A" w:rsidTr="0006198A">
        <w:tc>
          <w:tcPr>
            <w:tcW w:w="2355" w:type="dxa"/>
            <w:tcBorders>
              <w:top w:val="nil"/>
              <w:left w:val="single" w:sz="8" w:space="0" w:color="auto"/>
              <w:bottom w:val="single" w:sz="8" w:space="0" w:color="auto"/>
              <w:right w:val="single" w:sz="4" w:space="0" w:color="auto"/>
            </w:tcBorders>
            <w:shd w:val="clear" w:color="000000" w:fill="DDEBF7"/>
            <w:noWrap/>
            <w:vAlign w:val="center"/>
            <w:hideMark/>
          </w:tcPr>
          <w:p w:rsidR="0006198A" w:rsidRPr="00EB68CB" w:rsidRDefault="0006198A" w:rsidP="0006198A">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10</w:t>
            </w:r>
            <w:r w:rsidRPr="0006198A">
              <w:rPr>
                <w:rFonts w:asciiTheme="minorHAnsi" w:eastAsia="Times New Roman" w:hAnsiTheme="minorHAnsi"/>
                <w:color w:val="000000"/>
                <w:sz w:val="20"/>
                <w:szCs w:val="20"/>
                <w:lang w:eastAsia="en-GB"/>
              </w:rPr>
              <w:t xml:space="preserve"> </w:t>
            </w:r>
            <w:r w:rsidRPr="00EB68CB">
              <w:rPr>
                <w:rFonts w:asciiTheme="minorHAnsi" w:eastAsia="Times New Roman" w:hAnsiTheme="minorHAnsi"/>
                <w:color w:val="000000"/>
                <w:sz w:val="20"/>
                <w:szCs w:val="20"/>
                <w:lang w:eastAsia="en-GB"/>
              </w:rPr>
              <w:t>On-line Reporting System</w:t>
            </w:r>
          </w:p>
        </w:tc>
        <w:tc>
          <w:tcPr>
            <w:tcW w:w="2835" w:type="dxa"/>
            <w:tcBorders>
              <w:top w:val="nil"/>
              <w:left w:val="nil"/>
              <w:bottom w:val="single" w:sz="8" w:space="0" w:color="auto"/>
              <w:right w:val="dashed" w:sz="4" w:space="0" w:color="auto"/>
            </w:tcBorders>
            <w:shd w:val="clear" w:color="000000" w:fill="DDEBF7"/>
            <w:noWrap/>
            <w:vAlign w:val="center"/>
            <w:hideMark/>
          </w:tcPr>
          <w:p w:rsidR="0006198A" w:rsidRPr="00EB68CB" w:rsidRDefault="0006198A"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see note e)</w:t>
            </w:r>
          </w:p>
        </w:tc>
        <w:tc>
          <w:tcPr>
            <w:tcW w:w="763" w:type="dxa"/>
            <w:tcBorders>
              <w:top w:val="nil"/>
              <w:left w:val="nil"/>
              <w:bottom w:val="single" w:sz="8" w:space="0" w:color="auto"/>
              <w:right w:val="nil"/>
            </w:tcBorders>
            <w:shd w:val="clear" w:color="000000" w:fill="DDEBF7"/>
            <w:noWrap/>
            <w:vAlign w:val="center"/>
            <w:hideMark/>
          </w:tcPr>
          <w:p w:rsidR="0006198A" w:rsidRPr="00EB68CB" w:rsidRDefault="0006198A" w:rsidP="0006198A">
            <w:pPr>
              <w:ind w:left="0" w:firstLine="0"/>
              <w:jc w:val="right"/>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00</w:t>
            </w:r>
          </w:p>
        </w:tc>
        <w:tc>
          <w:tcPr>
            <w:tcW w:w="2835" w:type="dxa"/>
            <w:tcBorders>
              <w:top w:val="nil"/>
              <w:left w:val="single" w:sz="4" w:space="0" w:color="auto"/>
              <w:bottom w:val="single" w:sz="8" w:space="0" w:color="auto"/>
              <w:right w:val="single" w:sz="4" w:space="0" w:color="auto"/>
            </w:tcBorders>
            <w:shd w:val="clear" w:color="000000" w:fill="DDEBF7"/>
            <w:noWrap/>
            <w:vAlign w:val="center"/>
            <w:hideMark/>
          </w:tcPr>
          <w:p w:rsidR="0006198A" w:rsidRPr="00EB68CB" w:rsidRDefault="0006198A"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nil"/>
              <w:bottom w:val="single" w:sz="8" w:space="0" w:color="auto"/>
              <w:right w:val="nil"/>
            </w:tcBorders>
            <w:shd w:val="clear" w:color="000000" w:fill="DDEBF7"/>
            <w:noWrap/>
            <w:vAlign w:val="center"/>
            <w:hideMark/>
          </w:tcPr>
          <w:p w:rsidR="0006198A" w:rsidRPr="00EB68CB" w:rsidRDefault="0006198A"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c>
          <w:tcPr>
            <w:tcW w:w="2835" w:type="dxa"/>
            <w:tcBorders>
              <w:top w:val="nil"/>
              <w:left w:val="single" w:sz="4" w:space="0" w:color="auto"/>
              <w:bottom w:val="single" w:sz="8" w:space="0" w:color="auto"/>
              <w:right w:val="single" w:sz="8" w:space="0" w:color="auto"/>
            </w:tcBorders>
            <w:shd w:val="clear" w:color="000000" w:fill="DDEBF7"/>
            <w:noWrap/>
            <w:vAlign w:val="center"/>
            <w:hideMark/>
          </w:tcPr>
          <w:p w:rsidR="0006198A" w:rsidRPr="00EB68CB" w:rsidRDefault="0006198A" w:rsidP="00EB68CB">
            <w:pPr>
              <w:ind w:left="0" w:firstLine="0"/>
              <w:rPr>
                <w:rFonts w:asciiTheme="minorHAnsi" w:eastAsia="Times New Roman" w:hAnsiTheme="minorHAnsi"/>
                <w:color w:val="000000"/>
                <w:sz w:val="20"/>
                <w:szCs w:val="20"/>
                <w:lang w:eastAsia="en-GB"/>
              </w:rPr>
            </w:pPr>
            <w:r w:rsidRPr="00EB68CB">
              <w:rPr>
                <w:rFonts w:asciiTheme="minorHAnsi" w:eastAsia="Times New Roman" w:hAnsiTheme="minorHAnsi"/>
                <w:color w:val="000000"/>
                <w:sz w:val="20"/>
                <w:szCs w:val="20"/>
                <w:lang w:eastAsia="en-GB"/>
              </w:rPr>
              <w:t> </w:t>
            </w:r>
          </w:p>
        </w:tc>
      </w:tr>
    </w:tbl>
    <w:p w:rsidR="0006198A" w:rsidRDefault="0006198A" w:rsidP="0006198A">
      <w:pPr>
        <w:ind w:left="0" w:firstLine="0"/>
        <w:rPr>
          <w:rFonts w:eastAsia="Times New Roman"/>
          <w:b/>
          <w:bCs/>
          <w:color w:val="000000"/>
          <w:sz w:val="20"/>
          <w:szCs w:val="20"/>
          <w:lang w:eastAsia="en-GB"/>
        </w:rPr>
      </w:pPr>
    </w:p>
    <w:p w:rsidR="0006198A" w:rsidRPr="0006198A" w:rsidRDefault="0006198A" w:rsidP="0006198A">
      <w:pPr>
        <w:ind w:left="0" w:firstLine="0"/>
        <w:rPr>
          <w:rFonts w:eastAsia="Times New Roman"/>
          <w:b/>
          <w:bCs/>
          <w:color w:val="000000"/>
          <w:sz w:val="20"/>
          <w:szCs w:val="20"/>
          <w:lang w:eastAsia="en-GB"/>
        </w:rPr>
      </w:pPr>
      <w:r w:rsidRPr="0006198A">
        <w:rPr>
          <w:rFonts w:eastAsia="Times New Roman"/>
          <w:b/>
          <w:bCs/>
          <w:color w:val="000000"/>
          <w:sz w:val="20"/>
          <w:szCs w:val="20"/>
          <w:lang w:eastAsia="en-GB"/>
        </w:rPr>
        <w:t>Notes</w:t>
      </w:r>
    </w:p>
    <w:p w:rsidR="0006198A" w:rsidRDefault="0006198A" w:rsidP="0006198A">
      <w:pPr>
        <w:rPr>
          <w:rFonts w:eastAsia="Times New Roman"/>
          <w:color w:val="000000"/>
          <w:sz w:val="20"/>
          <w:szCs w:val="20"/>
          <w:lang w:eastAsia="en-GB"/>
        </w:rPr>
      </w:pPr>
      <w:r w:rsidRPr="0006198A">
        <w:rPr>
          <w:rFonts w:eastAsia="Times New Roman"/>
          <w:color w:val="000000"/>
          <w:sz w:val="20"/>
          <w:szCs w:val="20"/>
          <w:lang w:eastAsia="en-GB"/>
        </w:rPr>
        <w:t>a)</w:t>
      </w:r>
      <w:r>
        <w:rPr>
          <w:rFonts w:eastAsia="Times New Roman"/>
          <w:color w:val="000000"/>
          <w:sz w:val="20"/>
          <w:szCs w:val="20"/>
          <w:lang w:eastAsia="en-GB"/>
        </w:rPr>
        <w:tab/>
      </w:r>
      <w:r w:rsidRPr="0006198A">
        <w:rPr>
          <w:rFonts w:eastAsia="Times New Roman"/>
          <w:color w:val="000000"/>
          <w:sz w:val="20"/>
          <w:szCs w:val="20"/>
          <w:lang w:eastAsia="en-GB"/>
        </w:rPr>
        <w:t>STRP work plan fully funded for 2018</w:t>
      </w:r>
    </w:p>
    <w:p w:rsidR="0006198A" w:rsidRDefault="0006198A" w:rsidP="0006198A">
      <w:pPr>
        <w:rPr>
          <w:rFonts w:eastAsia="Times New Roman"/>
          <w:color w:val="000000"/>
          <w:sz w:val="20"/>
          <w:szCs w:val="20"/>
          <w:lang w:eastAsia="en-GB"/>
        </w:rPr>
      </w:pPr>
      <w:r w:rsidRPr="0006198A">
        <w:rPr>
          <w:rFonts w:eastAsia="Times New Roman"/>
          <w:color w:val="000000"/>
          <w:sz w:val="20"/>
          <w:szCs w:val="20"/>
          <w:lang w:eastAsia="en-GB"/>
        </w:rPr>
        <w:t>b)</w:t>
      </w:r>
      <w:r>
        <w:rPr>
          <w:rFonts w:eastAsia="Times New Roman"/>
          <w:color w:val="000000"/>
          <w:sz w:val="20"/>
          <w:szCs w:val="20"/>
          <w:lang w:eastAsia="en-GB"/>
        </w:rPr>
        <w:tab/>
      </w:r>
      <w:r w:rsidRPr="0006198A">
        <w:rPr>
          <w:rFonts w:eastAsia="Times New Roman"/>
          <w:color w:val="000000"/>
          <w:sz w:val="20"/>
          <w:szCs w:val="20"/>
          <w:lang w:eastAsia="en-GB"/>
        </w:rPr>
        <w:t>RSIS development complete</w:t>
      </w:r>
    </w:p>
    <w:p w:rsidR="0006198A" w:rsidRPr="0006198A" w:rsidRDefault="0006198A" w:rsidP="0006198A">
      <w:pPr>
        <w:rPr>
          <w:rFonts w:eastAsia="Times New Roman"/>
          <w:color w:val="000000"/>
          <w:sz w:val="20"/>
          <w:szCs w:val="20"/>
          <w:lang w:eastAsia="en-GB"/>
        </w:rPr>
      </w:pPr>
      <w:r w:rsidRPr="0006198A">
        <w:rPr>
          <w:rFonts w:eastAsia="Times New Roman"/>
          <w:color w:val="000000"/>
          <w:sz w:val="20"/>
          <w:szCs w:val="20"/>
          <w:lang w:eastAsia="en-GB"/>
        </w:rPr>
        <w:t>c)</w:t>
      </w:r>
      <w:r>
        <w:rPr>
          <w:rFonts w:eastAsia="Times New Roman"/>
          <w:color w:val="000000"/>
          <w:sz w:val="20"/>
          <w:szCs w:val="20"/>
          <w:lang w:eastAsia="en-GB"/>
        </w:rPr>
        <w:tab/>
      </w:r>
      <w:r w:rsidRPr="0006198A">
        <w:rPr>
          <w:rFonts w:eastAsia="Times New Roman"/>
          <w:color w:val="000000"/>
          <w:sz w:val="20"/>
          <w:szCs w:val="20"/>
          <w:lang w:eastAsia="en-GB"/>
        </w:rPr>
        <w:t>Guidance required from Parties</w:t>
      </w:r>
    </w:p>
    <w:p w:rsidR="0006198A" w:rsidRPr="0006198A" w:rsidRDefault="0006198A" w:rsidP="0006198A">
      <w:pPr>
        <w:rPr>
          <w:rFonts w:eastAsia="Times New Roman"/>
          <w:color w:val="000000"/>
          <w:sz w:val="20"/>
          <w:szCs w:val="20"/>
          <w:lang w:eastAsia="en-GB"/>
        </w:rPr>
      </w:pPr>
      <w:r w:rsidRPr="0006198A">
        <w:rPr>
          <w:rFonts w:eastAsia="Times New Roman"/>
          <w:color w:val="000000"/>
          <w:sz w:val="20"/>
          <w:szCs w:val="20"/>
          <w:lang w:eastAsia="en-GB"/>
        </w:rPr>
        <w:t>d)</w:t>
      </w:r>
      <w:r>
        <w:rPr>
          <w:rFonts w:eastAsia="Times New Roman"/>
          <w:color w:val="000000"/>
          <w:sz w:val="20"/>
          <w:szCs w:val="20"/>
          <w:lang w:eastAsia="en-GB"/>
        </w:rPr>
        <w:tab/>
      </w:r>
      <w:r w:rsidRPr="0006198A">
        <w:rPr>
          <w:rFonts w:eastAsia="Times New Roman"/>
          <w:color w:val="000000"/>
          <w:sz w:val="20"/>
          <w:szCs w:val="20"/>
          <w:lang w:eastAsia="en-GB"/>
        </w:rPr>
        <w:t>Guidance required from Parties</w:t>
      </w:r>
    </w:p>
    <w:p w:rsidR="0006198A" w:rsidRPr="00EC4519" w:rsidRDefault="0006198A" w:rsidP="0006198A">
      <w:pPr>
        <w:rPr>
          <w:rFonts w:asciiTheme="minorHAnsi" w:eastAsiaTheme="minorHAnsi" w:hAnsiTheme="minorHAnsi" w:cstheme="minorHAnsi"/>
        </w:rPr>
      </w:pPr>
      <w:r w:rsidRPr="0006198A">
        <w:rPr>
          <w:rFonts w:eastAsia="Times New Roman"/>
          <w:color w:val="000000"/>
          <w:sz w:val="20"/>
          <w:szCs w:val="20"/>
          <w:lang w:eastAsia="en-GB"/>
        </w:rPr>
        <w:t>e)</w:t>
      </w:r>
      <w:r>
        <w:rPr>
          <w:rFonts w:eastAsia="Times New Roman"/>
          <w:color w:val="000000"/>
          <w:sz w:val="20"/>
          <w:szCs w:val="20"/>
          <w:lang w:eastAsia="en-GB"/>
        </w:rPr>
        <w:tab/>
      </w:r>
      <w:r w:rsidRPr="0006198A">
        <w:rPr>
          <w:rFonts w:eastAsia="Times New Roman"/>
          <w:color w:val="000000"/>
          <w:sz w:val="20"/>
          <w:szCs w:val="20"/>
          <w:lang w:eastAsia="en-GB"/>
        </w:rPr>
        <w:t>On-line reporting system complete</w:t>
      </w:r>
    </w:p>
    <w:p w:rsidR="009B2CEE" w:rsidRPr="0006198A" w:rsidRDefault="0006198A" w:rsidP="007972E0">
      <w:pPr>
        <w:contextualSpacing/>
        <w:rPr>
          <w:rFonts w:asciiTheme="minorHAnsi" w:eastAsiaTheme="minorHAnsi" w:hAnsiTheme="minorHAnsi" w:cstheme="minorHAnsi"/>
        </w:rPr>
      </w:pPr>
      <w:r w:rsidRPr="00EB68CB">
        <w:rPr>
          <w:rFonts w:eastAsia="Times New Roman"/>
          <w:b/>
          <w:bCs/>
          <w:color w:val="000000"/>
          <w:lang w:eastAsia="en-GB"/>
        </w:rPr>
        <w:lastRenderedPageBreak/>
        <w:t>Facilitate Resource Mobilization for Contracting Parties</w:t>
      </w:r>
      <w:r w:rsidRPr="00EB68CB">
        <w:rPr>
          <w:rFonts w:eastAsia="Times New Roman"/>
          <w:color w:val="000000"/>
          <w:lang w:eastAsia="en-GB"/>
        </w:rPr>
        <w:t xml:space="preserve"> (Strategic Aim #2)</w:t>
      </w:r>
    </w:p>
    <w:tbl>
      <w:tblPr>
        <w:tblW w:w="14515" w:type="dxa"/>
        <w:tblInd w:w="93" w:type="dxa"/>
        <w:tblCellMar>
          <w:top w:w="28" w:type="dxa"/>
          <w:left w:w="57" w:type="dxa"/>
          <w:bottom w:w="28" w:type="dxa"/>
          <w:right w:w="57" w:type="dxa"/>
        </w:tblCellMar>
        <w:tblLook w:val="04A0" w:firstRow="1" w:lastRow="0" w:firstColumn="1" w:lastColumn="0" w:noHBand="0" w:noVBand="1"/>
      </w:tblPr>
      <w:tblGrid>
        <w:gridCol w:w="3175"/>
        <w:gridCol w:w="2835"/>
        <w:gridCol w:w="2835"/>
        <w:gridCol w:w="2835"/>
        <w:gridCol w:w="2835"/>
      </w:tblGrid>
      <w:tr w:rsidR="0006198A" w:rsidRPr="00EB68CB" w:rsidTr="000179F0">
        <w:tc>
          <w:tcPr>
            <w:tcW w:w="3175" w:type="dxa"/>
            <w:tcBorders>
              <w:top w:val="single" w:sz="8" w:space="0" w:color="auto"/>
              <w:left w:val="single" w:sz="8" w:space="0" w:color="auto"/>
              <w:bottom w:val="single" w:sz="4" w:space="0" w:color="auto"/>
              <w:right w:val="single" w:sz="4" w:space="0" w:color="000000"/>
            </w:tcBorders>
            <w:shd w:val="clear" w:color="000000" w:fill="B4C6E7"/>
            <w:noWrap/>
            <w:vAlign w:val="center"/>
            <w:hideMark/>
          </w:tcPr>
          <w:p w:rsidR="00EB68CB" w:rsidRPr="00EB68CB" w:rsidRDefault="00EB68CB" w:rsidP="00E96B1B">
            <w:pPr>
              <w:ind w:left="0" w:firstLine="0"/>
              <w:jc w:val="center"/>
              <w:rPr>
                <w:rFonts w:eastAsia="Times New Roman"/>
                <w:b/>
                <w:bCs/>
                <w:color w:val="000000"/>
                <w:sz w:val="20"/>
                <w:szCs w:val="20"/>
                <w:lang w:eastAsia="en-GB"/>
              </w:rPr>
            </w:pPr>
          </w:p>
        </w:tc>
        <w:tc>
          <w:tcPr>
            <w:tcW w:w="2835" w:type="dxa"/>
            <w:tcBorders>
              <w:top w:val="single" w:sz="8" w:space="0" w:color="auto"/>
              <w:left w:val="nil"/>
              <w:bottom w:val="single" w:sz="4" w:space="0" w:color="auto"/>
              <w:right w:val="single" w:sz="4" w:space="0" w:color="000000"/>
            </w:tcBorders>
            <w:shd w:val="clear" w:color="000000" w:fill="B4C6E7"/>
            <w:noWrap/>
            <w:vAlign w:val="center"/>
            <w:hideMark/>
          </w:tcPr>
          <w:p w:rsidR="00EB68CB" w:rsidRPr="00EB68CB" w:rsidRDefault="00EB68CB" w:rsidP="00E96B1B">
            <w:pPr>
              <w:ind w:left="0" w:firstLine="0"/>
              <w:jc w:val="center"/>
              <w:rPr>
                <w:rFonts w:eastAsia="Times New Roman"/>
                <w:b/>
                <w:bCs/>
                <w:color w:val="000000"/>
                <w:sz w:val="20"/>
                <w:szCs w:val="20"/>
                <w:lang w:eastAsia="en-GB"/>
              </w:rPr>
            </w:pPr>
            <w:r w:rsidRPr="00EB68CB">
              <w:rPr>
                <w:rFonts w:eastAsia="Times New Roman"/>
                <w:b/>
                <w:bCs/>
                <w:color w:val="000000"/>
                <w:sz w:val="20"/>
                <w:szCs w:val="20"/>
                <w:lang w:eastAsia="en-GB"/>
              </w:rPr>
              <w:t>2018</w:t>
            </w:r>
          </w:p>
        </w:tc>
        <w:tc>
          <w:tcPr>
            <w:tcW w:w="2835" w:type="dxa"/>
            <w:tcBorders>
              <w:top w:val="single" w:sz="8" w:space="0" w:color="auto"/>
              <w:left w:val="nil"/>
              <w:bottom w:val="single" w:sz="4" w:space="0" w:color="auto"/>
              <w:right w:val="single" w:sz="4" w:space="0" w:color="auto"/>
            </w:tcBorders>
            <w:shd w:val="clear" w:color="000000" w:fill="B4C6E7"/>
            <w:noWrap/>
            <w:vAlign w:val="center"/>
            <w:hideMark/>
          </w:tcPr>
          <w:p w:rsidR="00EB68CB" w:rsidRPr="00EB68CB" w:rsidRDefault="00EB68CB" w:rsidP="00E96B1B">
            <w:pPr>
              <w:ind w:left="0" w:firstLine="0"/>
              <w:jc w:val="center"/>
              <w:rPr>
                <w:rFonts w:eastAsia="Times New Roman"/>
                <w:b/>
                <w:bCs/>
                <w:color w:val="000000"/>
                <w:sz w:val="20"/>
                <w:szCs w:val="20"/>
                <w:lang w:eastAsia="en-GB"/>
              </w:rPr>
            </w:pPr>
            <w:r w:rsidRPr="00EB68CB">
              <w:rPr>
                <w:rFonts w:eastAsia="Times New Roman"/>
                <w:b/>
                <w:bCs/>
                <w:color w:val="000000"/>
                <w:sz w:val="20"/>
                <w:szCs w:val="20"/>
                <w:lang w:eastAsia="en-GB"/>
              </w:rPr>
              <w:t>2019</w:t>
            </w:r>
          </w:p>
        </w:tc>
        <w:tc>
          <w:tcPr>
            <w:tcW w:w="2835" w:type="dxa"/>
            <w:tcBorders>
              <w:top w:val="single" w:sz="8" w:space="0" w:color="auto"/>
              <w:left w:val="nil"/>
              <w:bottom w:val="single" w:sz="4" w:space="0" w:color="auto"/>
              <w:right w:val="single" w:sz="4" w:space="0" w:color="auto"/>
            </w:tcBorders>
            <w:shd w:val="clear" w:color="000000" w:fill="B4C6E7"/>
            <w:noWrap/>
            <w:vAlign w:val="center"/>
            <w:hideMark/>
          </w:tcPr>
          <w:p w:rsidR="00EB68CB" w:rsidRPr="00EB68CB" w:rsidRDefault="00EB68CB" w:rsidP="00E96B1B">
            <w:pPr>
              <w:ind w:left="0" w:firstLine="0"/>
              <w:jc w:val="center"/>
              <w:rPr>
                <w:rFonts w:eastAsia="Times New Roman"/>
                <w:b/>
                <w:bCs/>
                <w:color w:val="000000"/>
                <w:sz w:val="20"/>
                <w:szCs w:val="20"/>
                <w:lang w:eastAsia="en-GB"/>
              </w:rPr>
            </w:pPr>
            <w:r w:rsidRPr="00EB68CB">
              <w:rPr>
                <w:rFonts w:eastAsia="Times New Roman"/>
                <w:b/>
                <w:bCs/>
                <w:color w:val="000000"/>
                <w:sz w:val="20"/>
                <w:szCs w:val="20"/>
                <w:lang w:eastAsia="en-GB"/>
              </w:rPr>
              <w:t>2020</w:t>
            </w:r>
          </w:p>
        </w:tc>
        <w:tc>
          <w:tcPr>
            <w:tcW w:w="2835" w:type="dxa"/>
            <w:tcBorders>
              <w:top w:val="single" w:sz="8" w:space="0" w:color="auto"/>
              <w:left w:val="nil"/>
              <w:bottom w:val="single" w:sz="4" w:space="0" w:color="auto"/>
              <w:right w:val="single" w:sz="8" w:space="0" w:color="auto"/>
            </w:tcBorders>
            <w:shd w:val="clear" w:color="000000" w:fill="B4C6E7"/>
            <w:noWrap/>
            <w:vAlign w:val="center"/>
            <w:hideMark/>
          </w:tcPr>
          <w:p w:rsidR="00EB68CB" w:rsidRPr="00EB68CB" w:rsidRDefault="00EB68CB" w:rsidP="00E96B1B">
            <w:pPr>
              <w:ind w:left="0" w:firstLine="0"/>
              <w:jc w:val="center"/>
              <w:rPr>
                <w:rFonts w:eastAsia="Times New Roman"/>
                <w:b/>
                <w:bCs/>
                <w:color w:val="000000"/>
                <w:sz w:val="20"/>
                <w:szCs w:val="20"/>
                <w:lang w:eastAsia="en-GB"/>
              </w:rPr>
            </w:pPr>
            <w:r w:rsidRPr="00EB68CB">
              <w:rPr>
                <w:rFonts w:eastAsia="Times New Roman"/>
                <w:b/>
                <w:bCs/>
                <w:color w:val="000000"/>
                <w:sz w:val="20"/>
                <w:szCs w:val="20"/>
                <w:lang w:eastAsia="en-GB"/>
              </w:rPr>
              <w:t>2021</w:t>
            </w:r>
          </w:p>
        </w:tc>
      </w:tr>
      <w:tr w:rsidR="009E0E77" w:rsidRPr="00EB68CB" w:rsidTr="009E0E77">
        <w:tc>
          <w:tcPr>
            <w:tcW w:w="3175"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9E0E77" w:rsidRPr="00EB68CB" w:rsidRDefault="009E0E77"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Develop Funder Database</w:t>
            </w:r>
          </w:p>
        </w:tc>
        <w:tc>
          <w:tcPr>
            <w:tcW w:w="2835" w:type="dxa"/>
            <w:tcBorders>
              <w:top w:val="single" w:sz="4" w:space="0" w:color="auto"/>
              <w:left w:val="nil"/>
              <w:right w:val="single" w:sz="4" w:space="0" w:color="000000"/>
            </w:tcBorders>
            <w:shd w:val="clear" w:color="auto" w:fill="auto"/>
            <w:noWrap/>
            <w:vAlign w:val="center"/>
            <w:hideMark/>
          </w:tcPr>
          <w:p w:rsidR="009E0E77" w:rsidRPr="00EB68CB" w:rsidRDefault="009E0E77"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Draft Project Brief</w:t>
            </w:r>
          </w:p>
        </w:tc>
        <w:tc>
          <w:tcPr>
            <w:tcW w:w="2835" w:type="dxa"/>
            <w:tcBorders>
              <w:top w:val="nil"/>
              <w:left w:val="nil"/>
              <w:right w:val="single" w:sz="4" w:space="0" w:color="auto"/>
            </w:tcBorders>
            <w:shd w:val="clear" w:color="auto" w:fill="auto"/>
            <w:noWrap/>
            <w:vAlign w:val="center"/>
            <w:hideMark/>
          </w:tcPr>
          <w:p w:rsidR="009E0E77" w:rsidRPr="00EB68CB" w:rsidRDefault="009E0E77"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 </w:t>
            </w:r>
          </w:p>
        </w:tc>
        <w:tc>
          <w:tcPr>
            <w:tcW w:w="2835" w:type="dxa"/>
            <w:tcBorders>
              <w:top w:val="nil"/>
              <w:left w:val="nil"/>
              <w:right w:val="single" w:sz="4" w:space="0" w:color="auto"/>
            </w:tcBorders>
            <w:shd w:val="clear" w:color="auto" w:fill="auto"/>
            <w:noWrap/>
            <w:vAlign w:val="center"/>
            <w:hideMark/>
          </w:tcPr>
          <w:p w:rsidR="009E0E77" w:rsidRPr="00EB68CB" w:rsidRDefault="009E0E77"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 </w:t>
            </w:r>
          </w:p>
        </w:tc>
        <w:tc>
          <w:tcPr>
            <w:tcW w:w="2835" w:type="dxa"/>
            <w:tcBorders>
              <w:top w:val="nil"/>
              <w:left w:val="nil"/>
              <w:right w:val="single" w:sz="8" w:space="0" w:color="auto"/>
            </w:tcBorders>
            <w:shd w:val="clear" w:color="auto" w:fill="auto"/>
            <w:noWrap/>
            <w:vAlign w:val="center"/>
            <w:hideMark/>
          </w:tcPr>
          <w:p w:rsidR="009E0E77" w:rsidRPr="00EB68CB" w:rsidRDefault="009E0E77"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 </w:t>
            </w:r>
          </w:p>
        </w:tc>
      </w:tr>
      <w:tr w:rsidR="000179F0" w:rsidRPr="00EB68CB" w:rsidTr="000179F0">
        <w:tc>
          <w:tcPr>
            <w:tcW w:w="3175" w:type="dxa"/>
            <w:vMerge/>
            <w:tcBorders>
              <w:top w:val="single" w:sz="4" w:space="0" w:color="auto"/>
              <w:left w:val="single" w:sz="8" w:space="0" w:color="auto"/>
              <w:bottom w:val="single" w:sz="4" w:space="0" w:color="000000"/>
              <w:right w:val="single" w:sz="4" w:space="0" w:color="000000"/>
            </w:tcBorders>
            <w:vAlign w:val="center"/>
            <w:hideMark/>
          </w:tcPr>
          <w:p w:rsidR="00EB68CB" w:rsidRPr="00EB68CB" w:rsidRDefault="00EB68CB" w:rsidP="00D6149C">
            <w:pPr>
              <w:ind w:left="0" w:firstLine="0"/>
              <w:rPr>
                <w:rFonts w:eastAsia="Times New Roman"/>
                <w:color w:val="000000"/>
                <w:sz w:val="20"/>
                <w:szCs w:val="20"/>
                <w:lang w:eastAsia="en-GB"/>
              </w:rPr>
            </w:pPr>
          </w:p>
        </w:tc>
        <w:tc>
          <w:tcPr>
            <w:tcW w:w="2835" w:type="dxa"/>
            <w:tcBorders>
              <w:top w:val="nil"/>
              <w:left w:val="nil"/>
              <w:bottom w:val="nil"/>
              <w:right w:val="single" w:sz="4" w:space="0" w:color="000000"/>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Begin Database Compilation</w:t>
            </w:r>
          </w:p>
        </w:tc>
        <w:tc>
          <w:tcPr>
            <w:tcW w:w="2835" w:type="dxa"/>
            <w:tcBorders>
              <w:top w:val="nil"/>
              <w:left w:val="nil"/>
              <w:bottom w:val="nil"/>
              <w:right w:val="single" w:sz="4" w:space="0" w:color="auto"/>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Finalize Database Compilation (Q1)</w:t>
            </w:r>
          </w:p>
        </w:tc>
        <w:tc>
          <w:tcPr>
            <w:tcW w:w="2835" w:type="dxa"/>
            <w:tcBorders>
              <w:top w:val="nil"/>
              <w:left w:val="nil"/>
              <w:bottom w:val="nil"/>
              <w:right w:val="single" w:sz="4" w:space="0" w:color="auto"/>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 </w:t>
            </w:r>
          </w:p>
        </w:tc>
        <w:tc>
          <w:tcPr>
            <w:tcW w:w="2835" w:type="dxa"/>
            <w:tcBorders>
              <w:top w:val="nil"/>
              <w:left w:val="nil"/>
              <w:bottom w:val="nil"/>
              <w:right w:val="single" w:sz="8" w:space="0" w:color="auto"/>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 </w:t>
            </w:r>
          </w:p>
        </w:tc>
      </w:tr>
      <w:tr w:rsidR="000179F0" w:rsidRPr="00EB68CB" w:rsidTr="000179F0">
        <w:tc>
          <w:tcPr>
            <w:tcW w:w="3175" w:type="dxa"/>
            <w:vMerge/>
            <w:tcBorders>
              <w:top w:val="single" w:sz="4" w:space="0" w:color="auto"/>
              <w:left w:val="single" w:sz="8" w:space="0" w:color="auto"/>
              <w:bottom w:val="single" w:sz="4" w:space="0" w:color="000000"/>
              <w:right w:val="single" w:sz="4" w:space="0" w:color="000000"/>
            </w:tcBorders>
            <w:vAlign w:val="center"/>
            <w:hideMark/>
          </w:tcPr>
          <w:p w:rsidR="00EB68CB" w:rsidRPr="00EB68CB" w:rsidRDefault="00EB68CB" w:rsidP="00D6149C">
            <w:pPr>
              <w:ind w:left="0" w:firstLine="0"/>
              <w:rPr>
                <w:rFonts w:eastAsia="Times New Roman"/>
                <w:color w:val="000000"/>
                <w:sz w:val="20"/>
                <w:szCs w:val="20"/>
                <w:lang w:eastAsia="en-GB"/>
              </w:rPr>
            </w:pPr>
          </w:p>
        </w:tc>
        <w:tc>
          <w:tcPr>
            <w:tcW w:w="2835" w:type="dxa"/>
            <w:tcBorders>
              <w:top w:val="nil"/>
              <w:left w:val="nil"/>
              <w:bottom w:val="nil"/>
              <w:right w:val="single" w:sz="4" w:space="0" w:color="000000"/>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 </w:t>
            </w:r>
          </w:p>
        </w:tc>
        <w:tc>
          <w:tcPr>
            <w:tcW w:w="2835" w:type="dxa"/>
            <w:tcBorders>
              <w:top w:val="nil"/>
              <w:left w:val="nil"/>
              <w:bottom w:val="nil"/>
              <w:right w:val="single" w:sz="4" w:space="0" w:color="auto"/>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Distribute Database to Parties</w:t>
            </w:r>
          </w:p>
        </w:tc>
        <w:tc>
          <w:tcPr>
            <w:tcW w:w="2835" w:type="dxa"/>
            <w:tcBorders>
              <w:top w:val="nil"/>
              <w:left w:val="nil"/>
              <w:bottom w:val="nil"/>
              <w:right w:val="single" w:sz="4" w:space="0" w:color="auto"/>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Update Database</w:t>
            </w:r>
          </w:p>
        </w:tc>
        <w:tc>
          <w:tcPr>
            <w:tcW w:w="2835" w:type="dxa"/>
            <w:tcBorders>
              <w:top w:val="nil"/>
              <w:left w:val="nil"/>
              <w:bottom w:val="nil"/>
              <w:right w:val="single" w:sz="8" w:space="0" w:color="auto"/>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Update Databse</w:t>
            </w:r>
          </w:p>
        </w:tc>
      </w:tr>
      <w:tr w:rsidR="000179F0" w:rsidRPr="00EB68CB" w:rsidTr="000179F0">
        <w:tc>
          <w:tcPr>
            <w:tcW w:w="3175" w:type="dxa"/>
            <w:vMerge/>
            <w:tcBorders>
              <w:top w:val="single" w:sz="4" w:space="0" w:color="auto"/>
              <w:left w:val="single" w:sz="8" w:space="0" w:color="auto"/>
              <w:bottom w:val="single" w:sz="4" w:space="0" w:color="000000"/>
              <w:right w:val="single" w:sz="4" w:space="0" w:color="000000"/>
            </w:tcBorders>
            <w:vAlign w:val="center"/>
            <w:hideMark/>
          </w:tcPr>
          <w:p w:rsidR="00EB68CB" w:rsidRPr="00EB68CB" w:rsidRDefault="00EB68CB" w:rsidP="00D6149C">
            <w:pPr>
              <w:ind w:left="0" w:firstLine="0"/>
              <w:rPr>
                <w:rFonts w:eastAsia="Times New Roman"/>
                <w:color w:val="000000"/>
                <w:sz w:val="20"/>
                <w:szCs w:val="20"/>
                <w:lang w:eastAsia="en-GB"/>
              </w:rPr>
            </w:pPr>
          </w:p>
        </w:tc>
        <w:tc>
          <w:tcPr>
            <w:tcW w:w="2835" w:type="dxa"/>
            <w:tcBorders>
              <w:top w:val="nil"/>
              <w:left w:val="nil"/>
              <w:bottom w:val="single" w:sz="4" w:space="0" w:color="auto"/>
              <w:right w:val="single" w:sz="4" w:space="0" w:color="000000"/>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 </w:t>
            </w:r>
          </w:p>
        </w:tc>
        <w:tc>
          <w:tcPr>
            <w:tcW w:w="2835" w:type="dxa"/>
            <w:tcBorders>
              <w:top w:val="nil"/>
              <w:left w:val="nil"/>
              <w:bottom w:val="single" w:sz="4" w:space="0" w:color="auto"/>
              <w:right w:val="single" w:sz="4" w:space="0" w:color="auto"/>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Provide Database Useage Training</w:t>
            </w:r>
          </w:p>
        </w:tc>
        <w:tc>
          <w:tcPr>
            <w:tcW w:w="2835" w:type="dxa"/>
            <w:tcBorders>
              <w:top w:val="nil"/>
              <w:left w:val="nil"/>
              <w:bottom w:val="single" w:sz="4" w:space="0" w:color="auto"/>
              <w:right w:val="single" w:sz="4" w:space="0" w:color="auto"/>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Provide Database Useage Training</w:t>
            </w:r>
          </w:p>
        </w:tc>
        <w:tc>
          <w:tcPr>
            <w:tcW w:w="2835" w:type="dxa"/>
            <w:tcBorders>
              <w:top w:val="nil"/>
              <w:left w:val="nil"/>
              <w:bottom w:val="single" w:sz="4" w:space="0" w:color="auto"/>
              <w:right w:val="single" w:sz="8" w:space="0" w:color="auto"/>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Provide Database Useage Training</w:t>
            </w:r>
          </w:p>
        </w:tc>
      </w:tr>
      <w:tr w:rsidR="0006198A" w:rsidRPr="00EB68CB" w:rsidTr="000179F0">
        <w:tc>
          <w:tcPr>
            <w:tcW w:w="3175" w:type="dxa"/>
            <w:vMerge w:val="restart"/>
            <w:tcBorders>
              <w:top w:val="single" w:sz="4" w:space="0" w:color="auto"/>
              <w:left w:val="single" w:sz="8" w:space="0" w:color="auto"/>
              <w:bottom w:val="single" w:sz="4" w:space="0" w:color="000000"/>
              <w:right w:val="single" w:sz="4" w:space="0" w:color="000000"/>
            </w:tcBorders>
            <w:shd w:val="clear" w:color="000000" w:fill="DDEBF7"/>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RM Tools</w:t>
            </w:r>
          </w:p>
        </w:tc>
        <w:tc>
          <w:tcPr>
            <w:tcW w:w="2835" w:type="dxa"/>
            <w:tcBorders>
              <w:top w:val="single" w:sz="4" w:space="0" w:color="auto"/>
              <w:left w:val="nil"/>
              <w:bottom w:val="nil"/>
              <w:right w:val="single" w:sz="4" w:space="0" w:color="000000"/>
            </w:tcBorders>
            <w:shd w:val="clear" w:color="000000" w:fill="DDEBF7"/>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 </w:t>
            </w:r>
          </w:p>
        </w:tc>
        <w:tc>
          <w:tcPr>
            <w:tcW w:w="2835" w:type="dxa"/>
            <w:tcBorders>
              <w:top w:val="nil"/>
              <w:left w:val="nil"/>
              <w:bottom w:val="nil"/>
              <w:right w:val="single" w:sz="4" w:space="0" w:color="auto"/>
            </w:tcBorders>
            <w:shd w:val="clear" w:color="000000" w:fill="DDEBF7"/>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Create Template Proposals</w:t>
            </w:r>
          </w:p>
        </w:tc>
        <w:tc>
          <w:tcPr>
            <w:tcW w:w="2835" w:type="dxa"/>
            <w:tcBorders>
              <w:top w:val="nil"/>
              <w:left w:val="nil"/>
              <w:bottom w:val="nil"/>
              <w:right w:val="single" w:sz="4" w:space="0" w:color="auto"/>
            </w:tcBorders>
            <w:shd w:val="clear" w:color="000000" w:fill="DDEBF7"/>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Update &amp; Refine Tools</w:t>
            </w:r>
          </w:p>
        </w:tc>
        <w:tc>
          <w:tcPr>
            <w:tcW w:w="2835" w:type="dxa"/>
            <w:tcBorders>
              <w:top w:val="nil"/>
              <w:left w:val="nil"/>
              <w:bottom w:val="nil"/>
              <w:right w:val="single" w:sz="8" w:space="0" w:color="auto"/>
            </w:tcBorders>
            <w:shd w:val="clear" w:color="000000" w:fill="DDEBF7"/>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Update &amp; Refine Tools</w:t>
            </w:r>
          </w:p>
        </w:tc>
      </w:tr>
      <w:tr w:rsidR="0006198A" w:rsidRPr="00EB68CB" w:rsidTr="000179F0">
        <w:tc>
          <w:tcPr>
            <w:tcW w:w="3175" w:type="dxa"/>
            <w:vMerge/>
            <w:tcBorders>
              <w:top w:val="single" w:sz="4" w:space="0" w:color="auto"/>
              <w:left w:val="single" w:sz="8" w:space="0" w:color="auto"/>
              <w:bottom w:val="single" w:sz="4" w:space="0" w:color="000000"/>
              <w:right w:val="single" w:sz="4" w:space="0" w:color="000000"/>
            </w:tcBorders>
            <w:vAlign w:val="center"/>
            <w:hideMark/>
          </w:tcPr>
          <w:p w:rsidR="00EB68CB" w:rsidRPr="00EB68CB" w:rsidRDefault="00EB68CB" w:rsidP="00D6149C">
            <w:pPr>
              <w:ind w:left="0" w:firstLine="0"/>
              <w:rPr>
                <w:rFonts w:eastAsia="Times New Roman"/>
                <w:color w:val="000000"/>
                <w:sz w:val="20"/>
                <w:szCs w:val="20"/>
                <w:lang w:eastAsia="en-GB"/>
              </w:rPr>
            </w:pPr>
          </w:p>
        </w:tc>
        <w:tc>
          <w:tcPr>
            <w:tcW w:w="2835" w:type="dxa"/>
            <w:tcBorders>
              <w:top w:val="nil"/>
              <w:left w:val="nil"/>
              <w:bottom w:val="single" w:sz="4" w:space="0" w:color="auto"/>
              <w:right w:val="single" w:sz="4" w:space="0" w:color="000000"/>
            </w:tcBorders>
            <w:shd w:val="clear" w:color="000000" w:fill="DDEBF7"/>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 </w:t>
            </w:r>
          </w:p>
        </w:tc>
        <w:tc>
          <w:tcPr>
            <w:tcW w:w="2835" w:type="dxa"/>
            <w:tcBorders>
              <w:top w:val="nil"/>
              <w:left w:val="nil"/>
              <w:bottom w:val="single" w:sz="4" w:space="0" w:color="auto"/>
              <w:right w:val="single" w:sz="4" w:space="0" w:color="auto"/>
            </w:tcBorders>
            <w:shd w:val="clear" w:color="000000" w:fill="DDEBF7"/>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Develop Grant Writing Tips</w:t>
            </w:r>
          </w:p>
        </w:tc>
        <w:tc>
          <w:tcPr>
            <w:tcW w:w="2835" w:type="dxa"/>
            <w:tcBorders>
              <w:top w:val="nil"/>
              <w:left w:val="nil"/>
              <w:bottom w:val="single" w:sz="4" w:space="0" w:color="auto"/>
              <w:right w:val="single" w:sz="4" w:space="0" w:color="auto"/>
            </w:tcBorders>
            <w:shd w:val="clear" w:color="000000" w:fill="DDEBF7"/>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Update &amp; Refine Tools</w:t>
            </w:r>
          </w:p>
        </w:tc>
        <w:tc>
          <w:tcPr>
            <w:tcW w:w="2835" w:type="dxa"/>
            <w:tcBorders>
              <w:top w:val="nil"/>
              <w:left w:val="nil"/>
              <w:bottom w:val="single" w:sz="4" w:space="0" w:color="auto"/>
              <w:right w:val="single" w:sz="8" w:space="0" w:color="auto"/>
            </w:tcBorders>
            <w:shd w:val="clear" w:color="000000" w:fill="DDEBF7"/>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Update &amp; Refine Tools</w:t>
            </w:r>
          </w:p>
        </w:tc>
      </w:tr>
      <w:tr w:rsidR="000179F0" w:rsidRPr="00EB68CB" w:rsidTr="000179F0">
        <w:tc>
          <w:tcPr>
            <w:tcW w:w="3175" w:type="dxa"/>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Training</w:t>
            </w:r>
          </w:p>
        </w:tc>
        <w:tc>
          <w:tcPr>
            <w:tcW w:w="2835" w:type="dxa"/>
            <w:tcBorders>
              <w:top w:val="nil"/>
              <w:left w:val="nil"/>
              <w:bottom w:val="nil"/>
              <w:right w:val="single" w:sz="4" w:space="0" w:color="000000"/>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 </w:t>
            </w:r>
          </w:p>
        </w:tc>
        <w:tc>
          <w:tcPr>
            <w:tcW w:w="2835" w:type="dxa"/>
            <w:tcBorders>
              <w:top w:val="nil"/>
              <w:left w:val="nil"/>
              <w:bottom w:val="nil"/>
              <w:right w:val="single" w:sz="4" w:space="0" w:color="auto"/>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Develop Web-based Training</w:t>
            </w:r>
          </w:p>
        </w:tc>
        <w:tc>
          <w:tcPr>
            <w:tcW w:w="2835" w:type="dxa"/>
            <w:tcBorders>
              <w:top w:val="nil"/>
              <w:left w:val="nil"/>
              <w:bottom w:val="nil"/>
              <w:right w:val="nil"/>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Deliver Annual Training</w:t>
            </w:r>
          </w:p>
        </w:tc>
        <w:tc>
          <w:tcPr>
            <w:tcW w:w="2835" w:type="dxa"/>
            <w:tcBorders>
              <w:top w:val="nil"/>
              <w:left w:val="single" w:sz="4" w:space="0" w:color="auto"/>
              <w:bottom w:val="nil"/>
              <w:right w:val="single" w:sz="8" w:space="0" w:color="auto"/>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Deliver Annual Training</w:t>
            </w:r>
          </w:p>
        </w:tc>
      </w:tr>
      <w:tr w:rsidR="000179F0" w:rsidRPr="00EB68CB" w:rsidTr="000179F0">
        <w:tc>
          <w:tcPr>
            <w:tcW w:w="3175" w:type="dxa"/>
            <w:vMerge/>
            <w:tcBorders>
              <w:top w:val="single" w:sz="4" w:space="0" w:color="auto"/>
              <w:left w:val="single" w:sz="8" w:space="0" w:color="auto"/>
              <w:bottom w:val="single" w:sz="8" w:space="0" w:color="000000"/>
              <w:right w:val="single" w:sz="4" w:space="0" w:color="000000"/>
            </w:tcBorders>
            <w:vAlign w:val="center"/>
            <w:hideMark/>
          </w:tcPr>
          <w:p w:rsidR="00EB68CB" w:rsidRPr="00EB68CB" w:rsidRDefault="00EB68CB" w:rsidP="00D6149C">
            <w:pPr>
              <w:ind w:left="0" w:firstLine="0"/>
              <w:rPr>
                <w:rFonts w:eastAsia="Times New Roman"/>
                <w:color w:val="000000"/>
                <w:sz w:val="20"/>
                <w:szCs w:val="20"/>
                <w:lang w:eastAsia="en-GB"/>
              </w:rPr>
            </w:pPr>
          </w:p>
        </w:tc>
        <w:tc>
          <w:tcPr>
            <w:tcW w:w="2835" w:type="dxa"/>
            <w:tcBorders>
              <w:top w:val="nil"/>
              <w:left w:val="nil"/>
              <w:bottom w:val="nil"/>
              <w:right w:val="single" w:sz="4" w:space="0" w:color="000000"/>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 </w:t>
            </w:r>
          </w:p>
        </w:tc>
        <w:tc>
          <w:tcPr>
            <w:tcW w:w="2835" w:type="dxa"/>
            <w:tcBorders>
              <w:top w:val="nil"/>
              <w:left w:val="nil"/>
              <w:bottom w:val="nil"/>
              <w:right w:val="single" w:sz="4" w:space="0" w:color="auto"/>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 </w:t>
            </w:r>
          </w:p>
        </w:tc>
        <w:tc>
          <w:tcPr>
            <w:tcW w:w="2835" w:type="dxa"/>
            <w:tcBorders>
              <w:top w:val="nil"/>
              <w:left w:val="nil"/>
              <w:bottom w:val="nil"/>
              <w:right w:val="nil"/>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 </w:t>
            </w:r>
          </w:p>
        </w:tc>
        <w:tc>
          <w:tcPr>
            <w:tcW w:w="2835" w:type="dxa"/>
            <w:tcBorders>
              <w:top w:val="nil"/>
              <w:left w:val="single" w:sz="4" w:space="0" w:color="auto"/>
              <w:bottom w:val="nil"/>
              <w:right w:val="single" w:sz="8" w:space="0" w:color="auto"/>
            </w:tcBorders>
            <w:shd w:val="clear" w:color="auto" w:fill="auto"/>
            <w:noWrap/>
            <w:vAlign w:val="center"/>
            <w:hideMark/>
          </w:tcPr>
          <w:p w:rsidR="00EB68CB" w:rsidRPr="00EB68CB" w:rsidRDefault="007A6DA3" w:rsidP="00D6149C">
            <w:pPr>
              <w:ind w:left="0" w:firstLine="0"/>
              <w:rPr>
                <w:rFonts w:eastAsia="Times New Roman"/>
                <w:color w:val="000000"/>
                <w:sz w:val="20"/>
                <w:szCs w:val="20"/>
                <w:lang w:eastAsia="en-GB"/>
              </w:rPr>
            </w:pPr>
            <w:r>
              <w:rPr>
                <w:rFonts w:eastAsia="Times New Roman"/>
                <w:color w:val="000000"/>
                <w:sz w:val="20"/>
                <w:szCs w:val="20"/>
                <w:lang w:eastAsia="en-GB"/>
              </w:rPr>
              <w:t>Conduct T</w:t>
            </w:r>
            <w:r w:rsidR="00EB68CB" w:rsidRPr="00EB68CB">
              <w:rPr>
                <w:rFonts w:eastAsia="Times New Roman"/>
                <w:color w:val="000000"/>
                <w:sz w:val="20"/>
                <w:szCs w:val="20"/>
                <w:lang w:eastAsia="en-GB"/>
              </w:rPr>
              <w:t>rainings at Pre-COPs</w:t>
            </w:r>
          </w:p>
        </w:tc>
      </w:tr>
      <w:tr w:rsidR="000179F0" w:rsidRPr="00EB68CB" w:rsidTr="000179F0">
        <w:tc>
          <w:tcPr>
            <w:tcW w:w="3175" w:type="dxa"/>
            <w:vMerge/>
            <w:tcBorders>
              <w:top w:val="single" w:sz="4" w:space="0" w:color="auto"/>
              <w:left w:val="single" w:sz="8" w:space="0" w:color="auto"/>
              <w:bottom w:val="single" w:sz="8" w:space="0" w:color="000000"/>
              <w:right w:val="single" w:sz="4" w:space="0" w:color="000000"/>
            </w:tcBorders>
            <w:vAlign w:val="center"/>
            <w:hideMark/>
          </w:tcPr>
          <w:p w:rsidR="00EB68CB" w:rsidRPr="00EB68CB" w:rsidRDefault="00EB68CB" w:rsidP="00D6149C">
            <w:pPr>
              <w:ind w:left="0" w:firstLine="0"/>
              <w:rPr>
                <w:rFonts w:eastAsia="Times New Roman"/>
                <w:color w:val="000000"/>
                <w:sz w:val="20"/>
                <w:szCs w:val="20"/>
                <w:lang w:eastAsia="en-GB"/>
              </w:rPr>
            </w:pPr>
          </w:p>
        </w:tc>
        <w:tc>
          <w:tcPr>
            <w:tcW w:w="2835" w:type="dxa"/>
            <w:tcBorders>
              <w:top w:val="nil"/>
              <w:left w:val="nil"/>
              <w:bottom w:val="single" w:sz="8" w:space="0" w:color="auto"/>
              <w:right w:val="single" w:sz="4" w:space="0" w:color="000000"/>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Undertake Baseline Capacity Survey</w:t>
            </w:r>
          </w:p>
        </w:tc>
        <w:tc>
          <w:tcPr>
            <w:tcW w:w="2835" w:type="dxa"/>
            <w:tcBorders>
              <w:top w:val="nil"/>
              <w:left w:val="nil"/>
              <w:bottom w:val="single" w:sz="8" w:space="0" w:color="auto"/>
              <w:right w:val="single" w:sz="4" w:space="0" w:color="auto"/>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 </w:t>
            </w:r>
          </w:p>
        </w:tc>
        <w:tc>
          <w:tcPr>
            <w:tcW w:w="2835" w:type="dxa"/>
            <w:tcBorders>
              <w:top w:val="nil"/>
              <w:left w:val="nil"/>
              <w:bottom w:val="single" w:sz="8" w:space="0" w:color="auto"/>
              <w:right w:val="nil"/>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Follow up Survey Completed</w:t>
            </w:r>
          </w:p>
        </w:tc>
        <w:tc>
          <w:tcPr>
            <w:tcW w:w="2835" w:type="dxa"/>
            <w:tcBorders>
              <w:top w:val="nil"/>
              <w:left w:val="single" w:sz="4" w:space="0" w:color="auto"/>
              <w:bottom w:val="single" w:sz="8" w:space="0" w:color="auto"/>
              <w:right w:val="single" w:sz="8" w:space="0" w:color="auto"/>
            </w:tcBorders>
            <w:shd w:val="clear" w:color="auto" w:fill="auto"/>
            <w:noWrap/>
            <w:vAlign w:val="center"/>
            <w:hideMark/>
          </w:tcPr>
          <w:p w:rsidR="00EB68CB" w:rsidRPr="00EB68CB" w:rsidRDefault="00EB68CB" w:rsidP="00D6149C">
            <w:pPr>
              <w:ind w:left="0" w:firstLine="0"/>
              <w:rPr>
                <w:rFonts w:eastAsia="Times New Roman"/>
                <w:color w:val="000000"/>
                <w:sz w:val="20"/>
                <w:szCs w:val="20"/>
                <w:lang w:eastAsia="en-GB"/>
              </w:rPr>
            </w:pPr>
            <w:r w:rsidRPr="00EB68CB">
              <w:rPr>
                <w:rFonts w:eastAsia="Times New Roman"/>
                <w:color w:val="000000"/>
                <w:sz w:val="20"/>
                <w:szCs w:val="20"/>
                <w:lang w:eastAsia="en-GB"/>
              </w:rPr>
              <w:t> </w:t>
            </w:r>
          </w:p>
        </w:tc>
      </w:tr>
    </w:tbl>
    <w:p w:rsidR="00EB68CB" w:rsidRDefault="00EB68CB" w:rsidP="00EB68CB">
      <w:pPr>
        <w:contextualSpacing/>
        <w:rPr>
          <w:rFonts w:asciiTheme="minorHAnsi" w:eastAsiaTheme="minorHAnsi" w:hAnsiTheme="minorHAnsi" w:cstheme="minorHAnsi"/>
        </w:rPr>
      </w:pPr>
    </w:p>
    <w:sectPr w:rsidR="00EB68CB" w:rsidSect="00E96B1B">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E2" w:rsidRDefault="004809E2" w:rsidP="00DF2386">
      <w:r>
        <w:separator/>
      </w:r>
    </w:p>
  </w:endnote>
  <w:endnote w:type="continuationSeparator" w:id="0">
    <w:p w:rsidR="004809E2" w:rsidRDefault="004809E2"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7972E0" w:rsidP="00E96B1B">
    <w:pPr>
      <w:pStyle w:val="Header"/>
      <w:tabs>
        <w:tab w:val="clear" w:pos="9026"/>
        <w:tab w:val="right" w:pos="9180"/>
      </w:tabs>
      <w:rPr>
        <w:noProof/>
      </w:rPr>
    </w:pPr>
    <w:r w:rsidRPr="007972E0">
      <w:rPr>
        <w:sz w:val="20"/>
        <w:szCs w:val="20"/>
      </w:rPr>
      <w:t>SC54-17</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BB2D40">
          <w:rPr>
            <w:noProof/>
            <w:sz w:val="20"/>
            <w:szCs w:val="20"/>
          </w:rPr>
          <w:t>3</w:t>
        </w:r>
        <w:r w:rsidR="00F73E71" w:rsidRPr="00F344DE">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1B" w:rsidRDefault="00E96B1B" w:rsidP="00E96B1B">
    <w:pPr>
      <w:pStyle w:val="Header"/>
      <w:tabs>
        <w:tab w:val="clear" w:pos="9026"/>
        <w:tab w:val="right" w:pos="14040"/>
      </w:tabs>
      <w:rPr>
        <w:noProof/>
      </w:rPr>
    </w:pPr>
    <w:r w:rsidRPr="007972E0">
      <w:rPr>
        <w:sz w:val="20"/>
        <w:szCs w:val="20"/>
      </w:rPr>
      <w:t>SC54-17</w:t>
    </w:r>
    <w:r>
      <w:tab/>
    </w:r>
    <w:r>
      <w:tab/>
    </w:r>
    <w:sdt>
      <w:sdtPr>
        <w:id w:val="1295647979"/>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BB2D40">
          <w:rPr>
            <w:noProof/>
            <w:sz w:val="20"/>
            <w:szCs w:val="20"/>
          </w:rPr>
          <w:t>5</w:t>
        </w:r>
        <w:r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E2" w:rsidRDefault="004809E2" w:rsidP="00DF2386">
      <w:r>
        <w:separator/>
      </w:r>
    </w:p>
  </w:footnote>
  <w:footnote w:type="continuationSeparator" w:id="0">
    <w:p w:rsidR="004809E2" w:rsidRDefault="004809E2" w:rsidP="00DF2386">
      <w:r>
        <w:continuationSeparator/>
      </w:r>
    </w:p>
  </w:footnote>
  <w:footnote w:id="1">
    <w:p w:rsidR="007972E0" w:rsidRDefault="007972E0">
      <w:pPr>
        <w:pStyle w:val="FootnoteText"/>
      </w:pPr>
      <w:r>
        <w:rPr>
          <w:rStyle w:val="FootnoteReference"/>
        </w:rPr>
        <w:footnoteRef/>
      </w:r>
      <w:r>
        <w:t xml:space="preserve"> </w:t>
      </w:r>
      <w:r w:rsidRPr="007972E0">
        <w:t>www.ramsar.org/document/report-and-decisions-of-the-52nd-meeting-of-the-standing-committee-sc52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F73E71">
    <w:pPr>
      <w:pStyle w:val="Header"/>
    </w:pPr>
  </w:p>
  <w:p w:rsidR="00F73E71" w:rsidRDefault="00F7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61B686A"/>
    <w:multiLevelType w:val="hybridMultilevel"/>
    <w:tmpl w:val="1FD48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45B82876">
      <w:start w:val="1"/>
      <w:numFmt w:val="decimal"/>
      <w:lvlText w:val="%3)"/>
      <w:lvlJc w:val="left"/>
      <w:pPr>
        <w:ind w:left="2340" w:hanging="360"/>
      </w:pPr>
      <w:rPr>
        <w:rFonts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nsid w:val="64B1152F"/>
    <w:multiLevelType w:val="hybridMultilevel"/>
    <w:tmpl w:val="1D26B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847ABF"/>
    <w:multiLevelType w:val="hybridMultilevel"/>
    <w:tmpl w:val="66D8C7B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7E9D26AF"/>
    <w:multiLevelType w:val="hybridMultilevel"/>
    <w:tmpl w:val="1D26B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5"/>
  </w:num>
  <w:num w:numId="13">
    <w:abstractNumId w:val="17"/>
  </w:num>
  <w:num w:numId="14">
    <w:abstractNumId w:val="12"/>
  </w:num>
  <w:num w:numId="15">
    <w:abstractNumId w:val="3"/>
  </w:num>
  <w:num w:numId="16">
    <w:abstractNumId w:val="14"/>
  </w:num>
  <w:num w:numId="17">
    <w:abstractNumId w:val="19"/>
  </w:num>
  <w:num w:numId="18">
    <w:abstractNumId w:val="30"/>
  </w:num>
  <w:num w:numId="19">
    <w:abstractNumId w:val="27"/>
  </w:num>
  <w:num w:numId="20">
    <w:abstractNumId w:val="21"/>
  </w:num>
  <w:num w:numId="21">
    <w:abstractNumId w:val="23"/>
  </w:num>
  <w:num w:numId="22">
    <w:abstractNumId w:val="15"/>
  </w:num>
  <w:num w:numId="23">
    <w:abstractNumId w:val="20"/>
  </w:num>
  <w:num w:numId="24">
    <w:abstractNumId w:val="18"/>
  </w:num>
  <w:num w:numId="25">
    <w:abstractNumId w:val="26"/>
  </w:num>
  <w:num w:numId="26">
    <w:abstractNumId w:val="9"/>
  </w:num>
  <w:num w:numId="27">
    <w:abstractNumId w:val="0"/>
  </w:num>
  <w:num w:numId="28">
    <w:abstractNumId w:val="11"/>
  </w:num>
  <w:num w:numId="29">
    <w:abstractNumId w:val="4"/>
  </w:num>
  <w:num w:numId="30">
    <w:abstractNumId w:val="24"/>
  </w:num>
  <w:num w:numId="31">
    <w:abstractNumId w:val="2"/>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4168"/>
    <w:rsid w:val="000179F0"/>
    <w:rsid w:val="00017A16"/>
    <w:rsid w:val="00026E09"/>
    <w:rsid w:val="00037CE0"/>
    <w:rsid w:val="00053929"/>
    <w:rsid w:val="0006198A"/>
    <w:rsid w:val="00061C9C"/>
    <w:rsid w:val="00074DE8"/>
    <w:rsid w:val="000A3E3E"/>
    <w:rsid w:val="000C2489"/>
    <w:rsid w:val="000D5C76"/>
    <w:rsid w:val="000E2FA0"/>
    <w:rsid w:val="000E47E9"/>
    <w:rsid w:val="0012096C"/>
    <w:rsid w:val="00127828"/>
    <w:rsid w:val="00161BDA"/>
    <w:rsid w:val="00171618"/>
    <w:rsid w:val="001819B1"/>
    <w:rsid w:val="00197D3C"/>
    <w:rsid w:val="001A2D10"/>
    <w:rsid w:val="001C5E41"/>
    <w:rsid w:val="001C77BC"/>
    <w:rsid w:val="001D48BB"/>
    <w:rsid w:val="001E00E3"/>
    <w:rsid w:val="001E2777"/>
    <w:rsid w:val="001F2349"/>
    <w:rsid w:val="002005D2"/>
    <w:rsid w:val="0020298B"/>
    <w:rsid w:val="00206111"/>
    <w:rsid w:val="002137E0"/>
    <w:rsid w:val="0022042A"/>
    <w:rsid w:val="002741AC"/>
    <w:rsid w:val="00275F13"/>
    <w:rsid w:val="002819C0"/>
    <w:rsid w:val="00295556"/>
    <w:rsid w:val="00295BB5"/>
    <w:rsid w:val="002A02DF"/>
    <w:rsid w:val="002A5A4D"/>
    <w:rsid w:val="002B4262"/>
    <w:rsid w:val="002D5A4D"/>
    <w:rsid w:val="002E22AF"/>
    <w:rsid w:val="00305EA1"/>
    <w:rsid w:val="00324398"/>
    <w:rsid w:val="00341A7F"/>
    <w:rsid w:val="00342B68"/>
    <w:rsid w:val="00384FC3"/>
    <w:rsid w:val="003A3804"/>
    <w:rsid w:val="003A52BE"/>
    <w:rsid w:val="003A5866"/>
    <w:rsid w:val="003A6E9F"/>
    <w:rsid w:val="003D4CD6"/>
    <w:rsid w:val="004228C7"/>
    <w:rsid w:val="0042798B"/>
    <w:rsid w:val="00434913"/>
    <w:rsid w:val="004474F8"/>
    <w:rsid w:val="00477550"/>
    <w:rsid w:val="004809E2"/>
    <w:rsid w:val="004844A8"/>
    <w:rsid w:val="00496803"/>
    <w:rsid w:val="004B4D26"/>
    <w:rsid w:val="004B6688"/>
    <w:rsid w:val="0052408D"/>
    <w:rsid w:val="005244A4"/>
    <w:rsid w:val="00527783"/>
    <w:rsid w:val="00553973"/>
    <w:rsid w:val="00553FC9"/>
    <w:rsid w:val="00566F2F"/>
    <w:rsid w:val="005814B5"/>
    <w:rsid w:val="005C445D"/>
    <w:rsid w:val="005D3E9D"/>
    <w:rsid w:val="006256D3"/>
    <w:rsid w:val="00627BB7"/>
    <w:rsid w:val="006305C5"/>
    <w:rsid w:val="00644A13"/>
    <w:rsid w:val="0065136E"/>
    <w:rsid w:val="00652D40"/>
    <w:rsid w:val="00670D71"/>
    <w:rsid w:val="006846BB"/>
    <w:rsid w:val="00694B11"/>
    <w:rsid w:val="006E131B"/>
    <w:rsid w:val="006E7DCE"/>
    <w:rsid w:val="007050FF"/>
    <w:rsid w:val="00752764"/>
    <w:rsid w:val="00754B07"/>
    <w:rsid w:val="00766962"/>
    <w:rsid w:val="00775287"/>
    <w:rsid w:val="0079024D"/>
    <w:rsid w:val="007972E0"/>
    <w:rsid w:val="007A6DA3"/>
    <w:rsid w:val="007B23F9"/>
    <w:rsid w:val="007D33F4"/>
    <w:rsid w:val="007F3ABE"/>
    <w:rsid w:val="007F68AC"/>
    <w:rsid w:val="008328E9"/>
    <w:rsid w:val="00835BCB"/>
    <w:rsid w:val="00835CDC"/>
    <w:rsid w:val="00850B09"/>
    <w:rsid w:val="00863B9D"/>
    <w:rsid w:val="00863BE6"/>
    <w:rsid w:val="008775BC"/>
    <w:rsid w:val="00882F1B"/>
    <w:rsid w:val="008A70CE"/>
    <w:rsid w:val="008C25E4"/>
    <w:rsid w:val="008C2DAE"/>
    <w:rsid w:val="009059A9"/>
    <w:rsid w:val="00906CA3"/>
    <w:rsid w:val="0092515E"/>
    <w:rsid w:val="00942FBD"/>
    <w:rsid w:val="0094770B"/>
    <w:rsid w:val="00961013"/>
    <w:rsid w:val="009B2267"/>
    <w:rsid w:val="009B2CEE"/>
    <w:rsid w:val="009E0AE8"/>
    <w:rsid w:val="009E0D04"/>
    <w:rsid w:val="009E0E77"/>
    <w:rsid w:val="009E5374"/>
    <w:rsid w:val="009F345D"/>
    <w:rsid w:val="009F40B7"/>
    <w:rsid w:val="00A13218"/>
    <w:rsid w:val="00A227A3"/>
    <w:rsid w:val="00A451CF"/>
    <w:rsid w:val="00A474CB"/>
    <w:rsid w:val="00A60B73"/>
    <w:rsid w:val="00A80080"/>
    <w:rsid w:val="00A8221E"/>
    <w:rsid w:val="00AB4951"/>
    <w:rsid w:val="00AC07F6"/>
    <w:rsid w:val="00AC4EEB"/>
    <w:rsid w:val="00B315A0"/>
    <w:rsid w:val="00B34A18"/>
    <w:rsid w:val="00B468CE"/>
    <w:rsid w:val="00B54D17"/>
    <w:rsid w:val="00B579CB"/>
    <w:rsid w:val="00B626CD"/>
    <w:rsid w:val="00B70083"/>
    <w:rsid w:val="00B83F45"/>
    <w:rsid w:val="00BB28F6"/>
    <w:rsid w:val="00BB2D40"/>
    <w:rsid w:val="00BC2609"/>
    <w:rsid w:val="00C13145"/>
    <w:rsid w:val="00C2411D"/>
    <w:rsid w:val="00C7522B"/>
    <w:rsid w:val="00CA412D"/>
    <w:rsid w:val="00CC63F8"/>
    <w:rsid w:val="00CE750F"/>
    <w:rsid w:val="00D160CB"/>
    <w:rsid w:val="00D245A1"/>
    <w:rsid w:val="00D415E2"/>
    <w:rsid w:val="00D42055"/>
    <w:rsid w:val="00D647C3"/>
    <w:rsid w:val="00D7768F"/>
    <w:rsid w:val="00D9633A"/>
    <w:rsid w:val="00DD1AB4"/>
    <w:rsid w:val="00DF2386"/>
    <w:rsid w:val="00DF7FE7"/>
    <w:rsid w:val="00E20712"/>
    <w:rsid w:val="00E337C9"/>
    <w:rsid w:val="00E46367"/>
    <w:rsid w:val="00E63842"/>
    <w:rsid w:val="00E63F0B"/>
    <w:rsid w:val="00E76D2C"/>
    <w:rsid w:val="00E96B1B"/>
    <w:rsid w:val="00EA3A7F"/>
    <w:rsid w:val="00EA54CD"/>
    <w:rsid w:val="00EB68CB"/>
    <w:rsid w:val="00EC4519"/>
    <w:rsid w:val="00EF6365"/>
    <w:rsid w:val="00F078F1"/>
    <w:rsid w:val="00F1199E"/>
    <w:rsid w:val="00F32D03"/>
    <w:rsid w:val="00F344DE"/>
    <w:rsid w:val="00F41860"/>
    <w:rsid w:val="00F73E71"/>
    <w:rsid w:val="00F81B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32037325">
      <w:bodyDiv w:val="1"/>
      <w:marLeft w:val="0"/>
      <w:marRight w:val="0"/>
      <w:marTop w:val="0"/>
      <w:marBottom w:val="0"/>
      <w:divBdr>
        <w:top w:val="none" w:sz="0" w:space="0" w:color="auto"/>
        <w:left w:val="none" w:sz="0" w:space="0" w:color="auto"/>
        <w:bottom w:val="none" w:sz="0" w:space="0" w:color="auto"/>
        <w:right w:val="none" w:sz="0" w:space="0" w:color="auto"/>
      </w:divBdr>
    </w:div>
    <w:div w:id="9645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9ABC-2318-4A3D-9CF2-1F1710EF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1507</Words>
  <Characters>8803</Characters>
  <Application>Microsoft Office Word</Application>
  <DocSecurity>0</DocSecurity>
  <Lines>628</Lines>
  <Paragraphs>687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10</cp:revision>
  <cp:lastPrinted>2018-01-30T10:17:00Z</cp:lastPrinted>
  <dcterms:created xsi:type="dcterms:W3CDTF">2018-01-30T09:38:00Z</dcterms:created>
  <dcterms:modified xsi:type="dcterms:W3CDTF">2018-02-01T15:44:00Z</dcterms:modified>
</cp:coreProperties>
</file>