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74E64" w14:textId="77777777" w:rsidR="0003733D" w:rsidRPr="005F680E" w:rsidRDefault="0003733D" w:rsidP="00BC7FCF">
      <w:pPr>
        <w:pBdr>
          <w:top w:val="single" w:sz="12" w:space="0" w:color="auto" w:shadow="1"/>
          <w:left w:val="single" w:sz="12" w:space="4" w:color="auto" w:shadow="1"/>
          <w:bottom w:val="single" w:sz="12" w:space="1" w:color="auto" w:shadow="1"/>
          <w:right w:val="single" w:sz="12" w:space="7" w:color="auto" w:shadow="1"/>
        </w:pBdr>
        <w:tabs>
          <w:tab w:val="left" w:pos="8789"/>
        </w:tabs>
        <w:spacing w:after="0" w:line="240" w:lineRule="auto"/>
        <w:ind w:right="4490"/>
        <w:rPr>
          <w:rFonts w:asciiTheme="minorHAnsi" w:hAnsiTheme="minorHAnsi" w:cstheme="minorHAnsi"/>
          <w:bCs/>
        </w:rPr>
      </w:pPr>
      <w:r>
        <w:rPr>
          <w:rFonts w:asciiTheme="minorHAnsi" w:hAnsiTheme="minorHAnsi"/>
        </w:rPr>
        <w:t>CONVENTION SUR LES ZONES HUMIDES</w:t>
      </w:r>
    </w:p>
    <w:p w14:paraId="78C70AF9" w14:textId="77777777" w:rsidR="0003733D" w:rsidRPr="005F680E" w:rsidRDefault="0003733D" w:rsidP="00BC7FCF">
      <w:pPr>
        <w:pBdr>
          <w:top w:val="single" w:sz="12" w:space="0" w:color="auto" w:shadow="1"/>
          <w:left w:val="single" w:sz="12" w:space="4" w:color="auto" w:shadow="1"/>
          <w:bottom w:val="single" w:sz="12" w:space="1" w:color="auto" w:shadow="1"/>
          <w:right w:val="single" w:sz="12" w:space="7" w:color="auto" w:shadow="1"/>
        </w:pBdr>
        <w:tabs>
          <w:tab w:val="left" w:pos="8789"/>
        </w:tabs>
        <w:spacing w:after="0" w:line="240" w:lineRule="auto"/>
        <w:ind w:right="4490"/>
        <w:rPr>
          <w:rFonts w:asciiTheme="minorHAnsi" w:hAnsiTheme="minorHAnsi" w:cstheme="minorHAnsi"/>
          <w:bCs/>
        </w:rPr>
      </w:pPr>
      <w:r>
        <w:rPr>
          <w:rFonts w:asciiTheme="minorHAnsi" w:hAnsiTheme="minorHAnsi"/>
        </w:rPr>
        <w:t>62</w:t>
      </w:r>
      <w:r>
        <w:rPr>
          <w:rFonts w:asciiTheme="minorHAnsi" w:hAnsiTheme="minorHAnsi"/>
          <w:vertAlign w:val="superscript"/>
        </w:rPr>
        <w:t>e</w:t>
      </w:r>
      <w:r>
        <w:rPr>
          <w:rFonts w:asciiTheme="minorHAnsi" w:hAnsiTheme="minorHAnsi"/>
        </w:rPr>
        <w:t> réunion du Comité permanent</w:t>
      </w:r>
    </w:p>
    <w:p w14:paraId="06FCD897" w14:textId="77777777" w:rsidR="0003733D" w:rsidRPr="005F680E" w:rsidRDefault="0003733D" w:rsidP="00BC7FCF">
      <w:pPr>
        <w:pBdr>
          <w:top w:val="single" w:sz="12" w:space="0" w:color="auto" w:shadow="1"/>
          <w:left w:val="single" w:sz="12" w:space="4" w:color="auto" w:shadow="1"/>
          <w:bottom w:val="single" w:sz="12" w:space="1" w:color="auto" w:shadow="1"/>
          <w:right w:val="single" w:sz="12" w:space="7" w:color="auto" w:shadow="1"/>
        </w:pBdr>
        <w:tabs>
          <w:tab w:val="left" w:pos="8789"/>
        </w:tabs>
        <w:spacing w:after="0" w:line="240" w:lineRule="auto"/>
        <w:ind w:right="4490"/>
        <w:rPr>
          <w:rFonts w:asciiTheme="minorHAnsi" w:hAnsiTheme="minorHAnsi" w:cstheme="minorHAnsi"/>
          <w:bCs/>
        </w:rPr>
      </w:pPr>
      <w:r>
        <w:rPr>
          <w:rFonts w:asciiTheme="minorHAnsi" w:hAnsiTheme="minorHAnsi"/>
        </w:rPr>
        <w:t>Gland, Suisse, 4 au 8 septembre 2023</w:t>
      </w:r>
    </w:p>
    <w:p w14:paraId="2D0DBC26" w14:textId="77777777" w:rsidR="0003733D" w:rsidRPr="00DC13F2" w:rsidRDefault="0003733D" w:rsidP="00BC7FCF">
      <w:pPr>
        <w:tabs>
          <w:tab w:val="left" w:pos="8789"/>
        </w:tabs>
        <w:spacing w:after="0" w:line="240" w:lineRule="auto"/>
        <w:ind w:right="4490"/>
      </w:pPr>
    </w:p>
    <w:p w14:paraId="02F7C67D" w14:textId="740ECF4D" w:rsidR="0003733D" w:rsidRPr="002F22EE" w:rsidRDefault="0003733D" w:rsidP="00BC7FCF">
      <w:pPr>
        <w:spacing w:after="0" w:line="240" w:lineRule="auto"/>
        <w:jc w:val="right"/>
        <w:rPr>
          <w:rFonts w:asciiTheme="minorHAnsi" w:hAnsiTheme="minorHAnsi" w:cstheme="minorHAnsi"/>
          <w:b/>
          <w:sz w:val="28"/>
          <w:szCs w:val="28"/>
        </w:rPr>
      </w:pPr>
      <w:r>
        <w:rPr>
          <w:rFonts w:asciiTheme="minorHAnsi" w:hAnsiTheme="minorHAnsi"/>
          <w:b/>
          <w:sz w:val="28"/>
        </w:rPr>
        <w:t>SC62 Doc.16.2</w:t>
      </w:r>
    </w:p>
    <w:p w14:paraId="7686643A" w14:textId="77777777" w:rsidR="0003733D" w:rsidRPr="00DC13F2" w:rsidRDefault="0003733D" w:rsidP="00BC7FCF">
      <w:pPr>
        <w:spacing w:after="0" w:line="240" w:lineRule="auto"/>
        <w:jc w:val="center"/>
        <w:rPr>
          <w:rFonts w:asciiTheme="minorHAnsi" w:hAnsiTheme="minorHAnsi" w:cstheme="minorHAnsi"/>
          <w:bCs/>
        </w:rPr>
      </w:pPr>
    </w:p>
    <w:p w14:paraId="3273EC26" w14:textId="46480D8A" w:rsidR="0003733D" w:rsidRPr="0003733D" w:rsidRDefault="0003733D" w:rsidP="00BC7FCF">
      <w:pPr>
        <w:spacing w:after="0" w:line="240" w:lineRule="auto"/>
        <w:jc w:val="center"/>
        <w:rPr>
          <w:rFonts w:asciiTheme="minorHAnsi" w:hAnsiTheme="minorHAnsi" w:cstheme="minorHAnsi"/>
          <w:b/>
          <w:bCs/>
          <w:sz w:val="28"/>
          <w:szCs w:val="28"/>
        </w:rPr>
      </w:pPr>
      <w:bookmarkStart w:id="0" w:name="_GoBack"/>
      <w:r>
        <w:rPr>
          <w:rFonts w:asciiTheme="minorHAnsi" w:hAnsiTheme="minorHAnsi"/>
          <w:b/>
          <w:sz w:val="28"/>
        </w:rPr>
        <w:t xml:space="preserve">Communication, renforcement des capacités, éducation, </w:t>
      </w:r>
      <w:r w:rsidR="00DC13F2">
        <w:rPr>
          <w:rFonts w:asciiTheme="minorHAnsi" w:hAnsiTheme="minorHAnsi"/>
          <w:b/>
          <w:sz w:val="28"/>
        </w:rPr>
        <w:br/>
      </w:r>
      <w:r>
        <w:rPr>
          <w:rFonts w:asciiTheme="minorHAnsi" w:hAnsiTheme="minorHAnsi"/>
          <w:b/>
          <w:sz w:val="28"/>
        </w:rPr>
        <w:t>sensibilisation et participation (CESP) :</w:t>
      </w:r>
    </w:p>
    <w:p w14:paraId="01EBB504" w14:textId="52B083E5" w:rsidR="001E2F37" w:rsidRPr="005B43FD" w:rsidRDefault="00A611BF" w:rsidP="00BC7FCF">
      <w:pPr>
        <w:spacing w:after="0" w:line="240" w:lineRule="auto"/>
        <w:jc w:val="center"/>
        <w:rPr>
          <w:rFonts w:asciiTheme="minorHAnsi" w:hAnsiTheme="minorHAnsi" w:cstheme="minorHAnsi"/>
          <w:b/>
          <w:bCs/>
          <w:sz w:val="28"/>
          <w:szCs w:val="28"/>
        </w:rPr>
      </w:pPr>
      <w:r>
        <w:rPr>
          <w:rFonts w:asciiTheme="minorHAnsi" w:hAnsiTheme="minorHAnsi"/>
          <w:b/>
          <w:sz w:val="28"/>
        </w:rPr>
        <w:t>Plan de travail du Groupe de surveillance des activités de CESP</w:t>
      </w:r>
      <w:r w:rsidR="00A361E3">
        <w:rPr>
          <w:rFonts w:asciiTheme="minorHAnsi" w:hAnsiTheme="minorHAnsi"/>
          <w:b/>
          <w:sz w:val="28"/>
        </w:rPr>
        <w:t xml:space="preserve"> </w:t>
      </w:r>
      <w:r w:rsidR="00A361E3">
        <w:rPr>
          <w:rFonts w:asciiTheme="minorHAnsi" w:hAnsiTheme="minorHAnsi"/>
          <w:b/>
          <w:sz w:val="28"/>
        </w:rPr>
        <w:br/>
      </w:r>
      <w:r w:rsidR="00A361E3" w:rsidRPr="00A361E3">
        <w:rPr>
          <w:rFonts w:asciiTheme="minorHAnsi" w:hAnsiTheme="minorHAnsi"/>
          <w:b/>
          <w:sz w:val="28"/>
        </w:rPr>
        <w:t>pour</w:t>
      </w:r>
      <w:r>
        <w:rPr>
          <w:rFonts w:asciiTheme="minorHAnsi" w:hAnsiTheme="minorHAnsi"/>
          <w:b/>
          <w:sz w:val="28"/>
        </w:rPr>
        <w:t xml:space="preserve"> 2023-2025</w:t>
      </w:r>
    </w:p>
    <w:bookmarkEnd w:id="0"/>
    <w:p w14:paraId="7C8D4929" w14:textId="07FD660C" w:rsidR="005B43FD" w:rsidRDefault="005B43FD" w:rsidP="00BC7FCF">
      <w:pPr>
        <w:spacing w:after="0" w:line="240" w:lineRule="auto"/>
      </w:pPr>
    </w:p>
    <w:p w14:paraId="1F4092EF" w14:textId="772AC8BA" w:rsidR="00BC7FCF" w:rsidRDefault="00BC7FCF" w:rsidP="00BC7FCF">
      <w:pPr>
        <w:spacing w:after="0" w:line="240" w:lineRule="auto"/>
      </w:pPr>
      <w:r>
        <w:rPr>
          <w:rFonts w:asciiTheme="minorHAnsi" w:hAnsiTheme="minorHAnsi"/>
          <w:b/>
          <w:noProof/>
          <w:sz w:val="28"/>
          <w:lang w:val="en-GB" w:eastAsia="en-GB"/>
        </w:rPr>
        <mc:AlternateContent>
          <mc:Choice Requires="wps">
            <w:drawing>
              <wp:inline distT="0" distB="0" distL="0" distR="0" wp14:anchorId="3F639243" wp14:editId="5FEAF02E">
                <wp:extent cx="5731510" cy="939800"/>
                <wp:effectExtent l="0" t="0" r="2159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39800"/>
                        </a:xfrm>
                        <a:prstGeom prst="rect">
                          <a:avLst/>
                        </a:prstGeom>
                        <a:solidFill>
                          <a:srgbClr val="FFFFFF"/>
                        </a:solidFill>
                        <a:ln w="9525">
                          <a:solidFill>
                            <a:srgbClr val="000000"/>
                          </a:solidFill>
                          <a:miter lim="800000"/>
                          <a:headEnd/>
                          <a:tailEnd/>
                        </a:ln>
                      </wps:spPr>
                      <wps:txbx>
                        <w:txbxContent>
                          <w:p w14:paraId="1F34F344" w14:textId="77777777" w:rsidR="00490BC2" w:rsidRPr="000E637A" w:rsidRDefault="00490BC2" w:rsidP="00490BC2">
                            <w:pPr>
                              <w:spacing w:after="0" w:line="240" w:lineRule="auto"/>
                              <w:rPr>
                                <w:rFonts w:asciiTheme="minorHAnsi" w:hAnsiTheme="minorHAnsi" w:cstheme="minorHAnsi"/>
                                <w:b/>
                              </w:rPr>
                            </w:pPr>
                            <w:r>
                              <w:rPr>
                                <w:rFonts w:asciiTheme="minorHAnsi" w:hAnsiTheme="minorHAnsi"/>
                                <w:b/>
                              </w:rPr>
                              <w:t>Mesure requise :</w:t>
                            </w:r>
                          </w:p>
                          <w:p w14:paraId="4D65463B" w14:textId="77777777" w:rsidR="00490BC2" w:rsidRDefault="00490BC2" w:rsidP="00490BC2">
                            <w:pPr>
                              <w:pStyle w:val="ColorfulList-Accent11"/>
                              <w:ind w:left="0"/>
                            </w:pPr>
                          </w:p>
                          <w:p w14:paraId="57036F6D" w14:textId="25AED090" w:rsidR="00490BC2" w:rsidRDefault="00490BC2" w:rsidP="00490BC2">
                            <w:pPr>
                              <w:pStyle w:val="ColorfulList-Accent11"/>
                              <w:ind w:left="0" w:firstLine="0"/>
                            </w:pPr>
                            <w:r>
                              <w:t>Le Comité permanent est invité à prendre note du plan de travail du Groupe de surveillance des activités de CESP pour la période 2023-2025.</w:t>
                            </w:r>
                          </w:p>
                          <w:p w14:paraId="64AA9BE8" w14:textId="77777777" w:rsidR="00BC7FCF" w:rsidRDefault="00BC7FCF" w:rsidP="00490BC2">
                            <w:pPr>
                              <w:pStyle w:val="ColorfulList-Accent11"/>
                              <w:ind w:left="0" w:firstLine="0"/>
                              <w:rPr>
                                <w:rFonts w:asciiTheme="minorHAnsi" w:hAnsiTheme="minorHAnsi" w:cstheme="minorHAnsi"/>
                              </w:rPr>
                            </w:pPr>
                          </w:p>
                          <w:p w14:paraId="2CE631C3" w14:textId="77777777" w:rsidR="00BC7FCF" w:rsidRPr="007F7F60" w:rsidRDefault="00BC7FCF" w:rsidP="00BC7FCF">
                            <w:pPr>
                              <w:rPr>
                                <w:rFonts w:asciiTheme="minorHAnsi" w:hAnsiTheme="minorHAnsi" w:cstheme="minorHAnsi"/>
                              </w:rPr>
                            </w:pPr>
                          </w:p>
                        </w:txbxContent>
                      </wps:txbx>
                      <wps:bodyPr rot="0" vert="horz" wrap="square" lIns="91440" tIns="45720" rIns="91440" bIns="45720" anchor="t" anchorCtr="0">
                        <a:noAutofit/>
                      </wps:bodyPr>
                    </wps:wsp>
                  </a:graphicData>
                </a:graphic>
              </wp:inline>
            </w:drawing>
          </mc:Choice>
          <mc:Fallback>
            <w:pict>
              <v:shapetype w14:anchorId="3F639243" id="_x0000_t202" coordsize="21600,21600" o:spt="202" path="m,l,21600r21600,l21600,xe">
                <v:stroke joinstyle="miter"/>
                <v:path gradientshapeok="t" o:connecttype="rect"/>
              </v:shapetype>
              <v:shape id="Text Box 2" o:spid="_x0000_s1026" type="#_x0000_t202" style="width:451.3pt;height: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">
                <v:textbox>
                  <w:txbxContent>
                    <w:p w14:paraId="1F34F344" w14:textId="77777777" w:rsidR="00490BC2" w:rsidRPr="000E637A" w:rsidRDefault="00490BC2" w:rsidP="00490BC2">
                      <w:pPr>
                        <w:spacing w:after="0" w:line="240" w:lineRule="auto"/>
                        <w:rPr>
                          <w:rFonts w:asciiTheme="minorHAnsi" w:hAnsiTheme="minorHAnsi" w:cstheme="minorHAnsi"/>
                          <w:b/>
                        </w:rPr>
                      </w:pPr>
                      <w:r>
                        <w:rPr>
                          <w:rFonts w:asciiTheme="minorHAnsi" w:hAnsiTheme="minorHAnsi"/>
                          <w:b/>
                        </w:rPr>
                        <w:t>Mesure requise :</w:t>
                      </w:r>
                    </w:p>
                    <w:p w14:paraId="4D65463B" w14:textId="77777777" w:rsidR="00490BC2" w:rsidRDefault="00490BC2" w:rsidP="00490BC2">
                      <w:pPr>
                        <w:pStyle w:val="ColorfulList-Accent11"/>
                        <w:ind w:left="0"/>
                      </w:pPr>
                    </w:p>
                    <w:p w14:paraId="57036F6D" w14:textId="25AED090" w:rsidR="00490BC2" w:rsidRDefault="00490BC2" w:rsidP="00490BC2">
                      <w:pPr>
                        <w:pStyle w:val="ColorfulList-Accent11"/>
                        <w:ind w:left="0" w:firstLine="0"/>
                      </w:pPr>
                      <w:r>
                        <w:t>Le Comité permanent est invité à prendre note du plan de travail du Groupe de surveillance des activités de CESP pour la période 2023-2025.</w:t>
                      </w:r>
                    </w:p>
                    <w:p w14:paraId="64AA9BE8" w14:textId="77777777" w:rsidR="00BC7FCF" w:rsidRDefault="00BC7FCF" w:rsidP="00490BC2">
                      <w:pPr>
                        <w:pStyle w:val="ColorfulList-Accent11"/>
                        <w:ind w:left="0" w:firstLine="0"/>
                        <w:rPr>
                          <w:rFonts w:asciiTheme="minorHAnsi" w:hAnsiTheme="minorHAnsi" w:cstheme="minorHAnsi"/>
                        </w:rPr>
                      </w:pPr>
                    </w:p>
                    <w:p w14:paraId="2CE631C3" w14:textId="77777777" w:rsidR="00BC7FCF" w:rsidRPr="007F7F60" w:rsidRDefault="00BC7FCF" w:rsidP="00BC7FCF">
                      <w:pPr>
                        <w:rPr>
                          <w:rFonts w:asciiTheme="minorHAnsi" w:hAnsiTheme="minorHAnsi" w:cstheme="minorHAnsi"/>
                        </w:rPr>
                      </w:pPr>
                    </w:p>
                  </w:txbxContent>
                </v:textbox>
                <w10:anchorlock/>
              </v:shape>
            </w:pict>
          </mc:Fallback>
        </mc:AlternateContent>
      </w:r>
    </w:p>
    <w:p w14:paraId="4290F156" w14:textId="26BB4325" w:rsidR="005B43FD" w:rsidRDefault="005B43FD" w:rsidP="00BC7FCF">
      <w:pPr>
        <w:spacing w:after="0" w:line="240" w:lineRule="auto"/>
      </w:pPr>
    </w:p>
    <w:p w14:paraId="790BA2A7" w14:textId="77777777" w:rsidR="00490BC2" w:rsidRDefault="00490BC2" w:rsidP="00BC7FCF">
      <w:pPr>
        <w:spacing w:after="0" w:line="240" w:lineRule="auto"/>
      </w:pPr>
    </w:p>
    <w:p w14:paraId="157D71C1" w14:textId="67AD8AAE" w:rsidR="007954C4" w:rsidRDefault="005B43FD" w:rsidP="00BC7FCF">
      <w:pPr>
        <w:spacing w:after="0" w:line="240" w:lineRule="auto"/>
        <w:ind w:left="426" w:hanging="426"/>
        <w:rPr>
          <w:rFonts w:asciiTheme="minorHAnsi" w:hAnsiTheme="minorHAnsi" w:cstheme="minorHAnsi"/>
        </w:rPr>
      </w:pPr>
      <w:r>
        <w:rPr>
          <w:rFonts w:asciiTheme="minorHAnsi" w:hAnsiTheme="minorHAnsi"/>
        </w:rPr>
        <w:t>1.</w:t>
      </w:r>
      <w:r>
        <w:rPr>
          <w:rFonts w:asciiTheme="minorHAnsi" w:hAnsiTheme="minorHAnsi"/>
        </w:rPr>
        <w:tab/>
        <w:t>Le Groupe de surveillance des activités de CESP de la Convention sur les zones humides (GS</w:t>
      </w:r>
      <w:r w:rsidR="00654702">
        <w:rPr>
          <w:rFonts w:asciiTheme="minorHAnsi" w:hAnsiTheme="minorHAnsi"/>
        </w:rPr>
        <w:t> </w:t>
      </w:r>
      <w:r>
        <w:rPr>
          <w:rFonts w:asciiTheme="minorHAnsi" w:hAnsiTheme="minorHAnsi"/>
        </w:rPr>
        <w:t>CESP) s’est réuni début 2023 et a élaboré un plan de travail à présenter à la 62</w:t>
      </w:r>
      <w:r>
        <w:rPr>
          <w:rFonts w:asciiTheme="minorHAnsi" w:hAnsiTheme="minorHAnsi"/>
          <w:vertAlign w:val="superscript"/>
        </w:rPr>
        <w:t>e</w:t>
      </w:r>
      <w:r>
        <w:rPr>
          <w:rFonts w:asciiTheme="minorHAnsi" w:hAnsiTheme="minorHAnsi"/>
        </w:rPr>
        <w:t xml:space="preserve"> réunion du Comité permanent (SC62) à titre informatif, conformément aux instructions du paragraphe 11 de la Résolution XIV.8 sur </w:t>
      </w:r>
      <w:r>
        <w:rPr>
          <w:rFonts w:asciiTheme="minorHAnsi" w:hAnsiTheme="minorHAnsi"/>
          <w:i/>
        </w:rPr>
        <w:t>La nouvelle approche de la CESP</w:t>
      </w:r>
      <w:r>
        <w:rPr>
          <w:rFonts w:asciiTheme="minorHAnsi" w:hAnsiTheme="minorHAnsi"/>
        </w:rPr>
        <w:t xml:space="preserve">, ce plan de travail ayant pour objectif de guider les activités du Groupe pendant la période triennale, jusqu’à la COP15 en 2025. </w:t>
      </w:r>
    </w:p>
    <w:p w14:paraId="4A12C60E" w14:textId="77777777" w:rsidR="007954C4" w:rsidRDefault="007954C4" w:rsidP="00BC7FCF">
      <w:pPr>
        <w:spacing w:after="0" w:line="240" w:lineRule="auto"/>
        <w:ind w:left="426" w:hanging="426"/>
        <w:rPr>
          <w:rFonts w:asciiTheme="minorHAnsi" w:hAnsiTheme="minorHAnsi" w:cstheme="minorHAnsi"/>
        </w:rPr>
      </w:pPr>
    </w:p>
    <w:p w14:paraId="4A8C0FCD" w14:textId="1BE902A5" w:rsidR="00A611BF" w:rsidRDefault="007954C4" w:rsidP="00BC7FCF">
      <w:pPr>
        <w:spacing w:after="0" w:line="240" w:lineRule="auto"/>
        <w:ind w:left="426" w:hanging="426"/>
        <w:rPr>
          <w:rFonts w:asciiTheme="minorHAnsi" w:hAnsiTheme="minorHAnsi" w:cstheme="minorHAnsi"/>
        </w:rPr>
      </w:pPr>
      <w:r>
        <w:rPr>
          <w:rFonts w:asciiTheme="minorHAnsi" w:hAnsiTheme="minorHAnsi"/>
        </w:rPr>
        <w:t>2.</w:t>
      </w:r>
      <w:r>
        <w:rPr>
          <w:rFonts w:asciiTheme="minorHAnsi" w:hAnsiTheme="minorHAnsi"/>
        </w:rPr>
        <w:tab/>
        <w:t>Le plan de travail, qui figure en annexe 1 du présent document, se base sur la nouvelle approche de la CESP identifiée dans la Résolution XIV.8 adoptée lors de la COP14 à Wuhan et à Genève ; il vise à mettre en œuvre les principes de base de cette nouvelle approche, qui sont de prioriser et de simplifier les activités, de mieux s’aligner sur le Plan stratégique, et de renforcer l’efficacité du programme de CESP dans l’ensemble des organes de la Convention.</w:t>
      </w:r>
    </w:p>
    <w:p w14:paraId="725649F4" w14:textId="77777777" w:rsidR="005B43FD" w:rsidRPr="005B43FD" w:rsidRDefault="005B43FD" w:rsidP="00BC7FCF">
      <w:pPr>
        <w:spacing w:after="0" w:line="240" w:lineRule="auto"/>
        <w:ind w:left="426" w:hanging="426"/>
        <w:rPr>
          <w:rFonts w:asciiTheme="minorHAnsi" w:hAnsiTheme="minorHAnsi" w:cstheme="minorHAnsi"/>
        </w:rPr>
      </w:pPr>
    </w:p>
    <w:p w14:paraId="6600052F" w14:textId="77777777" w:rsidR="0003733D" w:rsidRDefault="0003733D" w:rsidP="00BC7FCF">
      <w:pPr>
        <w:spacing w:after="0" w:line="240" w:lineRule="auto"/>
        <w:sectPr w:rsidR="0003733D" w:rsidSect="0003733D">
          <w:pgSz w:w="11906" w:h="16838"/>
          <w:pgMar w:top="1440" w:right="1440" w:bottom="1440" w:left="1440" w:header="708" w:footer="708" w:gutter="0"/>
          <w:cols w:space="708"/>
          <w:docGrid w:linePitch="360"/>
        </w:sectPr>
      </w:pPr>
    </w:p>
    <w:p w14:paraId="1386A103" w14:textId="258D5306" w:rsidR="00A611BF" w:rsidRPr="005B43FD" w:rsidRDefault="005B43FD" w:rsidP="00BC7FCF">
      <w:pPr>
        <w:spacing w:after="0" w:line="240" w:lineRule="auto"/>
        <w:rPr>
          <w:rFonts w:asciiTheme="minorHAnsi" w:hAnsiTheme="minorHAnsi" w:cstheme="minorHAnsi"/>
          <w:b/>
          <w:sz w:val="24"/>
          <w:szCs w:val="24"/>
        </w:rPr>
      </w:pPr>
      <w:r>
        <w:rPr>
          <w:rFonts w:asciiTheme="minorHAnsi" w:hAnsiTheme="minorHAnsi"/>
          <w:b/>
          <w:sz w:val="24"/>
        </w:rPr>
        <w:lastRenderedPageBreak/>
        <w:t>Annexe 1</w:t>
      </w:r>
    </w:p>
    <w:p w14:paraId="682F3E20" w14:textId="77777777" w:rsidR="005B43FD" w:rsidRPr="005B43FD" w:rsidRDefault="005B43FD" w:rsidP="00BC7FCF">
      <w:pPr>
        <w:spacing w:after="0" w:line="240" w:lineRule="auto"/>
        <w:rPr>
          <w:rFonts w:asciiTheme="minorHAnsi" w:hAnsiTheme="minorHAnsi" w:cstheme="minorHAnsi"/>
          <w:b/>
          <w:bCs/>
          <w:sz w:val="24"/>
          <w:szCs w:val="24"/>
        </w:rPr>
      </w:pPr>
      <w:r>
        <w:rPr>
          <w:rFonts w:asciiTheme="minorHAnsi" w:hAnsiTheme="minorHAnsi"/>
          <w:b/>
          <w:sz w:val="24"/>
        </w:rPr>
        <w:t>Plan de travail du Groupe de surveillance des activités de CESP, 2023-2025</w:t>
      </w:r>
    </w:p>
    <w:p w14:paraId="39B6D21D" w14:textId="37F6ABAC" w:rsidR="005B43FD" w:rsidRDefault="005B43FD" w:rsidP="00BC7FCF">
      <w:pPr>
        <w:spacing w:after="0" w:line="240" w:lineRule="auto"/>
      </w:pPr>
    </w:p>
    <w:p w14:paraId="0D24C279" w14:textId="6CB25143" w:rsidR="00BC7FCF" w:rsidRDefault="00BC7FCF" w:rsidP="00BC7FCF">
      <w:pPr>
        <w:spacing w:after="0" w:line="240" w:lineRule="aut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701"/>
        <w:gridCol w:w="4536"/>
        <w:gridCol w:w="1774"/>
        <w:gridCol w:w="591"/>
        <w:gridCol w:w="592"/>
        <w:gridCol w:w="592"/>
        <w:gridCol w:w="592"/>
        <w:gridCol w:w="592"/>
        <w:gridCol w:w="592"/>
        <w:gridCol w:w="592"/>
        <w:gridCol w:w="592"/>
        <w:gridCol w:w="592"/>
        <w:gridCol w:w="592"/>
      </w:tblGrid>
      <w:tr w:rsidR="00050464" w:rsidRPr="00BC7FCF" w14:paraId="76D5B8F3" w14:textId="77777777" w:rsidTr="00A361E3">
        <w:trPr>
          <w:cantSplit/>
          <w:tblHeader/>
        </w:trPr>
        <w:tc>
          <w:tcPr>
            <w:tcW w:w="1701" w:type="dxa"/>
            <w:vMerge w:val="restart"/>
            <w:tcBorders>
              <w:right w:val="single" w:sz="4" w:space="0" w:color="auto"/>
            </w:tcBorders>
            <w:tcMar>
              <w:top w:w="0" w:type="dxa"/>
              <w:left w:w="45" w:type="dxa"/>
              <w:bottom w:w="0" w:type="dxa"/>
              <w:right w:w="45" w:type="dxa"/>
            </w:tcMar>
            <w:vAlign w:val="center"/>
            <w:hideMark/>
          </w:tcPr>
          <w:p w14:paraId="2EDBBEB1" w14:textId="285A5AA7" w:rsidR="00050464" w:rsidRPr="00BC7FCF" w:rsidRDefault="00050464" w:rsidP="00050464">
            <w:pPr>
              <w:spacing w:after="0" w:line="240" w:lineRule="auto"/>
              <w:jc w:val="center"/>
              <w:rPr>
                <w:rFonts w:asciiTheme="minorHAnsi" w:eastAsia="Times New Roman" w:hAnsiTheme="minorHAnsi" w:cstheme="minorHAnsi"/>
              </w:rPr>
            </w:pPr>
            <w:r>
              <w:rPr>
                <w:rFonts w:asciiTheme="minorHAnsi" w:hAnsiTheme="minorHAnsi"/>
                <w:b/>
              </w:rPr>
              <w:t>Domaine de travail</w:t>
            </w:r>
          </w:p>
        </w:tc>
        <w:tc>
          <w:tcPr>
            <w:tcW w:w="4536" w:type="dxa"/>
            <w:vMerge w:val="restart"/>
            <w:tcBorders>
              <w:left w:val="single" w:sz="4" w:space="0" w:color="auto"/>
              <w:right w:val="single" w:sz="4" w:space="0" w:color="auto"/>
            </w:tcBorders>
            <w:tcMar>
              <w:top w:w="0" w:type="dxa"/>
              <w:left w:w="45" w:type="dxa"/>
              <w:bottom w:w="0" w:type="dxa"/>
              <w:right w:w="45" w:type="dxa"/>
            </w:tcMar>
            <w:vAlign w:val="center"/>
            <w:hideMark/>
          </w:tcPr>
          <w:p w14:paraId="3F2F5488" w14:textId="5588C05C" w:rsidR="00050464" w:rsidRPr="00BC7FCF" w:rsidRDefault="00050464" w:rsidP="00050464">
            <w:pPr>
              <w:spacing w:after="0" w:line="240" w:lineRule="auto"/>
              <w:jc w:val="center"/>
              <w:rPr>
                <w:rFonts w:asciiTheme="minorHAnsi" w:eastAsia="Times New Roman" w:hAnsiTheme="minorHAnsi" w:cstheme="minorHAnsi"/>
              </w:rPr>
            </w:pPr>
            <w:r>
              <w:rPr>
                <w:rFonts w:asciiTheme="minorHAnsi" w:hAnsiTheme="minorHAnsi"/>
                <w:b/>
              </w:rPr>
              <w:t>Tâches</w:t>
            </w:r>
          </w:p>
        </w:tc>
        <w:tc>
          <w:tcPr>
            <w:tcW w:w="1774" w:type="dxa"/>
            <w:vMerge w:val="restart"/>
            <w:tcBorders>
              <w:left w:val="single" w:sz="4" w:space="0" w:color="auto"/>
              <w:right w:val="single" w:sz="4" w:space="0" w:color="auto"/>
            </w:tcBorders>
            <w:tcMar>
              <w:top w:w="0" w:type="dxa"/>
              <w:left w:w="45" w:type="dxa"/>
              <w:bottom w:w="0" w:type="dxa"/>
              <w:right w:w="45" w:type="dxa"/>
            </w:tcMar>
            <w:vAlign w:val="center"/>
            <w:hideMark/>
          </w:tcPr>
          <w:p w14:paraId="15CAC325" w14:textId="1313ECA2" w:rsidR="00050464" w:rsidRPr="00BC7FCF" w:rsidRDefault="00050464" w:rsidP="00050464">
            <w:pPr>
              <w:spacing w:after="0" w:line="240" w:lineRule="auto"/>
              <w:jc w:val="center"/>
              <w:rPr>
                <w:rFonts w:asciiTheme="minorHAnsi" w:eastAsia="Times New Roman" w:hAnsiTheme="minorHAnsi" w:cstheme="minorHAnsi"/>
              </w:rPr>
            </w:pPr>
            <w:r>
              <w:rPr>
                <w:rFonts w:asciiTheme="minorHAnsi" w:hAnsiTheme="minorHAnsi"/>
                <w:b/>
              </w:rPr>
              <w:t>Responsable / notes</w:t>
            </w:r>
            <w:r w:rsidRPr="00BC7FCF">
              <w:rPr>
                <w:rStyle w:val="FootnoteReference"/>
                <w:rFonts w:asciiTheme="minorHAnsi" w:eastAsia="Times New Roman" w:hAnsiTheme="minorHAnsi" w:cstheme="minorHAnsi"/>
                <w:b/>
                <w:bCs/>
              </w:rPr>
              <w:footnoteReference w:id="1"/>
            </w:r>
          </w:p>
        </w:tc>
        <w:tc>
          <w:tcPr>
            <w:tcW w:w="5919" w:type="dxa"/>
            <w:gridSpan w:val="10"/>
            <w:tcBorders>
              <w:left w:val="single" w:sz="4" w:space="0" w:color="auto"/>
            </w:tcBorders>
            <w:tcMar>
              <w:top w:w="0" w:type="dxa"/>
              <w:left w:w="45" w:type="dxa"/>
              <w:bottom w:w="0" w:type="dxa"/>
              <w:right w:w="45" w:type="dxa"/>
            </w:tcMar>
            <w:vAlign w:val="bottom"/>
            <w:hideMark/>
          </w:tcPr>
          <w:p w14:paraId="4D2A9CFF" w14:textId="68A9CCC2" w:rsidR="00050464" w:rsidRPr="00BC7FCF" w:rsidRDefault="00050464" w:rsidP="00BC7FCF">
            <w:pPr>
              <w:spacing w:after="0" w:line="240" w:lineRule="auto"/>
              <w:jc w:val="center"/>
              <w:rPr>
                <w:rFonts w:asciiTheme="minorHAnsi" w:eastAsia="Times New Roman" w:hAnsiTheme="minorHAnsi" w:cstheme="minorHAnsi"/>
              </w:rPr>
            </w:pPr>
            <w:r>
              <w:rPr>
                <w:rFonts w:asciiTheme="minorHAnsi" w:hAnsiTheme="minorHAnsi"/>
                <w:b/>
              </w:rPr>
              <w:t>Dates</w:t>
            </w:r>
          </w:p>
        </w:tc>
      </w:tr>
      <w:tr w:rsidR="0087303C" w:rsidRPr="00BC7FCF" w14:paraId="2CEFDCB1" w14:textId="77777777" w:rsidTr="00A361E3">
        <w:trPr>
          <w:cantSplit/>
          <w:tblHeader/>
        </w:trPr>
        <w:tc>
          <w:tcPr>
            <w:tcW w:w="1701" w:type="dxa"/>
            <w:vMerge/>
            <w:tcBorders>
              <w:top w:val="single" w:sz="4" w:space="0" w:color="auto"/>
              <w:right w:val="single" w:sz="4" w:space="0" w:color="auto"/>
            </w:tcBorders>
            <w:tcMar>
              <w:top w:w="0" w:type="dxa"/>
              <w:left w:w="45" w:type="dxa"/>
              <w:bottom w:w="0" w:type="dxa"/>
              <w:right w:w="45" w:type="dxa"/>
            </w:tcMar>
            <w:vAlign w:val="center"/>
            <w:hideMark/>
          </w:tcPr>
          <w:p w14:paraId="00254C13" w14:textId="2860E5BD" w:rsidR="00050464" w:rsidRPr="00BC7FCF" w:rsidRDefault="00050464" w:rsidP="00BC7FCF">
            <w:pPr>
              <w:spacing w:after="0" w:line="240" w:lineRule="auto"/>
              <w:jc w:val="center"/>
              <w:rPr>
                <w:rFonts w:asciiTheme="minorHAnsi" w:eastAsia="Times New Roman" w:hAnsiTheme="minorHAnsi" w:cstheme="minorHAnsi"/>
                <w:b/>
                <w:bCs/>
              </w:rPr>
            </w:pPr>
          </w:p>
        </w:tc>
        <w:tc>
          <w:tcPr>
            <w:tcW w:w="4536" w:type="dxa"/>
            <w:vMerge/>
            <w:tcBorders>
              <w:top w:val="single" w:sz="4" w:space="0" w:color="auto"/>
              <w:left w:val="single" w:sz="4" w:space="0" w:color="auto"/>
              <w:right w:val="single" w:sz="4" w:space="0" w:color="auto"/>
            </w:tcBorders>
            <w:tcMar>
              <w:top w:w="0" w:type="dxa"/>
              <w:left w:w="45" w:type="dxa"/>
              <w:bottom w:w="0" w:type="dxa"/>
              <w:right w:w="45" w:type="dxa"/>
            </w:tcMar>
            <w:vAlign w:val="center"/>
            <w:hideMark/>
          </w:tcPr>
          <w:p w14:paraId="31E429E1" w14:textId="16083FEA" w:rsidR="00050464" w:rsidRPr="00BC7FCF" w:rsidRDefault="00050464" w:rsidP="00BC7FCF">
            <w:pPr>
              <w:spacing w:after="0" w:line="240" w:lineRule="auto"/>
              <w:jc w:val="center"/>
              <w:rPr>
                <w:rFonts w:asciiTheme="minorHAnsi" w:eastAsia="Times New Roman" w:hAnsiTheme="minorHAnsi" w:cstheme="minorHAnsi"/>
                <w:b/>
                <w:bCs/>
              </w:rPr>
            </w:pPr>
          </w:p>
        </w:tc>
        <w:tc>
          <w:tcPr>
            <w:tcW w:w="1774" w:type="dxa"/>
            <w:vMerge/>
            <w:tcBorders>
              <w:top w:val="single" w:sz="4" w:space="0" w:color="auto"/>
              <w:left w:val="single" w:sz="4" w:space="0" w:color="auto"/>
            </w:tcBorders>
            <w:tcMar>
              <w:top w:w="0" w:type="dxa"/>
              <w:left w:w="45" w:type="dxa"/>
              <w:bottom w:w="0" w:type="dxa"/>
              <w:right w:w="45" w:type="dxa"/>
            </w:tcMar>
            <w:vAlign w:val="center"/>
            <w:hideMark/>
          </w:tcPr>
          <w:p w14:paraId="19276054" w14:textId="4E50E5E7" w:rsidR="00050464" w:rsidRPr="00BC7FCF" w:rsidRDefault="00050464" w:rsidP="00BC7FCF">
            <w:pPr>
              <w:spacing w:after="0" w:line="240" w:lineRule="auto"/>
              <w:jc w:val="center"/>
              <w:rPr>
                <w:rFonts w:asciiTheme="minorHAnsi" w:eastAsia="Times New Roman" w:hAnsiTheme="minorHAnsi" w:cstheme="minorHAnsi"/>
                <w:b/>
                <w:bCs/>
              </w:rPr>
            </w:pPr>
          </w:p>
        </w:tc>
        <w:tc>
          <w:tcPr>
            <w:tcW w:w="591" w:type="dxa"/>
            <w:tcMar>
              <w:top w:w="0" w:type="dxa"/>
              <w:left w:w="45" w:type="dxa"/>
              <w:bottom w:w="0" w:type="dxa"/>
              <w:right w:w="45" w:type="dxa"/>
            </w:tcMar>
            <w:vAlign w:val="center"/>
            <w:hideMark/>
          </w:tcPr>
          <w:p w14:paraId="16A7323C" w14:textId="77777777" w:rsidR="00050464" w:rsidRPr="00BC7FCF" w:rsidRDefault="00050464" w:rsidP="00BC7FCF">
            <w:pPr>
              <w:spacing w:after="0" w:line="240" w:lineRule="auto"/>
              <w:jc w:val="center"/>
              <w:rPr>
                <w:rFonts w:asciiTheme="minorHAnsi" w:eastAsia="Times New Roman" w:hAnsiTheme="minorHAnsi" w:cstheme="minorHAnsi"/>
                <w:b/>
                <w:bCs/>
              </w:rPr>
            </w:pPr>
            <w:r>
              <w:rPr>
                <w:rFonts w:asciiTheme="minorHAnsi" w:hAnsiTheme="minorHAnsi"/>
                <w:b/>
              </w:rPr>
              <w:t>2023 T2</w:t>
            </w:r>
          </w:p>
        </w:tc>
        <w:tc>
          <w:tcPr>
            <w:tcW w:w="592" w:type="dxa"/>
            <w:tcMar>
              <w:top w:w="0" w:type="dxa"/>
              <w:left w:w="45" w:type="dxa"/>
              <w:bottom w:w="0" w:type="dxa"/>
              <w:right w:w="45" w:type="dxa"/>
            </w:tcMar>
            <w:vAlign w:val="center"/>
            <w:hideMark/>
          </w:tcPr>
          <w:p w14:paraId="273EF8B9" w14:textId="77777777" w:rsidR="00050464" w:rsidRPr="00BC7FCF" w:rsidRDefault="00050464" w:rsidP="00BC7FCF">
            <w:pPr>
              <w:spacing w:after="0" w:line="240" w:lineRule="auto"/>
              <w:jc w:val="center"/>
              <w:rPr>
                <w:rFonts w:asciiTheme="minorHAnsi" w:eastAsia="Times New Roman" w:hAnsiTheme="minorHAnsi" w:cstheme="minorHAnsi"/>
                <w:b/>
                <w:bCs/>
              </w:rPr>
            </w:pPr>
            <w:r>
              <w:rPr>
                <w:rFonts w:asciiTheme="minorHAnsi" w:hAnsiTheme="minorHAnsi"/>
                <w:b/>
              </w:rPr>
              <w:t>2023 T3</w:t>
            </w:r>
          </w:p>
        </w:tc>
        <w:tc>
          <w:tcPr>
            <w:tcW w:w="592" w:type="dxa"/>
            <w:tcMar>
              <w:top w:w="0" w:type="dxa"/>
              <w:left w:w="45" w:type="dxa"/>
              <w:bottom w:w="0" w:type="dxa"/>
              <w:right w:w="45" w:type="dxa"/>
            </w:tcMar>
            <w:vAlign w:val="center"/>
            <w:hideMark/>
          </w:tcPr>
          <w:p w14:paraId="35D88B47" w14:textId="77777777" w:rsidR="00050464" w:rsidRPr="00BC7FCF" w:rsidRDefault="00050464" w:rsidP="00BC7FCF">
            <w:pPr>
              <w:spacing w:after="0" w:line="240" w:lineRule="auto"/>
              <w:jc w:val="center"/>
              <w:rPr>
                <w:rFonts w:asciiTheme="minorHAnsi" w:eastAsia="Times New Roman" w:hAnsiTheme="minorHAnsi" w:cstheme="minorHAnsi"/>
                <w:b/>
                <w:bCs/>
              </w:rPr>
            </w:pPr>
            <w:r>
              <w:rPr>
                <w:rFonts w:asciiTheme="minorHAnsi" w:hAnsiTheme="minorHAnsi"/>
                <w:b/>
              </w:rPr>
              <w:t>2023 T4</w:t>
            </w:r>
          </w:p>
        </w:tc>
        <w:tc>
          <w:tcPr>
            <w:tcW w:w="592" w:type="dxa"/>
            <w:tcMar>
              <w:top w:w="0" w:type="dxa"/>
              <w:left w:w="45" w:type="dxa"/>
              <w:bottom w:w="0" w:type="dxa"/>
              <w:right w:w="45" w:type="dxa"/>
            </w:tcMar>
            <w:vAlign w:val="center"/>
            <w:hideMark/>
          </w:tcPr>
          <w:p w14:paraId="4F63F3DD" w14:textId="77777777" w:rsidR="00050464" w:rsidRPr="00BC7FCF" w:rsidRDefault="00050464" w:rsidP="00BC7FCF">
            <w:pPr>
              <w:spacing w:after="0" w:line="240" w:lineRule="auto"/>
              <w:jc w:val="center"/>
              <w:rPr>
                <w:rFonts w:asciiTheme="minorHAnsi" w:eastAsia="Times New Roman" w:hAnsiTheme="minorHAnsi" w:cstheme="minorHAnsi"/>
                <w:b/>
                <w:bCs/>
              </w:rPr>
            </w:pPr>
            <w:r>
              <w:rPr>
                <w:rFonts w:asciiTheme="minorHAnsi" w:hAnsiTheme="minorHAnsi"/>
                <w:b/>
              </w:rPr>
              <w:t>2024 T1</w:t>
            </w:r>
          </w:p>
        </w:tc>
        <w:tc>
          <w:tcPr>
            <w:tcW w:w="592" w:type="dxa"/>
            <w:tcMar>
              <w:top w:w="0" w:type="dxa"/>
              <w:left w:w="45" w:type="dxa"/>
              <w:bottom w:w="0" w:type="dxa"/>
              <w:right w:w="45" w:type="dxa"/>
            </w:tcMar>
            <w:vAlign w:val="center"/>
            <w:hideMark/>
          </w:tcPr>
          <w:p w14:paraId="488F53A8" w14:textId="77777777" w:rsidR="00050464" w:rsidRPr="00BC7FCF" w:rsidRDefault="00050464" w:rsidP="00BC7FCF">
            <w:pPr>
              <w:spacing w:after="0" w:line="240" w:lineRule="auto"/>
              <w:jc w:val="center"/>
              <w:rPr>
                <w:rFonts w:asciiTheme="minorHAnsi" w:eastAsia="Times New Roman" w:hAnsiTheme="minorHAnsi" w:cstheme="minorHAnsi"/>
                <w:b/>
                <w:bCs/>
              </w:rPr>
            </w:pPr>
            <w:r>
              <w:rPr>
                <w:rFonts w:asciiTheme="minorHAnsi" w:hAnsiTheme="minorHAnsi"/>
                <w:b/>
              </w:rPr>
              <w:t>2024 T2</w:t>
            </w:r>
          </w:p>
        </w:tc>
        <w:tc>
          <w:tcPr>
            <w:tcW w:w="592" w:type="dxa"/>
            <w:tcMar>
              <w:top w:w="0" w:type="dxa"/>
              <w:left w:w="45" w:type="dxa"/>
              <w:bottom w:w="0" w:type="dxa"/>
              <w:right w:w="45" w:type="dxa"/>
            </w:tcMar>
            <w:vAlign w:val="center"/>
            <w:hideMark/>
          </w:tcPr>
          <w:p w14:paraId="3D891CDD" w14:textId="77777777" w:rsidR="00050464" w:rsidRPr="00BC7FCF" w:rsidRDefault="00050464" w:rsidP="00BC7FCF">
            <w:pPr>
              <w:spacing w:after="0" w:line="240" w:lineRule="auto"/>
              <w:jc w:val="center"/>
              <w:rPr>
                <w:rFonts w:asciiTheme="minorHAnsi" w:eastAsia="Times New Roman" w:hAnsiTheme="minorHAnsi" w:cstheme="minorHAnsi"/>
                <w:b/>
                <w:bCs/>
              </w:rPr>
            </w:pPr>
            <w:r>
              <w:rPr>
                <w:rFonts w:asciiTheme="minorHAnsi" w:hAnsiTheme="minorHAnsi"/>
                <w:b/>
              </w:rPr>
              <w:t>2024 T3</w:t>
            </w:r>
          </w:p>
        </w:tc>
        <w:tc>
          <w:tcPr>
            <w:tcW w:w="592" w:type="dxa"/>
            <w:tcMar>
              <w:top w:w="0" w:type="dxa"/>
              <w:left w:w="45" w:type="dxa"/>
              <w:bottom w:w="0" w:type="dxa"/>
              <w:right w:w="45" w:type="dxa"/>
            </w:tcMar>
            <w:vAlign w:val="center"/>
            <w:hideMark/>
          </w:tcPr>
          <w:p w14:paraId="5025130A" w14:textId="77777777" w:rsidR="00050464" w:rsidRPr="00BC7FCF" w:rsidRDefault="00050464" w:rsidP="00BC7FCF">
            <w:pPr>
              <w:spacing w:after="0" w:line="240" w:lineRule="auto"/>
              <w:jc w:val="center"/>
              <w:rPr>
                <w:rFonts w:asciiTheme="minorHAnsi" w:eastAsia="Times New Roman" w:hAnsiTheme="minorHAnsi" w:cstheme="minorHAnsi"/>
                <w:b/>
                <w:bCs/>
              </w:rPr>
            </w:pPr>
            <w:r>
              <w:rPr>
                <w:rFonts w:asciiTheme="minorHAnsi" w:hAnsiTheme="minorHAnsi"/>
                <w:b/>
              </w:rPr>
              <w:t>2024 T4</w:t>
            </w:r>
          </w:p>
        </w:tc>
        <w:tc>
          <w:tcPr>
            <w:tcW w:w="592" w:type="dxa"/>
            <w:tcMar>
              <w:top w:w="0" w:type="dxa"/>
              <w:left w:w="45" w:type="dxa"/>
              <w:bottom w:w="0" w:type="dxa"/>
              <w:right w:w="45" w:type="dxa"/>
            </w:tcMar>
            <w:vAlign w:val="center"/>
            <w:hideMark/>
          </w:tcPr>
          <w:p w14:paraId="39584EC9" w14:textId="7EC58EA4" w:rsidR="00050464" w:rsidRPr="00BC7FCF" w:rsidRDefault="00050464" w:rsidP="00BC7FCF">
            <w:pPr>
              <w:spacing w:after="0" w:line="240" w:lineRule="auto"/>
              <w:jc w:val="center"/>
              <w:rPr>
                <w:rFonts w:asciiTheme="minorHAnsi" w:eastAsia="Times New Roman" w:hAnsiTheme="minorHAnsi" w:cstheme="minorHAnsi"/>
                <w:b/>
                <w:bCs/>
              </w:rPr>
            </w:pPr>
            <w:r>
              <w:rPr>
                <w:rFonts w:asciiTheme="minorHAnsi" w:hAnsiTheme="minorHAnsi"/>
                <w:b/>
              </w:rPr>
              <w:t>2025 T1</w:t>
            </w:r>
          </w:p>
        </w:tc>
        <w:tc>
          <w:tcPr>
            <w:tcW w:w="592" w:type="dxa"/>
            <w:tcMar>
              <w:top w:w="0" w:type="dxa"/>
              <w:left w:w="45" w:type="dxa"/>
              <w:bottom w:w="0" w:type="dxa"/>
              <w:right w:w="45" w:type="dxa"/>
            </w:tcMar>
            <w:vAlign w:val="center"/>
            <w:hideMark/>
          </w:tcPr>
          <w:p w14:paraId="0BD33AEE" w14:textId="77777777" w:rsidR="00050464" w:rsidRPr="00BC7FCF" w:rsidRDefault="00050464" w:rsidP="00BC7FCF">
            <w:pPr>
              <w:spacing w:after="0" w:line="240" w:lineRule="auto"/>
              <w:jc w:val="center"/>
              <w:rPr>
                <w:rFonts w:asciiTheme="minorHAnsi" w:eastAsia="Times New Roman" w:hAnsiTheme="minorHAnsi" w:cstheme="minorHAnsi"/>
                <w:b/>
                <w:bCs/>
              </w:rPr>
            </w:pPr>
            <w:r>
              <w:rPr>
                <w:rFonts w:asciiTheme="minorHAnsi" w:hAnsiTheme="minorHAnsi"/>
                <w:b/>
              </w:rPr>
              <w:t>2025 T2</w:t>
            </w:r>
          </w:p>
        </w:tc>
        <w:tc>
          <w:tcPr>
            <w:tcW w:w="592" w:type="dxa"/>
            <w:tcMar>
              <w:top w:w="0" w:type="dxa"/>
              <w:left w:w="45" w:type="dxa"/>
              <w:bottom w:w="0" w:type="dxa"/>
              <w:right w:w="45" w:type="dxa"/>
            </w:tcMar>
            <w:vAlign w:val="center"/>
            <w:hideMark/>
          </w:tcPr>
          <w:p w14:paraId="418881FF" w14:textId="77777777" w:rsidR="00050464" w:rsidRPr="00BC7FCF" w:rsidRDefault="00050464" w:rsidP="00BC7FCF">
            <w:pPr>
              <w:spacing w:after="0" w:line="240" w:lineRule="auto"/>
              <w:jc w:val="center"/>
              <w:rPr>
                <w:rFonts w:asciiTheme="minorHAnsi" w:eastAsia="Times New Roman" w:hAnsiTheme="minorHAnsi" w:cstheme="minorHAnsi"/>
                <w:b/>
                <w:bCs/>
              </w:rPr>
            </w:pPr>
            <w:r>
              <w:rPr>
                <w:rFonts w:asciiTheme="minorHAnsi" w:hAnsiTheme="minorHAnsi"/>
                <w:b/>
              </w:rPr>
              <w:t>2025 T3</w:t>
            </w:r>
          </w:p>
        </w:tc>
      </w:tr>
      <w:tr w:rsidR="0087303C" w:rsidRPr="00BC7FCF" w14:paraId="3DE76772" w14:textId="77777777" w:rsidTr="00A361E3">
        <w:trPr>
          <w:cantSplit/>
        </w:trPr>
        <w:tc>
          <w:tcPr>
            <w:tcW w:w="1701" w:type="dxa"/>
            <w:tcMar>
              <w:top w:w="0" w:type="dxa"/>
              <w:left w:w="45" w:type="dxa"/>
              <w:bottom w:w="0" w:type="dxa"/>
              <w:right w:w="45" w:type="dxa"/>
            </w:tcMar>
            <w:hideMark/>
          </w:tcPr>
          <w:p w14:paraId="08F24FF7" w14:textId="77777777"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Création d’un plan de travail pour le GS CESP</w:t>
            </w:r>
          </w:p>
        </w:tc>
        <w:tc>
          <w:tcPr>
            <w:tcW w:w="4536" w:type="dxa"/>
            <w:tcMar>
              <w:top w:w="0" w:type="dxa"/>
              <w:left w:w="45" w:type="dxa"/>
              <w:bottom w:w="0" w:type="dxa"/>
              <w:right w:w="45" w:type="dxa"/>
            </w:tcMar>
            <w:hideMark/>
          </w:tcPr>
          <w:p w14:paraId="52F26C27" w14:textId="1E3227C2"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Le sous-groupe élabore un plan de travail pour la période 2023-2025</w:t>
            </w:r>
          </w:p>
        </w:tc>
        <w:tc>
          <w:tcPr>
            <w:tcW w:w="1774" w:type="dxa"/>
            <w:tcMar>
              <w:top w:w="0" w:type="dxa"/>
              <w:left w:w="45" w:type="dxa"/>
              <w:bottom w:w="0" w:type="dxa"/>
              <w:right w:w="45" w:type="dxa"/>
            </w:tcMar>
            <w:hideMark/>
          </w:tcPr>
          <w:p w14:paraId="392C0190" w14:textId="77777777"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TM ; CR ; Groupe de travail</w:t>
            </w:r>
          </w:p>
        </w:tc>
        <w:tc>
          <w:tcPr>
            <w:tcW w:w="591" w:type="dxa"/>
            <w:shd w:val="clear" w:color="auto" w:fill="FFFF00"/>
            <w:tcMar>
              <w:top w:w="0" w:type="dxa"/>
              <w:left w:w="45" w:type="dxa"/>
              <w:bottom w:w="0" w:type="dxa"/>
              <w:right w:w="45" w:type="dxa"/>
            </w:tcMar>
            <w:vAlign w:val="bottom"/>
            <w:hideMark/>
          </w:tcPr>
          <w:p w14:paraId="6844D2A4"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3351DBE9"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666E368F"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2D2FFFA4"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256EFB70"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2DB0CEC1"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72F89E7F"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46E56CEA"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6A9033BB"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391D8E43" w14:textId="77777777" w:rsidR="00BC7FCF" w:rsidRPr="00BC7FCF" w:rsidRDefault="00BC7FCF" w:rsidP="00BC7FCF">
            <w:pPr>
              <w:spacing w:after="0" w:line="240" w:lineRule="auto"/>
              <w:rPr>
                <w:rFonts w:asciiTheme="minorHAnsi" w:eastAsia="Times New Roman" w:hAnsiTheme="minorHAnsi" w:cstheme="minorHAnsi"/>
              </w:rPr>
            </w:pPr>
          </w:p>
        </w:tc>
      </w:tr>
      <w:tr w:rsidR="0087303C" w:rsidRPr="00BC7FCF" w14:paraId="34A6A62E" w14:textId="77777777" w:rsidTr="00A361E3">
        <w:trPr>
          <w:cantSplit/>
        </w:trPr>
        <w:tc>
          <w:tcPr>
            <w:tcW w:w="1701" w:type="dxa"/>
            <w:tcMar>
              <w:top w:w="0" w:type="dxa"/>
              <w:left w:w="45" w:type="dxa"/>
              <w:bottom w:w="0" w:type="dxa"/>
              <w:right w:w="45" w:type="dxa"/>
            </w:tcMar>
            <w:hideMark/>
          </w:tcPr>
          <w:p w14:paraId="717868B6" w14:textId="3904F1B4"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 xml:space="preserve">Examen des résolutions liées à la CESP </w:t>
            </w:r>
          </w:p>
        </w:tc>
        <w:tc>
          <w:tcPr>
            <w:tcW w:w="4536" w:type="dxa"/>
            <w:tcMar>
              <w:top w:w="0" w:type="dxa"/>
              <w:left w:w="45" w:type="dxa"/>
              <w:bottom w:w="0" w:type="dxa"/>
              <w:right w:w="45" w:type="dxa"/>
            </w:tcMar>
            <w:hideMark/>
          </w:tcPr>
          <w:p w14:paraId="33560854" w14:textId="4E104FA3" w:rsidR="00BC7FCF" w:rsidRPr="00BC7FCF" w:rsidRDefault="00BC7FCF" w:rsidP="0087303C">
            <w:pPr>
              <w:spacing w:after="0" w:line="240" w:lineRule="auto"/>
              <w:rPr>
                <w:rFonts w:asciiTheme="minorHAnsi" w:eastAsia="Times New Roman" w:hAnsiTheme="minorHAnsi" w:cstheme="minorHAnsi"/>
              </w:rPr>
            </w:pPr>
            <w:r>
              <w:rPr>
                <w:rFonts w:asciiTheme="minorHAnsi" w:hAnsiTheme="minorHAnsi"/>
              </w:rPr>
              <w:t xml:space="preserve">Examiner la documentation existante pour identifier les principales responsabilités et activités, notamment la Résolution XIV.8 sur </w:t>
            </w:r>
            <w:r>
              <w:rPr>
                <w:rFonts w:asciiTheme="minorHAnsi" w:hAnsiTheme="minorHAnsi"/>
                <w:i/>
                <w:iCs/>
              </w:rPr>
              <w:t>La nouvelle approche de la CESP</w:t>
            </w:r>
            <w:r>
              <w:rPr>
                <w:rFonts w:asciiTheme="minorHAnsi" w:hAnsiTheme="minorHAnsi"/>
              </w:rPr>
              <w:t xml:space="preserve"> et la Résolution XII.9 originale sur la CESP</w:t>
            </w:r>
          </w:p>
        </w:tc>
        <w:tc>
          <w:tcPr>
            <w:tcW w:w="1774" w:type="dxa"/>
            <w:tcMar>
              <w:top w:w="0" w:type="dxa"/>
              <w:left w:w="45" w:type="dxa"/>
              <w:bottom w:w="0" w:type="dxa"/>
              <w:right w:w="45" w:type="dxa"/>
            </w:tcMar>
            <w:hideMark/>
          </w:tcPr>
          <w:p w14:paraId="068A3BE3" w14:textId="77777777"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GS CESP</w:t>
            </w:r>
          </w:p>
        </w:tc>
        <w:tc>
          <w:tcPr>
            <w:tcW w:w="591" w:type="dxa"/>
            <w:shd w:val="clear" w:color="auto" w:fill="FFFF00"/>
            <w:tcMar>
              <w:top w:w="0" w:type="dxa"/>
              <w:left w:w="45" w:type="dxa"/>
              <w:bottom w:w="0" w:type="dxa"/>
              <w:right w:w="45" w:type="dxa"/>
            </w:tcMar>
            <w:vAlign w:val="bottom"/>
            <w:hideMark/>
          </w:tcPr>
          <w:p w14:paraId="00281DE1"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1E0EECE0"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3DA20054"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0AF36C2A"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37892BF9"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2468C973"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6304FA05"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50F88954"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69B92A7D"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7F9FE87B" w14:textId="77777777" w:rsidR="00BC7FCF" w:rsidRPr="00BC7FCF" w:rsidRDefault="00BC7FCF" w:rsidP="00BC7FCF">
            <w:pPr>
              <w:spacing w:after="0" w:line="240" w:lineRule="auto"/>
              <w:rPr>
                <w:rFonts w:asciiTheme="minorHAnsi" w:eastAsia="Times New Roman" w:hAnsiTheme="minorHAnsi" w:cstheme="minorHAnsi"/>
              </w:rPr>
            </w:pPr>
          </w:p>
        </w:tc>
      </w:tr>
      <w:tr w:rsidR="0087303C" w:rsidRPr="00BC7FCF" w14:paraId="28D327FD" w14:textId="77777777" w:rsidTr="00A361E3">
        <w:trPr>
          <w:cantSplit/>
        </w:trPr>
        <w:tc>
          <w:tcPr>
            <w:tcW w:w="1701" w:type="dxa"/>
            <w:tcMar>
              <w:top w:w="0" w:type="dxa"/>
              <w:left w:w="45" w:type="dxa"/>
              <w:bottom w:w="0" w:type="dxa"/>
              <w:right w:w="45" w:type="dxa"/>
            </w:tcMar>
            <w:hideMark/>
          </w:tcPr>
          <w:p w14:paraId="7841F0F9" w14:textId="77777777"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Soumission d’un rapport à la SC62</w:t>
            </w:r>
          </w:p>
        </w:tc>
        <w:tc>
          <w:tcPr>
            <w:tcW w:w="4536" w:type="dxa"/>
            <w:tcMar>
              <w:top w:w="0" w:type="dxa"/>
              <w:left w:w="45" w:type="dxa"/>
              <w:bottom w:w="0" w:type="dxa"/>
              <w:right w:w="45" w:type="dxa"/>
            </w:tcMar>
            <w:hideMark/>
          </w:tcPr>
          <w:p w14:paraId="14C67E7D" w14:textId="7778326D"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Premier rapport sur l’état d’avancement du GS CESP à l’intention de la SC62</w:t>
            </w:r>
          </w:p>
        </w:tc>
        <w:tc>
          <w:tcPr>
            <w:tcW w:w="1774" w:type="dxa"/>
            <w:tcMar>
              <w:top w:w="0" w:type="dxa"/>
              <w:left w:w="45" w:type="dxa"/>
              <w:bottom w:w="0" w:type="dxa"/>
              <w:right w:w="45" w:type="dxa"/>
            </w:tcMar>
            <w:hideMark/>
          </w:tcPr>
          <w:p w14:paraId="1DEF48F8" w14:textId="77777777"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TM ; CR</w:t>
            </w:r>
          </w:p>
        </w:tc>
        <w:tc>
          <w:tcPr>
            <w:tcW w:w="591" w:type="dxa"/>
            <w:shd w:val="clear" w:color="auto" w:fill="FFFF00"/>
            <w:tcMar>
              <w:top w:w="0" w:type="dxa"/>
              <w:left w:w="45" w:type="dxa"/>
              <w:bottom w:w="0" w:type="dxa"/>
              <w:right w:w="45" w:type="dxa"/>
            </w:tcMar>
            <w:vAlign w:val="bottom"/>
            <w:hideMark/>
          </w:tcPr>
          <w:p w14:paraId="7FCF1779"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46C484CD"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7C279272"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152A27C9"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0D4513FA"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2E1C1C03"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076B6FCB"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3FAC63E9"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5381BF14"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338C4F83" w14:textId="77777777" w:rsidR="00BC7FCF" w:rsidRPr="00BC7FCF" w:rsidRDefault="00BC7FCF" w:rsidP="00BC7FCF">
            <w:pPr>
              <w:spacing w:after="0" w:line="240" w:lineRule="auto"/>
              <w:rPr>
                <w:rFonts w:asciiTheme="minorHAnsi" w:eastAsia="Times New Roman" w:hAnsiTheme="minorHAnsi" w:cstheme="minorHAnsi"/>
              </w:rPr>
            </w:pPr>
          </w:p>
        </w:tc>
      </w:tr>
      <w:tr w:rsidR="0087303C" w:rsidRPr="00BC7FCF" w14:paraId="70F74792" w14:textId="77777777" w:rsidTr="00A361E3">
        <w:trPr>
          <w:cantSplit/>
        </w:trPr>
        <w:tc>
          <w:tcPr>
            <w:tcW w:w="1701" w:type="dxa"/>
            <w:tcMar>
              <w:top w:w="0" w:type="dxa"/>
              <w:left w:w="45" w:type="dxa"/>
              <w:bottom w:w="0" w:type="dxa"/>
              <w:right w:w="45" w:type="dxa"/>
            </w:tcMar>
            <w:hideMark/>
          </w:tcPr>
          <w:p w14:paraId="47B1CEC1" w14:textId="77777777"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Réunions régulières en ligne du GS CESP</w:t>
            </w:r>
          </w:p>
        </w:tc>
        <w:tc>
          <w:tcPr>
            <w:tcW w:w="4536" w:type="dxa"/>
            <w:tcMar>
              <w:top w:w="0" w:type="dxa"/>
              <w:left w:w="45" w:type="dxa"/>
              <w:bottom w:w="0" w:type="dxa"/>
              <w:right w:w="45" w:type="dxa"/>
            </w:tcMar>
            <w:hideMark/>
          </w:tcPr>
          <w:p w14:paraId="0B55A4A6" w14:textId="62CBFA0D"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Réunions trimestrielles du GS CESP, avec l’ajout d’équipes supplémentaires pour certaines tâches spécifiques. Étudier l’option d’une réunion en présentiel, si le budget le permet</w:t>
            </w:r>
          </w:p>
        </w:tc>
        <w:tc>
          <w:tcPr>
            <w:tcW w:w="1774" w:type="dxa"/>
            <w:tcMar>
              <w:top w:w="0" w:type="dxa"/>
              <w:left w:w="45" w:type="dxa"/>
              <w:bottom w:w="0" w:type="dxa"/>
              <w:right w:w="45" w:type="dxa"/>
            </w:tcMar>
            <w:hideMark/>
          </w:tcPr>
          <w:p w14:paraId="6F9A224F" w14:textId="77777777"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TM ; CR ; Secrétariat</w:t>
            </w:r>
          </w:p>
        </w:tc>
        <w:tc>
          <w:tcPr>
            <w:tcW w:w="591" w:type="dxa"/>
            <w:shd w:val="clear" w:color="auto" w:fill="FFFF00"/>
            <w:tcMar>
              <w:top w:w="0" w:type="dxa"/>
              <w:left w:w="45" w:type="dxa"/>
              <w:bottom w:w="0" w:type="dxa"/>
              <w:right w:w="45" w:type="dxa"/>
            </w:tcMar>
            <w:vAlign w:val="bottom"/>
            <w:hideMark/>
          </w:tcPr>
          <w:p w14:paraId="07231EC6"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69603EF6"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2C5C4394"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6A9940EE"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145CE532"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4AD176DF"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60CA1C55"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44ADC21E"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58FCDF8D"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7818F837" w14:textId="77777777" w:rsidR="00BC7FCF" w:rsidRPr="00BC7FCF" w:rsidRDefault="00BC7FCF" w:rsidP="00BC7FCF">
            <w:pPr>
              <w:spacing w:after="0" w:line="240" w:lineRule="auto"/>
              <w:rPr>
                <w:rFonts w:asciiTheme="minorHAnsi" w:eastAsia="Times New Roman" w:hAnsiTheme="minorHAnsi" w:cstheme="minorHAnsi"/>
              </w:rPr>
            </w:pPr>
          </w:p>
        </w:tc>
      </w:tr>
      <w:tr w:rsidR="0087303C" w:rsidRPr="00BC7FCF" w14:paraId="3D9D9678" w14:textId="77777777" w:rsidTr="00A361E3">
        <w:trPr>
          <w:cantSplit/>
        </w:trPr>
        <w:tc>
          <w:tcPr>
            <w:tcW w:w="1701" w:type="dxa"/>
            <w:vMerge w:val="restart"/>
            <w:tcMar>
              <w:top w:w="0" w:type="dxa"/>
              <w:left w:w="45" w:type="dxa"/>
              <w:bottom w:w="0" w:type="dxa"/>
              <w:right w:w="45" w:type="dxa"/>
            </w:tcMar>
            <w:hideMark/>
          </w:tcPr>
          <w:p w14:paraId="598193F7" w14:textId="77777777"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Soutien aux Correspondants CESP</w:t>
            </w:r>
          </w:p>
        </w:tc>
        <w:tc>
          <w:tcPr>
            <w:tcW w:w="4536" w:type="dxa"/>
            <w:tcMar>
              <w:top w:w="0" w:type="dxa"/>
              <w:left w:w="45" w:type="dxa"/>
              <w:bottom w:w="0" w:type="dxa"/>
              <w:right w:w="45" w:type="dxa"/>
            </w:tcMar>
            <w:hideMark/>
          </w:tcPr>
          <w:p w14:paraId="5B16422C" w14:textId="14762265"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Mise à jour des orientations sur le rôle et les responsabilités des Correspondants CESP</w:t>
            </w:r>
          </w:p>
        </w:tc>
        <w:tc>
          <w:tcPr>
            <w:tcW w:w="1774" w:type="dxa"/>
            <w:tcMar>
              <w:top w:w="0" w:type="dxa"/>
              <w:left w:w="45" w:type="dxa"/>
              <w:bottom w:w="0" w:type="dxa"/>
              <w:right w:w="45" w:type="dxa"/>
            </w:tcMar>
            <w:hideMark/>
          </w:tcPr>
          <w:p w14:paraId="7FF56AD9" w14:textId="1D68AE2E"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GS CESP / Secrétariat</w:t>
            </w:r>
          </w:p>
        </w:tc>
        <w:tc>
          <w:tcPr>
            <w:tcW w:w="591" w:type="dxa"/>
            <w:tcMar>
              <w:top w:w="0" w:type="dxa"/>
              <w:left w:w="45" w:type="dxa"/>
              <w:bottom w:w="0" w:type="dxa"/>
              <w:right w:w="45" w:type="dxa"/>
            </w:tcMar>
            <w:vAlign w:val="bottom"/>
            <w:hideMark/>
          </w:tcPr>
          <w:p w14:paraId="0510F102"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75FA9C09"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2A40FBF5"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1A0EB50E"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4144A5C4"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01981537"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42729D9F"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4215B0E8"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553098E9"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4466FA50" w14:textId="77777777" w:rsidR="00BC7FCF" w:rsidRPr="00BC7FCF" w:rsidRDefault="00BC7FCF" w:rsidP="00BC7FCF">
            <w:pPr>
              <w:spacing w:after="0" w:line="240" w:lineRule="auto"/>
              <w:rPr>
                <w:rFonts w:asciiTheme="minorHAnsi" w:eastAsia="Times New Roman" w:hAnsiTheme="minorHAnsi" w:cstheme="minorHAnsi"/>
              </w:rPr>
            </w:pPr>
          </w:p>
        </w:tc>
      </w:tr>
      <w:tr w:rsidR="0087303C" w:rsidRPr="00BC7FCF" w14:paraId="1456F72C" w14:textId="77777777" w:rsidTr="00A361E3">
        <w:trPr>
          <w:cantSplit/>
        </w:trPr>
        <w:tc>
          <w:tcPr>
            <w:tcW w:w="1701" w:type="dxa"/>
            <w:vMerge/>
            <w:hideMark/>
          </w:tcPr>
          <w:p w14:paraId="61A25767" w14:textId="77777777" w:rsidR="00BC7FCF" w:rsidRPr="00BC7FCF" w:rsidRDefault="00BC7FCF" w:rsidP="00BC7FCF">
            <w:pPr>
              <w:spacing w:after="0" w:line="240" w:lineRule="auto"/>
              <w:rPr>
                <w:rFonts w:asciiTheme="minorHAnsi" w:eastAsia="Times New Roman" w:hAnsiTheme="minorHAnsi" w:cstheme="minorHAnsi"/>
              </w:rPr>
            </w:pPr>
          </w:p>
        </w:tc>
        <w:tc>
          <w:tcPr>
            <w:tcW w:w="4536" w:type="dxa"/>
            <w:tcMar>
              <w:top w:w="0" w:type="dxa"/>
              <w:left w:w="45" w:type="dxa"/>
              <w:bottom w:w="0" w:type="dxa"/>
              <w:right w:w="45" w:type="dxa"/>
            </w:tcMar>
            <w:hideMark/>
          </w:tcPr>
          <w:p w14:paraId="2BFFF425" w14:textId="2576ACE4"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Communications régulières avec les Correspondants CESP, y compris par le biais d’enquêtes et de retours d’information</w:t>
            </w:r>
          </w:p>
        </w:tc>
        <w:tc>
          <w:tcPr>
            <w:tcW w:w="1774" w:type="dxa"/>
            <w:tcMar>
              <w:top w:w="0" w:type="dxa"/>
              <w:left w:w="45" w:type="dxa"/>
              <w:bottom w:w="0" w:type="dxa"/>
              <w:right w:w="45" w:type="dxa"/>
            </w:tcMar>
            <w:hideMark/>
          </w:tcPr>
          <w:p w14:paraId="1545EE3C" w14:textId="0E71113E"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GS CESP / Secrétariat</w:t>
            </w:r>
          </w:p>
        </w:tc>
        <w:tc>
          <w:tcPr>
            <w:tcW w:w="591" w:type="dxa"/>
            <w:shd w:val="clear" w:color="auto" w:fill="FFFF00"/>
            <w:tcMar>
              <w:top w:w="0" w:type="dxa"/>
              <w:left w:w="45" w:type="dxa"/>
              <w:bottom w:w="0" w:type="dxa"/>
              <w:right w:w="45" w:type="dxa"/>
            </w:tcMar>
            <w:vAlign w:val="bottom"/>
            <w:hideMark/>
          </w:tcPr>
          <w:p w14:paraId="36D12F84"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1218ABE1"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578690CE"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606E2645"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7CBF136F"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49597884"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08714F13"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7DF34DB0"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79F84535"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4483EE3A" w14:textId="77777777" w:rsidR="00BC7FCF" w:rsidRPr="00BC7FCF" w:rsidRDefault="00BC7FCF" w:rsidP="00BC7FCF">
            <w:pPr>
              <w:spacing w:after="0" w:line="240" w:lineRule="auto"/>
              <w:rPr>
                <w:rFonts w:asciiTheme="minorHAnsi" w:eastAsia="Times New Roman" w:hAnsiTheme="minorHAnsi" w:cstheme="minorHAnsi"/>
              </w:rPr>
            </w:pPr>
          </w:p>
        </w:tc>
      </w:tr>
      <w:tr w:rsidR="0087303C" w:rsidRPr="00BC7FCF" w14:paraId="423DE94E" w14:textId="77777777" w:rsidTr="00A361E3">
        <w:trPr>
          <w:cantSplit/>
        </w:trPr>
        <w:tc>
          <w:tcPr>
            <w:tcW w:w="1701" w:type="dxa"/>
            <w:tcMar>
              <w:top w:w="0" w:type="dxa"/>
              <w:left w:w="45" w:type="dxa"/>
              <w:bottom w:w="0" w:type="dxa"/>
              <w:right w:w="45" w:type="dxa"/>
            </w:tcMar>
            <w:hideMark/>
          </w:tcPr>
          <w:p w14:paraId="67550D20" w14:textId="77777777"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lastRenderedPageBreak/>
              <w:t>Proposition relative aux opérations futures du GS CESP</w:t>
            </w:r>
          </w:p>
        </w:tc>
        <w:tc>
          <w:tcPr>
            <w:tcW w:w="4536" w:type="dxa"/>
            <w:tcMar>
              <w:top w:w="0" w:type="dxa"/>
              <w:left w:w="45" w:type="dxa"/>
              <w:bottom w:w="0" w:type="dxa"/>
              <w:right w:w="45" w:type="dxa"/>
            </w:tcMar>
            <w:hideMark/>
          </w:tcPr>
          <w:p w14:paraId="44E58307" w14:textId="70CBA012"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Élaborer une proposition concernant le processus de nomination, le mandat, la relation avec les autres organes de la Convention, etc.</w:t>
            </w:r>
          </w:p>
        </w:tc>
        <w:tc>
          <w:tcPr>
            <w:tcW w:w="1774" w:type="dxa"/>
            <w:tcMar>
              <w:top w:w="0" w:type="dxa"/>
              <w:left w:w="45" w:type="dxa"/>
              <w:bottom w:w="0" w:type="dxa"/>
              <w:right w:w="45" w:type="dxa"/>
            </w:tcMar>
            <w:hideMark/>
          </w:tcPr>
          <w:p w14:paraId="33E08DCB" w14:textId="55114E41"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GS CESP / Secrétariat</w:t>
            </w:r>
          </w:p>
        </w:tc>
        <w:tc>
          <w:tcPr>
            <w:tcW w:w="591" w:type="dxa"/>
            <w:tcMar>
              <w:top w:w="0" w:type="dxa"/>
              <w:left w:w="45" w:type="dxa"/>
              <w:bottom w:w="0" w:type="dxa"/>
              <w:right w:w="45" w:type="dxa"/>
            </w:tcMar>
            <w:vAlign w:val="bottom"/>
            <w:hideMark/>
          </w:tcPr>
          <w:p w14:paraId="48AC6DF3"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1A02EEE1"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7D92DAEB"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05E55785"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4A5B3D64"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294F0863"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58017662"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4B278530"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462D5861"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54A46830" w14:textId="77777777" w:rsidR="00BC7FCF" w:rsidRPr="00BC7FCF" w:rsidRDefault="00BC7FCF" w:rsidP="00BC7FCF">
            <w:pPr>
              <w:spacing w:after="0" w:line="240" w:lineRule="auto"/>
              <w:rPr>
                <w:rFonts w:asciiTheme="minorHAnsi" w:eastAsia="Times New Roman" w:hAnsiTheme="minorHAnsi" w:cstheme="minorHAnsi"/>
              </w:rPr>
            </w:pPr>
          </w:p>
        </w:tc>
      </w:tr>
      <w:tr w:rsidR="0087303C" w:rsidRPr="00BC7FCF" w14:paraId="55AAB4F1" w14:textId="77777777" w:rsidTr="00A361E3">
        <w:trPr>
          <w:cantSplit/>
        </w:trPr>
        <w:tc>
          <w:tcPr>
            <w:tcW w:w="1701" w:type="dxa"/>
            <w:vMerge w:val="restart"/>
            <w:tcMar>
              <w:top w:w="0" w:type="dxa"/>
              <w:left w:w="45" w:type="dxa"/>
              <w:bottom w:w="0" w:type="dxa"/>
              <w:right w:w="45" w:type="dxa"/>
            </w:tcMar>
            <w:hideMark/>
          </w:tcPr>
          <w:p w14:paraId="5C2C3671" w14:textId="77777777" w:rsidR="00BC7FCF" w:rsidRPr="00BC7FCF" w:rsidRDefault="00BC7FCF" w:rsidP="00050464">
            <w:pPr>
              <w:keepNext/>
              <w:spacing w:after="0" w:line="240" w:lineRule="auto"/>
              <w:rPr>
                <w:rFonts w:asciiTheme="minorHAnsi" w:eastAsia="Times New Roman" w:hAnsiTheme="minorHAnsi" w:cstheme="minorHAnsi"/>
              </w:rPr>
            </w:pPr>
            <w:r>
              <w:rPr>
                <w:rFonts w:asciiTheme="minorHAnsi" w:hAnsiTheme="minorHAnsi"/>
              </w:rPr>
              <w:t>Nouvelles orientations en matière de CESP</w:t>
            </w:r>
          </w:p>
        </w:tc>
        <w:tc>
          <w:tcPr>
            <w:tcW w:w="4536" w:type="dxa"/>
            <w:tcMar>
              <w:top w:w="0" w:type="dxa"/>
              <w:left w:w="45" w:type="dxa"/>
              <w:bottom w:w="0" w:type="dxa"/>
              <w:right w:w="45" w:type="dxa"/>
            </w:tcMar>
            <w:hideMark/>
          </w:tcPr>
          <w:p w14:paraId="2731767A" w14:textId="4644BCC2" w:rsidR="00BC7FCF" w:rsidRPr="00BC7FCF" w:rsidRDefault="00BC7FCF" w:rsidP="00050464">
            <w:pPr>
              <w:keepNext/>
              <w:spacing w:after="0" w:line="240" w:lineRule="auto"/>
              <w:rPr>
                <w:rFonts w:asciiTheme="minorHAnsi" w:eastAsia="Times New Roman" w:hAnsiTheme="minorHAnsi" w:cstheme="minorHAnsi"/>
              </w:rPr>
            </w:pPr>
            <w:r>
              <w:rPr>
                <w:rFonts w:asciiTheme="minorHAnsi" w:hAnsiTheme="minorHAnsi"/>
              </w:rPr>
              <w:t>Examiner les orientations existantes en matière de CESP, ainsi que le Manuel 6 (CESP-Zones humides)</w:t>
            </w:r>
          </w:p>
        </w:tc>
        <w:tc>
          <w:tcPr>
            <w:tcW w:w="1774" w:type="dxa"/>
            <w:tcMar>
              <w:top w:w="0" w:type="dxa"/>
              <w:left w:w="45" w:type="dxa"/>
              <w:bottom w:w="0" w:type="dxa"/>
              <w:right w:w="45" w:type="dxa"/>
            </w:tcMar>
            <w:hideMark/>
          </w:tcPr>
          <w:p w14:paraId="2F9AEF9A" w14:textId="77777777" w:rsidR="00BC7FCF" w:rsidRPr="00BC7FCF" w:rsidRDefault="00BC7FCF" w:rsidP="00050464">
            <w:pPr>
              <w:keepNext/>
              <w:spacing w:after="0" w:line="240" w:lineRule="auto"/>
              <w:rPr>
                <w:rFonts w:asciiTheme="minorHAnsi" w:eastAsia="Times New Roman" w:hAnsiTheme="minorHAnsi" w:cstheme="minorHAnsi"/>
              </w:rPr>
            </w:pPr>
            <w:r>
              <w:rPr>
                <w:rFonts w:asciiTheme="minorHAnsi" w:hAnsiTheme="minorHAnsi"/>
              </w:rPr>
              <w:t>GS CESP</w:t>
            </w:r>
          </w:p>
        </w:tc>
        <w:tc>
          <w:tcPr>
            <w:tcW w:w="591" w:type="dxa"/>
            <w:tcMar>
              <w:top w:w="0" w:type="dxa"/>
              <w:left w:w="45" w:type="dxa"/>
              <w:bottom w:w="0" w:type="dxa"/>
              <w:right w:w="45" w:type="dxa"/>
            </w:tcMar>
            <w:vAlign w:val="bottom"/>
            <w:hideMark/>
          </w:tcPr>
          <w:p w14:paraId="65E6B325"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5E73883A"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113E0798"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13B602A0"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488F74A3"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427A7A1D"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6FAB8FC3"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23B714E4"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41A93BC8"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1467300A" w14:textId="77777777" w:rsidR="00BC7FCF" w:rsidRPr="00BC7FCF" w:rsidRDefault="00BC7FCF" w:rsidP="00050464">
            <w:pPr>
              <w:keepNext/>
              <w:spacing w:after="0" w:line="240" w:lineRule="auto"/>
              <w:rPr>
                <w:rFonts w:asciiTheme="minorHAnsi" w:eastAsia="Times New Roman" w:hAnsiTheme="minorHAnsi" w:cstheme="minorHAnsi"/>
              </w:rPr>
            </w:pPr>
          </w:p>
        </w:tc>
      </w:tr>
      <w:tr w:rsidR="0087303C" w:rsidRPr="00BC7FCF" w14:paraId="48D76860" w14:textId="77777777" w:rsidTr="00A361E3">
        <w:trPr>
          <w:cantSplit/>
        </w:trPr>
        <w:tc>
          <w:tcPr>
            <w:tcW w:w="1701" w:type="dxa"/>
            <w:vMerge/>
            <w:hideMark/>
          </w:tcPr>
          <w:p w14:paraId="10EC5C11" w14:textId="77777777" w:rsidR="00BC7FCF" w:rsidRPr="00BC7FCF" w:rsidRDefault="00BC7FCF" w:rsidP="00050464">
            <w:pPr>
              <w:keepNext/>
              <w:spacing w:after="0" w:line="240" w:lineRule="auto"/>
              <w:rPr>
                <w:rFonts w:asciiTheme="minorHAnsi" w:eastAsia="Times New Roman" w:hAnsiTheme="minorHAnsi" w:cstheme="minorHAnsi"/>
              </w:rPr>
            </w:pPr>
          </w:p>
        </w:tc>
        <w:tc>
          <w:tcPr>
            <w:tcW w:w="4536" w:type="dxa"/>
            <w:tcMar>
              <w:top w:w="0" w:type="dxa"/>
              <w:left w:w="45" w:type="dxa"/>
              <w:bottom w:w="0" w:type="dxa"/>
              <w:right w:w="45" w:type="dxa"/>
            </w:tcMar>
            <w:hideMark/>
          </w:tcPr>
          <w:p w14:paraId="5694BBD6" w14:textId="5DA25A40" w:rsidR="00BC7FCF" w:rsidRPr="00BC7FCF" w:rsidRDefault="00BC7FCF" w:rsidP="00050464">
            <w:pPr>
              <w:keepNext/>
              <w:spacing w:after="0" w:line="240" w:lineRule="auto"/>
              <w:rPr>
                <w:rFonts w:asciiTheme="minorHAnsi" w:eastAsia="Times New Roman" w:hAnsiTheme="minorHAnsi" w:cstheme="minorHAnsi"/>
              </w:rPr>
            </w:pPr>
            <w:r>
              <w:rPr>
                <w:rFonts w:asciiTheme="minorHAnsi" w:hAnsiTheme="minorHAnsi"/>
              </w:rPr>
              <w:t>Organiser une consultation sur la nécessité, pour les groupes de mise en œuvre des activités de CESP aux niveaux local et national, de disposer d’orientations</w:t>
            </w:r>
          </w:p>
        </w:tc>
        <w:tc>
          <w:tcPr>
            <w:tcW w:w="1774" w:type="dxa"/>
            <w:tcMar>
              <w:top w:w="0" w:type="dxa"/>
              <w:left w:w="45" w:type="dxa"/>
              <w:bottom w:w="0" w:type="dxa"/>
              <w:right w:w="45" w:type="dxa"/>
            </w:tcMar>
            <w:hideMark/>
          </w:tcPr>
          <w:p w14:paraId="22F6DB68" w14:textId="77777777" w:rsidR="00BC7FCF" w:rsidRPr="00BC7FCF" w:rsidRDefault="00BC7FCF" w:rsidP="00050464">
            <w:pPr>
              <w:keepNext/>
              <w:spacing w:after="0" w:line="240" w:lineRule="auto"/>
              <w:rPr>
                <w:rFonts w:asciiTheme="minorHAnsi" w:eastAsia="Times New Roman" w:hAnsiTheme="minorHAnsi" w:cstheme="minorHAnsi"/>
              </w:rPr>
            </w:pPr>
            <w:r>
              <w:rPr>
                <w:rFonts w:asciiTheme="minorHAnsi" w:hAnsiTheme="minorHAnsi"/>
              </w:rPr>
              <w:t>GS CESP</w:t>
            </w:r>
          </w:p>
        </w:tc>
        <w:tc>
          <w:tcPr>
            <w:tcW w:w="591" w:type="dxa"/>
            <w:tcMar>
              <w:top w:w="0" w:type="dxa"/>
              <w:left w:w="45" w:type="dxa"/>
              <w:bottom w:w="0" w:type="dxa"/>
              <w:right w:w="45" w:type="dxa"/>
            </w:tcMar>
            <w:vAlign w:val="bottom"/>
            <w:hideMark/>
          </w:tcPr>
          <w:p w14:paraId="734BF660"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4437B9A9"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28DA5ABE"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5BD7F666"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07149CEC"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3CD4B27F"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46D084C8"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4882D3E8"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5E0850A8"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000B3406" w14:textId="77777777" w:rsidR="00BC7FCF" w:rsidRPr="00BC7FCF" w:rsidRDefault="00BC7FCF" w:rsidP="00050464">
            <w:pPr>
              <w:keepNext/>
              <w:spacing w:after="0" w:line="240" w:lineRule="auto"/>
              <w:rPr>
                <w:rFonts w:asciiTheme="minorHAnsi" w:eastAsia="Times New Roman" w:hAnsiTheme="minorHAnsi" w:cstheme="minorHAnsi"/>
              </w:rPr>
            </w:pPr>
          </w:p>
        </w:tc>
      </w:tr>
      <w:tr w:rsidR="0087303C" w:rsidRPr="00BC7FCF" w14:paraId="7B498F89" w14:textId="77777777" w:rsidTr="00A361E3">
        <w:trPr>
          <w:cantSplit/>
        </w:trPr>
        <w:tc>
          <w:tcPr>
            <w:tcW w:w="1701" w:type="dxa"/>
            <w:vMerge/>
            <w:hideMark/>
          </w:tcPr>
          <w:p w14:paraId="0ACC0C70" w14:textId="77777777" w:rsidR="00BC7FCF" w:rsidRPr="00BC7FCF" w:rsidRDefault="00BC7FCF" w:rsidP="00050464">
            <w:pPr>
              <w:keepNext/>
              <w:spacing w:after="0" w:line="240" w:lineRule="auto"/>
              <w:rPr>
                <w:rFonts w:asciiTheme="minorHAnsi" w:eastAsia="Times New Roman" w:hAnsiTheme="minorHAnsi" w:cstheme="minorHAnsi"/>
              </w:rPr>
            </w:pPr>
          </w:p>
        </w:tc>
        <w:tc>
          <w:tcPr>
            <w:tcW w:w="4536" w:type="dxa"/>
            <w:tcMar>
              <w:top w:w="0" w:type="dxa"/>
              <w:left w:w="45" w:type="dxa"/>
              <w:bottom w:w="0" w:type="dxa"/>
              <w:right w:w="45" w:type="dxa"/>
            </w:tcMar>
            <w:hideMark/>
          </w:tcPr>
          <w:p w14:paraId="5105D278" w14:textId="4EF62EDF" w:rsidR="00BC7FCF" w:rsidRPr="00BC7FCF" w:rsidRDefault="00BC7FCF" w:rsidP="00050464">
            <w:pPr>
              <w:keepNext/>
              <w:spacing w:after="0" w:line="240" w:lineRule="auto"/>
              <w:rPr>
                <w:rFonts w:asciiTheme="minorHAnsi" w:eastAsia="Times New Roman" w:hAnsiTheme="minorHAnsi" w:cstheme="minorHAnsi"/>
              </w:rPr>
            </w:pPr>
            <w:r>
              <w:rPr>
                <w:rFonts w:asciiTheme="minorHAnsi" w:hAnsiTheme="minorHAnsi"/>
              </w:rPr>
              <w:t>Répondre à la consultation grâce à des outils clés de soutien aux activités de CESP, éventuellement par l’intermédiaire d’un consultant extérieur</w:t>
            </w:r>
          </w:p>
        </w:tc>
        <w:tc>
          <w:tcPr>
            <w:tcW w:w="1774" w:type="dxa"/>
            <w:tcMar>
              <w:top w:w="0" w:type="dxa"/>
              <w:left w:w="45" w:type="dxa"/>
              <w:bottom w:w="0" w:type="dxa"/>
              <w:right w:w="45" w:type="dxa"/>
            </w:tcMar>
            <w:hideMark/>
          </w:tcPr>
          <w:p w14:paraId="67681EC2" w14:textId="61347AA9" w:rsidR="00BC7FCF" w:rsidRPr="00BC7FCF" w:rsidRDefault="00BC7FCF" w:rsidP="00050464">
            <w:pPr>
              <w:keepNext/>
              <w:spacing w:after="0" w:line="240" w:lineRule="auto"/>
              <w:rPr>
                <w:rFonts w:asciiTheme="minorHAnsi" w:eastAsia="Times New Roman" w:hAnsiTheme="minorHAnsi" w:cstheme="minorHAnsi"/>
              </w:rPr>
            </w:pPr>
            <w:r>
              <w:rPr>
                <w:rFonts w:asciiTheme="minorHAnsi" w:hAnsiTheme="minorHAnsi"/>
              </w:rPr>
              <w:t>GS CESP / Secrétariat</w:t>
            </w:r>
          </w:p>
        </w:tc>
        <w:tc>
          <w:tcPr>
            <w:tcW w:w="591" w:type="dxa"/>
            <w:tcMar>
              <w:top w:w="0" w:type="dxa"/>
              <w:left w:w="45" w:type="dxa"/>
              <w:bottom w:w="0" w:type="dxa"/>
              <w:right w:w="45" w:type="dxa"/>
            </w:tcMar>
            <w:vAlign w:val="bottom"/>
            <w:hideMark/>
          </w:tcPr>
          <w:p w14:paraId="2070D82A"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24217503"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3292BEF2"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42B40F00"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10B0389D"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537888B2"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5220EE34"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545F1D0D"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5FEA6598" w14:textId="77777777" w:rsidR="00BC7FCF" w:rsidRPr="00BC7FCF" w:rsidRDefault="00BC7FCF" w:rsidP="00050464">
            <w:pPr>
              <w:keepNext/>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3E486B4F" w14:textId="77777777" w:rsidR="00BC7FCF" w:rsidRPr="00BC7FCF" w:rsidRDefault="00BC7FCF" w:rsidP="00050464">
            <w:pPr>
              <w:keepNext/>
              <w:spacing w:after="0" w:line="240" w:lineRule="auto"/>
              <w:rPr>
                <w:rFonts w:asciiTheme="minorHAnsi" w:eastAsia="Times New Roman" w:hAnsiTheme="minorHAnsi" w:cstheme="minorHAnsi"/>
              </w:rPr>
            </w:pPr>
          </w:p>
        </w:tc>
      </w:tr>
      <w:tr w:rsidR="0087303C" w:rsidRPr="00163FBF" w14:paraId="4957261C" w14:textId="77777777" w:rsidTr="00A361E3">
        <w:trPr>
          <w:cantSplit/>
        </w:trPr>
        <w:tc>
          <w:tcPr>
            <w:tcW w:w="1701" w:type="dxa"/>
            <w:vMerge w:val="restart"/>
            <w:tcMar>
              <w:top w:w="0" w:type="dxa"/>
              <w:left w:w="45" w:type="dxa"/>
              <w:bottom w:w="0" w:type="dxa"/>
              <w:right w:w="45" w:type="dxa"/>
            </w:tcMar>
            <w:hideMark/>
          </w:tcPr>
          <w:p w14:paraId="501472CE" w14:textId="77777777"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Plan stratégique 5</w:t>
            </w:r>
          </w:p>
        </w:tc>
        <w:tc>
          <w:tcPr>
            <w:tcW w:w="4536" w:type="dxa"/>
            <w:tcMar>
              <w:top w:w="0" w:type="dxa"/>
              <w:left w:w="45" w:type="dxa"/>
              <w:bottom w:w="0" w:type="dxa"/>
              <w:right w:w="45" w:type="dxa"/>
            </w:tcMar>
            <w:hideMark/>
          </w:tcPr>
          <w:p w14:paraId="3B852260" w14:textId="69B3561B"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Travailler avec le consultant responsable du Plan stratégique, le GEST et le Secrétariat pour veiller à ce que la CESP soit intégrée au PS5</w:t>
            </w:r>
          </w:p>
        </w:tc>
        <w:tc>
          <w:tcPr>
            <w:tcW w:w="1774" w:type="dxa"/>
            <w:tcMar>
              <w:top w:w="0" w:type="dxa"/>
              <w:left w:w="45" w:type="dxa"/>
              <w:bottom w:w="0" w:type="dxa"/>
              <w:right w:w="45" w:type="dxa"/>
            </w:tcMar>
            <w:hideMark/>
          </w:tcPr>
          <w:p w14:paraId="7D849909" w14:textId="3115ACA9"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GS CESP / Consultant / GT PS</w:t>
            </w:r>
          </w:p>
        </w:tc>
        <w:tc>
          <w:tcPr>
            <w:tcW w:w="591" w:type="dxa"/>
            <w:shd w:val="clear" w:color="auto" w:fill="FFFF00"/>
            <w:tcMar>
              <w:top w:w="0" w:type="dxa"/>
              <w:left w:w="45" w:type="dxa"/>
              <w:bottom w:w="0" w:type="dxa"/>
              <w:right w:w="45" w:type="dxa"/>
            </w:tcMar>
            <w:vAlign w:val="bottom"/>
            <w:hideMark/>
          </w:tcPr>
          <w:p w14:paraId="62EFD824"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2643D03F"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1298BB55"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0857796F"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1EDA4ABA"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37718C46"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1A1F36F1"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3A8B8967"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162303B2"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58517DE2" w14:textId="77777777" w:rsidR="00BC7FCF" w:rsidRPr="00BC7FCF" w:rsidRDefault="00BC7FCF" w:rsidP="00BC7FCF">
            <w:pPr>
              <w:spacing w:after="0" w:line="240" w:lineRule="auto"/>
              <w:rPr>
                <w:rFonts w:asciiTheme="minorHAnsi" w:eastAsia="Times New Roman" w:hAnsiTheme="minorHAnsi" w:cstheme="minorHAnsi"/>
              </w:rPr>
            </w:pPr>
          </w:p>
        </w:tc>
      </w:tr>
      <w:tr w:rsidR="0087303C" w:rsidRPr="00BC7FCF" w14:paraId="0E260BE2" w14:textId="77777777" w:rsidTr="00A361E3">
        <w:trPr>
          <w:cantSplit/>
        </w:trPr>
        <w:tc>
          <w:tcPr>
            <w:tcW w:w="1701" w:type="dxa"/>
            <w:vMerge/>
            <w:hideMark/>
          </w:tcPr>
          <w:p w14:paraId="2F5DE64D" w14:textId="77777777" w:rsidR="00BC7FCF" w:rsidRPr="00BC7FCF" w:rsidRDefault="00BC7FCF" w:rsidP="00BC7FCF">
            <w:pPr>
              <w:spacing w:after="0" w:line="240" w:lineRule="auto"/>
              <w:rPr>
                <w:rFonts w:asciiTheme="minorHAnsi" w:eastAsia="Times New Roman" w:hAnsiTheme="minorHAnsi" w:cstheme="minorHAnsi"/>
              </w:rPr>
            </w:pPr>
          </w:p>
        </w:tc>
        <w:tc>
          <w:tcPr>
            <w:tcW w:w="4536" w:type="dxa"/>
            <w:tcMar>
              <w:top w:w="0" w:type="dxa"/>
              <w:left w:w="45" w:type="dxa"/>
              <w:bottom w:w="0" w:type="dxa"/>
              <w:right w:w="45" w:type="dxa"/>
            </w:tcMar>
            <w:hideMark/>
          </w:tcPr>
          <w:p w14:paraId="4058E18D" w14:textId="159CC781"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Soumission du PS5 incorporant la CESP</w:t>
            </w:r>
          </w:p>
        </w:tc>
        <w:tc>
          <w:tcPr>
            <w:tcW w:w="1774" w:type="dxa"/>
            <w:tcMar>
              <w:top w:w="0" w:type="dxa"/>
              <w:left w:w="45" w:type="dxa"/>
              <w:bottom w:w="0" w:type="dxa"/>
              <w:right w:w="45" w:type="dxa"/>
            </w:tcMar>
            <w:hideMark/>
          </w:tcPr>
          <w:p w14:paraId="2CD1C64D" w14:textId="1BB4C530"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Consultant / GT PS</w:t>
            </w:r>
          </w:p>
        </w:tc>
        <w:tc>
          <w:tcPr>
            <w:tcW w:w="591" w:type="dxa"/>
            <w:tcMar>
              <w:top w:w="0" w:type="dxa"/>
              <w:left w:w="45" w:type="dxa"/>
              <w:bottom w:w="0" w:type="dxa"/>
              <w:right w:w="45" w:type="dxa"/>
            </w:tcMar>
            <w:vAlign w:val="bottom"/>
            <w:hideMark/>
          </w:tcPr>
          <w:p w14:paraId="06B136EB"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579478A9"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75E5DA6F"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0DF9DBDF"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4574C41E"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2B947F07"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7AD9F7FF"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170BE448"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3E414E56"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6A670B36" w14:textId="77777777" w:rsidR="00BC7FCF" w:rsidRPr="00BC7FCF" w:rsidRDefault="00BC7FCF" w:rsidP="00BC7FCF">
            <w:pPr>
              <w:spacing w:after="0" w:line="240" w:lineRule="auto"/>
              <w:rPr>
                <w:rFonts w:asciiTheme="minorHAnsi" w:eastAsia="Times New Roman" w:hAnsiTheme="minorHAnsi" w:cstheme="minorHAnsi"/>
              </w:rPr>
            </w:pPr>
          </w:p>
        </w:tc>
      </w:tr>
      <w:tr w:rsidR="0087303C" w:rsidRPr="00BC7FCF" w14:paraId="6995323A" w14:textId="77777777" w:rsidTr="00A361E3">
        <w:trPr>
          <w:cantSplit/>
        </w:trPr>
        <w:tc>
          <w:tcPr>
            <w:tcW w:w="1701" w:type="dxa"/>
            <w:vMerge w:val="restart"/>
            <w:tcMar>
              <w:top w:w="0" w:type="dxa"/>
              <w:left w:w="45" w:type="dxa"/>
              <w:bottom w:w="0" w:type="dxa"/>
              <w:right w:w="45" w:type="dxa"/>
            </w:tcMar>
            <w:hideMark/>
          </w:tcPr>
          <w:p w14:paraId="64A29AD7" w14:textId="77777777"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COP15</w:t>
            </w:r>
          </w:p>
        </w:tc>
        <w:tc>
          <w:tcPr>
            <w:tcW w:w="4536" w:type="dxa"/>
            <w:tcMar>
              <w:top w:w="0" w:type="dxa"/>
              <w:left w:w="45" w:type="dxa"/>
              <w:bottom w:w="0" w:type="dxa"/>
              <w:right w:w="45" w:type="dxa"/>
            </w:tcMar>
            <w:hideMark/>
          </w:tcPr>
          <w:p w14:paraId="4D1B1DB8" w14:textId="72F9A610"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Recherche d’un soutien pour les activités de CESP dans le cadre du PS5</w:t>
            </w:r>
          </w:p>
        </w:tc>
        <w:tc>
          <w:tcPr>
            <w:tcW w:w="1774" w:type="dxa"/>
            <w:tcMar>
              <w:top w:w="0" w:type="dxa"/>
              <w:left w:w="45" w:type="dxa"/>
              <w:bottom w:w="0" w:type="dxa"/>
              <w:right w:w="45" w:type="dxa"/>
            </w:tcMar>
            <w:hideMark/>
          </w:tcPr>
          <w:p w14:paraId="2450001A" w14:textId="5F79495F"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GS CESP / AA / Secrétariat</w:t>
            </w:r>
          </w:p>
        </w:tc>
        <w:tc>
          <w:tcPr>
            <w:tcW w:w="591" w:type="dxa"/>
            <w:tcMar>
              <w:top w:w="0" w:type="dxa"/>
              <w:left w:w="45" w:type="dxa"/>
              <w:bottom w:w="0" w:type="dxa"/>
              <w:right w:w="45" w:type="dxa"/>
            </w:tcMar>
            <w:vAlign w:val="bottom"/>
            <w:hideMark/>
          </w:tcPr>
          <w:p w14:paraId="2C209A45"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79CB2513"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015A4C35"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002A3BF0"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6F4A1FE2"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09B60133"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2658B24F"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33BD3DB1"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7DF48397"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28694552" w14:textId="77777777" w:rsidR="00BC7FCF" w:rsidRPr="00BC7FCF" w:rsidRDefault="00BC7FCF" w:rsidP="00BC7FCF">
            <w:pPr>
              <w:spacing w:after="0" w:line="240" w:lineRule="auto"/>
              <w:rPr>
                <w:rFonts w:asciiTheme="minorHAnsi" w:eastAsia="Times New Roman" w:hAnsiTheme="minorHAnsi" w:cstheme="minorHAnsi"/>
              </w:rPr>
            </w:pPr>
          </w:p>
        </w:tc>
      </w:tr>
      <w:tr w:rsidR="0087303C" w:rsidRPr="00BC7FCF" w14:paraId="1C41E5EF" w14:textId="77777777" w:rsidTr="00A361E3">
        <w:trPr>
          <w:cantSplit/>
        </w:trPr>
        <w:tc>
          <w:tcPr>
            <w:tcW w:w="1701" w:type="dxa"/>
            <w:vMerge/>
            <w:hideMark/>
          </w:tcPr>
          <w:p w14:paraId="1BB4DA4D" w14:textId="77777777" w:rsidR="00BC7FCF" w:rsidRPr="00BC7FCF" w:rsidRDefault="00BC7FCF" w:rsidP="00BC7FCF">
            <w:pPr>
              <w:spacing w:after="0" w:line="240" w:lineRule="auto"/>
              <w:rPr>
                <w:rFonts w:asciiTheme="minorHAnsi" w:eastAsia="Times New Roman" w:hAnsiTheme="minorHAnsi" w:cstheme="minorHAnsi"/>
              </w:rPr>
            </w:pPr>
          </w:p>
        </w:tc>
        <w:tc>
          <w:tcPr>
            <w:tcW w:w="4536" w:type="dxa"/>
            <w:tcMar>
              <w:top w:w="0" w:type="dxa"/>
              <w:left w:w="45" w:type="dxa"/>
              <w:bottom w:w="0" w:type="dxa"/>
              <w:right w:w="45" w:type="dxa"/>
            </w:tcMar>
            <w:hideMark/>
          </w:tcPr>
          <w:p w14:paraId="04277FC9" w14:textId="253033AC"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Organiser un ou plusieurs événements parallèles</w:t>
            </w:r>
          </w:p>
        </w:tc>
        <w:tc>
          <w:tcPr>
            <w:tcW w:w="1774" w:type="dxa"/>
            <w:tcMar>
              <w:top w:w="0" w:type="dxa"/>
              <w:left w:w="45" w:type="dxa"/>
              <w:bottom w:w="0" w:type="dxa"/>
              <w:right w:w="45" w:type="dxa"/>
            </w:tcMar>
            <w:hideMark/>
          </w:tcPr>
          <w:p w14:paraId="7A5E0441" w14:textId="7606274E"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GS CESP / Secrétariat</w:t>
            </w:r>
          </w:p>
        </w:tc>
        <w:tc>
          <w:tcPr>
            <w:tcW w:w="591" w:type="dxa"/>
            <w:tcMar>
              <w:top w:w="0" w:type="dxa"/>
              <w:left w:w="45" w:type="dxa"/>
              <w:bottom w:w="0" w:type="dxa"/>
              <w:right w:w="45" w:type="dxa"/>
            </w:tcMar>
            <w:vAlign w:val="bottom"/>
            <w:hideMark/>
          </w:tcPr>
          <w:p w14:paraId="03D62156"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48C98D20"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7737D6E5"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343BF9F7"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7BF14C6C"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730DC750"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FF" w:themeFill="background1"/>
            <w:tcMar>
              <w:top w:w="0" w:type="dxa"/>
              <w:left w:w="45" w:type="dxa"/>
              <w:bottom w:w="0" w:type="dxa"/>
              <w:right w:w="45" w:type="dxa"/>
            </w:tcMar>
            <w:vAlign w:val="bottom"/>
            <w:hideMark/>
          </w:tcPr>
          <w:p w14:paraId="72A44078" w14:textId="77777777" w:rsidR="00BC7FCF" w:rsidRPr="00BC7FCF" w:rsidRDefault="00BC7FCF" w:rsidP="00BC7FCF">
            <w:pPr>
              <w:spacing w:after="0" w:line="240" w:lineRule="auto"/>
              <w:rPr>
                <w:rFonts w:asciiTheme="minorHAnsi" w:eastAsia="Times New Roman" w:hAnsiTheme="minorHAnsi" w:cstheme="minorHAnsi"/>
                <w:highlight w:val="yellow"/>
              </w:rPr>
            </w:pPr>
          </w:p>
        </w:tc>
        <w:tc>
          <w:tcPr>
            <w:tcW w:w="592" w:type="dxa"/>
            <w:tcMar>
              <w:top w:w="0" w:type="dxa"/>
              <w:left w:w="45" w:type="dxa"/>
              <w:bottom w:w="0" w:type="dxa"/>
              <w:right w:w="45" w:type="dxa"/>
            </w:tcMar>
            <w:vAlign w:val="bottom"/>
            <w:hideMark/>
          </w:tcPr>
          <w:p w14:paraId="224A37E7"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hideMark/>
          </w:tcPr>
          <w:p w14:paraId="144F5996"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hideMark/>
          </w:tcPr>
          <w:p w14:paraId="432C799A" w14:textId="77777777" w:rsidR="00BC7FCF" w:rsidRPr="00BC7FCF" w:rsidRDefault="00BC7FCF" w:rsidP="00BC7FCF">
            <w:pPr>
              <w:spacing w:after="0" w:line="240" w:lineRule="auto"/>
              <w:rPr>
                <w:rFonts w:asciiTheme="minorHAnsi" w:eastAsia="Times New Roman" w:hAnsiTheme="minorHAnsi" w:cstheme="minorHAnsi"/>
              </w:rPr>
            </w:pPr>
          </w:p>
        </w:tc>
      </w:tr>
      <w:tr w:rsidR="0087303C" w:rsidRPr="00BC7FCF" w14:paraId="63C4F8F4" w14:textId="77777777" w:rsidTr="00A361E3">
        <w:trPr>
          <w:cantSplit/>
        </w:trPr>
        <w:tc>
          <w:tcPr>
            <w:tcW w:w="1701" w:type="dxa"/>
            <w:tcMar>
              <w:top w:w="0" w:type="dxa"/>
              <w:left w:w="45" w:type="dxa"/>
              <w:bottom w:w="0" w:type="dxa"/>
              <w:right w:w="45" w:type="dxa"/>
            </w:tcMar>
          </w:tcPr>
          <w:p w14:paraId="1CFD8D17" w14:textId="6E926AB6"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Synergies GEST-CESP</w:t>
            </w:r>
          </w:p>
        </w:tc>
        <w:tc>
          <w:tcPr>
            <w:tcW w:w="4536" w:type="dxa"/>
            <w:tcMar>
              <w:top w:w="0" w:type="dxa"/>
              <w:left w:w="45" w:type="dxa"/>
              <w:bottom w:w="0" w:type="dxa"/>
              <w:right w:w="45" w:type="dxa"/>
            </w:tcMar>
          </w:tcPr>
          <w:p w14:paraId="461A656D" w14:textId="560A37DD"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Examiner les approches actuelles visant à diffuser les produits du GEST et identifier les possibilités de renforcer l’adoption de tous les produits du GEST élaborés au cours de la période triennale 2023-2025</w:t>
            </w:r>
          </w:p>
        </w:tc>
        <w:tc>
          <w:tcPr>
            <w:tcW w:w="1774" w:type="dxa"/>
            <w:tcMar>
              <w:top w:w="0" w:type="dxa"/>
              <w:left w:w="45" w:type="dxa"/>
              <w:bottom w:w="0" w:type="dxa"/>
              <w:right w:w="45" w:type="dxa"/>
            </w:tcMar>
          </w:tcPr>
          <w:p w14:paraId="7DB1D7AB" w14:textId="556D8842"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GEST / GS CESP / Secrétariat</w:t>
            </w:r>
          </w:p>
        </w:tc>
        <w:tc>
          <w:tcPr>
            <w:tcW w:w="591" w:type="dxa"/>
            <w:tcMar>
              <w:top w:w="0" w:type="dxa"/>
              <w:left w:w="45" w:type="dxa"/>
              <w:bottom w:w="0" w:type="dxa"/>
              <w:right w:w="45" w:type="dxa"/>
            </w:tcMar>
            <w:vAlign w:val="bottom"/>
          </w:tcPr>
          <w:p w14:paraId="2AABA97E"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tcPr>
          <w:p w14:paraId="16920FAE"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tcPr>
          <w:p w14:paraId="7C7055EE"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7C9D95DA"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448AB8EB"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18E4D86E"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1E4FAB43" w14:textId="77777777" w:rsidR="00BC7FCF" w:rsidRPr="00BC7FCF" w:rsidRDefault="00BC7FCF" w:rsidP="00BC7FCF">
            <w:pPr>
              <w:spacing w:after="0" w:line="240" w:lineRule="auto"/>
              <w:rPr>
                <w:rFonts w:asciiTheme="minorHAnsi" w:eastAsia="Times New Roman" w:hAnsiTheme="minorHAnsi" w:cstheme="minorHAnsi"/>
                <w:highlight w:val="yellow"/>
              </w:rPr>
            </w:pPr>
          </w:p>
        </w:tc>
        <w:tc>
          <w:tcPr>
            <w:tcW w:w="592" w:type="dxa"/>
            <w:tcMar>
              <w:top w:w="0" w:type="dxa"/>
              <w:left w:w="45" w:type="dxa"/>
              <w:bottom w:w="0" w:type="dxa"/>
              <w:right w:w="45" w:type="dxa"/>
            </w:tcMar>
            <w:vAlign w:val="bottom"/>
          </w:tcPr>
          <w:p w14:paraId="7169DEC3"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tcPr>
          <w:p w14:paraId="0593CC3D"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tcPr>
          <w:p w14:paraId="120EFB22" w14:textId="77777777" w:rsidR="00BC7FCF" w:rsidRPr="00BC7FCF" w:rsidRDefault="00BC7FCF" w:rsidP="00BC7FCF">
            <w:pPr>
              <w:spacing w:after="0" w:line="240" w:lineRule="auto"/>
              <w:rPr>
                <w:rFonts w:asciiTheme="minorHAnsi" w:eastAsia="Times New Roman" w:hAnsiTheme="minorHAnsi" w:cstheme="minorHAnsi"/>
              </w:rPr>
            </w:pPr>
          </w:p>
        </w:tc>
      </w:tr>
      <w:tr w:rsidR="0087303C" w:rsidRPr="00BC7FCF" w14:paraId="39E424ED" w14:textId="77777777" w:rsidTr="00A361E3">
        <w:trPr>
          <w:cantSplit/>
        </w:trPr>
        <w:tc>
          <w:tcPr>
            <w:tcW w:w="1701" w:type="dxa"/>
            <w:tcMar>
              <w:top w:w="0" w:type="dxa"/>
              <w:left w:w="45" w:type="dxa"/>
              <w:bottom w:w="0" w:type="dxa"/>
              <w:right w:w="45" w:type="dxa"/>
            </w:tcMar>
          </w:tcPr>
          <w:p w14:paraId="249885B9" w14:textId="77777777" w:rsidR="00BC7FCF" w:rsidRPr="00BC7FCF" w:rsidRDefault="00BC7FCF" w:rsidP="00BC7FCF">
            <w:pPr>
              <w:spacing w:after="0" w:line="240" w:lineRule="auto"/>
              <w:rPr>
                <w:rFonts w:asciiTheme="minorHAnsi" w:eastAsia="Times New Roman" w:hAnsiTheme="minorHAnsi" w:cstheme="minorHAnsi"/>
              </w:rPr>
            </w:pPr>
          </w:p>
        </w:tc>
        <w:tc>
          <w:tcPr>
            <w:tcW w:w="4536" w:type="dxa"/>
            <w:tcMar>
              <w:top w:w="0" w:type="dxa"/>
              <w:left w:w="45" w:type="dxa"/>
              <w:bottom w:w="0" w:type="dxa"/>
              <w:right w:w="45" w:type="dxa"/>
            </w:tcMar>
          </w:tcPr>
          <w:p w14:paraId="0A4EDF08" w14:textId="2CC900AA"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Rechercher des opportunités pour que les produits du GEST soient utilisés dans le cadre des activités de la Journée mondiale des zones humides et d’autres événements mondiaux consacrés à l’environnement</w:t>
            </w:r>
          </w:p>
        </w:tc>
        <w:tc>
          <w:tcPr>
            <w:tcW w:w="1774" w:type="dxa"/>
            <w:tcMar>
              <w:top w:w="0" w:type="dxa"/>
              <w:left w:w="45" w:type="dxa"/>
              <w:bottom w:w="0" w:type="dxa"/>
              <w:right w:w="45" w:type="dxa"/>
            </w:tcMar>
          </w:tcPr>
          <w:p w14:paraId="0ECEDAB3" w14:textId="221CE7F4"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GS CESP</w:t>
            </w:r>
          </w:p>
        </w:tc>
        <w:tc>
          <w:tcPr>
            <w:tcW w:w="591" w:type="dxa"/>
            <w:tcMar>
              <w:top w:w="0" w:type="dxa"/>
              <w:left w:w="45" w:type="dxa"/>
              <w:bottom w:w="0" w:type="dxa"/>
              <w:right w:w="45" w:type="dxa"/>
            </w:tcMar>
            <w:vAlign w:val="bottom"/>
          </w:tcPr>
          <w:p w14:paraId="30A8BF9F"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tcPr>
          <w:p w14:paraId="54CC1240"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tcPr>
          <w:p w14:paraId="33E4F2C6"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71426161"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1A9EC312"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57AE54B1"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55F3EB42" w14:textId="77777777" w:rsidR="00BC7FCF" w:rsidRPr="00BC7FCF" w:rsidRDefault="00BC7FCF" w:rsidP="00BC7FCF">
            <w:pPr>
              <w:spacing w:after="0" w:line="240" w:lineRule="auto"/>
              <w:rPr>
                <w:rFonts w:asciiTheme="minorHAnsi" w:eastAsia="Times New Roman" w:hAnsiTheme="minorHAnsi" w:cstheme="minorHAnsi"/>
                <w:highlight w:val="yellow"/>
              </w:rPr>
            </w:pPr>
          </w:p>
        </w:tc>
        <w:tc>
          <w:tcPr>
            <w:tcW w:w="592" w:type="dxa"/>
            <w:tcMar>
              <w:top w:w="0" w:type="dxa"/>
              <w:left w:w="45" w:type="dxa"/>
              <w:bottom w:w="0" w:type="dxa"/>
              <w:right w:w="45" w:type="dxa"/>
            </w:tcMar>
            <w:vAlign w:val="bottom"/>
          </w:tcPr>
          <w:p w14:paraId="09951E78"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tcPr>
          <w:p w14:paraId="38BE8CC1"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tcPr>
          <w:p w14:paraId="012A9392" w14:textId="77777777" w:rsidR="00BC7FCF" w:rsidRPr="00BC7FCF" w:rsidRDefault="00BC7FCF" w:rsidP="00BC7FCF">
            <w:pPr>
              <w:spacing w:after="0" w:line="240" w:lineRule="auto"/>
              <w:rPr>
                <w:rFonts w:asciiTheme="minorHAnsi" w:eastAsia="Times New Roman" w:hAnsiTheme="minorHAnsi" w:cstheme="minorHAnsi"/>
              </w:rPr>
            </w:pPr>
          </w:p>
        </w:tc>
      </w:tr>
      <w:tr w:rsidR="0087303C" w:rsidRPr="00BC7FCF" w14:paraId="3D6FA4CB" w14:textId="77777777" w:rsidTr="00A361E3">
        <w:trPr>
          <w:cantSplit/>
        </w:trPr>
        <w:tc>
          <w:tcPr>
            <w:tcW w:w="1701" w:type="dxa"/>
            <w:tcMar>
              <w:top w:w="0" w:type="dxa"/>
              <w:left w:w="45" w:type="dxa"/>
              <w:bottom w:w="0" w:type="dxa"/>
              <w:right w:w="45" w:type="dxa"/>
            </w:tcMar>
          </w:tcPr>
          <w:p w14:paraId="3994E9BE" w14:textId="509C3A49"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 xml:space="preserve">Tâches spécifiques </w:t>
            </w:r>
            <w:r w:rsidR="00035A66">
              <w:rPr>
                <w:rFonts w:asciiTheme="minorHAnsi" w:hAnsiTheme="minorHAnsi"/>
              </w:rPr>
              <w:t>a</w:t>
            </w:r>
            <w:r>
              <w:rPr>
                <w:rFonts w:asciiTheme="minorHAnsi" w:hAnsiTheme="minorHAnsi"/>
              </w:rPr>
              <w:t>u GEST</w:t>
            </w:r>
          </w:p>
        </w:tc>
        <w:tc>
          <w:tcPr>
            <w:tcW w:w="4536" w:type="dxa"/>
            <w:tcMar>
              <w:top w:w="0" w:type="dxa"/>
              <w:left w:w="45" w:type="dxa"/>
              <w:bottom w:w="0" w:type="dxa"/>
              <w:right w:w="45" w:type="dxa"/>
            </w:tcMar>
          </w:tcPr>
          <w:p w14:paraId="20D8014E" w14:textId="35F6B47B" w:rsidR="00BC7FCF" w:rsidRPr="00BC7FCF" w:rsidDel="00241E2A" w:rsidRDefault="00BC7FCF" w:rsidP="00BC7FCF">
            <w:pPr>
              <w:spacing w:after="0" w:line="240" w:lineRule="auto"/>
              <w:rPr>
                <w:rFonts w:asciiTheme="minorHAnsi" w:eastAsia="Times New Roman" w:hAnsiTheme="minorHAnsi" w:cstheme="minorHAnsi"/>
              </w:rPr>
            </w:pPr>
            <w:r>
              <w:rPr>
                <w:rFonts w:asciiTheme="minorHAnsi" w:hAnsiTheme="minorHAnsi"/>
              </w:rPr>
              <w:t>Assurer la liaison avec les responsables des domaines de travail thématiques du GEST (TWA 1 - TWA 5) et le Secrétariat et, pour les tâches concernées, aider à trouver des études de cas pertinentes et identifier les liens avec les activités régionales et mondiales de CESP</w:t>
            </w:r>
          </w:p>
        </w:tc>
        <w:tc>
          <w:tcPr>
            <w:tcW w:w="1774" w:type="dxa"/>
            <w:tcMar>
              <w:top w:w="0" w:type="dxa"/>
              <w:left w:w="45" w:type="dxa"/>
              <w:bottom w:w="0" w:type="dxa"/>
              <w:right w:w="45" w:type="dxa"/>
            </w:tcMar>
          </w:tcPr>
          <w:p w14:paraId="19B6DAAA" w14:textId="7C8C3D6F" w:rsidR="00BC7FCF" w:rsidRPr="00BC7FCF" w:rsidDel="00241E2A" w:rsidRDefault="00BC7FCF" w:rsidP="00BC7FCF">
            <w:pPr>
              <w:spacing w:after="0" w:line="240" w:lineRule="auto"/>
              <w:rPr>
                <w:rFonts w:asciiTheme="minorHAnsi" w:eastAsia="Times New Roman" w:hAnsiTheme="minorHAnsi" w:cstheme="minorHAnsi"/>
              </w:rPr>
            </w:pPr>
            <w:r>
              <w:rPr>
                <w:rFonts w:asciiTheme="minorHAnsi" w:hAnsiTheme="minorHAnsi"/>
              </w:rPr>
              <w:t>GEST / GS CESP / Secrétariat</w:t>
            </w:r>
          </w:p>
        </w:tc>
        <w:tc>
          <w:tcPr>
            <w:tcW w:w="591" w:type="dxa"/>
            <w:tcMar>
              <w:top w:w="0" w:type="dxa"/>
              <w:left w:w="45" w:type="dxa"/>
              <w:bottom w:w="0" w:type="dxa"/>
              <w:right w:w="45" w:type="dxa"/>
            </w:tcMar>
            <w:vAlign w:val="bottom"/>
          </w:tcPr>
          <w:p w14:paraId="16EF709F"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tcPr>
          <w:p w14:paraId="7AC03476"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tcPr>
          <w:p w14:paraId="3AA9959E"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16DDA6E4"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50584029"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64A23BBC"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3EDA8924" w14:textId="77777777" w:rsidR="00BC7FCF" w:rsidRPr="00BC7FCF" w:rsidRDefault="00BC7FCF" w:rsidP="00BC7FCF">
            <w:pPr>
              <w:spacing w:after="0" w:line="240" w:lineRule="auto"/>
              <w:rPr>
                <w:rFonts w:asciiTheme="minorHAnsi" w:eastAsia="Times New Roman" w:hAnsiTheme="minorHAnsi" w:cstheme="minorHAnsi"/>
                <w:highlight w:val="yellow"/>
              </w:rPr>
            </w:pPr>
          </w:p>
        </w:tc>
        <w:tc>
          <w:tcPr>
            <w:tcW w:w="592" w:type="dxa"/>
            <w:tcMar>
              <w:top w:w="0" w:type="dxa"/>
              <w:left w:w="45" w:type="dxa"/>
              <w:bottom w:w="0" w:type="dxa"/>
              <w:right w:w="45" w:type="dxa"/>
            </w:tcMar>
            <w:vAlign w:val="bottom"/>
          </w:tcPr>
          <w:p w14:paraId="60CC0EDB"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tcPr>
          <w:p w14:paraId="0F62CD2A"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tcPr>
          <w:p w14:paraId="5C65836C" w14:textId="77777777" w:rsidR="00BC7FCF" w:rsidRPr="00BC7FCF" w:rsidRDefault="00BC7FCF" w:rsidP="00BC7FCF">
            <w:pPr>
              <w:spacing w:after="0" w:line="240" w:lineRule="auto"/>
              <w:rPr>
                <w:rFonts w:asciiTheme="minorHAnsi" w:eastAsia="Times New Roman" w:hAnsiTheme="minorHAnsi" w:cstheme="minorHAnsi"/>
              </w:rPr>
            </w:pPr>
          </w:p>
        </w:tc>
      </w:tr>
      <w:tr w:rsidR="0087303C" w:rsidRPr="00BC7FCF" w14:paraId="6A7F8481" w14:textId="77777777" w:rsidTr="00A361E3">
        <w:trPr>
          <w:cantSplit/>
        </w:trPr>
        <w:tc>
          <w:tcPr>
            <w:tcW w:w="1701" w:type="dxa"/>
            <w:tcMar>
              <w:top w:w="0" w:type="dxa"/>
              <w:left w:w="45" w:type="dxa"/>
              <w:bottom w:w="0" w:type="dxa"/>
              <w:right w:w="45" w:type="dxa"/>
            </w:tcMar>
          </w:tcPr>
          <w:p w14:paraId="1986E5D8" w14:textId="3D03790B"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PMZH</w:t>
            </w:r>
          </w:p>
        </w:tc>
        <w:tc>
          <w:tcPr>
            <w:tcW w:w="4536" w:type="dxa"/>
            <w:tcMar>
              <w:top w:w="0" w:type="dxa"/>
              <w:left w:w="45" w:type="dxa"/>
              <w:bottom w:w="0" w:type="dxa"/>
              <w:right w:w="45" w:type="dxa"/>
            </w:tcMar>
          </w:tcPr>
          <w:p w14:paraId="672C45CA" w14:textId="610E0DDF"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Appuyer le contenu des Perspectives mondiales des zones humides 2025 (Tâche 5.1 du GEST), la définition des futurs thèmes de l’ouvrage (Tâche 5.3 du GEST) et fournir des conseils sur la publication et la promotion de l’ouvrage</w:t>
            </w:r>
          </w:p>
        </w:tc>
        <w:tc>
          <w:tcPr>
            <w:tcW w:w="1774" w:type="dxa"/>
            <w:tcMar>
              <w:top w:w="0" w:type="dxa"/>
              <w:left w:w="45" w:type="dxa"/>
              <w:bottom w:w="0" w:type="dxa"/>
              <w:right w:w="45" w:type="dxa"/>
            </w:tcMar>
          </w:tcPr>
          <w:p w14:paraId="287E4AAC" w14:textId="22CF61AC"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GEST / GS CESP</w:t>
            </w:r>
          </w:p>
        </w:tc>
        <w:tc>
          <w:tcPr>
            <w:tcW w:w="591" w:type="dxa"/>
            <w:tcMar>
              <w:top w:w="0" w:type="dxa"/>
              <w:left w:w="45" w:type="dxa"/>
              <w:bottom w:w="0" w:type="dxa"/>
              <w:right w:w="45" w:type="dxa"/>
            </w:tcMar>
            <w:vAlign w:val="bottom"/>
          </w:tcPr>
          <w:p w14:paraId="10037EBB"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tcPr>
          <w:p w14:paraId="71218207"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tcPr>
          <w:p w14:paraId="2D864C4B"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14299591"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1A5B979F"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46D46E3A"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5E957B23" w14:textId="77777777" w:rsidR="00BC7FCF" w:rsidRPr="00BC7FCF" w:rsidRDefault="00BC7FCF" w:rsidP="00BC7FCF">
            <w:pPr>
              <w:spacing w:after="0" w:line="240" w:lineRule="auto"/>
              <w:rPr>
                <w:rFonts w:asciiTheme="minorHAnsi" w:eastAsia="Times New Roman" w:hAnsiTheme="minorHAnsi" w:cstheme="minorHAnsi"/>
                <w:highlight w:val="yellow"/>
              </w:rPr>
            </w:pPr>
          </w:p>
        </w:tc>
        <w:tc>
          <w:tcPr>
            <w:tcW w:w="592" w:type="dxa"/>
            <w:tcMar>
              <w:top w:w="0" w:type="dxa"/>
              <w:left w:w="45" w:type="dxa"/>
              <w:bottom w:w="0" w:type="dxa"/>
              <w:right w:w="45" w:type="dxa"/>
            </w:tcMar>
            <w:vAlign w:val="bottom"/>
          </w:tcPr>
          <w:p w14:paraId="27A1E647"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tcPr>
          <w:p w14:paraId="090BEF3D"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tcMar>
              <w:top w:w="0" w:type="dxa"/>
              <w:left w:w="45" w:type="dxa"/>
              <w:bottom w:w="0" w:type="dxa"/>
              <w:right w:w="45" w:type="dxa"/>
            </w:tcMar>
            <w:vAlign w:val="bottom"/>
          </w:tcPr>
          <w:p w14:paraId="29E5A88A" w14:textId="77777777" w:rsidR="00BC7FCF" w:rsidRPr="00BC7FCF" w:rsidRDefault="00BC7FCF" w:rsidP="00BC7FCF">
            <w:pPr>
              <w:spacing w:after="0" w:line="240" w:lineRule="auto"/>
              <w:rPr>
                <w:rFonts w:asciiTheme="minorHAnsi" w:eastAsia="Times New Roman" w:hAnsiTheme="minorHAnsi" w:cstheme="minorHAnsi"/>
              </w:rPr>
            </w:pPr>
          </w:p>
        </w:tc>
      </w:tr>
      <w:tr w:rsidR="0087303C" w:rsidRPr="00BC7FCF" w14:paraId="0B82CD7A" w14:textId="77777777" w:rsidTr="00A361E3">
        <w:trPr>
          <w:cantSplit/>
        </w:trPr>
        <w:tc>
          <w:tcPr>
            <w:tcW w:w="1701" w:type="dxa"/>
            <w:tcMar>
              <w:top w:w="0" w:type="dxa"/>
              <w:left w:w="45" w:type="dxa"/>
              <w:bottom w:w="0" w:type="dxa"/>
              <w:right w:w="45" w:type="dxa"/>
            </w:tcMar>
          </w:tcPr>
          <w:p w14:paraId="390B48EB" w14:textId="6B941247"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Label Ville des Zones Humides accréditée</w:t>
            </w:r>
          </w:p>
        </w:tc>
        <w:tc>
          <w:tcPr>
            <w:tcW w:w="4536" w:type="dxa"/>
            <w:tcMar>
              <w:top w:w="0" w:type="dxa"/>
              <w:left w:w="45" w:type="dxa"/>
              <w:bottom w:w="0" w:type="dxa"/>
              <w:right w:w="45" w:type="dxa"/>
            </w:tcMar>
          </w:tcPr>
          <w:p w14:paraId="00F9231C" w14:textId="63E9F5F0"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Soutenir le programme d’accréditation du label Ville des Zones Humides de Ramsar afin de mettre en œuvre des activités de CESP efficaces</w:t>
            </w:r>
          </w:p>
        </w:tc>
        <w:tc>
          <w:tcPr>
            <w:tcW w:w="1774" w:type="dxa"/>
            <w:tcMar>
              <w:top w:w="0" w:type="dxa"/>
              <w:left w:w="45" w:type="dxa"/>
              <w:bottom w:w="0" w:type="dxa"/>
              <w:right w:w="45" w:type="dxa"/>
            </w:tcMar>
          </w:tcPr>
          <w:p w14:paraId="70C4A470" w14:textId="0190F37E" w:rsidR="00BC7FCF" w:rsidRPr="00BC7FCF" w:rsidRDefault="00BC7FCF" w:rsidP="00BC7FCF">
            <w:pPr>
              <w:spacing w:after="0" w:line="240" w:lineRule="auto"/>
              <w:rPr>
                <w:rFonts w:asciiTheme="minorHAnsi" w:eastAsia="Times New Roman" w:hAnsiTheme="minorHAnsi" w:cstheme="minorHAnsi"/>
              </w:rPr>
            </w:pPr>
            <w:r>
              <w:rPr>
                <w:rFonts w:asciiTheme="minorHAnsi" w:hAnsiTheme="minorHAnsi"/>
              </w:rPr>
              <w:t>GS CESP / CCI Ville des Zones Humides</w:t>
            </w:r>
          </w:p>
        </w:tc>
        <w:tc>
          <w:tcPr>
            <w:tcW w:w="591" w:type="dxa"/>
            <w:shd w:val="clear" w:color="auto" w:fill="FFFF00"/>
            <w:tcMar>
              <w:top w:w="0" w:type="dxa"/>
              <w:left w:w="45" w:type="dxa"/>
              <w:bottom w:w="0" w:type="dxa"/>
              <w:right w:w="45" w:type="dxa"/>
            </w:tcMar>
            <w:vAlign w:val="bottom"/>
          </w:tcPr>
          <w:p w14:paraId="42E55087"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724F2960"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61F33C03"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4B522DE9"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2AB80FEC"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7247A720"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41E36106"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4B0DFA52"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7248FF24" w14:textId="77777777" w:rsidR="00BC7FCF" w:rsidRPr="00BC7FCF" w:rsidRDefault="00BC7FCF" w:rsidP="00BC7FCF">
            <w:pPr>
              <w:spacing w:after="0" w:line="240" w:lineRule="auto"/>
              <w:rPr>
                <w:rFonts w:asciiTheme="minorHAnsi" w:eastAsia="Times New Roman" w:hAnsiTheme="minorHAnsi" w:cstheme="minorHAnsi"/>
              </w:rPr>
            </w:pPr>
          </w:p>
        </w:tc>
        <w:tc>
          <w:tcPr>
            <w:tcW w:w="592" w:type="dxa"/>
            <w:shd w:val="clear" w:color="auto" w:fill="FFFF00"/>
            <w:tcMar>
              <w:top w:w="0" w:type="dxa"/>
              <w:left w:w="45" w:type="dxa"/>
              <w:bottom w:w="0" w:type="dxa"/>
              <w:right w:w="45" w:type="dxa"/>
            </w:tcMar>
            <w:vAlign w:val="bottom"/>
          </w:tcPr>
          <w:p w14:paraId="757102BC" w14:textId="77777777" w:rsidR="00BC7FCF" w:rsidRPr="00BC7FCF" w:rsidRDefault="00BC7FCF" w:rsidP="00BC7FCF">
            <w:pPr>
              <w:spacing w:after="0" w:line="240" w:lineRule="auto"/>
              <w:rPr>
                <w:rFonts w:asciiTheme="minorHAnsi" w:eastAsia="Times New Roman" w:hAnsiTheme="minorHAnsi" w:cstheme="minorHAnsi"/>
              </w:rPr>
            </w:pPr>
          </w:p>
        </w:tc>
      </w:tr>
    </w:tbl>
    <w:p w14:paraId="5B6EF697" w14:textId="77777777" w:rsidR="00A611BF" w:rsidRPr="00BF73E0" w:rsidRDefault="00A611BF" w:rsidP="007954C4">
      <w:pPr>
        <w:spacing w:after="0" w:line="240" w:lineRule="auto"/>
        <w:rPr>
          <w:strike/>
        </w:rPr>
      </w:pPr>
    </w:p>
    <w:sectPr w:rsidR="00A611BF" w:rsidRPr="00BF73E0" w:rsidSect="0087303C">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B5DBB" w14:textId="77777777" w:rsidR="006B01D1" w:rsidRDefault="006B01D1" w:rsidP="005B43FD">
      <w:pPr>
        <w:spacing w:after="0" w:line="240" w:lineRule="auto"/>
      </w:pPr>
      <w:r>
        <w:separator/>
      </w:r>
    </w:p>
  </w:endnote>
  <w:endnote w:type="continuationSeparator" w:id="0">
    <w:p w14:paraId="1CACE6F8" w14:textId="77777777" w:rsidR="006B01D1" w:rsidRDefault="006B01D1" w:rsidP="005B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B4619" w14:textId="3C965ED5" w:rsidR="00BC7FCF" w:rsidRPr="00BC7FCF" w:rsidRDefault="00BC7FCF" w:rsidP="00BC7FCF">
    <w:pPr>
      <w:pStyle w:val="Footer"/>
      <w:tabs>
        <w:tab w:val="clear" w:pos="9026"/>
        <w:tab w:val="left" w:pos="13750"/>
      </w:tabs>
      <w:ind w:right="66"/>
      <w:rPr>
        <w:rFonts w:asciiTheme="minorHAnsi" w:hAnsiTheme="minorHAnsi" w:cstheme="minorHAnsi"/>
        <w:sz w:val="20"/>
        <w:szCs w:val="20"/>
      </w:rPr>
    </w:pPr>
    <w:r>
      <w:rPr>
        <w:rFonts w:asciiTheme="minorHAnsi" w:hAnsiTheme="minorHAnsi"/>
        <w:sz w:val="20"/>
      </w:rPr>
      <w:t>SC62 Doc.16.2</w:t>
    </w:r>
    <w:r>
      <w:rPr>
        <w:rFonts w:asciiTheme="minorHAnsi" w:hAnsiTheme="minorHAnsi"/>
        <w:sz w:val="20"/>
      </w:rPr>
      <w:tab/>
    </w:r>
    <w:r>
      <w:rPr>
        <w:rFonts w:asciiTheme="minorHAnsi" w:hAnsiTheme="minorHAnsi"/>
        <w:sz w:val="20"/>
      </w:rPr>
      <w:tab/>
    </w:r>
    <w:r w:rsidRPr="00967BF4">
      <w:rPr>
        <w:rFonts w:asciiTheme="minorHAnsi" w:hAnsiTheme="minorHAnsi" w:cstheme="minorHAnsi"/>
        <w:sz w:val="20"/>
      </w:rPr>
      <w:fldChar w:fldCharType="begin"/>
    </w:r>
    <w:r w:rsidRPr="00967BF4">
      <w:rPr>
        <w:rFonts w:asciiTheme="minorHAnsi" w:hAnsiTheme="minorHAnsi" w:cstheme="minorHAnsi"/>
        <w:sz w:val="20"/>
      </w:rPr>
      <w:instrText xml:space="preserve"> PAGE   \* MERGEFORMAT </w:instrText>
    </w:r>
    <w:r w:rsidRPr="00967BF4">
      <w:rPr>
        <w:rFonts w:asciiTheme="minorHAnsi" w:hAnsiTheme="minorHAnsi" w:cstheme="minorHAnsi"/>
        <w:sz w:val="20"/>
      </w:rPr>
      <w:fldChar w:fldCharType="separate"/>
    </w:r>
    <w:r w:rsidR="00A361E3">
      <w:rPr>
        <w:rFonts w:asciiTheme="minorHAnsi" w:hAnsiTheme="minorHAnsi" w:cstheme="minorHAnsi"/>
        <w:noProof/>
        <w:sz w:val="20"/>
      </w:rPr>
      <w:t>2</w:t>
    </w:r>
    <w:r w:rsidRPr="00967BF4">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B65F1" w14:textId="77777777" w:rsidR="006B01D1" w:rsidRDefault="006B01D1" w:rsidP="005B43FD">
      <w:pPr>
        <w:spacing w:after="0" w:line="240" w:lineRule="auto"/>
      </w:pPr>
      <w:r>
        <w:separator/>
      </w:r>
    </w:p>
  </w:footnote>
  <w:footnote w:type="continuationSeparator" w:id="0">
    <w:p w14:paraId="5F82B0F0" w14:textId="77777777" w:rsidR="006B01D1" w:rsidRDefault="006B01D1" w:rsidP="005B43FD">
      <w:pPr>
        <w:spacing w:after="0" w:line="240" w:lineRule="auto"/>
      </w:pPr>
      <w:r>
        <w:continuationSeparator/>
      </w:r>
    </w:p>
  </w:footnote>
  <w:footnote w:id="1">
    <w:p w14:paraId="1A896BDC" w14:textId="0432C688" w:rsidR="00050464" w:rsidRDefault="00050464" w:rsidP="005B43FD">
      <w:pPr>
        <w:spacing w:after="0" w:line="240" w:lineRule="auto"/>
        <w:rPr>
          <w:rFonts w:asciiTheme="minorHAnsi" w:hAnsiTheme="minorHAnsi" w:cstheme="minorHAnsi"/>
        </w:rPr>
      </w:pPr>
      <w:r>
        <w:rPr>
          <w:rStyle w:val="FootnoteReference"/>
        </w:rPr>
        <w:footnoteRef/>
      </w:r>
      <w:r>
        <w:t> </w:t>
      </w:r>
      <w:r>
        <w:rPr>
          <w:rFonts w:asciiTheme="minorHAnsi" w:hAnsiTheme="minorHAnsi"/>
        </w:rPr>
        <w:t>TM = Tsayi Mouvagha, Président du GS CESP</w:t>
      </w:r>
    </w:p>
    <w:p w14:paraId="18760E5A" w14:textId="0D699DC5" w:rsidR="00050464" w:rsidRPr="005B43FD" w:rsidRDefault="00050464" w:rsidP="005B43FD">
      <w:pPr>
        <w:spacing w:after="0" w:line="240" w:lineRule="auto"/>
        <w:rPr>
          <w:rFonts w:asciiTheme="minorHAnsi" w:hAnsiTheme="minorHAnsi" w:cstheme="minorHAnsi"/>
        </w:rPr>
      </w:pPr>
      <w:r>
        <w:rPr>
          <w:rFonts w:asciiTheme="minorHAnsi" w:hAnsiTheme="minorHAnsi"/>
        </w:rPr>
        <w:t>CR = Chris Rostron, Vice-président du GS CESP</w:t>
      </w:r>
    </w:p>
    <w:p w14:paraId="04113F0F" w14:textId="77777777" w:rsidR="00050464" w:rsidRDefault="0005046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BF"/>
    <w:rsid w:val="00035A66"/>
    <w:rsid w:val="0003733D"/>
    <w:rsid w:val="00050464"/>
    <w:rsid w:val="000816EB"/>
    <w:rsid w:val="0008300C"/>
    <w:rsid w:val="000A05CD"/>
    <w:rsid w:val="00116664"/>
    <w:rsid w:val="00121430"/>
    <w:rsid w:val="00150E22"/>
    <w:rsid w:val="00163FBF"/>
    <w:rsid w:val="00166759"/>
    <w:rsid w:val="00176FB3"/>
    <w:rsid w:val="001E2F37"/>
    <w:rsid w:val="00241E2A"/>
    <w:rsid w:val="002811C2"/>
    <w:rsid w:val="00282C83"/>
    <w:rsid w:val="00343267"/>
    <w:rsid w:val="003A1FE1"/>
    <w:rsid w:val="00434D1B"/>
    <w:rsid w:val="00446B1B"/>
    <w:rsid w:val="004474DF"/>
    <w:rsid w:val="00490BC2"/>
    <w:rsid w:val="004D2AD9"/>
    <w:rsid w:val="004E6076"/>
    <w:rsid w:val="004F79ED"/>
    <w:rsid w:val="005B43FD"/>
    <w:rsid w:val="005D39DF"/>
    <w:rsid w:val="00605B7C"/>
    <w:rsid w:val="00654702"/>
    <w:rsid w:val="00663D79"/>
    <w:rsid w:val="006835E2"/>
    <w:rsid w:val="006B01D1"/>
    <w:rsid w:val="006D5610"/>
    <w:rsid w:val="006F741D"/>
    <w:rsid w:val="00777252"/>
    <w:rsid w:val="007954C4"/>
    <w:rsid w:val="007E303B"/>
    <w:rsid w:val="00864CCF"/>
    <w:rsid w:val="0087303C"/>
    <w:rsid w:val="008F74BD"/>
    <w:rsid w:val="00961615"/>
    <w:rsid w:val="00980AFA"/>
    <w:rsid w:val="00997EB0"/>
    <w:rsid w:val="00A361E3"/>
    <w:rsid w:val="00A611BF"/>
    <w:rsid w:val="00B10D0D"/>
    <w:rsid w:val="00BC7FCF"/>
    <w:rsid w:val="00BF73E0"/>
    <w:rsid w:val="00CB7955"/>
    <w:rsid w:val="00CF2B6B"/>
    <w:rsid w:val="00D331AE"/>
    <w:rsid w:val="00D65489"/>
    <w:rsid w:val="00DC13F2"/>
    <w:rsid w:val="00DE6C70"/>
    <w:rsid w:val="00E33060"/>
    <w:rsid w:val="00E630E3"/>
    <w:rsid w:val="00F312D9"/>
    <w:rsid w:val="00F824FC"/>
    <w:rsid w:val="00F87263"/>
    <w:rsid w:val="00F945CC"/>
    <w:rsid w:val="00FE5E13"/>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A811"/>
  <w15:chartTrackingRefBased/>
  <w15:docId w15:val="{61528E06-E80B-4947-B750-499CE6A9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2C83"/>
    <w:rPr>
      <w:sz w:val="16"/>
      <w:szCs w:val="16"/>
    </w:rPr>
  </w:style>
  <w:style w:type="paragraph" w:styleId="CommentText">
    <w:name w:val="annotation text"/>
    <w:basedOn w:val="Normal"/>
    <w:link w:val="CommentTextChar"/>
    <w:uiPriority w:val="99"/>
    <w:unhideWhenUsed/>
    <w:rsid w:val="00282C83"/>
    <w:pPr>
      <w:spacing w:line="240" w:lineRule="auto"/>
    </w:pPr>
    <w:rPr>
      <w:sz w:val="20"/>
      <w:szCs w:val="20"/>
    </w:rPr>
  </w:style>
  <w:style w:type="character" w:customStyle="1" w:styleId="CommentTextChar">
    <w:name w:val="Comment Text Char"/>
    <w:basedOn w:val="DefaultParagraphFont"/>
    <w:link w:val="CommentText"/>
    <w:uiPriority w:val="99"/>
    <w:rsid w:val="00282C83"/>
    <w:rPr>
      <w:sz w:val="20"/>
      <w:szCs w:val="20"/>
    </w:rPr>
  </w:style>
  <w:style w:type="paragraph" w:styleId="CommentSubject">
    <w:name w:val="annotation subject"/>
    <w:basedOn w:val="CommentText"/>
    <w:next w:val="CommentText"/>
    <w:link w:val="CommentSubjectChar"/>
    <w:uiPriority w:val="99"/>
    <w:semiHidden/>
    <w:unhideWhenUsed/>
    <w:rsid w:val="00282C83"/>
    <w:rPr>
      <w:b/>
      <w:bCs/>
    </w:rPr>
  </w:style>
  <w:style w:type="character" w:customStyle="1" w:styleId="CommentSubjectChar">
    <w:name w:val="Comment Subject Char"/>
    <w:basedOn w:val="CommentTextChar"/>
    <w:link w:val="CommentSubject"/>
    <w:uiPriority w:val="99"/>
    <w:semiHidden/>
    <w:rsid w:val="00282C83"/>
    <w:rPr>
      <w:b/>
      <w:bCs/>
      <w:sz w:val="20"/>
      <w:szCs w:val="20"/>
    </w:rPr>
  </w:style>
  <w:style w:type="paragraph" w:styleId="BalloonText">
    <w:name w:val="Balloon Text"/>
    <w:basedOn w:val="Normal"/>
    <w:link w:val="BalloonTextChar"/>
    <w:uiPriority w:val="99"/>
    <w:semiHidden/>
    <w:unhideWhenUsed/>
    <w:rsid w:val="00282C83"/>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282C83"/>
    <w:rPr>
      <w:rFonts w:ascii="MS Shell Dlg" w:hAnsi="MS Shell Dlg" w:cs="MS Shell Dlg"/>
      <w:sz w:val="18"/>
      <w:szCs w:val="18"/>
    </w:rPr>
  </w:style>
  <w:style w:type="paragraph" w:styleId="Revision">
    <w:name w:val="Revision"/>
    <w:hidden/>
    <w:uiPriority w:val="99"/>
    <w:semiHidden/>
    <w:rsid w:val="003A1FE1"/>
    <w:pPr>
      <w:spacing w:after="0" w:line="240" w:lineRule="auto"/>
    </w:pPr>
  </w:style>
  <w:style w:type="paragraph" w:styleId="FootnoteText">
    <w:name w:val="footnote text"/>
    <w:basedOn w:val="Normal"/>
    <w:link w:val="FootnoteTextChar"/>
    <w:uiPriority w:val="99"/>
    <w:semiHidden/>
    <w:unhideWhenUsed/>
    <w:rsid w:val="005B4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43FD"/>
    <w:rPr>
      <w:sz w:val="20"/>
      <w:szCs w:val="20"/>
    </w:rPr>
  </w:style>
  <w:style w:type="character" w:styleId="FootnoteReference">
    <w:name w:val="footnote reference"/>
    <w:basedOn w:val="DefaultParagraphFont"/>
    <w:uiPriority w:val="99"/>
    <w:semiHidden/>
    <w:unhideWhenUsed/>
    <w:rsid w:val="005B43FD"/>
    <w:rPr>
      <w:vertAlign w:val="superscript"/>
    </w:rPr>
  </w:style>
  <w:style w:type="paragraph" w:customStyle="1" w:styleId="ColorfulList-Accent11">
    <w:name w:val="Colorful List - Accent 11"/>
    <w:basedOn w:val="Normal"/>
    <w:uiPriority w:val="34"/>
    <w:qFormat/>
    <w:rsid w:val="00BC7FCF"/>
    <w:pPr>
      <w:spacing w:after="0" w:line="240" w:lineRule="auto"/>
      <w:ind w:left="720" w:hanging="425"/>
      <w:contextualSpacing/>
    </w:pPr>
    <w:rPr>
      <w:rFonts w:ascii="Calibri" w:eastAsia="Calibri" w:hAnsi="Calibri" w:cs="Times New Roman"/>
      <w:lang w:eastAsia="en-US"/>
    </w:rPr>
  </w:style>
  <w:style w:type="paragraph" w:styleId="Header">
    <w:name w:val="header"/>
    <w:basedOn w:val="Normal"/>
    <w:link w:val="HeaderChar"/>
    <w:uiPriority w:val="99"/>
    <w:unhideWhenUsed/>
    <w:rsid w:val="00BC7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FCF"/>
  </w:style>
  <w:style w:type="paragraph" w:styleId="Footer">
    <w:name w:val="footer"/>
    <w:basedOn w:val="Normal"/>
    <w:link w:val="FooterChar"/>
    <w:uiPriority w:val="99"/>
    <w:unhideWhenUsed/>
    <w:rsid w:val="00BC7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3315">
      <w:bodyDiv w:val="1"/>
      <w:marLeft w:val="0"/>
      <w:marRight w:val="0"/>
      <w:marTop w:val="0"/>
      <w:marBottom w:val="0"/>
      <w:divBdr>
        <w:top w:val="none" w:sz="0" w:space="0" w:color="auto"/>
        <w:left w:val="none" w:sz="0" w:space="0" w:color="auto"/>
        <w:bottom w:val="none" w:sz="0" w:space="0" w:color="auto"/>
        <w:right w:val="none" w:sz="0" w:space="0" w:color="auto"/>
      </w:divBdr>
      <w:divsChild>
        <w:div w:id="329136581">
          <w:marLeft w:val="0"/>
          <w:marRight w:val="0"/>
          <w:marTop w:val="0"/>
          <w:marBottom w:val="0"/>
          <w:divBdr>
            <w:top w:val="none" w:sz="0" w:space="0" w:color="auto"/>
            <w:left w:val="none" w:sz="0" w:space="0" w:color="auto"/>
            <w:bottom w:val="none" w:sz="0" w:space="0" w:color="auto"/>
            <w:right w:val="none" w:sz="0" w:space="0" w:color="auto"/>
          </w:divBdr>
        </w:div>
        <w:div w:id="613097947">
          <w:marLeft w:val="0"/>
          <w:marRight w:val="0"/>
          <w:marTop w:val="0"/>
          <w:marBottom w:val="0"/>
          <w:divBdr>
            <w:top w:val="none" w:sz="0" w:space="0" w:color="auto"/>
            <w:left w:val="none" w:sz="0" w:space="0" w:color="auto"/>
            <w:bottom w:val="none" w:sz="0" w:space="0" w:color="auto"/>
            <w:right w:val="none" w:sz="0" w:space="0" w:color="auto"/>
          </w:divBdr>
        </w:div>
        <w:div w:id="1253776386">
          <w:marLeft w:val="0"/>
          <w:marRight w:val="0"/>
          <w:marTop w:val="0"/>
          <w:marBottom w:val="0"/>
          <w:divBdr>
            <w:top w:val="none" w:sz="0" w:space="0" w:color="auto"/>
            <w:left w:val="none" w:sz="0" w:space="0" w:color="auto"/>
            <w:bottom w:val="none" w:sz="0" w:space="0" w:color="auto"/>
            <w:right w:val="none" w:sz="0" w:space="0" w:color="auto"/>
          </w:divBdr>
        </w:div>
        <w:div w:id="1703046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4" ma:contentTypeDescription="Create a new document." ma:contentTypeScope="" ma:versionID="2055849121a78828b203c376bcc09796">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ac13e0d67ac5406e1a12fcdbd3791b94"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30B98-DCFD-411F-845C-E1834205E3A0}">
  <ds:schemaRefs>
    <ds:schemaRef ds:uri="http://schemas.microsoft.com/sharepoint/v3/contenttype/forms"/>
  </ds:schemaRefs>
</ds:datastoreItem>
</file>

<file path=customXml/itemProps2.xml><?xml version="1.0" encoding="utf-8"?>
<ds:datastoreItem xmlns:ds="http://schemas.openxmlformats.org/officeDocument/2006/customXml" ds:itemID="{D3F177A4-BD62-4AA7-A707-01A40448E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6DA1B-00EB-4B78-B3A6-03CBB71956FC}">
  <ds:schemaRefs>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aedd258d-19a7-41ba-8260-b0918f25313d"/>
    <ds:schemaRef ds:uri="http://www.w3.org/XML/1998/namespace"/>
    <ds:schemaRef ds:uri="http://schemas.microsoft.com/office/infopath/2007/PartnerControls"/>
    <ds:schemaRef ds:uri="8c0b6b05-eb82-4bda-97e8-cd82d0d6b453"/>
  </ds:schemaRefs>
</ds:datastoreItem>
</file>

<file path=customXml/itemProps4.xml><?xml version="1.0" encoding="utf-8"?>
<ds:datastoreItem xmlns:ds="http://schemas.openxmlformats.org/officeDocument/2006/customXml" ds:itemID="{239CE08E-E77F-478B-ADAD-4636DA77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WWT</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Ed Jennings</cp:lastModifiedBy>
  <cp:revision>2</cp:revision>
  <dcterms:created xsi:type="dcterms:W3CDTF">2023-06-02T13:29:00Z</dcterms:created>
  <dcterms:modified xsi:type="dcterms:W3CDTF">2023-06-02T13:29:00Z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