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7B337EF8" w:rsidR="00135706" w:rsidRPr="00327A64" w:rsidRDefault="00135706"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 xml:space="preserve">CONVENTION </w:t>
      </w:r>
      <w:r w:rsidR="00327A64">
        <w:rPr>
          <w:rFonts w:cstheme="minorHAnsi"/>
          <w:bCs/>
          <w:lang w:val="fr-CH"/>
        </w:rPr>
        <w:t>SUR LES ZONES HUMIDES</w:t>
      </w:r>
    </w:p>
    <w:p w14:paraId="4293AE14" w14:textId="7979147C" w:rsidR="00135706" w:rsidRPr="00327A64" w:rsidRDefault="00214C25"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62</w:t>
      </w:r>
      <w:r w:rsidR="00327A64" w:rsidRPr="00327A64">
        <w:rPr>
          <w:rFonts w:cstheme="minorHAnsi"/>
          <w:bCs/>
          <w:vertAlign w:val="superscript"/>
          <w:lang w:val="fr-CH"/>
        </w:rPr>
        <w:t>e</w:t>
      </w:r>
      <w:r w:rsidR="00135706" w:rsidRPr="00327A64">
        <w:rPr>
          <w:rFonts w:cstheme="minorHAnsi"/>
          <w:bCs/>
          <w:lang w:val="fr-CH"/>
        </w:rPr>
        <w:t xml:space="preserve"> </w:t>
      </w:r>
      <w:r w:rsidR="00327A64">
        <w:rPr>
          <w:rFonts w:cstheme="minorHAnsi"/>
          <w:bCs/>
          <w:lang w:val="fr-CH"/>
        </w:rPr>
        <w:t>Réunion du Comité permanent</w:t>
      </w:r>
    </w:p>
    <w:p w14:paraId="368A0CB5" w14:textId="43469818" w:rsidR="00135706" w:rsidRPr="00327A64" w:rsidRDefault="00135706"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 xml:space="preserve">Gland, </w:t>
      </w:r>
      <w:r w:rsidR="00327A64">
        <w:rPr>
          <w:rFonts w:cstheme="minorHAnsi"/>
          <w:bCs/>
          <w:lang w:val="fr-CH"/>
        </w:rPr>
        <w:t>Suisse</w:t>
      </w:r>
      <w:r w:rsidRPr="00327A64">
        <w:rPr>
          <w:rFonts w:cstheme="minorHAnsi"/>
          <w:bCs/>
          <w:lang w:val="fr-CH"/>
        </w:rPr>
        <w:t xml:space="preserve">, </w:t>
      </w:r>
      <w:r w:rsidR="00214C25" w:rsidRPr="00327A64">
        <w:rPr>
          <w:rFonts w:cstheme="minorHAnsi"/>
          <w:bCs/>
          <w:lang w:val="fr-CH"/>
        </w:rPr>
        <w:t>4</w:t>
      </w:r>
      <w:r w:rsidRPr="00327A64">
        <w:rPr>
          <w:rFonts w:cstheme="minorHAnsi"/>
          <w:bCs/>
          <w:lang w:val="fr-CH"/>
        </w:rPr>
        <w:t xml:space="preserve"> </w:t>
      </w:r>
      <w:r w:rsidR="00D358A4">
        <w:rPr>
          <w:rFonts w:cstheme="minorHAnsi"/>
          <w:bCs/>
          <w:lang w:val="fr-CH"/>
        </w:rPr>
        <w:t>au</w:t>
      </w:r>
      <w:r w:rsidRPr="00327A64">
        <w:rPr>
          <w:rFonts w:cstheme="minorHAnsi"/>
          <w:bCs/>
          <w:lang w:val="fr-CH"/>
        </w:rPr>
        <w:t xml:space="preserve"> </w:t>
      </w:r>
      <w:r w:rsidR="00214C25" w:rsidRPr="00327A64">
        <w:rPr>
          <w:rFonts w:cstheme="minorHAnsi"/>
          <w:bCs/>
          <w:lang w:val="fr-CH"/>
        </w:rPr>
        <w:t xml:space="preserve">8 </w:t>
      </w:r>
      <w:r w:rsidR="00327A64">
        <w:rPr>
          <w:rFonts w:cstheme="minorHAnsi"/>
          <w:bCs/>
          <w:lang w:val="fr-CH"/>
        </w:rPr>
        <w:t>septembre</w:t>
      </w:r>
      <w:r w:rsidRPr="00327A64">
        <w:rPr>
          <w:rFonts w:cstheme="minorHAnsi"/>
          <w:bCs/>
          <w:lang w:val="fr-CH"/>
        </w:rPr>
        <w:t xml:space="preserve"> </w:t>
      </w:r>
      <w:r w:rsidR="00D84F77" w:rsidRPr="00327A64">
        <w:rPr>
          <w:rFonts w:cstheme="minorHAnsi"/>
          <w:bCs/>
          <w:lang w:val="fr-CH"/>
        </w:rPr>
        <w:t>20</w:t>
      </w:r>
      <w:r w:rsidR="00EB5383" w:rsidRPr="00327A64">
        <w:rPr>
          <w:rFonts w:cstheme="minorHAnsi"/>
          <w:bCs/>
          <w:lang w:val="fr-CH"/>
        </w:rPr>
        <w:t>2</w:t>
      </w:r>
      <w:r w:rsidR="00214C25" w:rsidRPr="00327A64">
        <w:rPr>
          <w:rFonts w:cstheme="minorHAnsi"/>
          <w:bCs/>
          <w:lang w:val="fr-CH"/>
        </w:rPr>
        <w:t>3</w:t>
      </w:r>
    </w:p>
    <w:p w14:paraId="18B91B93" w14:textId="77777777" w:rsidR="00135706" w:rsidRPr="00584D51" w:rsidRDefault="00135706" w:rsidP="00D47231">
      <w:pPr>
        <w:spacing w:after="0" w:line="240" w:lineRule="auto"/>
        <w:rPr>
          <w:rFonts w:cstheme="minorHAnsi"/>
          <w:b/>
          <w:sz w:val="28"/>
          <w:szCs w:val="28"/>
          <w:lang w:val="fr-FR"/>
        </w:rPr>
      </w:pPr>
    </w:p>
    <w:p w14:paraId="6095F09B" w14:textId="77777777" w:rsidR="00584301" w:rsidRPr="00D358A4" w:rsidRDefault="00584301" w:rsidP="00D47231">
      <w:pPr>
        <w:spacing w:after="0" w:line="240" w:lineRule="auto"/>
        <w:jc w:val="center"/>
        <w:rPr>
          <w:rFonts w:cstheme="minorHAnsi"/>
          <w:b/>
          <w:sz w:val="28"/>
          <w:szCs w:val="28"/>
          <w:lang w:val="fr-FR"/>
        </w:rPr>
      </w:pPr>
    </w:p>
    <w:p w14:paraId="106398A4" w14:textId="44DFB257" w:rsidR="00135706" w:rsidRPr="00397BD3" w:rsidRDefault="00135706" w:rsidP="00D47231">
      <w:pPr>
        <w:spacing w:after="0" w:line="240" w:lineRule="auto"/>
        <w:jc w:val="center"/>
        <w:rPr>
          <w:rFonts w:cstheme="minorHAnsi"/>
          <w:b/>
          <w:sz w:val="28"/>
          <w:szCs w:val="28"/>
          <w:lang w:val="fr-FR"/>
        </w:rPr>
      </w:pPr>
      <w:r w:rsidRPr="00397BD3">
        <w:rPr>
          <w:rFonts w:cstheme="minorHAnsi"/>
          <w:b/>
          <w:sz w:val="28"/>
          <w:szCs w:val="28"/>
          <w:lang w:val="fr-FR"/>
        </w:rPr>
        <w:t>D</w:t>
      </w:r>
      <w:r w:rsidR="00397BD3" w:rsidRPr="00397BD3">
        <w:rPr>
          <w:rFonts w:cstheme="minorHAnsi"/>
          <w:b/>
          <w:sz w:val="28"/>
          <w:szCs w:val="28"/>
          <w:lang w:val="fr-FR"/>
        </w:rPr>
        <w:t>é</w:t>
      </w:r>
      <w:r w:rsidRPr="00397BD3">
        <w:rPr>
          <w:rFonts w:cstheme="minorHAnsi"/>
          <w:b/>
          <w:sz w:val="28"/>
          <w:szCs w:val="28"/>
          <w:lang w:val="fr-FR"/>
        </w:rPr>
        <w:t xml:space="preserve">cisions </w:t>
      </w:r>
      <w:r w:rsidR="00397BD3" w:rsidRPr="00397BD3">
        <w:rPr>
          <w:rFonts w:cstheme="minorHAnsi"/>
          <w:b/>
          <w:sz w:val="28"/>
          <w:szCs w:val="28"/>
          <w:lang w:val="fr-FR"/>
        </w:rPr>
        <w:t>de la 62</w:t>
      </w:r>
      <w:r w:rsidR="00397BD3" w:rsidRPr="00F16FDD">
        <w:rPr>
          <w:rFonts w:cstheme="minorHAnsi"/>
          <w:b/>
          <w:sz w:val="28"/>
          <w:szCs w:val="28"/>
          <w:vertAlign w:val="superscript"/>
          <w:lang w:val="fr-FR"/>
        </w:rPr>
        <w:t>e</w:t>
      </w:r>
      <w:r w:rsidR="00397BD3" w:rsidRPr="00397BD3">
        <w:rPr>
          <w:rFonts w:cstheme="minorHAnsi"/>
          <w:b/>
          <w:sz w:val="28"/>
          <w:szCs w:val="28"/>
          <w:lang w:val="fr-FR"/>
        </w:rPr>
        <w:t xml:space="preserve"> </w:t>
      </w:r>
      <w:r w:rsidR="00CE1A59">
        <w:rPr>
          <w:rFonts w:cstheme="minorHAnsi"/>
          <w:b/>
          <w:sz w:val="28"/>
          <w:szCs w:val="28"/>
          <w:lang w:val="fr-FR"/>
        </w:rPr>
        <w:t>r</w:t>
      </w:r>
      <w:r w:rsidR="00397BD3" w:rsidRPr="00397BD3">
        <w:rPr>
          <w:rFonts w:cstheme="minorHAnsi"/>
          <w:b/>
          <w:sz w:val="28"/>
          <w:szCs w:val="28"/>
          <w:lang w:val="fr-FR"/>
        </w:rPr>
        <w:t>éunion du Comité pe</w:t>
      </w:r>
      <w:r w:rsidR="00397BD3">
        <w:rPr>
          <w:rFonts w:cstheme="minorHAnsi"/>
          <w:b/>
          <w:sz w:val="28"/>
          <w:szCs w:val="28"/>
          <w:lang w:val="fr-FR"/>
        </w:rPr>
        <w:t>rmanent </w:t>
      </w:r>
    </w:p>
    <w:p w14:paraId="50D567FE" w14:textId="77777777" w:rsidR="00135706" w:rsidRPr="00397BD3" w:rsidRDefault="00135706" w:rsidP="00D47231">
      <w:pPr>
        <w:spacing w:after="0" w:line="240" w:lineRule="auto"/>
        <w:outlineLvl w:val="0"/>
        <w:rPr>
          <w:rFonts w:cstheme="minorHAnsi"/>
          <w:b/>
          <w:lang w:val="fr-FR"/>
        </w:rPr>
      </w:pPr>
    </w:p>
    <w:p w14:paraId="1443B404" w14:textId="554AEAFE" w:rsidR="00D84F77" w:rsidRDefault="00D84F77" w:rsidP="00D47231">
      <w:pPr>
        <w:spacing w:after="0" w:line="240" w:lineRule="auto"/>
        <w:rPr>
          <w:rFonts w:cstheme="minorHAnsi"/>
          <w:b/>
          <w:lang w:val="fr-FR"/>
        </w:rPr>
      </w:pPr>
    </w:p>
    <w:p w14:paraId="045DB966" w14:textId="405AD7BB" w:rsidR="005A4B27" w:rsidRPr="00397BD3" w:rsidRDefault="00397BD3"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97BD3">
        <w:rPr>
          <w:rFonts w:cstheme="minorHAnsi"/>
          <w:bCs/>
          <w:lang w:val="fr-FR"/>
        </w:rPr>
        <w:t xml:space="preserve">Point </w:t>
      </w:r>
      <w:r>
        <w:rPr>
          <w:rFonts w:cstheme="minorHAnsi"/>
          <w:bCs/>
          <w:lang w:val="fr-FR"/>
        </w:rPr>
        <w:t>2</w:t>
      </w:r>
      <w:r w:rsidRPr="00397BD3">
        <w:rPr>
          <w:rFonts w:cstheme="minorHAnsi"/>
          <w:bCs/>
          <w:lang w:val="fr-FR"/>
        </w:rPr>
        <w:t xml:space="preserve"> de l’ordre du jour : </w:t>
      </w:r>
      <w:r w:rsidR="005A4B27" w:rsidRPr="00397BD3">
        <w:rPr>
          <w:rFonts w:cstheme="minorHAnsi"/>
          <w:bCs/>
          <w:lang w:val="fr-FR"/>
        </w:rPr>
        <w:t xml:space="preserve">Adoption </w:t>
      </w:r>
      <w:r w:rsidRPr="00397BD3">
        <w:rPr>
          <w:rFonts w:cstheme="minorHAnsi"/>
          <w:bCs/>
          <w:lang w:val="fr-FR"/>
        </w:rPr>
        <w:t>de l’ordre du jour provisoire</w:t>
      </w:r>
    </w:p>
    <w:p w14:paraId="5AEF11C4" w14:textId="13BAE479" w:rsidR="005D5335" w:rsidRPr="00D358A4" w:rsidRDefault="005D5335" w:rsidP="00A21C0C">
      <w:pPr>
        <w:spacing w:after="0" w:line="240" w:lineRule="auto"/>
        <w:ind w:left="567" w:hanging="567"/>
        <w:rPr>
          <w:rFonts w:cstheme="minorHAnsi"/>
          <w:lang w:val="fr-FR"/>
        </w:rPr>
      </w:pPr>
    </w:p>
    <w:p w14:paraId="26F26CC8" w14:textId="2BDFB3A6" w:rsidR="005F4C17" w:rsidRPr="000E08CF" w:rsidRDefault="0017411A" w:rsidP="005F4C17">
      <w:pPr>
        <w:spacing w:after="0" w:line="240" w:lineRule="auto"/>
        <w:rPr>
          <w:lang w:val="fr-FR"/>
        </w:rPr>
      </w:pPr>
      <w:r w:rsidRPr="000E08CF">
        <w:rPr>
          <w:rFonts w:cstheme="minorHAnsi"/>
          <w:b/>
          <w:lang w:val="fr-FR"/>
        </w:rPr>
        <w:t>D</w:t>
      </w:r>
      <w:r w:rsidR="00397BD3"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-01</w:t>
      </w:r>
      <w:r w:rsidR="00397BD3" w:rsidRPr="000E08CF">
        <w:rPr>
          <w:rFonts w:cstheme="minorHAnsi"/>
          <w:b/>
          <w:lang w:val="fr-FR"/>
        </w:rPr>
        <w:t xml:space="preserve"> </w:t>
      </w:r>
      <w:r w:rsidRPr="000E08CF">
        <w:rPr>
          <w:rFonts w:cstheme="minorHAnsi"/>
          <w:b/>
          <w:lang w:val="fr-FR"/>
        </w:rPr>
        <w:t xml:space="preserve">: </w:t>
      </w:r>
      <w:r w:rsidR="000E08CF" w:rsidRPr="00CF44E4">
        <w:rPr>
          <w:rFonts w:cstheme="minorHAnsi"/>
          <w:b/>
          <w:lang w:val="fr-FR"/>
        </w:rPr>
        <w:t xml:space="preserve">Le Comité permanent </w:t>
      </w:r>
      <w:r w:rsidR="005F4C17" w:rsidRPr="000E08CF">
        <w:rPr>
          <w:rFonts w:cstheme="minorHAnsi"/>
          <w:b/>
          <w:lang w:val="fr-FR"/>
        </w:rPr>
        <w:t xml:space="preserve">adopte </w:t>
      </w:r>
      <w:r w:rsidR="000E08CF" w:rsidRPr="000E08CF">
        <w:rPr>
          <w:rFonts w:cstheme="minorHAnsi"/>
          <w:b/>
          <w:lang w:val="fr-FR"/>
        </w:rPr>
        <w:t xml:space="preserve">l’ordre du jour provisoire </w:t>
      </w:r>
      <w:r w:rsidR="000E08CF">
        <w:rPr>
          <w:rFonts w:cstheme="minorHAnsi"/>
          <w:b/>
          <w:lang w:val="fr-FR"/>
        </w:rPr>
        <w:t>figurant dans le</w:t>
      </w:r>
      <w:r w:rsidR="005F4C17" w:rsidRPr="000E08CF">
        <w:rPr>
          <w:rFonts w:cstheme="minorHAnsi"/>
          <w:b/>
          <w:lang w:val="fr-FR"/>
        </w:rPr>
        <w:t xml:space="preserve"> document SC</w:t>
      </w:r>
      <w:r w:rsidR="0035175C" w:rsidRPr="000E08CF">
        <w:rPr>
          <w:rFonts w:cstheme="minorHAnsi"/>
          <w:b/>
          <w:lang w:val="fr-FR"/>
        </w:rPr>
        <w:t>62</w:t>
      </w:r>
      <w:r w:rsidR="005F4C17" w:rsidRPr="000E08CF">
        <w:rPr>
          <w:rFonts w:cstheme="minorHAnsi"/>
          <w:b/>
          <w:lang w:val="fr-FR"/>
        </w:rPr>
        <w:t xml:space="preserve"> Doc.2 Rev.1</w:t>
      </w:r>
      <w:r w:rsidR="0035175C" w:rsidRPr="000E08CF">
        <w:rPr>
          <w:rFonts w:cstheme="minorHAnsi"/>
          <w:b/>
          <w:lang w:val="fr-FR"/>
        </w:rPr>
        <w:t>.</w:t>
      </w:r>
    </w:p>
    <w:p w14:paraId="12FD1027" w14:textId="77777777" w:rsidR="0017411A" w:rsidRPr="000E08CF" w:rsidRDefault="0017411A" w:rsidP="00D47231">
      <w:pPr>
        <w:tabs>
          <w:tab w:val="left" w:pos="720"/>
          <w:tab w:val="center" w:pos="4680"/>
        </w:tabs>
        <w:spacing w:after="0" w:line="240" w:lineRule="auto"/>
        <w:contextualSpacing/>
        <w:rPr>
          <w:rFonts w:cstheme="minorHAnsi"/>
          <w:lang w:val="fr-FR"/>
        </w:rPr>
      </w:pPr>
    </w:p>
    <w:p w14:paraId="1161549B" w14:textId="6D6C1C78" w:rsidR="0024341A" w:rsidRPr="00397BD3" w:rsidRDefault="00397BD3"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97BD3">
        <w:rPr>
          <w:rFonts w:cstheme="minorHAnsi"/>
          <w:bCs/>
          <w:lang w:val="fr-FR"/>
        </w:rPr>
        <w:t xml:space="preserve">Point </w:t>
      </w:r>
      <w:r>
        <w:rPr>
          <w:rFonts w:cstheme="minorHAnsi"/>
          <w:bCs/>
          <w:lang w:val="fr-FR"/>
        </w:rPr>
        <w:t>3</w:t>
      </w:r>
      <w:r w:rsidRPr="00397BD3">
        <w:rPr>
          <w:rFonts w:cstheme="minorHAnsi"/>
          <w:bCs/>
          <w:lang w:val="fr-FR"/>
        </w:rPr>
        <w:t xml:space="preserve"> de l’ordre du jour : Adoption du programme de travail provisoire</w:t>
      </w:r>
    </w:p>
    <w:p w14:paraId="608C2DF1" w14:textId="77777777" w:rsidR="005F4C17" w:rsidRPr="00D358A4" w:rsidRDefault="005F4C17" w:rsidP="0035175C">
      <w:pPr>
        <w:spacing w:after="0" w:line="240" w:lineRule="auto"/>
        <w:rPr>
          <w:lang w:val="fr-FR"/>
        </w:rPr>
      </w:pPr>
    </w:p>
    <w:p w14:paraId="289110D7" w14:textId="4521AB0A" w:rsidR="005F4C17" w:rsidRPr="000E08CF" w:rsidRDefault="005F4C17" w:rsidP="005F4C17">
      <w:pPr>
        <w:spacing w:after="0" w:line="240" w:lineRule="auto"/>
        <w:rPr>
          <w:lang w:val="fr-FR"/>
        </w:rPr>
      </w:pPr>
      <w:r w:rsidRPr="000E08CF">
        <w:rPr>
          <w:rFonts w:cstheme="minorHAnsi"/>
          <w:b/>
          <w:lang w:val="fr-FR"/>
        </w:rPr>
        <w:t>D</w:t>
      </w:r>
      <w:r w:rsidR="00397BD3"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-02</w:t>
      </w:r>
      <w:r w:rsidR="00397BD3" w:rsidRPr="000E08CF">
        <w:rPr>
          <w:rFonts w:cstheme="minorHAnsi"/>
          <w:b/>
          <w:lang w:val="fr-FR"/>
        </w:rPr>
        <w:t xml:space="preserve"> </w:t>
      </w:r>
      <w:r w:rsidRPr="000E08CF">
        <w:rPr>
          <w:rFonts w:cstheme="minorHAnsi"/>
          <w:b/>
          <w:lang w:val="fr-FR"/>
        </w:rPr>
        <w:t xml:space="preserve">: </w:t>
      </w:r>
      <w:r w:rsidR="000E08CF" w:rsidRPr="00CF44E4">
        <w:rPr>
          <w:rFonts w:cstheme="minorHAnsi"/>
          <w:b/>
          <w:lang w:val="fr-FR"/>
        </w:rPr>
        <w:t xml:space="preserve">Le Comité permanent </w:t>
      </w:r>
      <w:r w:rsidRPr="000E08CF">
        <w:rPr>
          <w:rFonts w:cstheme="minorHAnsi"/>
          <w:b/>
          <w:lang w:val="fr-FR"/>
        </w:rPr>
        <w:t xml:space="preserve">adopte </w:t>
      </w:r>
      <w:r w:rsidR="000E08CF" w:rsidRPr="000E08CF">
        <w:rPr>
          <w:rFonts w:cstheme="minorHAnsi"/>
          <w:b/>
          <w:lang w:val="fr-FR"/>
        </w:rPr>
        <w:t>le</w:t>
      </w:r>
      <w:r w:rsidR="000E08CF">
        <w:rPr>
          <w:rFonts w:cstheme="minorHAnsi"/>
          <w:b/>
          <w:lang w:val="fr-FR"/>
        </w:rPr>
        <w:t xml:space="preserve"> programme de travail provisoire figurant dans le</w:t>
      </w:r>
      <w:r w:rsidRPr="000E08CF">
        <w:rPr>
          <w:rFonts w:cstheme="minorHAnsi"/>
          <w:b/>
          <w:lang w:val="fr-FR"/>
        </w:rPr>
        <w:t xml:space="preserve"> document SC</w:t>
      </w:r>
      <w:r w:rsidR="0035175C" w:rsidRPr="000E08CF">
        <w:rPr>
          <w:rFonts w:cstheme="minorHAnsi"/>
          <w:b/>
          <w:lang w:val="fr-FR"/>
        </w:rPr>
        <w:t>62</w:t>
      </w:r>
      <w:r w:rsidRPr="000E08CF">
        <w:rPr>
          <w:rFonts w:cstheme="minorHAnsi"/>
          <w:b/>
          <w:lang w:val="fr-FR"/>
        </w:rPr>
        <w:t xml:space="preserve"> Doc.3</w:t>
      </w:r>
      <w:r w:rsidR="0035175C" w:rsidRPr="000E08CF">
        <w:rPr>
          <w:rFonts w:cstheme="minorHAnsi"/>
          <w:b/>
          <w:lang w:val="fr-FR"/>
        </w:rPr>
        <w:t>.</w:t>
      </w:r>
    </w:p>
    <w:p w14:paraId="088BBE94" w14:textId="77777777" w:rsidR="0024341A" w:rsidRPr="000E08CF" w:rsidRDefault="0024341A" w:rsidP="00D47231">
      <w:pPr>
        <w:tabs>
          <w:tab w:val="left" w:pos="720"/>
          <w:tab w:val="center" w:pos="4680"/>
        </w:tabs>
        <w:spacing w:after="0" w:line="240" w:lineRule="auto"/>
        <w:rPr>
          <w:rFonts w:cstheme="minorHAnsi"/>
          <w:bCs/>
          <w:lang w:val="fr-FR"/>
        </w:rPr>
      </w:pPr>
    </w:p>
    <w:p w14:paraId="741AECEF" w14:textId="5AD9A96A" w:rsidR="0024341A" w:rsidRPr="003B5404" w:rsidRDefault="003B5404"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 xml:space="preserve">Point </w:t>
      </w:r>
      <w:r>
        <w:rPr>
          <w:rFonts w:cstheme="minorHAnsi"/>
          <w:bCs/>
          <w:lang w:val="fr-FR"/>
        </w:rPr>
        <w:t>4</w:t>
      </w:r>
      <w:r w:rsidRPr="003B5404">
        <w:rPr>
          <w:rFonts w:cstheme="minorHAnsi"/>
          <w:bCs/>
          <w:lang w:val="fr-FR"/>
        </w:rPr>
        <w:t xml:space="preserve"> de l’ordre du jour : Ad</w:t>
      </w:r>
      <w:r w:rsidR="00584D51">
        <w:rPr>
          <w:rFonts w:cstheme="minorHAnsi"/>
          <w:bCs/>
          <w:lang w:val="fr-FR"/>
        </w:rPr>
        <w:t>mission</w:t>
      </w:r>
      <w:r w:rsidRPr="003B5404">
        <w:rPr>
          <w:rFonts w:cstheme="minorHAnsi"/>
          <w:bCs/>
          <w:lang w:val="fr-FR"/>
        </w:rPr>
        <w:t xml:space="preserve"> </w:t>
      </w:r>
      <w:r>
        <w:rPr>
          <w:rFonts w:cstheme="minorHAnsi"/>
          <w:bCs/>
          <w:lang w:val="fr-FR"/>
        </w:rPr>
        <w:t>des observateurs</w:t>
      </w:r>
    </w:p>
    <w:p w14:paraId="573CBF66" w14:textId="77777777" w:rsidR="00460E83" w:rsidRPr="00460E83" w:rsidRDefault="00460E83" w:rsidP="00460E83">
      <w:pPr>
        <w:spacing w:after="0" w:line="240" w:lineRule="auto"/>
        <w:ind w:left="567" w:hanging="567"/>
        <w:rPr>
          <w:rFonts w:eastAsia="Calibri" w:cstheme="minorHAnsi"/>
          <w:bCs/>
          <w:lang w:val="fr-FR"/>
        </w:rPr>
      </w:pPr>
    </w:p>
    <w:p w14:paraId="6861CE23" w14:textId="7A10B8D7" w:rsidR="00D20B2A" w:rsidRPr="000E08CF" w:rsidRDefault="00D20B2A" w:rsidP="00D47231">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w:t>
      </w:r>
      <w:r w:rsidR="00545238" w:rsidRPr="000E08CF">
        <w:rPr>
          <w:rFonts w:cstheme="minorHAnsi"/>
          <w:b/>
          <w:lang w:val="fr-FR"/>
        </w:rPr>
        <w:t>3</w:t>
      </w:r>
      <w:r w:rsidR="003B5404" w:rsidRPr="000E08CF">
        <w:rPr>
          <w:rFonts w:cstheme="minorHAnsi"/>
          <w:b/>
          <w:lang w:val="fr-FR"/>
        </w:rPr>
        <w:t> </w:t>
      </w:r>
      <w:r w:rsidRPr="000E08CF">
        <w:rPr>
          <w:rFonts w:cstheme="minorHAnsi"/>
          <w:b/>
          <w:lang w:val="fr-FR"/>
        </w:rPr>
        <w:t xml:space="preserve">: </w:t>
      </w:r>
      <w:r w:rsidR="000E08CF" w:rsidRPr="00CF44E4">
        <w:rPr>
          <w:rFonts w:cstheme="minorHAnsi"/>
          <w:b/>
          <w:lang w:val="fr-FR"/>
        </w:rPr>
        <w:t xml:space="preserve">Le Comité permanent </w:t>
      </w:r>
      <w:r w:rsidRPr="000E08CF">
        <w:rPr>
          <w:rFonts w:cstheme="minorHAnsi"/>
          <w:b/>
          <w:lang w:val="fr-FR"/>
        </w:rPr>
        <w:t>adm</w:t>
      </w:r>
      <w:r w:rsidR="000E08CF" w:rsidRPr="000E08CF">
        <w:rPr>
          <w:rFonts w:cstheme="minorHAnsi"/>
          <w:b/>
          <w:lang w:val="fr-FR"/>
        </w:rPr>
        <w:t>e</w:t>
      </w:r>
      <w:r w:rsidR="000E08CF">
        <w:rPr>
          <w:rFonts w:cstheme="minorHAnsi"/>
          <w:b/>
          <w:lang w:val="fr-FR"/>
        </w:rPr>
        <w:t xml:space="preserve">t les </w:t>
      </w:r>
      <w:r w:rsidRPr="000E08CF">
        <w:rPr>
          <w:rFonts w:cstheme="minorHAnsi"/>
          <w:b/>
          <w:lang w:val="fr-FR"/>
        </w:rPr>
        <w:t>observ</w:t>
      </w:r>
      <w:r w:rsidR="000E08CF">
        <w:rPr>
          <w:rFonts w:cstheme="minorHAnsi"/>
          <w:b/>
          <w:lang w:val="fr-FR"/>
        </w:rPr>
        <w:t>ateurs énumérés dans le</w:t>
      </w:r>
      <w:r w:rsidRPr="000E08CF">
        <w:rPr>
          <w:rFonts w:cstheme="minorHAnsi"/>
          <w:b/>
          <w:lang w:val="fr-FR"/>
        </w:rPr>
        <w:t xml:space="preserve"> </w:t>
      </w:r>
      <w:r w:rsidR="00294A7E" w:rsidRPr="000E08CF">
        <w:rPr>
          <w:rFonts w:cstheme="minorHAnsi"/>
          <w:b/>
          <w:lang w:val="fr-FR"/>
        </w:rPr>
        <w:t>document SC</w:t>
      </w:r>
      <w:r w:rsidR="0035175C" w:rsidRPr="000E08CF">
        <w:rPr>
          <w:rFonts w:cstheme="minorHAnsi"/>
          <w:b/>
          <w:lang w:val="fr-FR"/>
        </w:rPr>
        <w:t>62</w:t>
      </w:r>
      <w:r w:rsidR="00294A7E" w:rsidRPr="000E08CF">
        <w:rPr>
          <w:rFonts w:cstheme="minorHAnsi"/>
          <w:b/>
          <w:lang w:val="fr-FR"/>
        </w:rPr>
        <w:t xml:space="preserve"> Doc.</w:t>
      </w:r>
      <w:r w:rsidRPr="000E08CF">
        <w:rPr>
          <w:rFonts w:cstheme="minorHAnsi"/>
          <w:b/>
          <w:lang w:val="fr-FR"/>
        </w:rPr>
        <w:t>4.</w:t>
      </w:r>
    </w:p>
    <w:p w14:paraId="415E741D" w14:textId="550642DB" w:rsidR="0078588B" w:rsidRPr="000E08CF" w:rsidRDefault="0078588B" w:rsidP="0078588B">
      <w:pPr>
        <w:spacing w:after="0" w:line="240" w:lineRule="auto"/>
        <w:rPr>
          <w:rFonts w:cstheme="minorHAnsi"/>
          <w:lang w:val="fr-FR"/>
        </w:rPr>
      </w:pPr>
    </w:p>
    <w:p w14:paraId="1A8123AF" w14:textId="1659CACC" w:rsidR="0078588B" w:rsidRPr="003B5404"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Point 5 de l’ordre du jour : Rapport du Président du Comité permanent et du Comité exécutif</w:t>
      </w:r>
    </w:p>
    <w:p w14:paraId="2DBC0488" w14:textId="3112C536" w:rsidR="00545238" w:rsidRPr="00555C54" w:rsidRDefault="00545238" w:rsidP="008804A8">
      <w:pPr>
        <w:spacing w:after="0" w:line="240" w:lineRule="auto"/>
        <w:rPr>
          <w:rFonts w:cstheme="minorHAnsi"/>
          <w:lang w:val="fr-CH"/>
        </w:rPr>
      </w:pPr>
    </w:p>
    <w:p w14:paraId="6B758071" w14:textId="62101FC1" w:rsidR="009A0A9D" w:rsidRPr="00CF44E4" w:rsidRDefault="009A0A9D" w:rsidP="0009708B">
      <w:pPr>
        <w:spacing w:after="0" w:line="240" w:lineRule="auto"/>
        <w:contextualSpacing/>
        <w:rPr>
          <w:rFonts w:cstheme="minorHAnsi"/>
          <w:b/>
          <w:lang w:val="fr-FR"/>
        </w:rPr>
      </w:pPr>
      <w:r w:rsidRPr="00CF44E4">
        <w:rPr>
          <w:rFonts w:cstheme="minorHAnsi"/>
          <w:b/>
          <w:lang w:val="fr-FR"/>
        </w:rPr>
        <w:t>D</w:t>
      </w:r>
      <w:r w:rsidR="003B5404" w:rsidRPr="00CF44E4">
        <w:rPr>
          <w:rFonts w:cstheme="minorHAnsi"/>
          <w:b/>
          <w:lang w:val="fr-FR"/>
        </w:rPr>
        <w:t>é</w:t>
      </w:r>
      <w:r w:rsidRPr="00CF44E4">
        <w:rPr>
          <w:rFonts w:cstheme="minorHAnsi"/>
          <w:b/>
          <w:lang w:val="fr-FR"/>
        </w:rPr>
        <w:t>cision SC</w:t>
      </w:r>
      <w:r w:rsidR="0009708B" w:rsidRPr="00CF44E4">
        <w:rPr>
          <w:rFonts w:cstheme="minorHAnsi"/>
          <w:b/>
          <w:lang w:val="fr-FR"/>
        </w:rPr>
        <w:t>62</w:t>
      </w:r>
      <w:r w:rsidRPr="00CF44E4">
        <w:rPr>
          <w:rFonts w:cstheme="minorHAnsi"/>
          <w:b/>
          <w:lang w:val="fr-FR"/>
        </w:rPr>
        <w:t>-</w:t>
      </w:r>
      <w:r w:rsidR="00CA3BDB" w:rsidRPr="00CF44E4">
        <w:rPr>
          <w:rFonts w:cstheme="minorHAnsi"/>
          <w:b/>
          <w:lang w:val="fr-FR"/>
        </w:rPr>
        <w:t>04</w:t>
      </w:r>
      <w:r w:rsidR="003B5404" w:rsidRPr="00CF44E4">
        <w:rPr>
          <w:rFonts w:cstheme="minorHAnsi"/>
          <w:b/>
          <w:lang w:val="fr-FR"/>
        </w:rPr>
        <w:t> </w:t>
      </w:r>
      <w:r w:rsidRPr="00CF44E4">
        <w:rPr>
          <w:rFonts w:cstheme="minorHAnsi"/>
          <w:b/>
          <w:lang w:val="fr-FR"/>
        </w:rPr>
        <w:t xml:space="preserve">: </w:t>
      </w:r>
      <w:r w:rsidR="00CF44E4" w:rsidRPr="00CF44E4">
        <w:rPr>
          <w:rFonts w:cstheme="minorHAnsi"/>
          <w:b/>
          <w:lang w:val="fr-FR"/>
        </w:rPr>
        <w:t xml:space="preserve">Le Comité permanent prend note du Rapport du Président du Comité permanent et du Comité exécutif </w:t>
      </w:r>
      <w:r w:rsidR="0009708B" w:rsidRPr="00CF44E4">
        <w:rPr>
          <w:rFonts w:cstheme="minorHAnsi"/>
          <w:b/>
          <w:lang w:val="fr-FR"/>
        </w:rPr>
        <w:t>publi</w:t>
      </w:r>
      <w:r w:rsidR="000E08CF">
        <w:rPr>
          <w:rFonts w:cstheme="minorHAnsi"/>
          <w:b/>
          <w:lang w:val="fr-FR"/>
        </w:rPr>
        <w:t>é dans le</w:t>
      </w:r>
      <w:r w:rsidR="0009708B" w:rsidRPr="00CF44E4">
        <w:rPr>
          <w:rFonts w:cstheme="minorHAnsi"/>
          <w:b/>
          <w:lang w:val="fr-FR"/>
        </w:rPr>
        <w:t xml:space="preserve"> document SC62 Doc.5</w:t>
      </w:r>
      <w:r w:rsidR="001032CA" w:rsidRPr="00CF44E4">
        <w:rPr>
          <w:rFonts w:cstheme="minorHAnsi"/>
          <w:b/>
          <w:lang w:val="fr-FR"/>
        </w:rPr>
        <w:t>.</w:t>
      </w:r>
    </w:p>
    <w:p w14:paraId="2F44542B" w14:textId="77777777" w:rsidR="0079631C" w:rsidRPr="00CF44E4" w:rsidRDefault="0079631C" w:rsidP="0079631C">
      <w:pPr>
        <w:spacing w:after="0" w:line="240" w:lineRule="auto"/>
        <w:rPr>
          <w:rFonts w:cstheme="minorHAnsi"/>
          <w:lang w:val="fr-FR"/>
        </w:rPr>
      </w:pPr>
    </w:p>
    <w:p w14:paraId="6B5DC3D8" w14:textId="5A649599" w:rsidR="0079631C" w:rsidRPr="003B5404" w:rsidRDefault="003B5404" w:rsidP="0079631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 xml:space="preserve">Point </w:t>
      </w:r>
      <w:r>
        <w:rPr>
          <w:rFonts w:cstheme="minorHAnsi"/>
          <w:bCs/>
          <w:lang w:val="fr-FR"/>
        </w:rPr>
        <w:t>6</w:t>
      </w:r>
      <w:r w:rsidRPr="003B5404">
        <w:rPr>
          <w:rFonts w:cstheme="minorHAnsi"/>
          <w:bCs/>
          <w:lang w:val="fr-FR"/>
        </w:rPr>
        <w:t xml:space="preserve"> de l’ordre du jour</w:t>
      </w:r>
      <w:r>
        <w:rPr>
          <w:rFonts w:cstheme="minorHAnsi"/>
          <w:bCs/>
          <w:lang w:val="fr-FR"/>
        </w:rPr>
        <w:t> </w:t>
      </w:r>
      <w:r w:rsidR="00071F08" w:rsidRPr="003B5404">
        <w:rPr>
          <w:rFonts w:cstheme="minorHAnsi"/>
          <w:bCs/>
          <w:lang w:val="fr-FR"/>
        </w:rPr>
        <w:t>: R</w:t>
      </w:r>
      <w:r w:rsidRPr="003B5404">
        <w:rPr>
          <w:rFonts w:cstheme="minorHAnsi"/>
          <w:bCs/>
          <w:lang w:val="fr-FR"/>
        </w:rPr>
        <w:t>ap</w:t>
      </w:r>
      <w:r w:rsidR="00071F08" w:rsidRPr="003B5404">
        <w:rPr>
          <w:rFonts w:cstheme="minorHAnsi"/>
          <w:bCs/>
          <w:lang w:val="fr-FR"/>
        </w:rPr>
        <w:t xml:space="preserve">port </w:t>
      </w:r>
      <w:r w:rsidRPr="003B5404">
        <w:rPr>
          <w:rFonts w:cstheme="minorHAnsi"/>
          <w:bCs/>
          <w:lang w:val="fr-FR"/>
        </w:rPr>
        <w:t>de la Secr</w:t>
      </w:r>
      <w:r>
        <w:rPr>
          <w:rFonts w:cstheme="minorHAnsi"/>
          <w:bCs/>
          <w:lang w:val="fr-FR"/>
        </w:rPr>
        <w:t>étaire générale</w:t>
      </w:r>
    </w:p>
    <w:p w14:paraId="12902BEA" w14:textId="77777777" w:rsidR="0079631C" w:rsidRPr="00D358A4" w:rsidRDefault="0079631C" w:rsidP="0079631C">
      <w:pPr>
        <w:spacing w:after="0" w:line="240" w:lineRule="auto"/>
        <w:ind w:left="567" w:hanging="567"/>
        <w:rPr>
          <w:rFonts w:eastAsia="Calibri" w:cstheme="minorHAnsi"/>
          <w:bCs/>
          <w:lang w:val="fr-FR"/>
        </w:rPr>
      </w:pPr>
    </w:p>
    <w:p w14:paraId="3FF16B20" w14:textId="5EAA737D" w:rsidR="0079631C" w:rsidRPr="000E08CF" w:rsidRDefault="0079631C" w:rsidP="0079631C">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09708B" w:rsidRPr="000E08CF">
        <w:rPr>
          <w:rFonts w:cstheme="minorHAnsi"/>
          <w:b/>
          <w:lang w:val="fr-FR"/>
        </w:rPr>
        <w:t>62</w:t>
      </w:r>
      <w:r w:rsidRPr="000E08CF">
        <w:rPr>
          <w:rFonts w:cstheme="minorHAnsi"/>
          <w:b/>
          <w:lang w:val="fr-FR"/>
        </w:rPr>
        <w:t>-</w:t>
      </w:r>
      <w:r w:rsidR="00CA3BDB" w:rsidRPr="000E08CF">
        <w:rPr>
          <w:rFonts w:cstheme="minorHAnsi"/>
          <w:b/>
          <w:lang w:val="fr-FR"/>
        </w:rPr>
        <w:t>0</w:t>
      </w:r>
      <w:r w:rsidR="0009708B" w:rsidRPr="000E08CF">
        <w:rPr>
          <w:rFonts w:cstheme="minorHAnsi"/>
          <w:b/>
          <w:lang w:val="fr-FR"/>
        </w:rPr>
        <w:t>5</w:t>
      </w:r>
      <w:r w:rsidR="009571A0">
        <w:rPr>
          <w:rFonts w:cstheme="minorHAnsi"/>
          <w:b/>
          <w:lang w:val="fr-FR"/>
        </w:rPr>
        <w:t> </w:t>
      </w:r>
      <w:r w:rsidRPr="000E08CF">
        <w:rPr>
          <w:rFonts w:cstheme="minorHAnsi"/>
          <w:b/>
          <w:lang w:val="fr-FR"/>
        </w:rPr>
        <w:t xml:space="preserve">: </w:t>
      </w:r>
      <w:r w:rsidR="000E08CF" w:rsidRPr="000E08CF">
        <w:rPr>
          <w:rFonts w:cstheme="minorHAnsi"/>
          <w:b/>
          <w:lang w:val="fr-FR"/>
        </w:rPr>
        <w:t>Le Comité permanent accueille favorablement le</w:t>
      </w:r>
      <w:r w:rsidRPr="000E08CF">
        <w:rPr>
          <w:rFonts w:cstheme="minorHAnsi"/>
          <w:b/>
          <w:lang w:val="fr-FR"/>
        </w:rPr>
        <w:t xml:space="preserve"> </w:t>
      </w:r>
      <w:r w:rsidR="000E08CF" w:rsidRPr="000E08CF">
        <w:rPr>
          <w:rFonts w:cstheme="minorHAnsi"/>
          <w:b/>
          <w:lang w:val="fr-FR"/>
        </w:rPr>
        <w:t>Rapport de la Secrétaire générale</w:t>
      </w:r>
      <w:r w:rsidRPr="000E08CF">
        <w:rPr>
          <w:rFonts w:cstheme="minorHAnsi"/>
          <w:b/>
          <w:lang w:val="fr-FR"/>
        </w:rPr>
        <w:t xml:space="preserve"> publi</w:t>
      </w:r>
      <w:r w:rsidR="000E08CF">
        <w:rPr>
          <w:rFonts w:cstheme="minorHAnsi"/>
          <w:b/>
          <w:lang w:val="fr-FR"/>
        </w:rPr>
        <w:t xml:space="preserve">é dans le </w:t>
      </w:r>
      <w:r w:rsidRPr="000E08CF">
        <w:rPr>
          <w:rFonts w:cstheme="minorHAnsi"/>
          <w:b/>
          <w:lang w:val="fr-FR"/>
        </w:rPr>
        <w:t>document SC</w:t>
      </w:r>
      <w:r w:rsidR="0009708B" w:rsidRPr="000E08CF">
        <w:rPr>
          <w:rFonts w:cstheme="minorHAnsi"/>
          <w:b/>
          <w:lang w:val="fr-FR"/>
        </w:rPr>
        <w:t>62</w:t>
      </w:r>
      <w:r w:rsidRPr="000E08CF">
        <w:rPr>
          <w:rFonts w:cstheme="minorHAnsi"/>
          <w:b/>
          <w:lang w:val="fr-FR"/>
        </w:rPr>
        <w:t xml:space="preserve"> Doc.</w:t>
      </w:r>
      <w:r w:rsidR="0009708B" w:rsidRPr="000E08CF">
        <w:rPr>
          <w:rFonts w:cstheme="minorHAnsi"/>
          <w:b/>
          <w:lang w:val="fr-FR"/>
        </w:rPr>
        <w:t>6.</w:t>
      </w:r>
    </w:p>
    <w:p w14:paraId="2C7FC2D8" w14:textId="4151CAB1" w:rsidR="0078588B" w:rsidRPr="000E08CF" w:rsidRDefault="0078588B" w:rsidP="0078588B">
      <w:pPr>
        <w:spacing w:after="0" w:line="240" w:lineRule="auto"/>
        <w:rPr>
          <w:rFonts w:cstheme="minorHAnsi"/>
          <w:lang w:val="fr-FR"/>
        </w:rPr>
      </w:pPr>
    </w:p>
    <w:p w14:paraId="30FC3C31" w14:textId="3683B03D" w:rsidR="0078588B" w:rsidRPr="003B5404"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3B5404">
        <w:rPr>
          <w:rFonts w:cstheme="minorHAnsi"/>
          <w:bCs/>
          <w:lang w:val="fr-FR"/>
        </w:rPr>
        <w:t xml:space="preserve">Point 7 de l’ordre du jour : </w:t>
      </w:r>
      <w:r w:rsidR="0078588B" w:rsidRPr="003B5404">
        <w:rPr>
          <w:lang w:val="fr-FR"/>
        </w:rPr>
        <w:t>R</w:t>
      </w:r>
      <w:r w:rsidRPr="003B5404">
        <w:rPr>
          <w:lang w:val="fr-FR"/>
        </w:rPr>
        <w:t>ap</w:t>
      </w:r>
      <w:r w:rsidR="0078588B" w:rsidRPr="003B5404">
        <w:rPr>
          <w:lang w:val="fr-FR"/>
        </w:rPr>
        <w:t xml:space="preserve">port </w:t>
      </w:r>
      <w:r w:rsidRPr="003B5404">
        <w:rPr>
          <w:lang w:val="fr-FR"/>
        </w:rPr>
        <w:t>du Groupe de travail sur la gestion</w:t>
      </w:r>
    </w:p>
    <w:p w14:paraId="4CDBE421" w14:textId="77777777" w:rsidR="002566E0" w:rsidRPr="0085174C" w:rsidRDefault="002566E0" w:rsidP="00635768">
      <w:pPr>
        <w:spacing w:after="0" w:line="240" w:lineRule="auto"/>
        <w:rPr>
          <w:rFonts w:cstheme="minorHAnsi"/>
          <w:lang w:val="fr-CH"/>
        </w:rPr>
      </w:pPr>
    </w:p>
    <w:p w14:paraId="79138978" w14:textId="15A3485C" w:rsidR="003323C2" w:rsidRPr="0085174C" w:rsidRDefault="003323C2" w:rsidP="003323C2">
      <w:pPr>
        <w:spacing w:after="0" w:line="240" w:lineRule="auto"/>
        <w:contextualSpacing/>
        <w:rPr>
          <w:b/>
          <w:lang w:val="fr-CH"/>
        </w:rPr>
      </w:pPr>
      <w:r w:rsidRPr="0085174C">
        <w:rPr>
          <w:rFonts w:cstheme="minorHAnsi"/>
          <w:b/>
          <w:lang w:val="fr-CH"/>
        </w:rPr>
        <w:t>D</w:t>
      </w:r>
      <w:r w:rsidR="003B5404" w:rsidRPr="0085174C">
        <w:rPr>
          <w:rFonts w:cstheme="minorHAnsi"/>
          <w:b/>
          <w:lang w:val="fr-CH"/>
        </w:rPr>
        <w:t>é</w:t>
      </w:r>
      <w:r w:rsidRPr="0085174C">
        <w:rPr>
          <w:rFonts w:cstheme="minorHAnsi"/>
          <w:b/>
          <w:lang w:val="fr-CH"/>
        </w:rPr>
        <w:t>cision SC</w:t>
      </w:r>
      <w:r w:rsidR="00635768" w:rsidRPr="0085174C">
        <w:rPr>
          <w:rFonts w:cstheme="minorHAnsi"/>
          <w:b/>
          <w:lang w:val="fr-CH"/>
        </w:rPr>
        <w:t>62</w:t>
      </w:r>
      <w:r w:rsidRPr="0085174C">
        <w:rPr>
          <w:rFonts w:cstheme="minorHAnsi"/>
          <w:b/>
          <w:lang w:val="fr-CH"/>
        </w:rPr>
        <w:t>-</w:t>
      </w:r>
      <w:r w:rsidR="00CA3BDB" w:rsidRPr="0085174C">
        <w:rPr>
          <w:rFonts w:cstheme="minorHAnsi"/>
          <w:b/>
          <w:lang w:val="fr-CH"/>
        </w:rPr>
        <w:t>0</w:t>
      </w:r>
      <w:r w:rsidR="00635768" w:rsidRPr="0085174C">
        <w:rPr>
          <w:rFonts w:cstheme="minorHAnsi"/>
          <w:b/>
          <w:lang w:val="fr-CH"/>
        </w:rPr>
        <w:t>6</w:t>
      </w:r>
      <w:r w:rsidR="003B5404" w:rsidRPr="0085174C">
        <w:rPr>
          <w:rFonts w:cstheme="minorHAnsi"/>
          <w:b/>
          <w:lang w:val="fr-CH"/>
        </w:rPr>
        <w:t> </w:t>
      </w:r>
      <w:r w:rsidRPr="0085174C">
        <w:rPr>
          <w:rFonts w:cstheme="minorHAnsi"/>
          <w:b/>
          <w:lang w:val="fr-CH"/>
        </w:rPr>
        <w:t xml:space="preserve">: </w:t>
      </w:r>
      <w:r w:rsidR="000E08CF" w:rsidRPr="0085174C">
        <w:rPr>
          <w:rFonts w:cstheme="minorHAnsi"/>
          <w:b/>
          <w:lang w:val="fr-CH"/>
        </w:rPr>
        <w:t>Le Comité permanent prend note du</w:t>
      </w:r>
      <w:r w:rsidR="003365A5" w:rsidRPr="0085174C">
        <w:rPr>
          <w:b/>
          <w:lang w:val="fr-CH"/>
        </w:rPr>
        <w:t xml:space="preserve"> </w:t>
      </w:r>
      <w:r w:rsidR="000E08CF" w:rsidRPr="0085174C">
        <w:rPr>
          <w:b/>
          <w:lang w:val="fr-CH"/>
        </w:rPr>
        <w:t>Rapport du Groupe de travail sur la gestion</w:t>
      </w:r>
      <w:r w:rsidR="001340A2" w:rsidRPr="0085174C">
        <w:rPr>
          <w:b/>
          <w:lang w:val="fr-CH"/>
        </w:rPr>
        <w:t>.</w:t>
      </w:r>
    </w:p>
    <w:p w14:paraId="2D9254A5" w14:textId="4FE69DE9" w:rsidR="00C611B3" w:rsidRPr="0085174C" w:rsidRDefault="00C611B3" w:rsidP="00367A4B">
      <w:pPr>
        <w:spacing w:after="0" w:line="240" w:lineRule="auto"/>
        <w:rPr>
          <w:rFonts w:cstheme="minorHAnsi"/>
          <w:lang w:val="fr-CH"/>
        </w:rPr>
      </w:pPr>
    </w:p>
    <w:p w14:paraId="41133F16" w14:textId="32A23771" w:rsidR="0078588B" w:rsidRPr="0085174C"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CH"/>
        </w:rPr>
      </w:pPr>
      <w:r w:rsidRPr="0085174C">
        <w:rPr>
          <w:rFonts w:cstheme="minorHAnsi"/>
          <w:bCs/>
          <w:lang w:val="fr-CH"/>
        </w:rPr>
        <w:t xml:space="preserve">Point 20 de l’ordre du jour : </w:t>
      </w:r>
      <w:r w:rsidR="001340A2" w:rsidRPr="0085174C">
        <w:rPr>
          <w:lang w:val="fr-CH"/>
        </w:rPr>
        <w:t>Pr</w:t>
      </w:r>
      <w:r w:rsidR="005323FC">
        <w:rPr>
          <w:lang w:val="fr-CH"/>
        </w:rPr>
        <w:t>éparatifs de la 15</w:t>
      </w:r>
      <w:r w:rsidR="005323FC" w:rsidRPr="005323FC">
        <w:rPr>
          <w:vertAlign w:val="superscript"/>
          <w:lang w:val="fr-CH"/>
        </w:rPr>
        <w:t>e</w:t>
      </w:r>
      <w:r w:rsidR="005323FC">
        <w:rPr>
          <w:lang w:val="fr-CH"/>
        </w:rPr>
        <w:t xml:space="preserve"> Session de la Conférence des Parties contractantes </w:t>
      </w:r>
      <w:r w:rsidR="001340A2" w:rsidRPr="0085174C">
        <w:rPr>
          <w:lang w:val="fr-CH"/>
        </w:rPr>
        <w:t>(COP15)</w:t>
      </w:r>
    </w:p>
    <w:p w14:paraId="5D37E815" w14:textId="77777777" w:rsidR="00367A4B" w:rsidRPr="00D358A4" w:rsidRDefault="00367A4B" w:rsidP="00367A4B">
      <w:pPr>
        <w:spacing w:after="0" w:line="240" w:lineRule="auto"/>
        <w:ind w:left="567" w:hanging="567"/>
        <w:rPr>
          <w:lang w:val="fr-FR"/>
        </w:rPr>
      </w:pPr>
    </w:p>
    <w:p w14:paraId="141DD26D" w14:textId="1159E712" w:rsidR="002B1C9D" w:rsidRPr="000E08CF" w:rsidRDefault="00E64244" w:rsidP="00E64244">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46529B" w:rsidRPr="000E08CF">
        <w:rPr>
          <w:rFonts w:cstheme="minorHAnsi"/>
          <w:b/>
          <w:lang w:val="fr-FR"/>
        </w:rPr>
        <w:t>62</w:t>
      </w:r>
      <w:r w:rsidRPr="000E08CF">
        <w:rPr>
          <w:rFonts w:cstheme="minorHAnsi"/>
          <w:b/>
          <w:lang w:val="fr-FR"/>
        </w:rPr>
        <w:t>-</w:t>
      </w:r>
      <w:r w:rsidR="00E74514" w:rsidRPr="000E08CF">
        <w:rPr>
          <w:rFonts w:cstheme="minorHAnsi"/>
          <w:b/>
          <w:lang w:val="fr-FR"/>
        </w:rPr>
        <w:t>07</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Le Comité permanent prend note du</w:t>
      </w:r>
      <w:r w:rsidR="000E08CF" w:rsidRPr="000E08CF">
        <w:rPr>
          <w:b/>
          <w:lang w:val="fr-FR"/>
        </w:rPr>
        <w:t xml:space="preserve"> Rapport du </w:t>
      </w:r>
      <w:r w:rsidR="0046529B" w:rsidRPr="000E08CF">
        <w:rPr>
          <w:rFonts w:cstheme="minorHAnsi"/>
          <w:b/>
          <w:lang w:val="fr-FR"/>
        </w:rPr>
        <w:t>Secr</w:t>
      </w:r>
      <w:r w:rsidR="000E08CF">
        <w:rPr>
          <w:rFonts w:cstheme="minorHAnsi"/>
          <w:b/>
          <w:lang w:val="fr-FR"/>
        </w:rPr>
        <w:t>é</w:t>
      </w:r>
      <w:r w:rsidR="0046529B" w:rsidRPr="000E08CF">
        <w:rPr>
          <w:rFonts w:cstheme="minorHAnsi"/>
          <w:b/>
          <w:lang w:val="fr-FR"/>
        </w:rPr>
        <w:t xml:space="preserve">tariat </w:t>
      </w:r>
      <w:r w:rsidR="000E08CF">
        <w:rPr>
          <w:rFonts w:cstheme="minorHAnsi"/>
          <w:b/>
          <w:lang w:val="fr-FR"/>
        </w:rPr>
        <w:t>sur la</w:t>
      </w:r>
      <w:r w:rsidR="0046529B" w:rsidRPr="000E08CF">
        <w:rPr>
          <w:rFonts w:cstheme="minorHAnsi"/>
          <w:b/>
          <w:lang w:val="fr-FR"/>
        </w:rPr>
        <w:t xml:space="preserve"> COP15. </w:t>
      </w:r>
    </w:p>
    <w:p w14:paraId="6D31507D" w14:textId="77777777" w:rsidR="0046529B" w:rsidRPr="000E08CF" w:rsidRDefault="0046529B" w:rsidP="00E64244">
      <w:pPr>
        <w:spacing w:after="0" w:line="240" w:lineRule="auto"/>
        <w:contextualSpacing/>
        <w:rPr>
          <w:rFonts w:cstheme="minorHAnsi"/>
          <w:b/>
          <w:lang w:val="fr-FR"/>
        </w:rPr>
      </w:pPr>
    </w:p>
    <w:p w14:paraId="7BAE8063" w14:textId="5047322C" w:rsidR="0046529B" w:rsidRPr="000E08CF" w:rsidRDefault="0046529B" w:rsidP="00E64244">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08</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 xml:space="preserve">Le Comité permanent </w:t>
      </w:r>
      <w:r w:rsidR="006E1938" w:rsidRPr="000E08CF">
        <w:rPr>
          <w:rFonts w:cstheme="minorHAnsi"/>
          <w:b/>
          <w:lang w:val="fr-FR"/>
        </w:rPr>
        <w:t>accept</w:t>
      </w:r>
      <w:r w:rsidRPr="000E08CF">
        <w:rPr>
          <w:rFonts w:cstheme="minorHAnsi"/>
          <w:b/>
          <w:lang w:val="fr-FR"/>
        </w:rPr>
        <w:t>e</w:t>
      </w:r>
      <w:r w:rsidR="000E08CF" w:rsidRPr="000E08CF">
        <w:rPr>
          <w:rFonts w:cstheme="minorHAnsi"/>
          <w:b/>
          <w:lang w:val="fr-FR"/>
        </w:rPr>
        <w:t xml:space="preserve"> le</w:t>
      </w:r>
      <w:r w:rsidR="000E08CF">
        <w:rPr>
          <w:rFonts w:cstheme="minorHAnsi"/>
          <w:b/>
          <w:lang w:val="fr-FR"/>
        </w:rPr>
        <w:t>s dates proposées, du</w:t>
      </w:r>
      <w:r w:rsidR="006E1938" w:rsidRPr="000E08CF">
        <w:rPr>
          <w:rFonts w:cstheme="minorHAnsi"/>
          <w:b/>
          <w:lang w:val="fr-FR"/>
        </w:rPr>
        <w:t xml:space="preserve"> 23</w:t>
      </w:r>
      <w:r w:rsidR="000E08CF">
        <w:rPr>
          <w:rFonts w:cstheme="minorHAnsi"/>
          <w:b/>
          <w:lang w:val="fr-FR"/>
        </w:rPr>
        <w:t xml:space="preserve"> au </w:t>
      </w:r>
      <w:r w:rsidR="006E1938" w:rsidRPr="000E08CF">
        <w:rPr>
          <w:rFonts w:cstheme="minorHAnsi"/>
          <w:b/>
          <w:lang w:val="fr-FR"/>
        </w:rPr>
        <w:t xml:space="preserve">31 </w:t>
      </w:r>
      <w:r w:rsidR="000E08CF">
        <w:rPr>
          <w:rFonts w:cstheme="minorHAnsi"/>
          <w:b/>
          <w:lang w:val="fr-FR"/>
        </w:rPr>
        <w:t xml:space="preserve">juillet </w:t>
      </w:r>
      <w:r w:rsidR="006E1938" w:rsidRPr="000E08CF">
        <w:rPr>
          <w:rFonts w:cstheme="minorHAnsi"/>
          <w:b/>
          <w:lang w:val="fr-FR"/>
        </w:rPr>
        <w:t>2025</w:t>
      </w:r>
      <w:r w:rsidR="000E08CF">
        <w:rPr>
          <w:rFonts w:cstheme="minorHAnsi"/>
          <w:b/>
          <w:lang w:val="fr-FR"/>
        </w:rPr>
        <w:t>,</w:t>
      </w:r>
      <w:r w:rsidR="006E1938" w:rsidRPr="000E08CF">
        <w:rPr>
          <w:rFonts w:cstheme="minorHAnsi"/>
          <w:b/>
          <w:lang w:val="fr-FR"/>
        </w:rPr>
        <w:t xml:space="preserve"> </w:t>
      </w:r>
      <w:r w:rsidR="000E08CF">
        <w:rPr>
          <w:rFonts w:cstheme="minorHAnsi"/>
          <w:b/>
          <w:lang w:val="fr-FR"/>
        </w:rPr>
        <w:t>pour la</w:t>
      </w:r>
      <w:r w:rsidR="006E1938" w:rsidRPr="000E08CF">
        <w:rPr>
          <w:rFonts w:cstheme="minorHAnsi"/>
          <w:b/>
          <w:lang w:val="fr-FR"/>
        </w:rPr>
        <w:t xml:space="preserve"> COP15. </w:t>
      </w:r>
    </w:p>
    <w:p w14:paraId="093A0963" w14:textId="77777777" w:rsidR="0046529B" w:rsidRPr="000E08CF" w:rsidRDefault="0046529B" w:rsidP="00E64244">
      <w:pPr>
        <w:spacing w:after="0" w:line="240" w:lineRule="auto"/>
        <w:contextualSpacing/>
        <w:rPr>
          <w:rFonts w:cstheme="minorHAnsi"/>
          <w:b/>
          <w:lang w:val="fr-FR"/>
        </w:rPr>
      </w:pPr>
    </w:p>
    <w:p w14:paraId="2307B947" w14:textId="5DF6D009" w:rsidR="0046529B" w:rsidRPr="000E08CF" w:rsidRDefault="0046529B" w:rsidP="0046529B">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09</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 xml:space="preserve">Le Comité permanent </w:t>
      </w:r>
      <w:r w:rsidRPr="000E08CF">
        <w:rPr>
          <w:rFonts w:cstheme="minorHAnsi"/>
          <w:b/>
          <w:lang w:val="fr-FR"/>
        </w:rPr>
        <w:t>appro</w:t>
      </w:r>
      <w:r w:rsidR="000E08CF" w:rsidRPr="000E08CF">
        <w:rPr>
          <w:rFonts w:cstheme="minorHAnsi"/>
          <w:b/>
          <w:lang w:val="fr-FR"/>
        </w:rPr>
        <w:t>u</w:t>
      </w:r>
      <w:r w:rsidRPr="000E08CF">
        <w:rPr>
          <w:rFonts w:cstheme="minorHAnsi"/>
          <w:b/>
          <w:lang w:val="fr-FR"/>
        </w:rPr>
        <w:t xml:space="preserve">ve </w:t>
      </w:r>
      <w:r w:rsidR="000E08CF" w:rsidRPr="000E08CF">
        <w:rPr>
          <w:rFonts w:cstheme="minorHAnsi"/>
          <w:b/>
          <w:lang w:val="fr-FR"/>
        </w:rPr>
        <w:t>l’ordre du</w:t>
      </w:r>
      <w:r w:rsidR="000E08CF">
        <w:rPr>
          <w:rFonts w:cstheme="minorHAnsi"/>
          <w:b/>
          <w:lang w:val="fr-FR"/>
        </w:rPr>
        <w:t xml:space="preserve"> jour provisoire de la</w:t>
      </w:r>
      <w:r w:rsidRPr="000E08CF">
        <w:rPr>
          <w:rFonts w:cstheme="minorHAnsi"/>
          <w:b/>
          <w:lang w:val="fr-FR"/>
        </w:rPr>
        <w:t xml:space="preserve"> COP15 </w:t>
      </w:r>
      <w:r w:rsidR="000E08CF">
        <w:rPr>
          <w:rFonts w:cstheme="minorHAnsi"/>
          <w:b/>
          <w:lang w:val="fr-FR"/>
        </w:rPr>
        <w:t>avec l’ajout d’un point de l’ordre du jour dédié au label Ville des Zones Humides</w:t>
      </w:r>
      <w:r w:rsidRPr="000E08CF">
        <w:rPr>
          <w:rFonts w:cstheme="minorHAnsi"/>
          <w:b/>
          <w:lang w:val="fr-FR"/>
        </w:rPr>
        <w:t>.</w:t>
      </w:r>
    </w:p>
    <w:p w14:paraId="2AD6CFF8" w14:textId="77777777" w:rsidR="006E1938" w:rsidRPr="000E08CF" w:rsidRDefault="006E1938" w:rsidP="0046529B">
      <w:pPr>
        <w:spacing w:after="0" w:line="240" w:lineRule="auto"/>
        <w:contextualSpacing/>
        <w:rPr>
          <w:rFonts w:cstheme="minorHAnsi"/>
          <w:b/>
          <w:lang w:val="fr-FR"/>
        </w:rPr>
      </w:pPr>
    </w:p>
    <w:p w14:paraId="55066FC1" w14:textId="53935A51" w:rsidR="009F11C2" w:rsidRPr="000E08CF" w:rsidRDefault="006E1938" w:rsidP="006E1938">
      <w:pPr>
        <w:spacing w:after="0" w:line="240" w:lineRule="auto"/>
        <w:contextualSpacing/>
        <w:rPr>
          <w:rFonts w:cstheme="minorHAnsi"/>
          <w:b/>
          <w:lang w:val="fr-FR"/>
        </w:rPr>
      </w:pPr>
      <w:r w:rsidRPr="000E08CF">
        <w:rPr>
          <w:rFonts w:cstheme="minorHAnsi"/>
          <w:b/>
          <w:lang w:val="fr-FR"/>
        </w:rPr>
        <w:lastRenderedPageBreak/>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10</w:t>
      </w:r>
      <w:r w:rsidR="003B5404" w:rsidRPr="000E08CF">
        <w:rPr>
          <w:rFonts w:cstheme="minorHAnsi"/>
          <w:b/>
          <w:lang w:val="fr-FR"/>
        </w:rPr>
        <w:t> </w:t>
      </w:r>
      <w:r w:rsidR="00E74514" w:rsidRPr="000E08CF">
        <w:rPr>
          <w:rFonts w:cstheme="minorHAnsi"/>
          <w:b/>
          <w:lang w:val="fr-FR"/>
        </w:rPr>
        <w:t>:</w:t>
      </w:r>
      <w:r w:rsidRPr="000E08CF">
        <w:rPr>
          <w:rFonts w:cstheme="minorHAnsi"/>
          <w:b/>
          <w:lang w:val="fr-FR"/>
        </w:rPr>
        <w:t xml:space="preserve"> </w:t>
      </w:r>
      <w:r w:rsidR="000E08CF" w:rsidRPr="000E08CF">
        <w:rPr>
          <w:rFonts w:cstheme="minorHAnsi"/>
          <w:b/>
          <w:lang w:val="fr-FR"/>
        </w:rPr>
        <w:t xml:space="preserve">Le Comité permanent </w:t>
      </w:r>
      <w:r w:rsidRPr="000E08CF">
        <w:rPr>
          <w:rFonts w:cstheme="minorHAnsi"/>
          <w:b/>
          <w:lang w:val="fr-FR"/>
        </w:rPr>
        <w:t>appro</w:t>
      </w:r>
      <w:r w:rsidR="000E08CF" w:rsidRPr="000E08CF">
        <w:rPr>
          <w:rFonts w:cstheme="minorHAnsi"/>
          <w:b/>
          <w:lang w:val="fr-FR"/>
        </w:rPr>
        <w:t>u</w:t>
      </w:r>
      <w:r w:rsidRPr="000E08CF">
        <w:rPr>
          <w:rFonts w:cstheme="minorHAnsi"/>
          <w:b/>
          <w:lang w:val="fr-FR"/>
        </w:rPr>
        <w:t xml:space="preserve">ve </w:t>
      </w:r>
      <w:r w:rsidR="000E08CF" w:rsidRPr="000E08CF">
        <w:rPr>
          <w:rFonts w:cstheme="minorHAnsi"/>
          <w:b/>
          <w:lang w:val="fr-FR"/>
        </w:rPr>
        <w:t>la</w:t>
      </w:r>
      <w:r w:rsidR="009F11C2" w:rsidRPr="000E08CF">
        <w:rPr>
          <w:rFonts w:cstheme="minorHAnsi"/>
          <w:b/>
          <w:lang w:val="fr-FR"/>
        </w:rPr>
        <w:t xml:space="preserve"> composition </w:t>
      </w:r>
      <w:r w:rsidR="000E08CF">
        <w:rPr>
          <w:rFonts w:cstheme="minorHAnsi"/>
          <w:b/>
          <w:lang w:val="fr-FR"/>
        </w:rPr>
        <w:t>du Sous-groupe sur la</w:t>
      </w:r>
      <w:r w:rsidR="009F11C2" w:rsidRPr="000E08CF">
        <w:rPr>
          <w:rFonts w:cstheme="minorHAnsi"/>
          <w:b/>
          <w:lang w:val="fr-FR"/>
        </w:rPr>
        <w:t xml:space="preserve"> COP15.</w:t>
      </w:r>
    </w:p>
    <w:p w14:paraId="37D44F5F" w14:textId="77777777" w:rsidR="009F11C2" w:rsidRPr="000E08CF" w:rsidRDefault="009F11C2" w:rsidP="009F11C2">
      <w:pPr>
        <w:spacing w:after="0" w:line="240" w:lineRule="auto"/>
        <w:rPr>
          <w:rFonts w:cstheme="minorHAnsi"/>
          <w:lang w:val="fr-FR"/>
        </w:rPr>
      </w:pPr>
    </w:p>
    <w:p w14:paraId="66F5AE4D" w14:textId="115CF00F" w:rsidR="009F11C2" w:rsidRPr="003B5404" w:rsidRDefault="003B5404" w:rsidP="009F11C2">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3B5404">
        <w:rPr>
          <w:rFonts w:cstheme="minorHAnsi"/>
          <w:bCs/>
          <w:lang w:val="fr-FR"/>
        </w:rPr>
        <w:t>Point 10 de l’ordre du jour </w:t>
      </w:r>
      <w:r w:rsidR="009F11C2" w:rsidRPr="003B5404">
        <w:rPr>
          <w:rFonts w:cstheme="minorHAnsi"/>
          <w:bCs/>
          <w:lang w:val="fr-FR"/>
        </w:rPr>
        <w:t xml:space="preserve">: </w:t>
      </w:r>
      <w:r w:rsidR="004F2321" w:rsidRPr="003B5404">
        <w:rPr>
          <w:lang w:val="fr-FR"/>
        </w:rPr>
        <w:t>R</w:t>
      </w:r>
      <w:r w:rsidRPr="003B5404">
        <w:rPr>
          <w:lang w:val="fr-FR"/>
        </w:rPr>
        <w:t>ap</w:t>
      </w:r>
      <w:r w:rsidR="004F2321" w:rsidRPr="003B5404">
        <w:rPr>
          <w:lang w:val="fr-FR"/>
        </w:rPr>
        <w:t xml:space="preserve">port </w:t>
      </w:r>
      <w:r w:rsidRPr="003B5404">
        <w:rPr>
          <w:lang w:val="fr-FR"/>
        </w:rPr>
        <w:t xml:space="preserve">du Groupe de travail sur </w:t>
      </w:r>
      <w:r w:rsidR="006C132D">
        <w:rPr>
          <w:lang w:val="fr-FR"/>
        </w:rPr>
        <w:t>le</w:t>
      </w:r>
      <w:r w:rsidRPr="003B5404">
        <w:rPr>
          <w:lang w:val="fr-FR"/>
        </w:rPr>
        <w:t xml:space="preserve"> Plan stratégique</w:t>
      </w:r>
    </w:p>
    <w:p w14:paraId="57829AAA" w14:textId="77777777" w:rsidR="004F2321" w:rsidRPr="00D358A4" w:rsidRDefault="004F2321" w:rsidP="009F11C2">
      <w:pPr>
        <w:spacing w:after="0" w:line="240" w:lineRule="auto"/>
        <w:ind w:left="567" w:hanging="567"/>
        <w:rPr>
          <w:lang w:val="fr-FR"/>
        </w:rPr>
      </w:pPr>
    </w:p>
    <w:p w14:paraId="2B2D5575" w14:textId="75F7B008" w:rsidR="004F2321" w:rsidRPr="000E08CF" w:rsidRDefault="004F2321" w:rsidP="004F2321">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11</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Le Comité permanent prend note du</w:t>
      </w:r>
      <w:r w:rsidR="000E08CF" w:rsidRPr="000E08CF">
        <w:rPr>
          <w:b/>
          <w:lang w:val="fr-FR"/>
        </w:rPr>
        <w:t xml:space="preserve"> Rapport </w:t>
      </w:r>
      <w:r w:rsidR="000E08CF">
        <w:rPr>
          <w:b/>
          <w:lang w:val="fr-FR"/>
        </w:rPr>
        <w:t>du Groupe de travail sur le Plan stratégique</w:t>
      </w:r>
      <w:r w:rsidR="008D5B1B" w:rsidRPr="000E08CF">
        <w:rPr>
          <w:rFonts w:cstheme="minorHAnsi"/>
          <w:b/>
          <w:lang w:val="fr-FR"/>
        </w:rPr>
        <w:t xml:space="preserve">. </w:t>
      </w:r>
    </w:p>
    <w:p w14:paraId="2C493737" w14:textId="77777777" w:rsidR="0007746C" w:rsidRPr="00EE162B" w:rsidRDefault="0007746C" w:rsidP="0007746C">
      <w:pPr>
        <w:keepNext/>
        <w:spacing w:after="0" w:line="240" w:lineRule="auto"/>
        <w:rPr>
          <w:rFonts w:cstheme="minorHAnsi"/>
          <w:lang w:val="fr-CH"/>
        </w:rPr>
      </w:pPr>
    </w:p>
    <w:p w14:paraId="0FD7F1B4" w14:textId="77777777" w:rsidR="0007746C" w:rsidRPr="00EE162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CH"/>
        </w:rPr>
      </w:pPr>
      <w:r w:rsidRPr="00EE162B">
        <w:rPr>
          <w:rFonts w:cstheme="minorHAnsi"/>
          <w:bCs/>
          <w:lang w:val="fr-CH"/>
        </w:rPr>
        <w:t xml:space="preserve">Point 25 de l’ordre du jour : </w:t>
      </w:r>
      <w:r w:rsidRPr="00EE162B">
        <w:rPr>
          <w:lang w:val="fr-CH"/>
        </w:rPr>
        <w:t>Rapport du Secrétariat sur les Initiatives régionales Ramsar</w:t>
      </w:r>
    </w:p>
    <w:p w14:paraId="526414C5" w14:textId="77777777" w:rsidR="0007746C" w:rsidRPr="00EE162B" w:rsidRDefault="0007746C" w:rsidP="0007746C">
      <w:pPr>
        <w:spacing w:after="0" w:line="240" w:lineRule="auto"/>
        <w:ind w:left="567" w:hanging="567"/>
        <w:rPr>
          <w:lang w:val="fr-CH"/>
        </w:rPr>
      </w:pPr>
    </w:p>
    <w:p w14:paraId="647DBA7C" w14:textId="77777777" w:rsidR="0007746C" w:rsidRPr="00EE162B" w:rsidRDefault="0007746C" w:rsidP="00CE1A59">
      <w:pPr>
        <w:spacing w:after="0" w:line="240" w:lineRule="auto"/>
        <w:rPr>
          <w:rFonts w:cs="Calibri"/>
          <w:b/>
          <w:lang w:val="fr-CH"/>
        </w:rPr>
      </w:pPr>
      <w:r w:rsidRPr="00EE162B">
        <w:rPr>
          <w:rFonts w:cstheme="minorHAnsi"/>
          <w:b/>
          <w:lang w:val="fr-CH"/>
        </w:rPr>
        <w:t>Décision SC62-12 :</w:t>
      </w:r>
      <w:r w:rsidRPr="00EE162B">
        <w:rPr>
          <w:rFonts w:cstheme="minorHAnsi"/>
          <w:b/>
          <w:iCs/>
          <w:lang w:val="fr-CH"/>
        </w:rPr>
        <w:t xml:space="preserve"> Le </w:t>
      </w:r>
      <w:r w:rsidRPr="00EE162B">
        <w:rPr>
          <w:rFonts w:cstheme="minorHAnsi"/>
          <w:b/>
          <w:lang w:val="fr-CH"/>
        </w:rPr>
        <w:t>Comité permanent</w:t>
      </w:r>
      <w:r w:rsidRPr="00EE162B">
        <w:rPr>
          <w:rFonts w:cs="Calibri"/>
          <w:b/>
          <w:lang w:val="fr-CH"/>
        </w:rPr>
        <w:t xml:space="preserve"> prend note des rapports annuels soumis par les </w:t>
      </w:r>
      <w:r w:rsidRPr="00EE162B">
        <w:rPr>
          <w:rFonts w:ascii="Calibri" w:eastAsia="Calibri" w:hAnsi="Calibri" w:cs="Calibri"/>
          <w:b/>
          <w:lang w:val="fr-CH"/>
        </w:rPr>
        <w:t xml:space="preserve">Initiatives régionales Ramsar </w:t>
      </w:r>
      <w:r w:rsidRPr="00EE162B">
        <w:rPr>
          <w:rFonts w:cs="Calibri"/>
          <w:b/>
          <w:lang w:val="fr-CH"/>
        </w:rPr>
        <w:t xml:space="preserve">(IRR) pour 2022, conformément à la Résolution XIV.7, </w:t>
      </w:r>
      <w:r w:rsidRPr="0042425A">
        <w:rPr>
          <w:rFonts w:cs="Calibri"/>
          <w:b/>
          <w:i/>
          <w:iCs/>
          <w:lang w:val="fr-CH"/>
        </w:rPr>
        <w:t xml:space="preserve">Les </w:t>
      </w:r>
      <w:r w:rsidRPr="00EE162B">
        <w:rPr>
          <w:rFonts w:cs="Calibri"/>
          <w:b/>
          <w:i/>
          <w:lang w:val="fr-CH"/>
        </w:rPr>
        <w:t>Initiatives régionales Ramsar</w:t>
      </w:r>
      <w:r w:rsidRPr="00EE162B">
        <w:rPr>
          <w:rFonts w:cs="Calibri"/>
          <w:b/>
          <w:lang w:val="fr-CH"/>
        </w:rPr>
        <w:t>.</w:t>
      </w:r>
    </w:p>
    <w:p w14:paraId="46680216" w14:textId="77777777" w:rsidR="0007746C" w:rsidRPr="00EE162B" w:rsidRDefault="0007746C" w:rsidP="0007746C">
      <w:pPr>
        <w:pStyle w:val="ColorfulList-Accent11"/>
        <w:ind w:left="0"/>
        <w:rPr>
          <w:rFonts w:cs="Calibri"/>
          <w:b/>
          <w:lang w:val="fr-CH"/>
        </w:rPr>
      </w:pPr>
    </w:p>
    <w:p w14:paraId="1F24D412" w14:textId="264AC960" w:rsidR="0007746C" w:rsidRPr="00EE162B" w:rsidRDefault="00E0533F" w:rsidP="0007746C">
      <w:pPr>
        <w:pStyle w:val="ColorfulList-Accent11"/>
        <w:ind w:left="0"/>
        <w:rPr>
          <w:rFonts w:cs="Calibri"/>
          <w:b/>
          <w:lang w:val="fr-CH"/>
        </w:rPr>
      </w:pPr>
      <w:r>
        <w:rPr>
          <w:rFonts w:cstheme="minorHAnsi"/>
          <w:b/>
          <w:lang w:val="fr-CH"/>
        </w:rPr>
        <w:tab/>
      </w:r>
      <w:r w:rsidR="0007746C" w:rsidRPr="00EE162B">
        <w:rPr>
          <w:rFonts w:cstheme="minorHAnsi"/>
          <w:b/>
          <w:lang w:val="fr-CH"/>
        </w:rPr>
        <w:t>Décision SC62-13 :</w:t>
      </w:r>
      <w:r w:rsidR="0007746C" w:rsidRPr="00EE162B">
        <w:rPr>
          <w:rFonts w:asciiTheme="minorHAnsi" w:hAnsiTheme="minorHAnsi" w:cstheme="minorHAnsi"/>
          <w:b/>
          <w:iCs/>
          <w:lang w:val="fr-CH"/>
        </w:rPr>
        <w:t xml:space="preserve"> Le </w:t>
      </w:r>
      <w:r w:rsidR="0007746C" w:rsidRPr="00EE162B">
        <w:rPr>
          <w:rFonts w:cstheme="minorHAnsi"/>
          <w:b/>
          <w:lang w:val="fr-CH"/>
        </w:rPr>
        <w:t>Comité permanent</w:t>
      </w:r>
      <w:r w:rsidR="0007746C" w:rsidRPr="00EE162B">
        <w:rPr>
          <w:rFonts w:cs="Calibri"/>
          <w:b/>
          <w:lang w:val="fr-CH"/>
        </w:rPr>
        <w:t xml:space="preserve"> prend note de l’allocation de fonds </w:t>
      </w:r>
      <w:r w:rsidR="0007746C">
        <w:rPr>
          <w:rFonts w:cs="Calibri"/>
          <w:b/>
          <w:lang w:val="fr-CH"/>
        </w:rPr>
        <w:t>de la ligne</w:t>
      </w:r>
      <w:r w:rsidR="0007746C" w:rsidRPr="00EE162B">
        <w:rPr>
          <w:rFonts w:cs="Calibri"/>
          <w:b/>
          <w:lang w:val="fr-CH"/>
        </w:rPr>
        <w:t xml:space="preserve"> budgétaire D « </w:t>
      </w:r>
      <w:r w:rsidR="0007746C">
        <w:rPr>
          <w:rFonts w:cs="Calibri"/>
          <w:b/>
          <w:lang w:val="fr-CH"/>
        </w:rPr>
        <w:t>Soutien</w:t>
      </w:r>
      <w:r w:rsidR="0007746C" w:rsidRPr="00EE162B">
        <w:rPr>
          <w:rFonts w:cs="Calibri"/>
          <w:b/>
          <w:lang w:val="fr-CH"/>
        </w:rPr>
        <w:t xml:space="preserve"> aux Initiatives régionales</w:t>
      </w:r>
      <w:r w:rsidR="0007746C">
        <w:rPr>
          <w:rFonts w:cs="Calibri"/>
          <w:b/>
          <w:lang w:val="fr-CH"/>
        </w:rPr>
        <w:t xml:space="preserve"> Ramsar</w:t>
      </w:r>
      <w:r w:rsidR="0007746C" w:rsidRPr="00EE162B">
        <w:rPr>
          <w:rFonts w:cs="Calibri"/>
          <w:b/>
          <w:lang w:val="fr-CH"/>
        </w:rPr>
        <w:t xml:space="preserve"> » du budget administratif Ramsar de 2023, proposée dans le document SC62 Doc.8.1, pour fournir un financement de départ de 30 000 CHF à l’Initiative régionale Ramsar pour l’Afrique australe. </w:t>
      </w:r>
    </w:p>
    <w:p w14:paraId="3AFFE7FF" w14:textId="77777777" w:rsidR="0007746C" w:rsidRPr="0042425A" w:rsidRDefault="0007746C" w:rsidP="0007746C">
      <w:pPr>
        <w:keepNext/>
        <w:spacing w:after="0" w:line="240" w:lineRule="auto"/>
        <w:rPr>
          <w:rFonts w:cstheme="minorHAnsi"/>
          <w:lang w:val="fr-FR"/>
        </w:rPr>
      </w:pPr>
    </w:p>
    <w:p w14:paraId="06740299" w14:textId="77777777" w:rsidR="0007746C" w:rsidRPr="000773A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773AB">
        <w:rPr>
          <w:rFonts w:cstheme="minorHAnsi"/>
          <w:bCs/>
          <w:lang w:val="fr-FR"/>
        </w:rPr>
        <w:t>Point 13 de l’ordre du jour :</w:t>
      </w:r>
      <w:r>
        <w:rPr>
          <w:rFonts w:cstheme="minorHAnsi"/>
          <w:bCs/>
          <w:lang w:val="fr-FR"/>
        </w:rPr>
        <w:t xml:space="preserve"> </w:t>
      </w:r>
      <w:r w:rsidRPr="000773AB">
        <w:rPr>
          <w:lang w:val="fr-FR"/>
        </w:rPr>
        <w:t>Plan de travail du</w:t>
      </w:r>
      <w:r>
        <w:rPr>
          <w:lang w:val="fr-FR"/>
        </w:rPr>
        <w:t xml:space="preserve"> </w:t>
      </w:r>
      <w:r w:rsidRPr="000773AB">
        <w:rPr>
          <w:lang w:val="fr-FR"/>
        </w:rPr>
        <w:t>Secrétariat</w:t>
      </w:r>
      <w:r>
        <w:rPr>
          <w:lang w:val="fr-FR"/>
        </w:rPr>
        <w:t xml:space="preserve"> pour</w:t>
      </w:r>
      <w:r w:rsidRPr="000773AB">
        <w:rPr>
          <w:lang w:val="fr-FR"/>
        </w:rPr>
        <w:t xml:space="preserve"> 2023-2025</w:t>
      </w:r>
    </w:p>
    <w:p w14:paraId="484B10EF" w14:textId="77777777" w:rsidR="0007746C" w:rsidRPr="0042425A" w:rsidRDefault="0007746C" w:rsidP="0007746C">
      <w:pPr>
        <w:spacing w:after="0" w:line="240" w:lineRule="auto"/>
        <w:ind w:left="567" w:hanging="567"/>
        <w:rPr>
          <w:rFonts w:eastAsia="Calibri" w:cstheme="minorHAnsi"/>
          <w:bCs/>
          <w:lang w:val="fr-FR"/>
        </w:rPr>
      </w:pPr>
    </w:p>
    <w:p w14:paraId="02D56FBA" w14:textId="0954F580" w:rsidR="0007746C" w:rsidRDefault="0007746C" w:rsidP="0007746C">
      <w:pPr>
        <w:spacing w:after="0" w:line="240" w:lineRule="auto"/>
        <w:contextualSpacing/>
        <w:rPr>
          <w:rFonts w:eastAsia="Calibri" w:cstheme="minorHAnsi"/>
          <w:b/>
          <w:bCs/>
          <w:lang w:val="fr-FR"/>
        </w:rPr>
      </w:pPr>
      <w:r w:rsidRPr="000773AB">
        <w:rPr>
          <w:rFonts w:cstheme="minorHAnsi"/>
          <w:b/>
          <w:lang w:val="fr-FR"/>
        </w:rPr>
        <w:t xml:space="preserve">Décision SC62-14 : </w:t>
      </w:r>
      <w:r w:rsidRPr="000773AB">
        <w:rPr>
          <w:rFonts w:cstheme="minorHAnsi"/>
          <w:b/>
          <w:iCs/>
          <w:lang w:val="fr-FR"/>
        </w:rPr>
        <w:t xml:space="preserve">Le </w:t>
      </w:r>
      <w:r w:rsidRPr="000773AB">
        <w:rPr>
          <w:rFonts w:cstheme="minorHAnsi"/>
          <w:b/>
          <w:lang w:val="fr-FR"/>
        </w:rPr>
        <w:t>Comité permanent</w:t>
      </w:r>
      <w:r w:rsidRPr="000773AB">
        <w:rPr>
          <w:rFonts w:cs="Calibri"/>
          <w:b/>
          <w:lang w:val="fr-FR"/>
        </w:rPr>
        <w:t xml:space="preserve"> </w:t>
      </w:r>
      <w:r w:rsidR="00E0533F">
        <w:rPr>
          <w:rFonts w:cs="Calibri"/>
          <w:b/>
          <w:lang w:val="fr-FR"/>
        </w:rPr>
        <w:t xml:space="preserve">prend </w:t>
      </w:r>
      <w:r w:rsidRPr="000773AB">
        <w:rPr>
          <w:rFonts w:cstheme="minorHAnsi"/>
          <w:b/>
          <w:lang w:val="fr-FR"/>
        </w:rPr>
        <w:t xml:space="preserve">note </w:t>
      </w:r>
      <w:r w:rsidR="00E0533F">
        <w:rPr>
          <w:rFonts w:cstheme="minorHAnsi"/>
          <w:b/>
          <w:lang w:val="fr-FR"/>
        </w:rPr>
        <w:t>du</w:t>
      </w:r>
      <w:r w:rsidRPr="000773AB">
        <w:rPr>
          <w:rFonts w:cstheme="minorHAnsi"/>
          <w:b/>
          <w:lang w:val="fr-FR"/>
        </w:rPr>
        <w:t xml:space="preserve"> Plan annuel intégré du </w:t>
      </w:r>
      <w:r w:rsidRPr="000773AB">
        <w:rPr>
          <w:rFonts w:eastAsia="Calibri" w:cstheme="minorHAnsi"/>
          <w:b/>
          <w:bCs/>
          <w:lang w:val="fr-FR"/>
        </w:rPr>
        <w:t xml:space="preserve">Secrétariat pour 2023 </w:t>
      </w:r>
      <w:r>
        <w:rPr>
          <w:rFonts w:eastAsia="Calibri" w:cstheme="minorHAnsi"/>
          <w:b/>
          <w:bCs/>
          <w:lang w:val="fr-FR"/>
        </w:rPr>
        <w:t xml:space="preserve">et </w:t>
      </w:r>
      <w:r w:rsidR="00E0533F">
        <w:rPr>
          <w:rFonts w:eastAsia="Calibri" w:cstheme="minorHAnsi"/>
          <w:b/>
          <w:bCs/>
          <w:lang w:val="fr-FR"/>
        </w:rPr>
        <w:t>du</w:t>
      </w:r>
      <w:r>
        <w:rPr>
          <w:rFonts w:eastAsia="Calibri" w:cstheme="minorHAnsi"/>
          <w:b/>
          <w:bCs/>
          <w:lang w:val="fr-FR"/>
        </w:rPr>
        <w:t xml:space="preserve"> Plan triennal pour</w:t>
      </w:r>
      <w:r w:rsidRPr="000773AB">
        <w:rPr>
          <w:rFonts w:eastAsia="Calibri" w:cstheme="minorHAnsi"/>
          <w:b/>
          <w:bCs/>
          <w:lang w:val="fr-FR"/>
        </w:rPr>
        <w:t xml:space="preserve"> 2023-2025</w:t>
      </w:r>
      <w:r w:rsidR="00E0533F" w:rsidRPr="00E0533F">
        <w:rPr>
          <w:rFonts w:cstheme="minorHAnsi"/>
          <w:b/>
          <w:lang w:val="fr-FR"/>
        </w:rPr>
        <w:t xml:space="preserve"> </w:t>
      </w:r>
      <w:r w:rsidR="00E0533F" w:rsidRPr="000773AB">
        <w:rPr>
          <w:rFonts w:cstheme="minorHAnsi"/>
          <w:b/>
          <w:lang w:val="fr-FR"/>
        </w:rPr>
        <w:t xml:space="preserve">et </w:t>
      </w:r>
      <w:r w:rsidR="00E0533F">
        <w:rPr>
          <w:rFonts w:cstheme="minorHAnsi"/>
          <w:b/>
          <w:lang w:val="fr-FR"/>
        </w:rPr>
        <w:t xml:space="preserve">les </w:t>
      </w:r>
      <w:r w:rsidR="00E0533F" w:rsidRPr="000773AB">
        <w:rPr>
          <w:rFonts w:cstheme="minorHAnsi"/>
          <w:b/>
          <w:lang w:val="fr-FR"/>
        </w:rPr>
        <w:t>approuve</w:t>
      </w:r>
      <w:r w:rsidRPr="000773AB">
        <w:rPr>
          <w:rFonts w:eastAsia="Calibri" w:cstheme="minorHAnsi"/>
          <w:b/>
          <w:bCs/>
          <w:lang w:val="fr-FR"/>
        </w:rPr>
        <w:t xml:space="preserve">, </w:t>
      </w:r>
      <w:r>
        <w:rPr>
          <w:rFonts w:eastAsia="Calibri" w:cstheme="minorHAnsi"/>
          <w:b/>
          <w:bCs/>
          <w:lang w:val="fr-FR"/>
        </w:rPr>
        <w:t>sous réserve des ajouts proposés par le Président du GEST</w:t>
      </w:r>
      <w:r w:rsidRPr="000773AB">
        <w:rPr>
          <w:rFonts w:eastAsia="Calibri" w:cstheme="minorHAnsi"/>
          <w:b/>
          <w:bCs/>
          <w:lang w:val="fr-FR"/>
        </w:rPr>
        <w:t>.</w:t>
      </w:r>
    </w:p>
    <w:p w14:paraId="1B5ADB30" w14:textId="77777777" w:rsidR="00CE1A59" w:rsidRPr="000773AB" w:rsidRDefault="00CE1A59" w:rsidP="0007746C">
      <w:pPr>
        <w:spacing w:after="0" w:line="240" w:lineRule="auto"/>
        <w:contextualSpacing/>
        <w:rPr>
          <w:lang w:val="fr-FR"/>
        </w:rPr>
      </w:pPr>
    </w:p>
    <w:p w14:paraId="5F8761EE"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11</w:t>
      </w:r>
      <w:r w:rsidRPr="00EE162B">
        <w:rPr>
          <w:rFonts w:cstheme="minorHAnsi"/>
          <w:bCs/>
          <w:lang w:val="fr-CH"/>
        </w:rPr>
        <w:t xml:space="preserve"> de l’ordre du jour :</w:t>
      </w:r>
      <w:r w:rsidRPr="00425384">
        <w:rPr>
          <w:rFonts w:cstheme="minorHAnsi"/>
          <w:bCs/>
          <w:lang w:val="fr-FR"/>
        </w:rPr>
        <w:t xml:space="preserve"> </w:t>
      </w:r>
      <w:r w:rsidRPr="000C1AD4">
        <w:rPr>
          <w:lang w:val="fr-FR"/>
        </w:rPr>
        <w:t>Rapport du Secrétariat sur le renforcement institutionnel pour soutenir</w:t>
      </w:r>
    </w:p>
    <w:p w14:paraId="67C4CF76" w14:textId="77777777" w:rsidR="0007746C" w:rsidRPr="0042538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lang w:val="fr-FR"/>
        </w:rPr>
        <w:t>l’application de la Convention</w:t>
      </w:r>
    </w:p>
    <w:p w14:paraId="5A559FDD" w14:textId="77777777" w:rsidR="0007746C" w:rsidRPr="00952973" w:rsidRDefault="0007746C" w:rsidP="0007746C">
      <w:pPr>
        <w:spacing w:after="0" w:line="240" w:lineRule="auto"/>
        <w:ind w:left="567" w:hanging="567"/>
        <w:rPr>
          <w:lang w:val="fr-CH"/>
        </w:rPr>
      </w:pPr>
    </w:p>
    <w:p w14:paraId="21E2D26E" w14:textId="77777777" w:rsidR="0007746C" w:rsidRPr="00952973" w:rsidRDefault="0007746C" w:rsidP="0007746C">
      <w:pPr>
        <w:spacing w:after="0" w:line="240" w:lineRule="auto"/>
        <w:contextualSpacing/>
        <w:rPr>
          <w:b/>
          <w:lang w:val="fr-CH"/>
        </w:rPr>
      </w:pPr>
      <w:r w:rsidRPr="00952973">
        <w:rPr>
          <w:rFonts w:cstheme="minorHAnsi"/>
          <w:b/>
          <w:lang w:val="fr-CH"/>
        </w:rPr>
        <w:t xml:space="preserve">Décision SC62-15 : Le Comité permanent prend note </w:t>
      </w:r>
      <w:r w:rsidRPr="00952973">
        <w:rPr>
          <w:b/>
          <w:lang w:val="fr-CH"/>
        </w:rPr>
        <w:t>du Rapport du Secrétariat sur le renforcement institutionnel pour soutenir l’application de la Convention, en réponse à la Résolution XIV.6, paragraphe 22.</w:t>
      </w:r>
    </w:p>
    <w:p w14:paraId="15AF8414" w14:textId="77777777" w:rsidR="0007746C" w:rsidRPr="00952973" w:rsidRDefault="0007746C" w:rsidP="0007746C">
      <w:pPr>
        <w:spacing w:after="0" w:line="240" w:lineRule="auto"/>
        <w:contextualSpacing/>
        <w:rPr>
          <w:b/>
          <w:lang w:val="fr-CH"/>
        </w:rPr>
      </w:pPr>
    </w:p>
    <w:p w14:paraId="096ABD00" w14:textId="77777777" w:rsidR="0007746C" w:rsidRPr="00952973" w:rsidRDefault="0007746C" w:rsidP="0007746C">
      <w:pPr>
        <w:spacing w:after="0" w:line="240" w:lineRule="auto"/>
        <w:contextualSpacing/>
        <w:rPr>
          <w:rFonts w:eastAsia="Calibri" w:cstheme="minorHAnsi"/>
          <w:bCs/>
          <w:lang w:val="fr-CH"/>
        </w:rPr>
      </w:pPr>
      <w:r w:rsidRPr="00952973">
        <w:rPr>
          <w:rFonts w:cstheme="minorHAnsi"/>
          <w:b/>
          <w:lang w:val="fr-CH"/>
        </w:rPr>
        <w:t xml:space="preserve">Décision SC62-16 : Le Comité permanent prend note des recommandations des </w:t>
      </w:r>
      <w:r>
        <w:rPr>
          <w:rFonts w:cstheme="minorHAnsi"/>
          <w:b/>
          <w:lang w:val="fr-CH"/>
        </w:rPr>
        <w:t>P</w:t>
      </w:r>
      <w:r w:rsidRPr="00952973">
        <w:rPr>
          <w:rFonts w:cstheme="minorHAnsi"/>
          <w:b/>
          <w:lang w:val="fr-CH"/>
        </w:rPr>
        <w:t>arties contractantes intéressées et du Secrétariat</w:t>
      </w:r>
      <w:r>
        <w:rPr>
          <w:rFonts w:cstheme="minorHAnsi"/>
          <w:b/>
          <w:lang w:val="fr-CH"/>
        </w:rPr>
        <w:t>,</w:t>
      </w:r>
      <w:r w:rsidRPr="00952973">
        <w:rPr>
          <w:rFonts w:cstheme="minorHAnsi"/>
          <w:b/>
          <w:lang w:val="fr-CH"/>
        </w:rPr>
        <w:t xml:space="preserve"> </w:t>
      </w:r>
      <w:r>
        <w:rPr>
          <w:rFonts w:cstheme="minorHAnsi"/>
          <w:b/>
          <w:lang w:val="fr-CH"/>
        </w:rPr>
        <w:t>figurant</w:t>
      </w:r>
      <w:r w:rsidRPr="00952973">
        <w:rPr>
          <w:rFonts w:cstheme="minorHAnsi"/>
          <w:b/>
          <w:lang w:val="fr-CH"/>
        </w:rPr>
        <w:t xml:space="preserve"> dans l’Annexe 2 du rapport.</w:t>
      </w:r>
    </w:p>
    <w:p w14:paraId="5EE15249" w14:textId="77777777" w:rsidR="0007746C" w:rsidRPr="00952973" w:rsidRDefault="0007746C" w:rsidP="0007746C">
      <w:pPr>
        <w:spacing w:after="0" w:line="240" w:lineRule="auto"/>
        <w:contextualSpacing/>
        <w:rPr>
          <w:rFonts w:eastAsia="Calibri" w:cstheme="minorHAnsi"/>
          <w:bCs/>
          <w:lang w:val="fr-CH"/>
        </w:rPr>
      </w:pPr>
    </w:p>
    <w:p w14:paraId="051E9796" w14:textId="77777777" w:rsidR="0007746C" w:rsidRPr="00952973" w:rsidRDefault="0007746C" w:rsidP="0007746C">
      <w:pPr>
        <w:spacing w:after="0" w:line="240" w:lineRule="auto"/>
        <w:contextualSpacing/>
        <w:rPr>
          <w:rFonts w:eastAsia="Calibri" w:cstheme="minorHAnsi"/>
          <w:bCs/>
          <w:lang w:val="fr-CH"/>
        </w:rPr>
      </w:pPr>
      <w:r w:rsidRPr="00952973">
        <w:rPr>
          <w:rFonts w:cstheme="minorHAnsi"/>
          <w:b/>
          <w:lang w:val="fr-CH"/>
        </w:rPr>
        <w:t xml:space="preserve">Décision SC62-17 : </w:t>
      </w:r>
      <w:r>
        <w:rPr>
          <w:rFonts w:cstheme="minorHAnsi"/>
          <w:b/>
          <w:lang w:val="fr-CH"/>
        </w:rPr>
        <w:t xml:space="preserve">Le Comité permanent </w:t>
      </w:r>
      <w:r w:rsidRPr="00C577C8">
        <w:rPr>
          <w:rFonts w:cstheme="minorHAnsi"/>
          <w:b/>
          <w:lang w:val="fr-CH"/>
        </w:rPr>
        <w:t>établit un groupe de travail</w:t>
      </w:r>
      <w:r w:rsidRPr="00952973">
        <w:rPr>
          <w:rFonts w:cstheme="minorHAnsi"/>
          <w:b/>
          <w:lang w:val="fr-CH"/>
        </w:rPr>
        <w:t xml:space="preserve"> </w:t>
      </w:r>
      <w:r>
        <w:rPr>
          <w:rFonts w:cstheme="minorHAnsi"/>
          <w:b/>
          <w:lang w:val="fr-CH"/>
        </w:rPr>
        <w:t xml:space="preserve">chargé de </w:t>
      </w:r>
      <w:r w:rsidRPr="00C577C8">
        <w:rPr>
          <w:rFonts w:cstheme="minorHAnsi"/>
          <w:b/>
          <w:lang w:val="fr-CH"/>
        </w:rPr>
        <w:t>piloter le processus visant à assurer le renforcement institutionnel pour soutenir l’application de la Convention</w:t>
      </w:r>
      <w:r>
        <w:rPr>
          <w:rFonts w:cstheme="minorHAnsi"/>
          <w:b/>
          <w:lang w:val="fr-CH"/>
        </w:rPr>
        <w:t>, y compris par la préparation d’un projet de résolution pour examen par le Comité permanent à sa 63</w:t>
      </w:r>
      <w:r w:rsidRPr="009B2514">
        <w:rPr>
          <w:rFonts w:cstheme="minorHAnsi"/>
          <w:b/>
          <w:vertAlign w:val="superscript"/>
          <w:lang w:val="fr-CH"/>
        </w:rPr>
        <w:t>e</w:t>
      </w:r>
      <w:r>
        <w:rPr>
          <w:rFonts w:cstheme="minorHAnsi"/>
          <w:b/>
          <w:lang w:val="fr-CH"/>
        </w:rPr>
        <w:t> Réunion.</w:t>
      </w:r>
    </w:p>
    <w:p w14:paraId="01A9F989" w14:textId="77777777" w:rsidR="0007746C" w:rsidRPr="001F785D" w:rsidRDefault="0007746C" w:rsidP="0007746C">
      <w:pPr>
        <w:spacing w:after="0" w:line="240" w:lineRule="auto"/>
        <w:rPr>
          <w:rFonts w:eastAsia="Calibri" w:cstheme="minorHAnsi"/>
          <w:bCs/>
          <w:lang w:val="fr-FR"/>
        </w:rPr>
      </w:pPr>
    </w:p>
    <w:p w14:paraId="70D6BE67"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rFonts w:cstheme="minorHAnsi"/>
          <w:bCs/>
          <w:lang w:val="fr-FR"/>
        </w:rPr>
        <w:t xml:space="preserve">Point 12 de l’ordre du jour : </w:t>
      </w:r>
      <w:r w:rsidRPr="000C1AD4">
        <w:rPr>
          <w:lang w:val="fr-FR"/>
        </w:rPr>
        <w:t>Rapport du Secrétariat sur l’amélioration de l’efficacité et de l’efficience de la Convention</w:t>
      </w:r>
    </w:p>
    <w:p w14:paraId="5667060E" w14:textId="77777777" w:rsidR="0007746C" w:rsidRPr="00495680" w:rsidRDefault="0007746C" w:rsidP="00CE1A59">
      <w:pPr>
        <w:spacing w:after="0" w:line="240" w:lineRule="auto"/>
        <w:rPr>
          <w:rFonts w:eastAsia="Calibri" w:cstheme="minorHAnsi"/>
          <w:bCs/>
          <w:lang w:val="fr-CH"/>
        </w:rPr>
      </w:pPr>
    </w:p>
    <w:p w14:paraId="49602F89" w14:textId="7BB51E16" w:rsidR="0007746C" w:rsidRPr="009B2514" w:rsidRDefault="0007746C" w:rsidP="0007746C">
      <w:pPr>
        <w:spacing w:after="0" w:line="240" w:lineRule="auto"/>
        <w:contextualSpacing/>
        <w:rPr>
          <w:rFonts w:eastAsia="Calibri" w:cstheme="minorHAnsi"/>
          <w:bCs/>
          <w:lang w:val="fr-CH"/>
        </w:rPr>
      </w:pPr>
      <w:bookmarkStart w:id="0" w:name="_Hlk144886658"/>
      <w:r w:rsidRPr="00495680">
        <w:rPr>
          <w:rFonts w:cstheme="minorHAnsi"/>
          <w:b/>
          <w:lang w:val="fr-CH"/>
        </w:rPr>
        <w:t>Décision SC62-18 : Le Comité permanent donne instruction au Secrétariat de suivre l’approche 1 telle qu’elle est définie dans le document SC62 Doc.12, en utilisant les outils existants pour préparer un plan qui sera présenté à la 63</w:t>
      </w:r>
      <w:r w:rsidRPr="00495680">
        <w:rPr>
          <w:rFonts w:cstheme="minorHAnsi"/>
          <w:b/>
          <w:vertAlign w:val="superscript"/>
          <w:lang w:val="fr-CH"/>
        </w:rPr>
        <w:t>e</w:t>
      </w:r>
      <w:r w:rsidRPr="00495680">
        <w:rPr>
          <w:rFonts w:cstheme="minorHAnsi"/>
          <w:b/>
          <w:lang w:val="fr-CH"/>
        </w:rPr>
        <w:t xml:space="preserve"> Réunion du Comité permanent, </w:t>
      </w:r>
      <w:r w:rsidR="00DE6B77" w:rsidRPr="00495680">
        <w:rPr>
          <w:rFonts w:cstheme="minorHAnsi"/>
          <w:b/>
          <w:lang w:val="fr-CH"/>
        </w:rPr>
        <w:t>reconnaissant que la mise en œuvre de ces outils ne devrait pas remplacer les négociations en personne et notant</w:t>
      </w:r>
      <w:r w:rsidRPr="00495680">
        <w:rPr>
          <w:rFonts w:cstheme="minorHAnsi"/>
          <w:b/>
          <w:lang w:val="fr-CH"/>
        </w:rPr>
        <w:t xml:space="preserve"> qu’après une phase pilote, d’autres discussions auront lieu afin d’affiner le processus</w:t>
      </w:r>
      <w:r>
        <w:rPr>
          <w:rFonts w:cstheme="minorHAnsi"/>
          <w:b/>
          <w:lang w:val="fr-CH"/>
        </w:rPr>
        <w:t xml:space="preserve">. </w:t>
      </w:r>
    </w:p>
    <w:bookmarkEnd w:id="0"/>
    <w:p w14:paraId="0A0C7C8E" w14:textId="77777777" w:rsidR="0007746C" w:rsidRPr="001F785D" w:rsidRDefault="0007746C" w:rsidP="0007746C">
      <w:pPr>
        <w:keepNext/>
        <w:spacing w:after="0" w:line="240" w:lineRule="auto"/>
        <w:rPr>
          <w:rFonts w:cstheme="minorHAnsi"/>
          <w:lang w:val="fr-FR"/>
        </w:rPr>
      </w:pPr>
    </w:p>
    <w:p w14:paraId="1C1308A3"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0C1AD4">
        <w:rPr>
          <w:rFonts w:cstheme="minorHAnsi"/>
          <w:bCs/>
          <w:lang w:val="fr-FR"/>
        </w:rPr>
        <w:t xml:space="preserve">Point 14 de l’ordre du jour : </w:t>
      </w:r>
      <w:bookmarkStart w:id="1" w:name="_Hlk144967084"/>
      <w:r w:rsidRPr="000C1AD4">
        <w:rPr>
          <w:lang w:val="fr-FR"/>
        </w:rPr>
        <w:t>Renforcer la visibilité de la Convention et les synergies en partenariat</w:t>
      </w:r>
    </w:p>
    <w:p w14:paraId="213F1FC5"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lang w:val="fr-FR"/>
        </w:rPr>
        <w:t>avec les accords multilatéraux sur l’environnement et d’autres</w:t>
      </w:r>
      <w:r>
        <w:rPr>
          <w:lang w:val="fr-FR"/>
        </w:rPr>
        <w:t xml:space="preserve"> </w:t>
      </w:r>
      <w:r w:rsidRPr="000C1AD4">
        <w:rPr>
          <w:lang w:val="fr-FR"/>
        </w:rPr>
        <w:t>institutions internationales</w:t>
      </w:r>
    </w:p>
    <w:bookmarkEnd w:id="1"/>
    <w:p w14:paraId="1DFF6274" w14:textId="77777777" w:rsidR="0007746C" w:rsidRPr="003F76B7" w:rsidRDefault="0007746C" w:rsidP="0007746C">
      <w:pPr>
        <w:spacing w:after="0" w:line="240" w:lineRule="auto"/>
        <w:ind w:left="720" w:hanging="720"/>
        <w:rPr>
          <w:rFonts w:cstheme="minorHAnsi"/>
          <w:b/>
          <w:lang w:val="fr-CH"/>
        </w:rPr>
      </w:pPr>
    </w:p>
    <w:p w14:paraId="6970CBF0" w14:textId="77777777" w:rsidR="0007746C" w:rsidRPr="003F76B7" w:rsidRDefault="0007746C" w:rsidP="0007746C">
      <w:pPr>
        <w:spacing w:after="0" w:line="240" w:lineRule="auto"/>
        <w:contextualSpacing/>
        <w:rPr>
          <w:rFonts w:eastAsia="Calibri" w:cstheme="minorHAnsi"/>
          <w:bCs/>
          <w:lang w:val="fr-CH"/>
        </w:rPr>
      </w:pPr>
      <w:r w:rsidRPr="003F76B7">
        <w:rPr>
          <w:rFonts w:cstheme="minorHAnsi"/>
          <w:b/>
          <w:lang w:val="fr-CH"/>
        </w:rPr>
        <w:t>Décision SC62-19</w:t>
      </w:r>
      <w:r>
        <w:rPr>
          <w:rFonts w:cstheme="minorHAnsi"/>
          <w:b/>
          <w:lang w:val="fr-CH"/>
        </w:rPr>
        <w:t xml:space="preserve"> </w:t>
      </w:r>
      <w:r w:rsidRPr="003F76B7">
        <w:rPr>
          <w:rFonts w:cstheme="minorHAnsi"/>
          <w:b/>
          <w:lang w:val="fr-CH"/>
        </w:rPr>
        <w:t xml:space="preserve">: </w:t>
      </w:r>
      <w:r>
        <w:rPr>
          <w:rFonts w:cstheme="minorHAnsi"/>
          <w:b/>
          <w:lang w:val="fr-CH"/>
        </w:rPr>
        <w:t xml:space="preserve">Le Comité permanent prend note des progrès d’application des Résolutions </w:t>
      </w:r>
      <w:r w:rsidRPr="003F76B7">
        <w:rPr>
          <w:rFonts w:cstheme="minorHAnsi"/>
          <w:b/>
          <w:lang w:val="fr-CH"/>
        </w:rPr>
        <w:t xml:space="preserve">XIV.6 </w:t>
      </w:r>
      <w:r>
        <w:rPr>
          <w:rFonts w:cstheme="minorHAnsi"/>
          <w:b/>
          <w:lang w:val="fr-CH"/>
        </w:rPr>
        <w:t>et</w:t>
      </w:r>
      <w:r w:rsidRPr="003F76B7">
        <w:rPr>
          <w:rFonts w:cstheme="minorHAnsi"/>
          <w:b/>
          <w:lang w:val="fr-CH"/>
        </w:rPr>
        <w:t xml:space="preserve"> XIII.7 </w:t>
      </w:r>
      <w:r>
        <w:rPr>
          <w:rFonts w:cstheme="minorHAnsi"/>
          <w:b/>
          <w:lang w:val="fr-CH"/>
        </w:rPr>
        <w:t>relatives au renforcement de la visibilité de la Convention et aux synergies avec les accords multilatéraux sur l’environnement et d’autres institutions internationales.</w:t>
      </w:r>
    </w:p>
    <w:p w14:paraId="274CA130" w14:textId="77777777" w:rsidR="0007746C" w:rsidRPr="001F785D" w:rsidRDefault="0007746C" w:rsidP="0007746C">
      <w:pPr>
        <w:keepNext/>
        <w:spacing w:after="0" w:line="240" w:lineRule="auto"/>
        <w:rPr>
          <w:rFonts w:cstheme="minorHAnsi"/>
          <w:lang w:val="fr-FR"/>
        </w:rPr>
      </w:pPr>
    </w:p>
    <w:p w14:paraId="41D07099"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rFonts w:cstheme="minorHAnsi"/>
          <w:bCs/>
          <w:lang w:val="fr-FR"/>
        </w:rPr>
        <w:t>Point 1</w:t>
      </w:r>
      <w:r>
        <w:rPr>
          <w:rFonts w:cstheme="minorHAnsi"/>
          <w:bCs/>
          <w:lang w:val="fr-FR"/>
        </w:rPr>
        <w:t>5</w:t>
      </w:r>
      <w:r w:rsidRPr="000C1AD4">
        <w:rPr>
          <w:rFonts w:cstheme="minorHAnsi"/>
          <w:bCs/>
          <w:lang w:val="fr-FR"/>
        </w:rPr>
        <w:t xml:space="preserve"> de l’ordre du jour : </w:t>
      </w:r>
      <w:r w:rsidRPr="000C1AD4">
        <w:rPr>
          <w:lang w:val="fr-FR"/>
        </w:rPr>
        <w:t>Révision et regroupement des Résolutions en vigueur</w:t>
      </w:r>
    </w:p>
    <w:p w14:paraId="7ABE60A3" w14:textId="7284B89F" w:rsidR="0007746C" w:rsidRPr="00C47C5D" w:rsidRDefault="0007746C" w:rsidP="00CE1A59">
      <w:pPr>
        <w:spacing w:after="0" w:line="240" w:lineRule="auto"/>
        <w:rPr>
          <w:lang w:val="fr-CH"/>
        </w:rPr>
      </w:pPr>
    </w:p>
    <w:p w14:paraId="748E5774" w14:textId="77777777" w:rsidR="0007746C" w:rsidRPr="00C47C5D" w:rsidRDefault="0007746C" w:rsidP="0007746C">
      <w:pPr>
        <w:spacing w:after="0" w:line="240" w:lineRule="auto"/>
        <w:contextualSpacing/>
        <w:rPr>
          <w:rFonts w:cstheme="minorHAnsi"/>
          <w:b/>
          <w:lang w:val="fr-CH"/>
        </w:rPr>
      </w:pPr>
      <w:r w:rsidRPr="00C47C5D">
        <w:rPr>
          <w:rFonts w:cstheme="minorHAnsi"/>
          <w:b/>
          <w:lang w:val="fr-CH"/>
        </w:rPr>
        <w:t>Décision SC62-20</w:t>
      </w:r>
      <w:r>
        <w:rPr>
          <w:rFonts w:cstheme="minorHAnsi"/>
          <w:b/>
          <w:lang w:val="fr-CH"/>
        </w:rPr>
        <w:t xml:space="preserve"> </w:t>
      </w:r>
      <w:r w:rsidRPr="00C47C5D">
        <w:rPr>
          <w:rFonts w:cstheme="minorHAnsi"/>
          <w:b/>
          <w:lang w:val="fr-CH"/>
        </w:rPr>
        <w:t xml:space="preserve">: </w:t>
      </w:r>
      <w:r>
        <w:rPr>
          <w:rFonts w:cstheme="minorHAnsi"/>
          <w:b/>
          <w:lang w:val="fr-CH"/>
        </w:rPr>
        <w:t xml:space="preserve">Le Comité permanent prend note des mesures prises par le Secrétariat qui en a rendu compte dans le </w:t>
      </w:r>
      <w:r w:rsidRPr="00C47C5D">
        <w:rPr>
          <w:rFonts w:cstheme="minorHAnsi"/>
          <w:b/>
          <w:lang w:val="fr-CH"/>
        </w:rPr>
        <w:t>document SC62 Doc.15.</w:t>
      </w:r>
    </w:p>
    <w:p w14:paraId="13BE024B" w14:textId="77777777" w:rsidR="0007746C" w:rsidRPr="00495680" w:rsidRDefault="0007746C" w:rsidP="0007746C">
      <w:pPr>
        <w:spacing w:after="0" w:line="240" w:lineRule="auto"/>
        <w:contextualSpacing/>
        <w:rPr>
          <w:rFonts w:cstheme="minorHAnsi"/>
          <w:b/>
          <w:lang w:val="fr-CH"/>
        </w:rPr>
      </w:pPr>
    </w:p>
    <w:p w14:paraId="7B6AA22D" w14:textId="21B90682" w:rsidR="0007746C" w:rsidRPr="00C47C5D" w:rsidRDefault="0007746C" w:rsidP="0007746C">
      <w:pPr>
        <w:spacing w:after="0" w:line="240" w:lineRule="auto"/>
        <w:contextualSpacing/>
        <w:rPr>
          <w:rFonts w:cstheme="minorHAnsi"/>
          <w:b/>
          <w:lang w:val="fr-CH"/>
        </w:rPr>
      </w:pPr>
      <w:r w:rsidRPr="00495680">
        <w:rPr>
          <w:rFonts w:cstheme="minorHAnsi"/>
          <w:b/>
          <w:lang w:val="fr-CH"/>
        </w:rPr>
        <w:t xml:space="preserve">Décision SC62-21 : Le Comité permanent approuve le processus en trois étapes décrit au paragraphe 23 </w:t>
      </w:r>
      <w:r w:rsidR="008C50AB" w:rsidRPr="00495680">
        <w:rPr>
          <w:rFonts w:cstheme="minorHAnsi"/>
          <w:b/>
          <w:lang w:val="fr-CH"/>
        </w:rPr>
        <w:t xml:space="preserve">du document SC62 Doc.15, </w:t>
      </w:r>
      <w:r w:rsidRPr="00495680">
        <w:rPr>
          <w:rFonts w:cstheme="minorHAnsi"/>
          <w:b/>
          <w:lang w:val="fr-CH"/>
        </w:rPr>
        <w:t xml:space="preserve">pour le maintien de la liste des Décisions en vigueur du Comité permanent, à condition que les </w:t>
      </w:r>
      <w:r>
        <w:rPr>
          <w:rFonts w:cstheme="minorHAnsi"/>
          <w:b/>
          <w:lang w:val="fr-CH"/>
        </w:rPr>
        <w:t>Décisions anciennes exclues de la liste ne deviennent pas caduques mais restent accessibles sur le site Web de la Convention et puissent être intégrées dans la liste si l’on décide qu’elles sont encore valables.</w:t>
      </w:r>
      <w:r w:rsidRPr="00C47C5D">
        <w:rPr>
          <w:rFonts w:cstheme="minorHAnsi"/>
          <w:b/>
          <w:lang w:val="fr-CH"/>
        </w:rPr>
        <w:t xml:space="preserve"> </w:t>
      </w:r>
    </w:p>
    <w:p w14:paraId="62C93061" w14:textId="77777777" w:rsidR="0007746C" w:rsidRPr="00E26EB0" w:rsidRDefault="0007746C" w:rsidP="0007746C">
      <w:pPr>
        <w:keepNext/>
        <w:spacing w:after="0" w:line="240" w:lineRule="auto"/>
        <w:rPr>
          <w:rFonts w:cstheme="minorHAnsi"/>
          <w:b/>
          <w:lang w:val="fr-FR"/>
        </w:rPr>
      </w:pPr>
    </w:p>
    <w:p w14:paraId="2FAD31E4" w14:textId="77777777" w:rsidR="0007746C" w:rsidRPr="00E26EB0"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CH"/>
        </w:rPr>
      </w:pPr>
      <w:r w:rsidRPr="00EE162B">
        <w:rPr>
          <w:rFonts w:cstheme="minorHAnsi"/>
          <w:bCs/>
          <w:lang w:val="fr-CH"/>
        </w:rPr>
        <w:t xml:space="preserve">Point 25 de l’ordre du jour : </w:t>
      </w:r>
      <w:r w:rsidRPr="00EE162B">
        <w:rPr>
          <w:lang w:val="fr-CH"/>
        </w:rPr>
        <w:t>Rapport du Secrétariat sur les Initiatives régionales Ramsar</w:t>
      </w:r>
      <w:r>
        <w:rPr>
          <w:lang w:val="fr-CH"/>
        </w:rPr>
        <w:t xml:space="preserve"> (suite)</w:t>
      </w:r>
    </w:p>
    <w:p w14:paraId="11DC9F6A" w14:textId="77777777" w:rsidR="0007746C" w:rsidRPr="00EA7C1A" w:rsidRDefault="0007746C" w:rsidP="0007746C">
      <w:pPr>
        <w:spacing w:after="0" w:line="240" w:lineRule="auto"/>
        <w:ind w:left="567" w:hanging="567"/>
        <w:rPr>
          <w:rFonts w:eastAsia="Calibri" w:cstheme="minorHAnsi"/>
          <w:bCs/>
          <w:lang w:val="fr-FR"/>
        </w:rPr>
      </w:pPr>
    </w:p>
    <w:p w14:paraId="57DC54B6" w14:textId="77777777" w:rsidR="0007746C" w:rsidRPr="006C643B" w:rsidRDefault="0007746C" w:rsidP="0007746C">
      <w:pPr>
        <w:spacing w:after="0" w:line="240" w:lineRule="auto"/>
        <w:rPr>
          <w:b/>
          <w:lang w:val="fr-CH"/>
        </w:rPr>
      </w:pPr>
      <w:r w:rsidRPr="006C643B">
        <w:rPr>
          <w:rFonts w:cstheme="minorHAnsi"/>
          <w:b/>
          <w:lang w:val="fr-CH"/>
        </w:rPr>
        <w:t>Décision SC62-2</w:t>
      </w:r>
      <w:r>
        <w:rPr>
          <w:rFonts w:cstheme="minorHAnsi"/>
          <w:b/>
          <w:lang w:val="fr-CH"/>
        </w:rPr>
        <w:t>2</w:t>
      </w:r>
      <w:r w:rsidRPr="006C643B">
        <w:rPr>
          <w:rFonts w:cstheme="minorHAnsi"/>
          <w:b/>
          <w:lang w:val="fr-CH"/>
        </w:rPr>
        <w:t xml:space="preserve"> : </w:t>
      </w:r>
      <w:r>
        <w:rPr>
          <w:b/>
          <w:lang w:val="fr-CH"/>
        </w:rPr>
        <w:t xml:space="preserve">Le Comité permanent approuve la création du Centre international des mangroves comme nouvelle Initiative régionale Ramsar dans le cadre de la Convention, avec le cahier des charges qui figure en Appendice 1 de l’Annexe 2 du </w:t>
      </w:r>
      <w:r w:rsidRPr="006C643B">
        <w:rPr>
          <w:b/>
          <w:lang w:val="fr-CH"/>
        </w:rPr>
        <w:t>document SC62 Doc.25 Rev.2.</w:t>
      </w:r>
    </w:p>
    <w:p w14:paraId="3AAAB497" w14:textId="77777777" w:rsidR="0007746C" w:rsidRPr="006C643B" w:rsidRDefault="0007746C" w:rsidP="0007746C">
      <w:pPr>
        <w:spacing w:after="0" w:line="240" w:lineRule="auto"/>
        <w:ind w:left="567" w:hanging="567"/>
        <w:rPr>
          <w:lang w:val="fr-CH"/>
        </w:rPr>
      </w:pPr>
    </w:p>
    <w:p w14:paraId="41DEE2F7" w14:textId="77777777" w:rsidR="0007746C" w:rsidRPr="006C643B" w:rsidRDefault="0007746C" w:rsidP="0007746C">
      <w:pPr>
        <w:spacing w:after="0" w:line="240" w:lineRule="auto"/>
        <w:rPr>
          <w:b/>
          <w:lang w:val="fr-CH"/>
        </w:rPr>
      </w:pPr>
      <w:r w:rsidRPr="006C643B">
        <w:rPr>
          <w:rFonts w:cstheme="minorHAnsi"/>
          <w:b/>
          <w:lang w:val="fr-CH"/>
        </w:rPr>
        <w:t>Décision SC62-2</w:t>
      </w:r>
      <w:r>
        <w:rPr>
          <w:rFonts w:cstheme="minorHAnsi"/>
          <w:b/>
          <w:lang w:val="fr-CH"/>
        </w:rPr>
        <w:t>3</w:t>
      </w:r>
      <w:r w:rsidRPr="006C643B">
        <w:rPr>
          <w:rFonts w:cstheme="minorHAnsi"/>
          <w:b/>
          <w:lang w:val="fr-CH"/>
        </w:rPr>
        <w:t xml:space="preserve"> : </w:t>
      </w:r>
      <w:r>
        <w:rPr>
          <w:b/>
          <w:lang w:val="fr-CH"/>
        </w:rPr>
        <w:t xml:space="preserve">Le Comité permanent prend note du fait qu’un appel à propositions pour de nouvelles Initiatives régionales Ramsar a été lancé, conformément à la Résolution </w:t>
      </w:r>
      <w:r w:rsidRPr="006C643B">
        <w:rPr>
          <w:b/>
          <w:lang w:val="fr-CH"/>
        </w:rPr>
        <w:t xml:space="preserve">XIV.7, </w:t>
      </w:r>
      <w:r w:rsidRPr="00EA7C1A">
        <w:rPr>
          <w:b/>
          <w:lang w:val="fr-CH"/>
        </w:rPr>
        <w:t>que le délai a été fixé, pour les réponses, au 30 septembre 2023 ; et que le Secrétariat rendra compte de</w:t>
      </w:r>
      <w:r>
        <w:rPr>
          <w:b/>
          <w:lang w:val="fr-CH"/>
        </w:rPr>
        <w:t>s résultats au Comité permanent, à sa 63</w:t>
      </w:r>
      <w:r w:rsidRPr="00E10766">
        <w:rPr>
          <w:b/>
          <w:vertAlign w:val="superscript"/>
          <w:lang w:val="fr-CH"/>
        </w:rPr>
        <w:t>e</w:t>
      </w:r>
      <w:r>
        <w:rPr>
          <w:b/>
          <w:lang w:val="fr-CH"/>
        </w:rPr>
        <w:t> Réunion.</w:t>
      </w:r>
      <w:r w:rsidRPr="006C643B">
        <w:rPr>
          <w:b/>
          <w:lang w:val="fr-CH"/>
        </w:rPr>
        <w:t xml:space="preserve"> </w:t>
      </w:r>
    </w:p>
    <w:p w14:paraId="1EB5FCF7" w14:textId="77777777" w:rsidR="0007746C" w:rsidRPr="006C643B" w:rsidRDefault="0007746C" w:rsidP="0007746C">
      <w:pPr>
        <w:spacing w:after="0" w:line="240" w:lineRule="auto"/>
        <w:rPr>
          <w:lang w:val="fr-CH"/>
        </w:rPr>
      </w:pPr>
    </w:p>
    <w:p w14:paraId="46B66466" w14:textId="77777777" w:rsidR="0007746C" w:rsidRPr="00215FC5"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E162B">
        <w:rPr>
          <w:rFonts w:cstheme="minorHAnsi"/>
          <w:bCs/>
          <w:lang w:val="fr-CH"/>
        </w:rPr>
        <w:t xml:space="preserve">Point </w:t>
      </w:r>
      <w:r>
        <w:rPr>
          <w:rFonts w:cstheme="minorHAnsi"/>
          <w:bCs/>
          <w:lang w:val="fr-CH"/>
        </w:rPr>
        <w:t>1</w:t>
      </w:r>
      <w:r w:rsidRPr="00EE162B">
        <w:rPr>
          <w:rFonts w:cstheme="minorHAnsi"/>
          <w:bCs/>
          <w:lang w:val="fr-CH"/>
        </w:rPr>
        <w:t>5 de l’ordre du jour </w:t>
      </w:r>
      <w:r w:rsidRPr="00215FC5">
        <w:rPr>
          <w:rFonts w:cstheme="minorHAnsi"/>
          <w:bCs/>
          <w:lang w:val="fr-FR"/>
        </w:rPr>
        <w:t xml:space="preserve">: Révision et regroupement des Résolutions en vigueur </w:t>
      </w:r>
      <w:r w:rsidRPr="00215FC5">
        <w:rPr>
          <w:lang w:val="fr-FR"/>
        </w:rPr>
        <w:t>(</w:t>
      </w:r>
      <w:r>
        <w:rPr>
          <w:lang w:val="fr-FR"/>
        </w:rPr>
        <w:t>suite</w:t>
      </w:r>
      <w:r w:rsidRPr="00215FC5">
        <w:rPr>
          <w:lang w:val="fr-FR"/>
        </w:rPr>
        <w:t>)</w:t>
      </w:r>
    </w:p>
    <w:p w14:paraId="31FBBD76" w14:textId="77777777" w:rsidR="0007746C" w:rsidRPr="00E10766" w:rsidRDefault="0007746C" w:rsidP="0007746C">
      <w:pPr>
        <w:spacing w:after="0" w:line="240" w:lineRule="auto"/>
        <w:ind w:left="720" w:hanging="720"/>
        <w:rPr>
          <w:lang w:val="fr-CH"/>
        </w:rPr>
      </w:pPr>
    </w:p>
    <w:p w14:paraId="21A03082" w14:textId="77777777" w:rsidR="0007746C" w:rsidRPr="00933514" w:rsidRDefault="0007746C" w:rsidP="0007746C">
      <w:pPr>
        <w:spacing w:after="0" w:line="240" w:lineRule="auto"/>
        <w:rPr>
          <w:rFonts w:cstheme="minorHAnsi"/>
          <w:b/>
          <w:lang w:val="fr-FR"/>
        </w:rPr>
      </w:pPr>
      <w:r w:rsidRPr="00933514">
        <w:rPr>
          <w:rFonts w:cstheme="minorHAnsi"/>
          <w:b/>
          <w:lang w:val="fr-FR"/>
        </w:rPr>
        <w:t>Décision SC62-2</w:t>
      </w:r>
      <w:r>
        <w:rPr>
          <w:rFonts w:cstheme="minorHAnsi"/>
          <w:b/>
          <w:lang w:val="fr-FR"/>
        </w:rPr>
        <w:t>4</w:t>
      </w:r>
      <w:r w:rsidRPr="00933514">
        <w:rPr>
          <w:rFonts w:cstheme="minorHAnsi"/>
          <w:b/>
          <w:lang w:val="fr-FR"/>
        </w:rPr>
        <w:t xml:space="preserve"> : Le Comité permanent décide d’allouer 33 000 CHF des fonds excédentaires pour </w:t>
      </w:r>
      <w:r>
        <w:rPr>
          <w:rFonts w:cstheme="minorHAnsi"/>
          <w:b/>
          <w:lang w:val="fr-FR"/>
        </w:rPr>
        <w:t xml:space="preserve">engager </w:t>
      </w:r>
      <w:r w:rsidRPr="00933514">
        <w:rPr>
          <w:rFonts w:cstheme="minorHAnsi"/>
          <w:b/>
          <w:lang w:val="fr-FR"/>
        </w:rPr>
        <w:t>des consulta</w:t>
      </w:r>
      <w:r>
        <w:rPr>
          <w:rFonts w:cstheme="minorHAnsi"/>
          <w:b/>
          <w:lang w:val="fr-FR"/>
        </w:rPr>
        <w:t>nts</w:t>
      </w:r>
      <w:r w:rsidRPr="00933514">
        <w:rPr>
          <w:rFonts w:cstheme="minorHAnsi"/>
          <w:b/>
          <w:lang w:val="fr-FR"/>
        </w:rPr>
        <w:t xml:space="preserve"> en vu</w:t>
      </w:r>
      <w:r>
        <w:rPr>
          <w:rFonts w:cstheme="minorHAnsi"/>
          <w:b/>
          <w:lang w:val="fr-FR"/>
        </w:rPr>
        <w:t>e de soutenir le processus</w:t>
      </w:r>
      <w:r w:rsidRPr="00933514">
        <w:rPr>
          <w:rFonts w:cstheme="minorHAnsi"/>
          <w:b/>
          <w:lang w:val="fr-FR"/>
        </w:rPr>
        <w:t xml:space="preserve"> </w:t>
      </w:r>
      <w:r>
        <w:rPr>
          <w:rFonts w:cstheme="minorHAnsi"/>
          <w:b/>
          <w:lang w:val="fr-FR"/>
        </w:rPr>
        <w:t>de regroupement et de révision des Résolutions</w:t>
      </w:r>
      <w:r w:rsidRPr="00933514">
        <w:rPr>
          <w:rFonts w:cstheme="minorHAnsi"/>
          <w:b/>
          <w:lang w:val="fr-FR"/>
        </w:rPr>
        <w:t>.</w:t>
      </w:r>
    </w:p>
    <w:p w14:paraId="1971C07F" w14:textId="77777777" w:rsidR="0007746C" w:rsidRPr="00933514" w:rsidRDefault="0007746C" w:rsidP="0007746C">
      <w:pPr>
        <w:spacing w:after="0" w:line="240" w:lineRule="auto"/>
        <w:rPr>
          <w:rFonts w:cstheme="minorHAnsi"/>
          <w:b/>
          <w:lang w:val="fr-FR"/>
        </w:rPr>
      </w:pPr>
    </w:p>
    <w:p w14:paraId="3BF296BD" w14:textId="42F5FDDB" w:rsidR="0007746C" w:rsidRPr="00933514" w:rsidRDefault="0007746C" w:rsidP="0007746C">
      <w:pPr>
        <w:spacing w:after="0" w:line="240" w:lineRule="auto"/>
        <w:rPr>
          <w:rFonts w:cs="Calibri"/>
          <w:b/>
          <w:lang w:val="fr-FR"/>
        </w:rPr>
      </w:pPr>
      <w:r w:rsidRPr="00933514">
        <w:rPr>
          <w:rFonts w:cstheme="minorHAnsi"/>
          <w:b/>
          <w:lang w:val="fr-FR"/>
        </w:rPr>
        <w:t>Décision SC62-2</w:t>
      </w:r>
      <w:r>
        <w:rPr>
          <w:rFonts w:cstheme="minorHAnsi"/>
          <w:b/>
          <w:lang w:val="fr-FR"/>
        </w:rPr>
        <w:t>5</w:t>
      </w:r>
      <w:r w:rsidRPr="00933514">
        <w:rPr>
          <w:rFonts w:cstheme="minorHAnsi"/>
          <w:b/>
          <w:lang w:val="fr-FR"/>
        </w:rPr>
        <w:t xml:space="preserve"> : Le Comité permanent sélectionne </w:t>
      </w:r>
      <w:r>
        <w:rPr>
          <w:rFonts w:cstheme="minorHAnsi"/>
          <w:b/>
          <w:lang w:val="fr-FR"/>
        </w:rPr>
        <w:t>« </w:t>
      </w:r>
      <w:r w:rsidRPr="00933514">
        <w:rPr>
          <w:rFonts w:cstheme="minorHAnsi"/>
          <w:b/>
          <w:lang w:val="fr-FR"/>
        </w:rPr>
        <w:t>Inventaires</w:t>
      </w:r>
      <w:r>
        <w:rPr>
          <w:rFonts w:cstheme="minorHAnsi"/>
          <w:b/>
          <w:lang w:val="fr-FR"/>
        </w:rPr>
        <w:t> »</w:t>
      </w:r>
      <w:r w:rsidRPr="00933514">
        <w:rPr>
          <w:rFonts w:cstheme="minorHAnsi"/>
          <w:b/>
          <w:lang w:val="fr-FR"/>
        </w:rPr>
        <w:t xml:space="preserve">, </w:t>
      </w:r>
      <w:r>
        <w:rPr>
          <w:rFonts w:cstheme="minorHAnsi"/>
          <w:b/>
          <w:lang w:val="fr-FR"/>
        </w:rPr>
        <w:t>« </w:t>
      </w:r>
      <w:r w:rsidRPr="00933514">
        <w:rPr>
          <w:rFonts w:cstheme="minorHAnsi"/>
          <w:b/>
          <w:lang w:val="fr-FR"/>
        </w:rPr>
        <w:t>CESP</w:t>
      </w:r>
      <w:r>
        <w:rPr>
          <w:rFonts w:cstheme="minorHAnsi"/>
          <w:b/>
          <w:lang w:val="fr-FR"/>
        </w:rPr>
        <w:t> »</w:t>
      </w:r>
      <w:r w:rsidRPr="00933514">
        <w:rPr>
          <w:rFonts w:cstheme="minorHAnsi"/>
          <w:b/>
          <w:lang w:val="fr-FR"/>
        </w:rPr>
        <w:t xml:space="preserve">, </w:t>
      </w:r>
      <w:r>
        <w:rPr>
          <w:rFonts w:cstheme="minorHAnsi"/>
          <w:b/>
          <w:lang w:val="fr-FR"/>
        </w:rPr>
        <w:t>« </w:t>
      </w:r>
      <w:r w:rsidRPr="00EA7C1A">
        <w:rPr>
          <w:b/>
          <w:lang w:val="fr-FR"/>
        </w:rPr>
        <w:t>Eau, orientations relatives à l’eau, gestion de l’eau</w:t>
      </w:r>
      <w:r>
        <w:rPr>
          <w:b/>
          <w:lang w:val="fr-FR"/>
        </w:rPr>
        <w:t> »</w:t>
      </w:r>
      <w:r w:rsidRPr="00933514">
        <w:rPr>
          <w:b/>
          <w:lang w:val="fr-FR"/>
        </w:rPr>
        <w:t xml:space="preserve"> </w:t>
      </w:r>
      <w:r>
        <w:rPr>
          <w:b/>
          <w:lang w:val="fr-FR"/>
        </w:rPr>
        <w:t>ainsi que</w:t>
      </w:r>
      <w:r w:rsidRPr="00933514">
        <w:rPr>
          <w:b/>
          <w:lang w:val="fr-FR"/>
        </w:rPr>
        <w:t xml:space="preserve"> </w:t>
      </w:r>
      <w:r>
        <w:rPr>
          <w:b/>
          <w:lang w:val="fr-FR"/>
        </w:rPr>
        <w:t>« Évaluation des valeurs et services des zones humides »</w:t>
      </w:r>
      <w:r w:rsidRPr="00933514">
        <w:rPr>
          <w:b/>
          <w:lang w:val="fr-FR"/>
        </w:rPr>
        <w:t xml:space="preserve"> </w:t>
      </w:r>
      <w:r>
        <w:rPr>
          <w:b/>
          <w:lang w:val="fr-FR"/>
        </w:rPr>
        <w:t xml:space="preserve">comme catégories pour lesquelles des projets de regroupement seront préparés pour examen </w:t>
      </w:r>
      <w:r w:rsidR="002555E6">
        <w:rPr>
          <w:b/>
          <w:lang w:val="fr-FR"/>
        </w:rPr>
        <w:t xml:space="preserve">par le Comité permanent </w:t>
      </w:r>
      <w:r>
        <w:rPr>
          <w:b/>
          <w:lang w:val="fr-FR"/>
        </w:rPr>
        <w:t xml:space="preserve">à </w:t>
      </w:r>
      <w:r w:rsidR="002555E6">
        <w:rPr>
          <w:b/>
          <w:lang w:val="fr-FR"/>
        </w:rPr>
        <w:t>s</w:t>
      </w:r>
      <w:r>
        <w:rPr>
          <w:b/>
          <w:lang w:val="fr-FR"/>
        </w:rPr>
        <w:t>a 63</w:t>
      </w:r>
      <w:r w:rsidRPr="00933514">
        <w:rPr>
          <w:b/>
          <w:vertAlign w:val="superscript"/>
          <w:lang w:val="fr-FR"/>
        </w:rPr>
        <w:t>e</w:t>
      </w:r>
      <w:r>
        <w:rPr>
          <w:b/>
          <w:lang w:val="fr-FR"/>
        </w:rPr>
        <w:t> Réunion</w:t>
      </w:r>
      <w:r w:rsidRPr="00933514">
        <w:rPr>
          <w:b/>
          <w:lang w:val="fr-FR"/>
        </w:rPr>
        <w:t>.</w:t>
      </w:r>
    </w:p>
    <w:p w14:paraId="648D98E4" w14:textId="77777777" w:rsidR="0007746C" w:rsidRPr="00933514" w:rsidRDefault="0007746C" w:rsidP="0007746C">
      <w:pPr>
        <w:keepNext/>
        <w:spacing w:after="0" w:line="240" w:lineRule="auto"/>
        <w:rPr>
          <w:rFonts w:cstheme="minorHAnsi"/>
          <w:lang w:val="fr-FR"/>
        </w:rPr>
      </w:pPr>
    </w:p>
    <w:p w14:paraId="272F4091" w14:textId="77777777" w:rsidR="0007746C" w:rsidRPr="00215FC5"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t xml:space="preserve">Point 16.1 de l’ordre du jour : </w:t>
      </w:r>
      <w:r w:rsidRPr="00215FC5">
        <w:rPr>
          <w:lang w:val="fr-FR"/>
        </w:rPr>
        <w:t>Communication, renforcement des capacités, éducation,</w:t>
      </w:r>
      <w:r>
        <w:rPr>
          <w:lang w:val="fr-FR"/>
        </w:rPr>
        <w:t xml:space="preserve"> </w:t>
      </w:r>
      <w:r w:rsidRPr="00215FC5">
        <w:rPr>
          <w:lang w:val="fr-FR"/>
        </w:rPr>
        <w:t xml:space="preserve">sensibilisation et participation (CESP) : Rapport du Président du </w:t>
      </w:r>
      <w:bookmarkStart w:id="2" w:name="_Hlk144902497"/>
      <w:r w:rsidRPr="00215FC5">
        <w:rPr>
          <w:lang w:val="fr-FR"/>
        </w:rPr>
        <w:t>Groupe de surveillance des activités de CESP</w:t>
      </w:r>
    </w:p>
    <w:bookmarkEnd w:id="2"/>
    <w:p w14:paraId="31F04D7C" w14:textId="77777777" w:rsidR="0007746C" w:rsidRPr="00206B0A" w:rsidRDefault="0007746C" w:rsidP="0007746C">
      <w:pPr>
        <w:keepNext/>
        <w:keepLines/>
        <w:spacing w:after="0" w:line="240" w:lineRule="auto"/>
        <w:ind w:left="560" w:hanging="560"/>
        <w:rPr>
          <w:lang w:val="fr-CH"/>
        </w:rPr>
      </w:pPr>
    </w:p>
    <w:p w14:paraId="6AD9627D" w14:textId="77777777" w:rsidR="0007746C" w:rsidRPr="00215FC5" w:rsidRDefault="0007746C" w:rsidP="0007746C">
      <w:pPr>
        <w:rPr>
          <w:rFonts w:cstheme="minorHAnsi"/>
          <w:b/>
          <w:lang w:val="fr-FR"/>
        </w:rPr>
      </w:pPr>
      <w:r w:rsidRPr="00215FC5">
        <w:rPr>
          <w:rFonts w:cstheme="minorHAnsi"/>
          <w:b/>
          <w:lang w:val="fr-FR"/>
        </w:rPr>
        <w:t>Décision SC62-2</w:t>
      </w:r>
      <w:r>
        <w:rPr>
          <w:rFonts w:cstheme="minorHAnsi"/>
          <w:b/>
          <w:lang w:val="fr-FR"/>
        </w:rPr>
        <w:t>6</w:t>
      </w:r>
      <w:r w:rsidRPr="00215FC5">
        <w:rPr>
          <w:rFonts w:cstheme="minorHAnsi"/>
          <w:b/>
          <w:lang w:val="fr-FR"/>
        </w:rPr>
        <w:t> : Le Comité permanent prend note du rapport du Groupe de surveillance des activités de CESP</w:t>
      </w:r>
      <w:r>
        <w:rPr>
          <w:rFonts w:cstheme="minorHAnsi"/>
          <w:b/>
          <w:lang w:val="fr-FR"/>
        </w:rPr>
        <w:t xml:space="preserve"> figurant dans le</w:t>
      </w:r>
      <w:r w:rsidRPr="00215FC5">
        <w:rPr>
          <w:rFonts w:cstheme="minorHAnsi"/>
          <w:b/>
          <w:lang w:val="fr-FR"/>
        </w:rPr>
        <w:t xml:space="preserve"> document SC62 Doc.16.1. </w:t>
      </w:r>
    </w:p>
    <w:p w14:paraId="30A44A73" w14:textId="77777777" w:rsidR="0007746C" w:rsidRPr="00215FC5" w:rsidRDefault="0007746C" w:rsidP="0007746C">
      <w:pPr>
        <w:spacing w:after="0" w:line="240" w:lineRule="auto"/>
        <w:ind w:left="720" w:hanging="720"/>
        <w:rPr>
          <w:rFonts w:cstheme="minorHAnsi"/>
          <w:b/>
          <w:lang w:val="fr-FR"/>
        </w:rPr>
      </w:pPr>
    </w:p>
    <w:p w14:paraId="29C8ED21" w14:textId="77777777" w:rsidR="0007746C" w:rsidRPr="00215FC5"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lastRenderedPageBreak/>
        <w:t xml:space="preserve">Point 16.2 de l’ordre du jour : </w:t>
      </w:r>
      <w:r w:rsidRPr="00215FC5">
        <w:rPr>
          <w:lang w:val="fr-FR"/>
        </w:rPr>
        <w:t>Communication, renforcement des capacités, éducation,</w:t>
      </w:r>
      <w:r>
        <w:rPr>
          <w:lang w:val="fr-FR"/>
        </w:rPr>
        <w:t xml:space="preserve"> </w:t>
      </w:r>
      <w:r w:rsidRPr="00215FC5">
        <w:rPr>
          <w:lang w:val="fr-FR"/>
        </w:rPr>
        <w:t>sensibilisation et participation (CESP) :</w:t>
      </w:r>
      <w:r>
        <w:rPr>
          <w:lang w:val="fr-FR"/>
        </w:rPr>
        <w:t xml:space="preserve"> </w:t>
      </w:r>
      <w:r w:rsidRPr="00215FC5">
        <w:rPr>
          <w:lang w:val="fr-FR"/>
        </w:rPr>
        <w:t>Plan de travail du Groupe de surveillance des activités de CESP, 2023-2025</w:t>
      </w:r>
    </w:p>
    <w:p w14:paraId="75B8A360" w14:textId="77777777" w:rsidR="0007746C" w:rsidRPr="00E10766" w:rsidRDefault="0007746C" w:rsidP="0007746C">
      <w:pPr>
        <w:keepNext/>
        <w:keepLines/>
        <w:spacing w:after="0" w:line="240" w:lineRule="auto"/>
        <w:ind w:left="560" w:hanging="560"/>
        <w:rPr>
          <w:lang w:val="fr-CH"/>
        </w:rPr>
      </w:pPr>
    </w:p>
    <w:p w14:paraId="4760810D" w14:textId="77777777" w:rsidR="0007746C" w:rsidRPr="00215FC5" w:rsidRDefault="0007746C" w:rsidP="0007746C">
      <w:pPr>
        <w:spacing w:after="0" w:line="240" w:lineRule="auto"/>
        <w:rPr>
          <w:rFonts w:cstheme="minorHAnsi"/>
          <w:b/>
          <w:lang w:val="fr-FR"/>
        </w:rPr>
      </w:pPr>
      <w:r w:rsidRPr="00215FC5">
        <w:rPr>
          <w:rFonts w:cstheme="minorHAnsi"/>
          <w:b/>
          <w:lang w:val="fr-FR"/>
        </w:rPr>
        <w:t>Décision SC62-2</w:t>
      </w:r>
      <w:r>
        <w:rPr>
          <w:rFonts w:cstheme="minorHAnsi"/>
          <w:b/>
          <w:lang w:val="fr-FR"/>
        </w:rPr>
        <w:t>7</w:t>
      </w:r>
      <w:r w:rsidRPr="00215FC5">
        <w:rPr>
          <w:rFonts w:cstheme="minorHAnsi"/>
          <w:b/>
          <w:lang w:val="fr-FR"/>
        </w:rPr>
        <w:t xml:space="preserve"> : Le Comité permanent prend note du plan de travail pour 2023-2025 </w:t>
      </w:r>
      <w:r>
        <w:rPr>
          <w:rFonts w:cstheme="minorHAnsi"/>
          <w:b/>
          <w:lang w:val="fr-FR"/>
        </w:rPr>
        <w:t>du</w:t>
      </w:r>
      <w:r w:rsidRPr="00215FC5">
        <w:rPr>
          <w:rFonts w:cstheme="minorHAnsi"/>
          <w:b/>
          <w:lang w:val="fr-FR"/>
        </w:rPr>
        <w:t xml:space="preserve"> Groupe de surveillance des activités de CESP</w:t>
      </w:r>
      <w:r>
        <w:rPr>
          <w:rFonts w:cstheme="minorHAnsi"/>
          <w:b/>
          <w:lang w:val="fr-FR"/>
        </w:rPr>
        <w:t xml:space="preserve"> figurant dans le</w:t>
      </w:r>
      <w:r w:rsidRPr="00215FC5">
        <w:rPr>
          <w:rFonts w:cstheme="minorHAnsi"/>
          <w:b/>
          <w:lang w:val="fr-FR"/>
        </w:rPr>
        <w:t xml:space="preserve"> document SC62 Doc.16.2. </w:t>
      </w:r>
    </w:p>
    <w:p w14:paraId="5C43AE35" w14:textId="77777777" w:rsidR="0007746C" w:rsidRPr="00215FC5" w:rsidRDefault="0007746C" w:rsidP="0007746C">
      <w:pPr>
        <w:spacing w:after="0" w:line="240" w:lineRule="auto"/>
        <w:ind w:left="720" w:hanging="720"/>
        <w:rPr>
          <w:lang w:val="fr-FR"/>
        </w:rPr>
      </w:pPr>
    </w:p>
    <w:p w14:paraId="2B7F02F8" w14:textId="77777777" w:rsidR="0007746C" w:rsidRPr="008C2E89"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t>Point 16.</w:t>
      </w:r>
      <w:r>
        <w:rPr>
          <w:rFonts w:cstheme="minorHAnsi"/>
          <w:bCs/>
          <w:lang w:val="fr-FR"/>
        </w:rPr>
        <w:t>3</w:t>
      </w:r>
      <w:r w:rsidRPr="00215FC5">
        <w:rPr>
          <w:rFonts w:cstheme="minorHAnsi"/>
          <w:bCs/>
          <w:lang w:val="fr-FR"/>
        </w:rPr>
        <w:t xml:space="preserve"> de l’ordre du jour : </w:t>
      </w:r>
      <w:r w:rsidRPr="00215FC5">
        <w:rPr>
          <w:lang w:val="fr-FR"/>
        </w:rPr>
        <w:t>Communication, renforcement des capacités, éducation,</w:t>
      </w:r>
      <w:r>
        <w:rPr>
          <w:lang w:val="fr-FR"/>
        </w:rPr>
        <w:t xml:space="preserve"> </w:t>
      </w:r>
      <w:r w:rsidRPr="00215FC5">
        <w:rPr>
          <w:lang w:val="fr-FR"/>
        </w:rPr>
        <w:t>sensibilisation et participation (CESP) :</w:t>
      </w:r>
      <w:r>
        <w:rPr>
          <w:lang w:val="fr-FR"/>
        </w:rPr>
        <w:t xml:space="preserve"> </w:t>
      </w:r>
      <w:r w:rsidRPr="008C2E89">
        <w:rPr>
          <w:lang w:val="fr-FR"/>
        </w:rPr>
        <w:t>Rapport du Secrétariat sur la Journée mondiale des zones</w:t>
      </w:r>
      <w:r>
        <w:rPr>
          <w:lang w:val="fr-FR"/>
        </w:rPr>
        <w:t xml:space="preserve"> </w:t>
      </w:r>
      <w:r w:rsidRPr="008C2E89">
        <w:rPr>
          <w:lang w:val="fr-FR"/>
        </w:rPr>
        <w:t>humides</w:t>
      </w:r>
    </w:p>
    <w:p w14:paraId="23139643" w14:textId="77777777" w:rsidR="0007746C" w:rsidRPr="00206B0A" w:rsidRDefault="0007746C" w:rsidP="0007746C">
      <w:pPr>
        <w:keepNext/>
        <w:keepLines/>
        <w:spacing w:after="0" w:line="240" w:lineRule="auto"/>
        <w:ind w:left="560" w:hanging="560"/>
        <w:rPr>
          <w:lang w:val="fr-CH"/>
        </w:rPr>
      </w:pPr>
    </w:p>
    <w:p w14:paraId="41783B24" w14:textId="77777777" w:rsidR="0007746C" w:rsidRPr="008C2E89" w:rsidRDefault="0007746C" w:rsidP="0007746C">
      <w:pPr>
        <w:spacing w:after="0" w:line="240" w:lineRule="auto"/>
        <w:contextualSpacing/>
        <w:rPr>
          <w:rFonts w:cstheme="minorHAnsi"/>
          <w:b/>
          <w:lang w:val="fr-FR"/>
        </w:rPr>
      </w:pPr>
      <w:r w:rsidRPr="008C2E89">
        <w:rPr>
          <w:rFonts w:cstheme="minorHAnsi"/>
          <w:b/>
          <w:lang w:val="fr-FR"/>
        </w:rPr>
        <w:t>Décision SC62-2</w:t>
      </w:r>
      <w:r>
        <w:rPr>
          <w:rFonts w:cstheme="minorHAnsi"/>
          <w:b/>
          <w:lang w:val="fr-FR"/>
        </w:rPr>
        <w:t>8</w:t>
      </w:r>
      <w:r w:rsidRPr="008C2E89">
        <w:rPr>
          <w:rFonts w:cstheme="minorHAnsi"/>
          <w:b/>
          <w:lang w:val="fr-FR"/>
        </w:rPr>
        <w:t xml:space="preserve"> : </w:t>
      </w:r>
      <w:r w:rsidRPr="00E32B7B">
        <w:rPr>
          <w:rFonts w:cstheme="minorHAnsi"/>
          <w:b/>
          <w:lang w:val="fr-FR"/>
        </w:rPr>
        <w:t xml:space="preserve">Le Comité permanent prend note </w:t>
      </w:r>
      <w:r w:rsidRPr="009F0F56">
        <w:rPr>
          <w:rFonts w:cstheme="minorHAnsi"/>
          <w:b/>
          <w:lang w:val="fr-FR"/>
        </w:rPr>
        <w:t>du rapport</w:t>
      </w:r>
      <w:r w:rsidRPr="00E32B7B">
        <w:rPr>
          <w:rFonts w:cstheme="minorHAnsi"/>
          <w:b/>
          <w:lang w:val="fr-FR"/>
        </w:rPr>
        <w:t xml:space="preserve"> du Secrétariat sur la Journée mondiale des zones humides 2023.</w:t>
      </w:r>
    </w:p>
    <w:p w14:paraId="3C81B3C3" w14:textId="77777777" w:rsidR="0007746C" w:rsidRPr="008C2E89" w:rsidRDefault="0007746C" w:rsidP="0007746C">
      <w:pPr>
        <w:keepNext/>
        <w:spacing w:after="0" w:line="240" w:lineRule="auto"/>
        <w:rPr>
          <w:rFonts w:cstheme="minorHAnsi"/>
          <w:lang w:val="fr-FR"/>
        </w:rPr>
      </w:pPr>
    </w:p>
    <w:p w14:paraId="56DA17F4" w14:textId="77777777" w:rsidR="0007746C" w:rsidRPr="008C2E89"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8C2E89">
        <w:rPr>
          <w:rFonts w:cstheme="minorHAnsi"/>
          <w:bCs/>
          <w:lang w:val="fr-FR"/>
        </w:rPr>
        <w:t xml:space="preserve">Point 17 de l’ordre du jour : </w:t>
      </w:r>
      <w:r w:rsidRPr="008C2E89">
        <w:rPr>
          <w:lang w:val="fr-FR"/>
        </w:rPr>
        <w:t>Rapport du Groupe de travail sur la jeunesse</w:t>
      </w:r>
    </w:p>
    <w:p w14:paraId="3E587173" w14:textId="77777777" w:rsidR="0007746C" w:rsidRPr="00EA7C1A" w:rsidRDefault="0007746C" w:rsidP="0007746C">
      <w:pPr>
        <w:spacing w:after="0" w:line="240" w:lineRule="auto"/>
        <w:contextualSpacing/>
        <w:rPr>
          <w:rFonts w:cstheme="minorHAnsi"/>
          <w:b/>
          <w:lang w:val="fr-FR"/>
        </w:rPr>
      </w:pPr>
    </w:p>
    <w:p w14:paraId="62051581" w14:textId="77777777" w:rsidR="0007746C" w:rsidRPr="008C2E89" w:rsidRDefault="0007746C" w:rsidP="0007746C">
      <w:pPr>
        <w:spacing w:after="0" w:line="240" w:lineRule="auto"/>
        <w:contextualSpacing/>
        <w:rPr>
          <w:rFonts w:cstheme="minorHAnsi"/>
          <w:b/>
          <w:bCs/>
          <w:lang w:val="fr-FR"/>
        </w:rPr>
      </w:pPr>
      <w:r w:rsidRPr="008C2E89">
        <w:rPr>
          <w:rFonts w:cstheme="minorHAnsi"/>
          <w:b/>
          <w:lang w:val="fr-FR"/>
        </w:rPr>
        <w:t>Décision SC62-2</w:t>
      </w:r>
      <w:r>
        <w:rPr>
          <w:rFonts w:cstheme="minorHAnsi"/>
          <w:b/>
          <w:lang w:val="fr-FR"/>
        </w:rPr>
        <w:t>9</w:t>
      </w:r>
      <w:r w:rsidRPr="008C2E89">
        <w:rPr>
          <w:rFonts w:cstheme="minorHAnsi"/>
          <w:b/>
          <w:lang w:val="fr-FR"/>
        </w:rPr>
        <w:t xml:space="preserve"> : Le Comité permanent prend note du </w:t>
      </w:r>
      <w:r w:rsidRPr="008C2E89">
        <w:rPr>
          <w:rFonts w:cstheme="minorHAnsi"/>
          <w:b/>
          <w:bCs/>
          <w:lang w:val="fr-FR"/>
        </w:rPr>
        <w:t>rapport du Groupe de travail sur la jeunesse f</w:t>
      </w:r>
      <w:r>
        <w:rPr>
          <w:rFonts w:cstheme="minorHAnsi"/>
          <w:b/>
          <w:bCs/>
          <w:lang w:val="fr-FR"/>
        </w:rPr>
        <w:t>igurant dans le</w:t>
      </w:r>
      <w:r w:rsidRPr="008C2E89">
        <w:rPr>
          <w:rFonts w:cstheme="minorHAnsi"/>
          <w:b/>
          <w:bCs/>
          <w:lang w:val="fr-FR"/>
        </w:rPr>
        <w:t xml:space="preserve"> document SC62 Doc.17.</w:t>
      </w:r>
    </w:p>
    <w:p w14:paraId="7816CFB3" w14:textId="77777777" w:rsidR="0007746C" w:rsidRPr="008C2E89" w:rsidRDefault="0007746C" w:rsidP="0007746C">
      <w:pPr>
        <w:spacing w:after="0" w:line="240" w:lineRule="auto"/>
        <w:rPr>
          <w:rFonts w:cstheme="minorHAnsi"/>
          <w:lang w:val="fr-FR"/>
        </w:rPr>
      </w:pPr>
    </w:p>
    <w:p w14:paraId="1E2AFE11" w14:textId="77777777" w:rsidR="0007746C" w:rsidRPr="008C2E89" w:rsidRDefault="0007746C" w:rsidP="0007746C">
      <w:pPr>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8C2E89">
        <w:rPr>
          <w:rFonts w:cstheme="minorHAnsi"/>
          <w:bCs/>
          <w:lang w:val="fr-FR"/>
        </w:rPr>
        <w:t>Point 1</w:t>
      </w:r>
      <w:r>
        <w:rPr>
          <w:rFonts w:cstheme="minorHAnsi"/>
          <w:bCs/>
          <w:lang w:val="fr-FR"/>
        </w:rPr>
        <w:t>8</w:t>
      </w:r>
      <w:r w:rsidRPr="008C2E89">
        <w:rPr>
          <w:rFonts w:cstheme="minorHAnsi"/>
          <w:bCs/>
          <w:lang w:val="fr-FR"/>
        </w:rPr>
        <w:t xml:space="preserve"> de l’ordre du jour : </w:t>
      </w:r>
      <w:r w:rsidRPr="008C2E89">
        <w:rPr>
          <w:lang w:val="fr-FR"/>
        </w:rPr>
        <w:t>Plan de travail pour la mobilisation des ressources</w:t>
      </w:r>
      <w:r>
        <w:rPr>
          <w:lang w:val="fr-FR"/>
        </w:rPr>
        <w:t xml:space="preserve">, </w:t>
      </w:r>
      <w:r w:rsidRPr="008C2E89">
        <w:rPr>
          <w:lang w:val="fr-FR"/>
        </w:rPr>
        <w:t>2023-2025</w:t>
      </w:r>
    </w:p>
    <w:p w14:paraId="6AE9BA92" w14:textId="77777777" w:rsidR="0007746C" w:rsidRPr="00EA7C1A" w:rsidRDefault="0007746C" w:rsidP="0007746C">
      <w:pPr>
        <w:spacing w:after="0" w:line="240" w:lineRule="auto"/>
        <w:contextualSpacing/>
        <w:rPr>
          <w:rFonts w:cstheme="minorHAnsi"/>
          <w:b/>
          <w:lang w:val="fr-FR"/>
        </w:rPr>
      </w:pPr>
    </w:p>
    <w:p w14:paraId="23A75F76" w14:textId="77777777" w:rsidR="0007746C" w:rsidRPr="008C2E89" w:rsidRDefault="0007746C" w:rsidP="0007746C">
      <w:pPr>
        <w:spacing w:after="0" w:line="240" w:lineRule="auto"/>
        <w:contextualSpacing/>
        <w:rPr>
          <w:lang w:val="fr-FR"/>
        </w:rPr>
      </w:pPr>
      <w:r w:rsidRPr="008C2E89">
        <w:rPr>
          <w:rFonts w:cstheme="minorHAnsi"/>
          <w:b/>
          <w:lang w:val="fr-FR"/>
        </w:rPr>
        <w:t>Décision SC62-</w:t>
      </w:r>
      <w:r>
        <w:rPr>
          <w:rFonts w:cstheme="minorHAnsi"/>
          <w:b/>
          <w:lang w:val="fr-FR"/>
        </w:rPr>
        <w:t>30</w:t>
      </w:r>
      <w:r w:rsidRPr="008C2E89">
        <w:rPr>
          <w:rFonts w:cstheme="minorHAnsi"/>
          <w:b/>
          <w:lang w:val="fr-FR"/>
        </w:rPr>
        <w:t xml:space="preserve"> : Le Comité permanent </w:t>
      </w:r>
      <w:r w:rsidRPr="008C2E89">
        <w:rPr>
          <w:rFonts w:cstheme="minorHAnsi"/>
          <w:b/>
          <w:bCs/>
          <w:lang w:val="fr-FR"/>
        </w:rPr>
        <w:t>approuve le Plan de travail pour la mobilisation des ressources, 2023-2025</w:t>
      </w:r>
      <w:r>
        <w:rPr>
          <w:rFonts w:cstheme="minorHAnsi"/>
          <w:b/>
          <w:bCs/>
          <w:lang w:val="fr-FR"/>
        </w:rPr>
        <w:t xml:space="preserve"> figurant dans le</w:t>
      </w:r>
      <w:r w:rsidRPr="008C2E89">
        <w:rPr>
          <w:rFonts w:cstheme="minorHAnsi"/>
          <w:b/>
          <w:bCs/>
          <w:lang w:val="fr-FR"/>
        </w:rPr>
        <w:t xml:space="preserve"> document SC62 Doc.18.</w:t>
      </w:r>
    </w:p>
    <w:p w14:paraId="3DAE85CB" w14:textId="77777777" w:rsidR="0007746C" w:rsidRPr="005C3814" w:rsidRDefault="0007746C" w:rsidP="0007746C">
      <w:pPr>
        <w:keepNext/>
        <w:spacing w:after="0" w:line="240" w:lineRule="auto"/>
        <w:rPr>
          <w:rFonts w:cstheme="minorHAnsi"/>
          <w:lang w:val="fr-FR"/>
        </w:rPr>
      </w:pPr>
    </w:p>
    <w:p w14:paraId="6B4F98AE"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5C3814">
        <w:rPr>
          <w:rFonts w:cstheme="minorHAnsi"/>
          <w:bCs/>
          <w:lang w:val="fr-FR"/>
        </w:rPr>
        <w:t>Point 19 de l</w:t>
      </w:r>
      <w:r>
        <w:rPr>
          <w:rFonts w:cstheme="minorHAnsi"/>
          <w:bCs/>
          <w:lang w:val="fr-FR"/>
        </w:rPr>
        <w:t>’</w:t>
      </w:r>
      <w:r w:rsidRPr="005C3814">
        <w:rPr>
          <w:rFonts w:cstheme="minorHAnsi"/>
          <w:bCs/>
          <w:lang w:val="fr-FR"/>
        </w:rPr>
        <w:t>ordre du jour : Rapport du Président du Groupe d</w:t>
      </w:r>
      <w:r>
        <w:rPr>
          <w:rFonts w:cstheme="minorHAnsi"/>
          <w:bCs/>
          <w:lang w:val="fr-FR"/>
        </w:rPr>
        <w:t>’</w:t>
      </w:r>
      <w:r w:rsidRPr="005C3814">
        <w:rPr>
          <w:rFonts w:cstheme="minorHAnsi"/>
          <w:bCs/>
          <w:lang w:val="fr-FR"/>
        </w:rPr>
        <w:t>évaluation scientifique et technique, y compris le plan de travail pour 2023-2025</w:t>
      </w:r>
    </w:p>
    <w:p w14:paraId="7DBF633D" w14:textId="77777777" w:rsidR="0007746C" w:rsidRPr="005C3814" w:rsidRDefault="0007746C" w:rsidP="0007746C">
      <w:pPr>
        <w:spacing w:after="0" w:line="240" w:lineRule="auto"/>
        <w:contextualSpacing/>
        <w:rPr>
          <w:rFonts w:cstheme="minorHAnsi"/>
          <w:b/>
          <w:lang w:val="fr-FR"/>
        </w:rPr>
      </w:pPr>
    </w:p>
    <w:p w14:paraId="324F1BAA"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Décision SC62-31 : Le Comité permanent prend note du rapport du Président du GEST.</w:t>
      </w:r>
    </w:p>
    <w:p w14:paraId="1FE51004" w14:textId="77777777" w:rsidR="0007746C" w:rsidRPr="005C3814" w:rsidRDefault="0007746C" w:rsidP="0007746C">
      <w:pPr>
        <w:spacing w:after="0" w:line="240" w:lineRule="auto"/>
        <w:contextualSpacing/>
        <w:rPr>
          <w:rFonts w:cstheme="minorHAnsi"/>
          <w:b/>
          <w:lang w:val="fr-FR"/>
        </w:rPr>
      </w:pPr>
    </w:p>
    <w:p w14:paraId="31A43954" w14:textId="5B9B9427" w:rsidR="0007746C" w:rsidRPr="005C3814" w:rsidRDefault="0007746C" w:rsidP="0007746C">
      <w:pPr>
        <w:spacing w:after="0" w:line="240" w:lineRule="auto"/>
        <w:contextualSpacing/>
        <w:rPr>
          <w:rFonts w:cstheme="minorHAnsi"/>
          <w:b/>
          <w:lang w:val="fr-FR"/>
        </w:rPr>
      </w:pPr>
      <w:r w:rsidRPr="005C3814">
        <w:rPr>
          <w:rFonts w:cstheme="minorHAnsi"/>
          <w:b/>
          <w:lang w:val="fr-FR"/>
        </w:rPr>
        <w:t>Décision SC62-32 : Le Comité permanent prend note du plan de travail 2023-2025 du GEST approuvé durant la période intersessions et figurant à l</w:t>
      </w:r>
      <w:r>
        <w:rPr>
          <w:rFonts w:cstheme="minorHAnsi"/>
          <w:b/>
          <w:lang w:val="fr-FR"/>
        </w:rPr>
        <w:t>’</w:t>
      </w:r>
      <w:r w:rsidR="00D8796B">
        <w:rPr>
          <w:rFonts w:cstheme="minorHAnsi"/>
          <w:b/>
          <w:lang w:val="fr-FR"/>
        </w:rPr>
        <w:t>A</w:t>
      </w:r>
      <w:r w:rsidRPr="005C3814">
        <w:rPr>
          <w:rFonts w:cstheme="minorHAnsi"/>
          <w:b/>
          <w:lang w:val="fr-FR"/>
        </w:rPr>
        <w:t>nnexe 1 du document SC62 Doc.19 Rev.1.</w:t>
      </w:r>
    </w:p>
    <w:p w14:paraId="0438171F" w14:textId="77777777" w:rsidR="0007746C" w:rsidRPr="005C3814" w:rsidRDefault="0007746C" w:rsidP="0007746C">
      <w:pPr>
        <w:spacing w:after="0" w:line="240" w:lineRule="auto"/>
        <w:contextualSpacing/>
        <w:rPr>
          <w:rFonts w:cstheme="minorHAnsi"/>
          <w:b/>
          <w:lang w:val="fr-FR"/>
        </w:rPr>
      </w:pPr>
    </w:p>
    <w:p w14:paraId="62CAB424"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C3814">
        <w:rPr>
          <w:rFonts w:cstheme="minorHAnsi"/>
          <w:bCs/>
          <w:lang w:val="fr-FR"/>
        </w:rPr>
        <w:t>Point 9 de l</w:t>
      </w:r>
      <w:r>
        <w:rPr>
          <w:rFonts w:cstheme="minorHAnsi"/>
          <w:bCs/>
          <w:lang w:val="fr-FR"/>
        </w:rPr>
        <w:t>’</w:t>
      </w:r>
      <w:r w:rsidRPr="005C3814">
        <w:rPr>
          <w:rFonts w:cstheme="minorHAnsi"/>
          <w:bCs/>
          <w:lang w:val="fr-FR"/>
        </w:rPr>
        <w:t>ordre du jour : Problèmes urgents d</w:t>
      </w:r>
      <w:r>
        <w:rPr>
          <w:rFonts w:cstheme="minorHAnsi"/>
          <w:bCs/>
          <w:lang w:val="fr-FR"/>
        </w:rPr>
        <w:t>’</w:t>
      </w:r>
      <w:r w:rsidRPr="005C3814">
        <w:rPr>
          <w:rFonts w:cstheme="minorHAnsi"/>
          <w:bCs/>
          <w:lang w:val="fr-FR"/>
        </w:rPr>
        <w:t xml:space="preserve">utilisation rationnelle des zones humides devant recevoir une attention accrue : </w:t>
      </w:r>
      <w:r>
        <w:rPr>
          <w:rFonts w:cstheme="minorHAnsi"/>
          <w:bCs/>
          <w:lang w:val="fr-FR"/>
        </w:rPr>
        <w:t>m</w:t>
      </w:r>
      <w:r w:rsidRPr="005C3814">
        <w:rPr>
          <w:rFonts w:cstheme="minorHAnsi"/>
          <w:bCs/>
          <w:lang w:val="fr-FR"/>
        </w:rPr>
        <w:t>ise à jour concernant les inventaires des zones humides</w:t>
      </w:r>
    </w:p>
    <w:p w14:paraId="10E5F5F3" w14:textId="77777777" w:rsidR="0007746C" w:rsidRPr="005C3814" w:rsidRDefault="0007746C" w:rsidP="0007746C">
      <w:pPr>
        <w:spacing w:after="0" w:line="240" w:lineRule="auto"/>
        <w:ind w:left="720" w:hanging="720"/>
        <w:rPr>
          <w:lang w:val="fr-FR"/>
        </w:rPr>
      </w:pPr>
    </w:p>
    <w:p w14:paraId="61192F89"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 xml:space="preserve">Décision SC62-33 : Le Comité permanent prend note </w:t>
      </w:r>
      <w:r>
        <w:rPr>
          <w:rFonts w:cstheme="minorHAnsi"/>
          <w:b/>
          <w:lang w:val="fr-FR"/>
        </w:rPr>
        <w:t xml:space="preserve">des </w:t>
      </w:r>
      <w:r w:rsidRPr="00CF41FC">
        <w:rPr>
          <w:rFonts w:cstheme="minorHAnsi"/>
          <w:b/>
          <w:lang w:val="fr-FR"/>
        </w:rPr>
        <w:t>progrès réalisés par les Parties contractantes dans l</w:t>
      </w:r>
      <w:r>
        <w:rPr>
          <w:rFonts w:cstheme="minorHAnsi"/>
          <w:b/>
          <w:lang w:val="fr-FR"/>
        </w:rPr>
        <w:t>’</w:t>
      </w:r>
      <w:r w:rsidRPr="00CF41FC">
        <w:rPr>
          <w:rFonts w:cstheme="minorHAnsi"/>
          <w:b/>
          <w:lang w:val="fr-FR"/>
        </w:rPr>
        <w:t xml:space="preserve">achèvement des inventaires nationaux des zones humides et </w:t>
      </w:r>
      <w:r>
        <w:rPr>
          <w:rFonts w:cstheme="minorHAnsi"/>
          <w:b/>
          <w:lang w:val="fr-FR"/>
        </w:rPr>
        <w:t>d</w:t>
      </w:r>
      <w:r w:rsidRPr="00CF41FC">
        <w:rPr>
          <w:rFonts w:cstheme="minorHAnsi"/>
          <w:b/>
          <w:lang w:val="fr-FR"/>
        </w:rPr>
        <w:t xml:space="preserve">es </w:t>
      </w:r>
      <w:r>
        <w:rPr>
          <w:rFonts w:cstheme="minorHAnsi"/>
          <w:b/>
          <w:lang w:val="fr-FR"/>
        </w:rPr>
        <w:t>enseignements tirés de l’expérience.</w:t>
      </w:r>
    </w:p>
    <w:p w14:paraId="1E4186D2" w14:textId="77777777" w:rsidR="0007746C" w:rsidRPr="005C3814" w:rsidRDefault="0007746C" w:rsidP="0007746C">
      <w:pPr>
        <w:spacing w:after="0" w:line="240" w:lineRule="auto"/>
        <w:contextualSpacing/>
        <w:rPr>
          <w:rFonts w:cstheme="minorHAnsi"/>
          <w:b/>
          <w:lang w:val="fr-FR"/>
        </w:rPr>
      </w:pPr>
    </w:p>
    <w:p w14:paraId="52DDD6EB"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 xml:space="preserve">Décision SC62-34 : Le Comité permanent prend note </w:t>
      </w:r>
      <w:r>
        <w:rPr>
          <w:rFonts w:cstheme="minorHAnsi"/>
          <w:b/>
          <w:lang w:val="fr-FR"/>
        </w:rPr>
        <w:t xml:space="preserve">des </w:t>
      </w:r>
      <w:r w:rsidRPr="00CF41FC">
        <w:rPr>
          <w:rFonts w:cstheme="minorHAnsi"/>
          <w:b/>
          <w:lang w:val="fr-FR"/>
        </w:rPr>
        <w:t xml:space="preserve">prochaines étapes de </w:t>
      </w:r>
      <w:r>
        <w:rPr>
          <w:rFonts w:cstheme="minorHAnsi"/>
          <w:b/>
          <w:lang w:val="fr-FR"/>
        </w:rPr>
        <w:t>l’aide apportée</w:t>
      </w:r>
      <w:r w:rsidRPr="00CF41FC">
        <w:rPr>
          <w:rFonts w:cstheme="minorHAnsi"/>
          <w:b/>
          <w:lang w:val="fr-FR"/>
        </w:rPr>
        <w:t xml:space="preserve"> par le Secrétariat aux Parties contractantes pour ach</w:t>
      </w:r>
      <w:r>
        <w:rPr>
          <w:rFonts w:cstheme="minorHAnsi"/>
          <w:b/>
          <w:lang w:val="fr-FR"/>
        </w:rPr>
        <w:t>ever l</w:t>
      </w:r>
      <w:r w:rsidRPr="00CF41FC">
        <w:rPr>
          <w:rFonts w:cstheme="minorHAnsi"/>
          <w:b/>
          <w:lang w:val="fr-FR"/>
        </w:rPr>
        <w:t>es inventaires nationaux des zones humides</w:t>
      </w:r>
      <w:r>
        <w:rPr>
          <w:rFonts w:cstheme="minorHAnsi"/>
          <w:b/>
          <w:lang w:val="fr-FR"/>
        </w:rPr>
        <w:t xml:space="preserve"> et prend en considération les </w:t>
      </w:r>
      <w:r w:rsidRPr="00CF41FC">
        <w:rPr>
          <w:rFonts w:cstheme="minorHAnsi"/>
          <w:b/>
          <w:lang w:val="fr-FR"/>
        </w:rPr>
        <w:t>amendements proposés.</w:t>
      </w:r>
    </w:p>
    <w:p w14:paraId="020ECE9F" w14:textId="77777777" w:rsidR="0007746C" w:rsidRPr="00F45F01" w:rsidRDefault="0007746C" w:rsidP="0007746C">
      <w:pPr>
        <w:keepNext/>
        <w:spacing w:after="0" w:line="240" w:lineRule="auto"/>
        <w:rPr>
          <w:rFonts w:cstheme="minorHAnsi"/>
          <w:lang w:val="fr-CH"/>
        </w:rPr>
      </w:pPr>
    </w:p>
    <w:p w14:paraId="0D19499C" w14:textId="77777777" w:rsidR="0007746C" w:rsidRPr="00F45F01"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F45F01">
        <w:rPr>
          <w:rFonts w:cstheme="minorHAnsi"/>
          <w:bCs/>
          <w:lang w:val="fr-CH"/>
        </w:rPr>
        <w:t xml:space="preserve">Point 8.2 de l’ordre du jour : </w:t>
      </w:r>
      <w:r w:rsidRPr="00F45F01">
        <w:rPr>
          <w:lang w:val="fr-CH"/>
        </w:rPr>
        <w:t>Questions financières et budgétaires</w:t>
      </w:r>
      <w:r w:rsidRPr="00F45F01">
        <w:rPr>
          <w:rFonts w:cstheme="minorHAnsi"/>
          <w:bCs/>
          <w:lang w:val="fr-CH"/>
        </w:rPr>
        <w:t xml:space="preserve"> – </w:t>
      </w:r>
      <w:bookmarkStart w:id="3" w:name="_Hlk144983988"/>
      <w:r w:rsidRPr="00F45F01">
        <w:rPr>
          <w:rFonts w:cstheme="minorHAnsi"/>
          <w:bCs/>
          <w:lang w:val="fr-CH"/>
        </w:rPr>
        <w:t xml:space="preserve">Rapport du </w:t>
      </w:r>
      <w:r w:rsidRPr="00F45F01">
        <w:rPr>
          <w:lang w:val="fr-CH"/>
        </w:rPr>
        <w:t>Sous-groupe sur les finances</w:t>
      </w:r>
      <w:bookmarkEnd w:id="3"/>
      <w:r w:rsidRPr="00F45F01">
        <w:rPr>
          <w:lang w:val="fr-CH"/>
        </w:rPr>
        <w:t xml:space="preserve"> </w:t>
      </w:r>
      <w:r w:rsidRPr="00F45F01">
        <w:rPr>
          <w:rFonts w:cstheme="minorHAnsi"/>
          <w:bCs/>
          <w:lang w:val="fr-CH"/>
        </w:rPr>
        <w:t>:</w:t>
      </w:r>
      <w:r>
        <w:rPr>
          <w:rFonts w:cstheme="minorHAnsi"/>
          <w:bCs/>
          <w:lang w:val="fr-CH"/>
        </w:rPr>
        <w:t xml:space="preserve"> </w:t>
      </w:r>
      <w:r w:rsidRPr="00F45F01">
        <w:rPr>
          <w:lang w:val="fr-CH"/>
        </w:rPr>
        <w:t>État des contributions annuelles</w:t>
      </w:r>
    </w:p>
    <w:p w14:paraId="59E9109A" w14:textId="77777777" w:rsidR="0007746C" w:rsidRPr="00F45F01" w:rsidRDefault="0007746C" w:rsidP="0007746C">
      <w:pPr>
        <w:spacing w:after="0" w:line="240" w:lineRule="auto"/>
        <w:ind w:left="567" w:hanging="567"/>
        <w:rPr>
          <w:rFonts w:eastAsia="Calibri" w:cstheme="minorHAnsi"/>
          <w:bCs/>
          <w:lang w:val="fr-CH"/>
        </w:rPr>
      </w:pPr>
    </w:p>
    <w:p w14:paraId="5D2ED576"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Décision SC62-35 : Le Comité permanent prend note de l’état des contributions annuelles.</w:t>
      </w:r>
    </w:p>
    <w:p w14:paraId="68BFF0D2" w14:textId="77777777" w:rsidR="0007746C" w:rsidRPr="00161652" w:rsidRDefault="0007746C" w:rsidP="0007746C">
      <w:pPr>
        <w:spacing w:after="0" w:line="240" w:lineRule="auto"/>
        <w:contextualSpacing/>
        <w:rPr>
          <w:rFonts w:cstheme="minorHAnsi"/>
          <w:b/>
          <w:lang w:val="fr-FR"/>
        </w:rPr>
      </w:pPr>
    </w:p>
    <w:p w14:paraId="2686AA24"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lastRenderedPageBreak/>
        <w:t xml:space="preserve">Décision SC62-36 : Le Comité permanent prend note </w:t>
      </w:r>
      <w:r w:rsidRPr="00161652">
        <w:rPr>
          <w:rFonts w:cstheme="minorHAnsi"/>
          <w:b/>
          <w:lang w:val="fr-CH"/>
        </w:rPr>
        <w:t xml:space="preserve">des mesures énumérées aux paragraphes 12 et 13 du document SC62 Doc.8.2 </w:t>
      </w:r>
      <w:r w:rsidRPr="00161652">
        <w:rPr>
          <w:rFonts w:cstheme="minorHAnsi"/>
          <w:b/>
          <w:bCs/>
          <w:lang w:val="fr-CH"/>
        </w:rPr>
        <w:t>sur l’approche de groupe concernant les arriérés de contributions dans le cadre du processus de vérification</w:t>
      </w:r>
      <w:r w:rsidRPr="00161652">
        <w:rPr>
          <w:rFonts w:cstheme="minorHAnsi"/>
          <w:b/>
          <w:lang w:val="fr-FR"/>
        </w:rPr>
        <w:t>.</w:t>
      </w:r>
    </w:p>
    <w:p w14:paraId="1739F89A" w14:textId="77777777" w:rsidR="0007746C" w:rsidRPr="00161652" w:rsidRDefault="0007746C" w:rsidP="0007746C">
      <w:pPr>
        <w:spacing w:after="0" w:line="240" w:lineRule="auto"/>
        <w:contextualSpacing/>
        <w:rPr>
          <w:rFonts w:cstheme="minorHAnsi"/>
          <w:b/>
          <w:lang w:val="fr-FR"/>
        </w:rPr>
      </w:pPr>
    </w:p>
    <w:p w14:paraId="2602F766"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 xml:space="preserve">Décision SC62-37 : Le Comité permanent prend note des mesures énumérées aux paragraphes 15, 17, 18 et 19 du document SC62 Doc.8.2 en vue de continuer d’encourager le versement des contributions annuelles par les Parties contractantes. </w:t>
      </w:r>
    </w:p>
    <w:p w14:paraId="5AD9DA85" w14:textId="77777777" w:rsidR="0007746C" w:rsidRPr="00161652" w:rsidRDefault="0007746C" w:rsidP="0007746C">
      <w:pPr>
        <w:spacing w:after="0" w:line="240" w:lineRule="auto"/>
        <w:contextualSpacing/>
        <w:rPr>
          <w:rFonts w:cstheme="minorHAnsi"/>
          <w:b/>
          <w:lang w:val="fr-FR"/>
        </w:rPr>
      </w:pPr>
    </w:p>
    <w:p w14:paraId="72A111AE"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Décision SC62-38 : Le Comité permanent prend note des changements dans les contributions annuelles à recevoir et dans les provisions annuelles pour les contributions à recevoir.</w:t>
      </w:r>
    </w:p>
    <w:p w14:paraId="28303999" w14:textId="77777777" w:rsidR="0007746C" w:rsidRPr="00161652" w:rsidRDefault="0007746C" w:rsidP="0007746C">
      <w:pPr>
        <w:spacing w:after="0" w:line="240" w:lineRule="auto"/>
        <w:contextualSpacing/>
        <w:rPr>
          <w:rFonts w:cstheme="minorHAnsi"/>
          <w:b/>
          <w:lang w:val="fr-FR"/>
        </w:rPr>
      </w:pPr>
    </w:p>
    <w:p w14:paraId="5D1E5FF2" w14:textId="77777777" w:rsidR="0007746C" w:rsidRPr="000705A3" w:rsidRDefault="0007746C" w:rsidP="0007746C">
      <w:pPr>
        <w:spacing w:after="0" w:line="240" w:lineRule="auto"/>
        <w:rPr>
          <w:b/>
          <w:bCs/>
          <w:lang w:val="fr-FR"/>
        </w:rPr>
      </w:pPr>
      <w:r w:rsidRPr="00161652">
        <w:rPr>
          <w:rFonts w:cstheme="minorHAnsi"/>
          <w:b/>
          <w:lang w:val="fr-FR"/>
        </w:rPr>
        <w:t xml:space="preserve">Décision </w:t>
      </w:r>
      <w:r w:rsidRPr="00161652">
        <w:rPr>
          <w:b/>
          <w:bCs/>
          <w:lang w:val="fr-FR"/>
        </w:rPr>
        <w:t xml:space="preserve">SC62-39 : </w:t>
      </w:r>
      <w:r w:rsidRPr="00161652">
        <w:rPr>
          <w:rFonts w:cstheme="minorHAnsi"/>
          <w:b/>
          <w:lang w:val="fr-FR"/>
        </w:rPr>
        <w:t xml:space="preserve">Le Comité permanent prend note </w:t>
      </w:r>
      <w:r w:rsidRPr="00161652">
        <w:rPr>
          <w:b/>
          <w:bCs/>
          <w:lang w:val="fr-FR"/>
        </w:rPr>
        <w:t>de l’état actuel des contributions volontaires reçues des Parties contractantes de la région Afrique et décrites au paragraphe 22 du document SC62 Doc.8.2.</w:t>
      </w:r>
    </w:p>
    <w:p w14:paraId="7153BE0C" w14:textId="77777777" w:rsidR="0007746C" w:rsidRPr="000705A3" w:rsidRDefault="0007746C" w:rsidP="0007746C">
      <w:pPr>
        <w:spacing w:after="0" w:line="240" w:lineRule="auto"/>
        <w:rPr>
          <w:b/>
          <w:bCs/>
          <w:lang w:val="fr-FR"/>
        </w:rPr>
      </w:pPr>
    </w:p>
    <w:p w14:paraId="34AECB38" w14:textId="77777777" w:rsidR="0007746C" w:rsidRPr="0045049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89360C">
        <w:rPr>
          <w:rFonts w:cstheme="minorHAnsi"/>
          <w:bCs/>
          <w:lang w:val="fr-FR"/>
        </w:rPr>
        <w:t>Point 8.</w:t>
      </w:r>
      <w:r>
        <w:rPr>
          <w:rFonts w:cstheme="minorHAnsi"/>
          <w:bCs/>
          <w:lang w:val="fr-FR"/>
        </w:rPr>
        <w:t>1</w:t>
      </w:r>
      <w:r w:rsidRPr="0089360C">
        <w:rPr>
          <w:rFonts w:cstheme="minorHAnsi"/>
          <w:bCs/>
          <w:lang w:val="fr-FR"/>
        </w:rPr>
        <w:t xml:space="preserve"> de l’ordre du jour : </w:t>
      </w:r>
      <w:r w:rsidRPr="0089360C">
        <w:rPr>
          <w:lang w:val="fr-FR"/>
        </w:rPr>
        <w:t>Questions financières et budgétaires</w:t>
      </w:r>
      <w:r w:rsidRPr="0089360C">
        <w:rPr>
          <w:rFonts w:cstheme="minorHAnsi"/>
          <w:bCs/>
          <w:lang w:val="fr-FR"/>
        </w:rPr>
        <w:t xml:space="preserve"> – Ra</w:t>
      </w:r>
      <w:r>
        <w:rPr>
          <w:rFonts w:cstheme="minorHAnsi"/>
          <w:bCs/>
          <w:lang w:val="fr-FR"/>
        </w:rPr>
        <w:t>p</w:t>
      </w:r>
      <w:r w:rsidRPr="0089360C">
        <w:rPr>
          <w:rFonts w:cstheme="minorHAnsi"/>
          <w:bCs/>
          <w:lang w:val="fr-FR"/>
        </w:rPr>
        <w:t xml:space="preserve">port </w:t>
      </w:r>
      <w:r>
        <w:rPr>
          <w:rFonts w:cstheme="minorHAnsi"/>
          <w:bCs/>
          <w:lang w:val="fr-FR"/>
        </w:rPr>
        <w:t>du</w:t>
      </w:r>
      <w:r w:rsidRPr="0089360C">
        <w:rPr>
          <w:rFonts w:cstheme="minorHAnsi"/>
          <w:bCs/>
          <w:lang w:val="fr-FR"/>
        </w:rPr>
        <w:t xml:space="preserve"> </w:t>
      </w:r>
      <w:r w:rsidRPr="0089360C">
        <w:rPr>
          <w:lang w:val="fr-FR"/>
        </w:rPr>
        <w:t xml:space="preserve">Sous-groupe sur les finances </w:t>
      </w:r>
      <w:r w:rsidRPr="0089360C">
        <w:rPr>
          <w:rFonts w:cstheme="minorHAnsi"/>
          <w:bCs/>
          <w:lang w:val="fr-FR"/>
        </w:rPr>
        <w:t>:</w:t>
      </w:r>
      <w:r>
        <w:rPr>
          <w:rFonts w:cstheme="minorHAnsi"/>
          <w:bCs/>
          <w:lang w:val="fr-FR"/>
        </w:rPr>
        <w:t xml:space="preserve"> </w:t>
      </w:r>
      <w:r w:rsidRPr="0045049B">
        <w:rPr>
          <w:lang w:val="fr-FR"/>
        </w:rPr>
        <w:t>Rapport sur les questions financières pour 2022 et 2023</w:t>
      </w:r>
    </w:p>
    <w:p w14:paraId="66C1FF66" w14:textId="77777777" w:rsidR="0007746C" w:rsidRPr="00F12009" w:rsidRDefault="0007746C" w:rsidP="0007746C">
      <w:pPr>
        <w:spacing w:after="0" w:line="240" w:lineRule="auto"/>
        <w:rPr>
          <w:rFonts w:eastAsia="Calibri" w:cstheme="minorHAnsi"/>
          <w:bCs/>
          <w:lang w:val="fr-FR"/>
        </w:rPr>
      </w:pPr>
    </w:p>
    <w:p w14:paraId="3B6FCE5C" w14:textId="77777777" w:rsidR="0007746C" w:rsidRPr="00F12009" w:rsidRDefault="0007746C" w:rsidP="0007746C">
      <w:pPr>
        <w:spacing w:after="0" w:line="240" w:lineRule="auto"/>
        <w:contextualSpacing/>
        <w:rPr>
          <w:rFonts w:cstheme="minorHAnsi"/>
          <w:b/>
          <w:lang w:val="fr-FR"/>
        </w:rPr>
      </w:pPr>
      <w:r w:rsidRPr="00F12009">
        <w:rPr>
          <w:rFonts w:cstheme="minorHAnsi"/>
          <w:b/>
          <w:lang w:val="fr-FR"/>
        </w:rPr>
        <w:t>Décision SC62-40 : Le Comité permanent accepte les états financiers vérifiés de 2022, au 31 décembre 2022.</w:t>
      </w:r>
    </w:p>
    <w:p w14:paraId="4B4C8540" w14:textId="77777777" w:rsidR="0007746C" w:rsidRPr="00F12009" w:rsidRDefault="0007746C" w:rsidP="0007746C">
      <w:pPr>
        <w:spacing w:after="0" w:line="240" w:lineRule="auto"/>
        <w:contextualSpacing/>
        <w:rPr>
          <w:rFonts w:cstheme="minorHAnsi"/>
          <w:b/>
          <w:lang w:val="fr-FR"/>
        </w:rPr>
      </w:pPr>
    </w:p>
    <w:p w14:paraId="51A0BC52" w14:textId="77777777" w:rsidR="0007746C" w:rsidRPr="00F12009" w:rsidRDefault="0007746C" w:rsidP="0007746C">
      <w:pPr>
        <w:spacing w:after="0" w:line="240" w:lineRule="auto"/>
        <w:rPr>
          <w:b/>
          <w:bCs/>
          <w:lang w:val="fr-FR"/>
        </w:rPr>
      </w:pPr>
      <w:r w:rsidRPr="00F12009">
        <w:rPr>
          <w:b/>
          <w:bCs/>
          <w:lang w:val="fr-FR"/>
        </w:rPr>
        <w:t xml:space="preserve">Décision SC62-41 : </w:t>
      </w:r>
      <w:r w:rsidRPr="00F12009">
        <w:rPr>
          <w:rFonts w:cstheme="minorHAnsi"/>
          <w:b/>
          <w:lang w:val="fr-FR"/>
        </w:rPr>
        <w:t>Le Comité permanent prend note des résultats du budget administratif pour</w:t>
      </w:r>
      <w:r w:rsidRPr="00F12009">
        <w:rPr>
          <w:b/>
          <w:bCs/>
          <w:lang w:val="fr-FR"/>
        </w:rPr>
        <w:t> 2022.</w:t>
      </w:r>
    </w:p>
    <w:p w14:paraId="1E6567FD" w14:textId="77777777" w:rsidR="0007746C" w:rsidRPr="00F12009" w:rsidRDefault="0007746C" w:rsidP="0007746C">
      <w:pPr>
        <w:spacing w:after="0" w:line="240" w:lineRule="auto"/>
        <w:rPr>
          <w:b/>
          <w:bCs/>
          <w:lang w:val="fr-FR"/>
        </w:rPr>
      </w:pPr>
    </w:p>
    <w:p w14:paraId="3353125A" w14:textId="77777777" w:rsidR="0007746C" w:rsidRPr="00F12009" w:rsidRDefault="0007746C" w:rsidP="0007746C">
      <w:pPr>
        <w:spacing w:after="0" w:line="240" w:lineRule="auto"/>
        <w:rPr>
          <w:b/>
          <w:bCs/>
          <w:lang w:val="fr-FR"/>
        </w:rPr>
      </w:pPr>
      <w:r w:rsidRPr="00F12009">
        <w:rPr>
          <w:b/>
          <w:bCs/>
          <w:lang w:val="fr-FR"/>
        </w:rPr>
        <w:t xml:space="preserve">Décision SC62-42 : </w:t>
      </w:r>
      <w:r w:rsidRPr="00F12009">
        <w:rPr>
          <w:rFonts w:cstheme="minorHAnsi"/>
          <w:b/>
          <w:lang w:val="fr-FR"/>
        </w:rPr>
        <w:t xml:space="preserve">Le Comité permanent prend note </w:t>
      </w:r>
      <w:r w:rsidRPr="00F12009">
        <w:rPr>
          <w:b/>
          <w:bCs/>
          <w:lang w:val="fr-FR"/>
        </w:rPr>
        <w:t>de l’état des soldes non administratif</w:t>
      </w:r>
      <w:r>
        <w:rPr>
          <w:b/>
          <w:bCs/>
          <w:lang w:val="fr-FR"/>
        </w:rPr>
        <w:t>s</w:t>
      </w:r>
      <w:r w:rsidRPr="00F12009">
        <w:rPr>
          <w:b/>
          <w:bCs/>
          <w:lang w:val="fr-FR"/>
        </w:rPr>
        <w:t xml:space="preserve"> et des contributions volontaires pour 2022.</w:t>
      </w:r>
    </w:p>
    <w:p w14:paraId="14F3DE70" w14:textId="77777777" w:rsidR="0007746C" w:rsidRPr="00F12009" w:rsidRDefault="0007746C" w:rsidP="0007746C">
      <w:pPr>
        <w:spacing w:after="0" w:line="240" w:lineRule="auto"/>
        <w:rPr>
          <w:b/>
          <w:bCs/>
          <w:lang w:val="fr-FR"/>
        </w:rPr>
      </w:pPr>
    </w:p>
    <w:p w14:paraId="6AA93D0F" w14:textId="77777777" w:rsidR="0007746C" w:rsidRPr="00F12009" w:rsidRDefault="0007746C" w:rsidP="0007746C">
      <w:pPr>
        <w:spacing w:after="0" w:line="240" w:lineRule="auto"/>
        <w:rPr>
          <w:b/>
          <w:bCs/>
          <w:lang w:val="fr-FR"/>
        </w:rPr>
      </w:pPr>
      <w:r w:rsidRPr="00F12009">
        <w:rPr>
          <w:b/>
          <w:bCs/>
          <w:lang w:val="fr-FR"/>
        </w:rPr>
        <w:t xml:space="preserve">Décision SC62-43 : </w:t>
      </w:r>
      <w:r w:rsidRPr="00F12009">
        <w:rPr>
          <w:rFonts w:cstheme="minorHAnsi"/>
          <w:b/>
          <w:lang w:val="fr-FR"/>
        </w:rPr>
        <w:t xml:space="preserve">Le Comité permanent </w:t>
      </w:r>
      <w:r w:rsidRPr="00F12009">
        <w:rPr>
          <w:b/>
          <w:bCs/>
          <w:lang w:val="fr-FR"/>
        </w:rPr>
        <w:t xml:space="preserve">approuve le report des fonds préengagés pour un total de 701 000 CHF, de 2022 à 2023, comme indiqué dans la colonne D du tableau de l’Annexe 1 Budget administratif 2023 du document SC62 Doc 8.1. </w:t>
      </w:r>
    </w:p>
    <w:p w14:paraId="79986880" w14:textId="77777777" w:rsidR="0007746C" w:rsidRPr="00F12009" w:rsidRDefault="0007746C" w:rsidP="0007746C">
      <w:pPr>
        <w:spacing w:after="0" w:line="240" w:lineRule="auto"/>
        <w:rPr>
          <w:b/>
          <w:bCs/>
          <w:lang w:val="fr-FR"/>
        </w:rPr>
      </w:pPr>
    </w:p>
    <w:p w14:paraId="66EDE099" w14:textId="77777777" w:rsidR="0007746C" w:rsidRPr="00F12009" w:rsidRDefault="0007746C" w:rsidP="0007746C">
      <w:pPr>
        <w:spacing w:after="0" w:line="240" w:lineRule="auto"/>
        <w:rPr>
          <w:b/>
          <w:bCs/>
          <w:lang w:val="fr-FR"/>
        </w:rPr>
      </w:pPr>
      <w:r w:rsidRPr="00F12009">
        <w:rPr>
          <w:b/>
          <w:bCs/>
          <w:lang w:val="fr-FR"/>
        </w:rPr>
        <w:t xml:space="preserve">Décision SC62-44 : </w:t>
      </w:r>
      <w:r w:rsidRPr="00F12009">
        <w:rPr>
          <w:rFonts w:cstheme="minorHAnsi"/>
          <w:b/>
          <w:lang w:val="fr-FR"/>
        </w:rPr>
        <w:t xml:space="preserve">Le Comité permanent </w:t>
      </w:r>
      <w:r w:rsidRPr="00F12009">
        <w:rPr>
          <w:b/>
          <w:bCs/>
          <w:lang w:val="fr-FR"/>
        </w:rPr>
        <w:t>approuve la réaffectation du solde inutilisé pour les Missions consultatives Ramsar, comme décrit au paragraphe 11 du document SC62 Doc.8.1.</w:t>
      </w:r>
    </w:p>
    <w:p w14:paraId="4ECE2F37" w14:textId="77777777" w:rsidR="0007746C" w:rsidRPr="00F12009" w:rsidRDefault="0007746C" w:rsidP="0007746C">
      <w:pPr>
        <w:spacing w:after="0" w:line="240" w:lineRule="auto"/>
        <w:rPr>
          <w:b/>
          <w:bCs/>
          <w:lang w:val="fr-FR"/>
        </w:rPr>
      </w:pPr>
    </w:p>
    <w:p w14:paraId="56F61E75" w14:textId="77777777" w:rsidR="0007746C" w:rsidRPr="00F12009" w:rsidRDefault="0007746C" w:rsidP="0007746C">
      <w:pPr>
        <w:spacing w:after="0" w:line="240" w:lineRule="auto"/>
        <w:rPr>
          <w:b/>
          <w:bCs/>
          <w:lang w:val="fr-FR"/>
        </w:rPr>
      </w:pPr>
      <w:r w:rsidRPr="00F12009">
        <w:rPr>
          <w:b/>
          <w:bCs/>
          <w:lang w:val="fr-FR"/>
        </w:rPr>
        <w:t xml:space="preserve">Décision SC62-45 : </w:t>
      </w:r>
      <w:r w:rsidRPr="00F12009">
        <w:rPr>
          <w:rFonts w:cstheme="minorHAnsi"/>
          <w:b/>
          <w:lang w:val="fr-FR"/>
        </w:rPr>
        <w:t xml:space="preserve">Le Comité permanent </w:t>
      </w:r>
      <w:r w:rsidRPr="00F12009">
        <w:rPr>
          <w:b/>
          <w:bCs/>
          <w:lang w:val="fr-FR"/>
        </w:rPr>
        <w:t>approuve l’attribution de fonds excédentaires de 2022, d’un montant de 140 000 CHF pour compléter le financement volontaire des frais de déplacement des délégués, comme indiqué au paragraphe 18 du document SC62 Doc.8.1.</w:t>
      </w:r>
    </w:p>
    <w:p w14:paraId="3AFB414D" w14:textId="77777777" w:rsidR="0007746C" w:rsidRPr="00F12009" w:rsidRDefault="0007746C" w:rsidP="0007746C">
      <w:pPr>
        <w:spacing w:after="0" w:line="240" w:lineRule="auto"/>
        <w:rPr>
          <w:b/>
          <w:bCs/>
          <w:lang w:val="fr-FR"/>
        </w:rPr>
      </w:pPr>
    </w:p>
    <w:p w14:paraId="5404F5CC" w14:textId="77777777" w:rsidR="0007746C" w:rsidRPr="00F12009" w:rsidRDefault="0007746C" w:rsidP="0007746C">
      <w:pPr>
        <w:spacing w:after="0" w:line="240" w:lineRule="auto"/>
        <w:rPr>
          <w:b/>
          <w:bCs/>
          <w:iCs/>
          <w:color w:val="000000" w:themeColor="text1"/>
          <w:lang w:val="fr-FR"/>
        </w:rPr>
      </w:pPr>
      <w:r w:rsidRPr="00F12009">
        <w:rPr>
          <w:b/>
          <w:bCs/>
          <w:lang w:val="fr-FR"/>
        </w:rPr>
        <w:t xml:space="preserve">Décision SC62-46 : </w:t>
      </w:r>
      <w:r w:rsidRPr="00F12009">
        <w:rPr>
          <w:rFonts w:cstheme="minorHAnsi"/>
          <w:b/>
          <w:lang w:val="fr-FR"/>
        </w:rPr>
        <w:t xml:space="preserve">Le Comité permanent </w:t>
      </w:r>
      <w:r w:rsidRPr="00F12009">
        <w:rPr>
          <w:b/>
          <w:bCs/>
          <w:lang w:val="fr-FR"/>
        </w:rPr>
        <w:t xml:space="preserve">approuve </w:t>
      </w:r>
      <w:r w:rsidRPr="00F12009">
        <w:rPr>
          <w:b/>
          <w:bCs/>
          <w:iCs/>
          <w:color w:val="000000" w:themeColor="text1"/>
          <w:lang w:val="fr-FR"/>
        </w:rPr>
        <w:t>l’attribution de 30 000 CHF du budget administratif à l’Initiative régionale Ramsar pour l’Afrique australe (SARRI) pour ses activités en 2023, comme décrit au paragraphe 32 du document SC62 Doc.8.1.</w:t>
      </w:r>
    </w:p>
    <w:p w14:paraId="5D56703E" w14:textId="77777777" w:rsidR="0007746C" w:rsidRPr="00F12009" w:rsidRDefault="0007746C" w:rsidP="0007746C">
      <w:pPr>
        <w:spacing w:after="0" w:line="240" w:lineRule="auto"/>
        <w:rPr>
          <w:b/>
          <w:bCs/>
          <w:iCs/>
          <w:color w:val="000000" w:themeColor="text1"/>
          <w:lang w:val="fr-FR"/>
        </w:rPr>
      </w:pPr>
    </w:p>
    <w:p w14:paraId="581CF242" w14:textId="77777777" w:rsidR="0007746C" w:rsidRPr="00F12009" w:rsidRDefault="0007746C" w:rsidP="00620D86">
      <w:pPr>
        <w:keepNext/>
        <w:spacing w:after="0" w:line="240" w:lineRule="auto"/>
        <w:contextualSpacing/>
        <w:rPr>
          <w:b/>
          <w:bCs/>
          <w:iCs/>
          <w:color w:val="000000" w:themeColor="text1"/>
          <w:lang w:val="fr-CH"/>
        </w:rPr>
      </w:pPr>
      <w:r w:rsidRPr="00F12009">
        <w:rPr>
          <w:b/>
          <w:bCs/>
          <w:lang w:val="fr-FR"/>
        </w:rPr>
        <w:t xml:space="preserve">Décision SC62-47 : </w:t>
      </w:r>
      <w:r w:rsidRPr="00F12009">
        <w:rPr>
          <w:rFonts w:cstheme="minorHAnsi"/>
          <w:b/>
          <w:lang w:val="fr-FR"/>
        </w:rPr>
        <w:t xml:space="preserve">Le Comité permanent </w:t>
      </w:r>
      <w:r w:rsidRPr="00F12009">
        <w:rPr>
          <w:b/>
          <w:bCs/>
          <w:lang w:val="fr-FR"/>
        </w:rPr>
        <w:t xml:space="preserve">approuve </w:t>
      </w:r>
      <w:r w:rsidRPr="00F12009">
        <w:rPr>
          <w:b/>
          <w:bCs/>
          <w:iCs/>
          <w:color w:val="000000" w:themeColor="text1"/>
          <w:lang w:val="fr-CH"/>
        </w:rPr>
        <w:t xml:space="preserve">l’attribution de fonds excédentaires de 2022 se montant à : </w:t>
      </w:r>
    </w:p>
    <w:p w14:paraId="6986B1DB" w14:textId="77777777" w:rsidR="0007746C" w:rsidRPr="00F12009" w:rsidRDefault="0007746C" w:rsidP="00620D86">
      <w:pPr>
        <w:keepNext/>
        <w:numPr>
          <w:ilvl w:val="0"/>
          <w:numId w:val="51"/>
        </w:numPr>
        <w:spacing w:after="0" w:line="240" w:lineRule="auto"/>
        <w:ind w:left="567" w:hanging="567"/>
        <w:contextualSpacing/>
        <w:rPr>
          <w:b/>
          <w:bCs/>
          <w:iCs/>
          <w:color w:val="000000" w:themeColor="text1"/>
          <w:lang w:val="fr-CH"/>
        </w:rPr>
      </w:pPr>
      <w:r w:rsidRPr="00F12009">
        <w:rPr>
          <w:b/>
          <w:bCs/>
          <w:iCs/>
          <w:color w:val="000000" w:themeColor="text1"/>
          <w:lang w:val="fr-CH"/>
        </w:rPr>
        <w:t xml:space="preserve">33 000 CHF pour l’examen des Résolutions et Décisions précédentes ;  </w:t>
      </w:r>
    </w:p>
    <w:p w14:paraId="6F61FD44" w14:textId="77777777" w:rsidR="0007746C" w:rsidRPr="00F12009" w:rsidRDefault="0007746C" w:rsidP="00620D86">
      <w:pPr>
        <w:keepNext/>
        <w:numPr>
          <w:ilvl w:val="0"/>
          <w:numId w:val="51"/>
        </w:numPr>
        <w:spacing w:after="0" w:line="240" w:lineRule="auto"/>
        <w:ind w:left="567" w:hanging="567"/>
        <w:contextualSpacing/>
        <w:rPr>
          <w:b/>
          <w:bCs/>
          <w:iCs/>
          <w:color w:val="000000" w:themeColor="text1"/>
          <w:lang w:val="fr-CH"/>
        </w:rPr>
      </w:pPr>
      <w:r w:rsidRPr="00F12009">
        <w:rPr>
          <w:b/>
          <w:bCs/>
          <w:iCs/>
          <w:color w:val="000000" w:themeColor="text1"/>
          <w:lang w:val="fr-CH"/>
        </w:rPr>
        <w:t xml:space="preserve">7000 CHF pour des approches et des systèmes en ligne visant à améliorer la collaboration entre les Parties contractantes dans la période intersessions ; et  </w:t>
      </w:r>
    </w:p>
    <w:p w14:paraId="1D3E0A53" w14:textId="3E8FF100" w:rsidR="0007746C" w:rsidRPr="00F12009" w:rsidRDefault="0007746C" w:rsidP="00620D86">
      <w:pPr>
        <w:keepNext/>
        <w:numPr>
          <w:ilvl w:val="0"/>
          <w:numId w:val="51"/>
        </w:numPr>
        <w:spacing w:after="0" w:line="240" w:lineRule="auto"/>
        <w:ind w:left="567" w:hanging="567"/>
        <w:contextualSpacing/>
        <w:rPr>
          <w:b/>
          <w:bCs/>
          <w:iCs/>
          <w:color w:val="000000" w:themeColor="text1"/>
          <w:lang w:val="fr-CH"/>
        </w:rPr>
      </w:pPr>
      <w:r w:rsidRPr="00F12009">
        <w:rPr>
          <w:b/>
          <w:bCs/>
          <w:iCs/>
          <w:color w:val="000000" w:themeColor="text1"/>
          <w:lang w:val="fr-CH"/>
        </w:rPr>
        <w:t>90 000 CHF pour l’appui technique durant la période triennale 2023</w:t>
      </w:r>
      <w:r w:rsidRPr="00F12009">
        <w:rPr>
          <w:b/>
          <w:bCs/>
          <w:iCs/>
          <w:color w:val="000000" w:themeColor="text1"/>
          <w:lang w:val="fr-CH"/>
        </w:rPr>
        <w:noBreakHyphen/>
        <w:t xml:space="preserve">2025 afin de garantir que les données clés soient disponibles dans le Service d’information sur les Sites Ramsar (SISR) pour toutes les zones humides d’importance internationale, en particulier en ce qui concerne les limites des sites, notant que la mise à jour des données sur les sites est </w:t>
      </w:r>
      <w:r w:rsidRPr="00F12009">
        <w:rPr>
          <w:b/>
          <w:bCs/>
          <w:iCs/>
          <w:color w:val="000000" w:themeColor="text1"/>
          <w:lang w:val="fr-CH"/>
        </w:rPr>
        <w:lastRenderedPageBreak/>
        <w:t>principalement une responsabilité qui incombe aux Parties contractantes et devrait être encouragée avant d’utiliser le service.</w:t>
      </w:r>
      <w:r w:rsidR="00287E67">
        <w:rPr>
          <w:rStyle w:val="FootnoteReference"/>
          <w:b/>
          <w:bCs/>
          <w:iCs/>
          <w:color w:val="000000" w:themeColor="text1"/>
          <w:lang w:val="fr-CH"/>
        </w:rPr>
        <w:footnoteReference w:id="2"/>
      </w:r>
    </w:p>
    <w:p w14:paraId="701EC5ED" w14:textId="77777777" w:rsidR="0007746C" w:rsidRPr="00356851" w:rsidRDefault="0007746C" w:rsidP="0007746C">
      <w:pPr>
        <w:keepNext/>
        <w:spacing w:after="0" w:line="240" w:lineRule="auto"/>
        <w:rPr>
          <w:rFonts w:cstheme="minorHAnsi"/>
          <w:lang w:val="fr-FR"/>
        </w:rPr>
      </w:pPr>
    </w:p>
    <w:p w14:paraId="679C02A4" w14:textId="77777777" w:rsidR="0007746C" w:rsidRPr="00DD211D"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DD211D">
        <w:rPr>
          <w:rFonts w:cstheme="minorHAnsi"/>
          <w:bCs/>
          <w:lang w:val="fr-CH"/>
        </w:rPr>
        <w:t>Point 26 de l’ordre du jour : Label Ville des Zones Humides accréditée : Mise en place du Comité</w:t>
      </w:r>
      <w:r>
        <w:rPr>
          <w:rFonts w:cstheme="minorHAnsi"/>
          <w:bCs/>
          <w:lang w:val="fr-CH"/>
        </w:rPr>
        <w:t xml:space="preserve"> </w:t>
      </w:r>
      <w:r w:rsidRPr="00DD211D">
        <w:rPr>
          <w:rFonts w:cstheme="minorHAnsi"/>
          <w:bCs/>
          <w:lang w:val="fr-CH"/>
        </w:rPr>
        <w:t>consultatif indépendant</w:t>
      </w:r>
    </w:p>
    <w:p w14:paraId="6DDB7ABC" w14:textId="77777777" w:rsidR="00620D86" w:rsidRDefault="00620D86" w:rsidP="0007746C">
      <w:pPr>
        <w:pStyle w:val="ColorfulList-Accent11"/>
        <w:ind w:left="0" w:firstLine="0"/>
        <w:rPr>
          <w:b/>
          <w:bCs/>
          <w:lang w:val="fr-CH"/>
        </w:rPr>
      </w:pPr>
    </w:p>
    <w:p w14:paraId="61FE4C1E" w14:textId="5AFE6E54" w:rsidR="0007746C" w:rsidRPr="00DD211D" w:rsidRDefault="0007746C" w:rsidP="0007746C">
      <w:pPr>
        <w:pStyle w:val="ColorfulList-Accent11"/>
        <w:ind w:left="0" w:firstLine="0"/>
        <w:rPr>
          <w:rFonts w:cs="Calibri"/>
          <w:lang w:val="fr-CH"/>
        </w:rPr>
      </w:pPr>
      <w:r w:rsidRPr="00DD211D">
        <w:rPr>
          <w:b/>
          <w:bCs/>
          <w:lang w:val="fr-CH"/>
        </w:rPr>
        <w:t xml:space="preserve">Décision SC62-48 : </w:t>
      </w:r>
      <w:r>
        <w:rPr>
          <w:b/>
          <w:bCs/>
          <w:lang w:val="fr-CH"/>
        </w:rPr>
        <w:t xml:space="preserve">Le Comité permanent confirme la composition du Comité consultatif indépendant telle qu’elle est décrite dans le Tableau 1 </w:t>
      </w:r>
      <w:r w:rsidRPr="0058370B">
        <w:rPr>
          <w:b/>
          <w:bCs/>
          <w:lang w:val="fr-CH"/>
        </w:rPr>
        <w:t xml:space="preserve">du </w:t>
      </w:r>
      <w:r w:rsidRPr="0058370B">
        <w:rPr>
          <w:rFonts w:cs="Calibri"/>
          <w:b/>
          <w:bCs/>
          <w:lang w:val="fr-CH"/>
        </w:rPr>
        <w:t>document</w:t>
      </w:r>
      <w:r w:rsidRPr="0058370B">
        <w:rPr>
          <w:rFonts w:cstheme="minorHAnsi"/>
          <w:b/>
          <w:bCs/>
          <w:lang w:val="fr-CH"/>
        </w:rPr>
        <w:t xml:space="preserve"> SC62 Doc.26 Rev.1</w:t>
      </w:r>
      <w:r w:rsidRPr="0058370B">
        <w:rPr>
          <w:rFonts w:cs="Calibri"/>
          <w:b/>
          <w:bCs/>
          <w:lang w:val="fr-CH"/>
        </w:rPr>
        <w:t>, pour la période triennale 2023-2025.</w:t>
      </w:r>
    </w:p>
    <w:p w14:paraId="73BAFE2D" w14:textId="77777777" w:rsidR="0007746C" w:rsidRPr="00DD211D" w:rsidRDefault="0007746C" w:rsidP="0007746C">
      <w:pPr>
        <w:spacing w:after="0" w:line="240" w:lineRule="auto"/>
        <w:rPr>
          <w:rFonts w:eastAsia="Calibri" w:cstheme="minorHAnsi"/>
          <w:bCs/>
          <w:lang w:val="fr-CH"/>
        </w:rPr>
      </w:pPr>
    </w:p>
    <w:p w14:paraId="67B5F809" w14:textId="77777777" w:rsidR="0007746C" w:rsidRPr="00DD211D"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DD211D">
        <w:rPr>
          <w:rFonts w:cstheme="minorHAnsi"/>
          <w:bCs/>
          <w:lang w:val="fr-CH"/>
        </w:rPr>
        <w:t xml:space="preserve">Point 11 de l’ordre du jour : </w:t>
      </w:r>
      <w:r w:rsidRPr="00DD211D">
        <w:rPr>
          <w:lang w:val="fr-CH"/>
        </w:rPr>
        <w:t>Rapport du Secrétariat sur le renforcement institutionnel pour soutenir</w:t>
      </w:r>
      <w:r>
        <w:rPr>
          <w:lang w:val="fr-CH"/>
        </w:rPr>
        <w:t xml:space="preserve"> </w:t>
      </w:r>
      <w:r w:rsidRPr="00DD211D">
        <w:rPr>
          <w:lang w:val="fr-CH"/>
        </w:rPr>
        <w:t xml:space="preserve">l’application de la Convention </w:t>
      </w:r>
      <w:r w:rsidRPr="00DD211D">
        <w:rPr>
          <w:rFonts w:cstheme="minorHAnsi"/>
          <w:bCs/>
          <w:lang w:val="fr-CH"/>
        </w:rPr>
        <w:t>(suite)</w:t>
      </w:r>
    </w:p>
    <w:p w14:paraId="3656122A" w14:textId="77777777" w:rsidR="0007746C" w:rsidRPr="00DD211D" w:rsidRDefault="0007746C" w:rsidP="0007746C">
      <w:pPr>
        <w:spacing w:after="0" w:line="240" w:lineRule="auto"/>
        <w:ind w:left="567" w:hanging="567"/>
        <w:rPr>
          <w:lang w:val="fr-CH"/>
        </w:rPr>
      </w:pPr>
    </w:p>
    <w:p w14:paraId="1F03B039" w14:textId="77777777" w:rsidR="0007746C" w:rsidRPr="00DD211D" w:rsidRDefault="0007746C" w:rsidP="0007746C">
      <w:pPr>
        <w:pStyle w:val="ColorfulList-Accent11"/>
        <w:ind w:left="0" w:firstLine="0"/>
        <w:rPr>
          <w:b/>
          <w:bCs/>
          <w:lang w:val="fr-CH"/>
        </w:rPr>
      </w:pPr>
      <w:r w:rsidRPr="00DD211D">
        <w:rPr>
          <w:b/>
          <w:bCs/>
          <w:lang w:val="fr-CH"/>
        </w:rPr>
        <w:t xml:space="preserve">Décision SC62-49 : </w:t>
      </w:r>
      <w:r>
        <w:rPr>
          <w:b/>
          <w:bCs/>
          <w:lang w:val="fr-CH"/>
        </w:rPr>
        <w:t>Le Comité permanent demande au Groupe de travail sur la gestion de préparer un document décrivant le processus de recrutement d’un nouveau Secrétaire général, pour examen par le Comité permanent à sa 63</w:t>
      </w:r>
      <w:r w:rsidRPr="00631D00">
        <w:rPr>
          <w:b/>
          <w:bCs/>
          <w:vertAlign w:val="superscript"/>
          <w:lang w:val="fr-CH"/>
        </w:rPr>
        <w:t>e</w:t>
      </w:r>
      <w:r>
        <w:rPr>
          <w:b/>
          <w:bCs/>
          <w:lang w:val="fr-CH"/>
        </w:rPr>
        <w:t xml:space="preserve"> Réunion, notant que la présente Décision remplace la </w:t>
      </w:r>
      <w:r w:rsidRPr="00631D00">
        <w:rPr>
          <w:b/>
          <w:bCs/>
          <w:lang w:val="fr-CH"/>
        </w:rPr>
        <w:t>Décision SC59</w:t>
      </w:r>
      <w:r>
        <w:rPr>
          <w:b/>
          <w:bCs/>
          <w:lang w:val="fr-CH"/>
        </w:rPr>
        <w:noBreakHyphen/>
      </w:r>
      <w:r w:rsidRPr="00631D00">
        <w:rPr>
          <w:b/>
          <w:bCs/>
          <w:lang w:val="fr-CH"/>
        </w:rPr>
        <w:t>40.</w:t>
      </w:r>
    </w:p>
    <w:p w14:paraId="6B8C41D0" w14:textId="77777777" w:rsidR="0007746C" w:rsidRPr="00C9411A" w:rsidRDefault="0007746C" w:rsidP="0007746C">
      <w:pPr>
        <w:pStyle w:val="ColorfulList-Accent11"/>
        <w:ind w:left="0" w:firstLine="0"/>
        <w:rPr>
          <w:rFonts w:cstheme="minorHAnsi"/>
          <w:lang w:val="fr-FR"/>
        </w:rPr>
      </w:pPr>
      <w:r w:rsidRPr="00C9411A">
        <w:rPr>
          <w:b/>
          <w:bCs/>
          <w:i/>
          <w:color w:val="000000" w:themeColor="text1"/>
          <w:lang w:val="fr-FR"/>
        </w:rPr>
        <w:t xml:space="preserve"> </w:t>
      </w:r>
    </w:p>
    <w:p w14:paraId="7EC5B0DC" w14:textId="77777777" w:rsidR="0007746C" w:rsidRPr="00356851"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356851">
        <w:rPr>
          <w:rFonts w:cstheme="minorHAnsi"/>
          <w:bCs/>
          <w:lang w:val="fr-FR"/>
        </w:rPr>
        <w:t xml:space="preserve">Point 19 de l’ordre du jour : </w:t>
      </w:r>
      <w:r w:rsidRPr="00356851">
        <w:rPr>
          <w:lang w:val="fr-FR"/>
        </w:rPr>
        <w:t>Rapport du Président du Groupe d’évaluation scientifique et technique, y</w:t>
      </w:r>
      <w:r>
        <w:rPr>
          <w:lang w:val="fr-FR"/>
        </w:rPr>
        <w:t> </w:t>
      </w:r>
      <w:r w:rsidRPr="00356851">
        <w:rPr>
          <w:lang w:val="fr-FR"/>
        </w:rPr>
        <w:t>compris le plan de travail pour 2023-2025 (</w:t>
      </w:r>
      <w:r>
        <w:rPr>
          <w:lang w:val="fr-FR"/>
        </w:rPr>
        <w:t>suite</w:t>
      </w:r>
      <w:r w:rsidRPr="00356851">
        <w:rPr>
          <w:lang w:val="fr-FR"/>
        </w:rPr>
        <w:t>)</w:t>
      </w:r>
    </w:p>
    <w:p w14:paraId="33707EAA" w14:textId="77777777" w:rsidR="0007746C" w:rsidRPr="00A9769E" w:rsidRDefault="0007746C" w:rsidP="0007746C">
      <w:pPr>
        <w:spacing w:after="0" w:line="240" w:lineRule="auto"/>
        <w:ind w:left="720" w:hanging="720"/>
        <w:rPr>
          <w:lang w:val="fr-CH"/>
        </w:rPr>
      </w:pPr>
    </w:p>
    <w:p w14:paraId="7DB8128D" w14:textId="77777777" w:rsidR="0007746C" w:rsidRPr="00A9769E" w:rsidRDefault="0007746C" w:rsidP="0007746C">
      <w:pPr>
        <w:spacing w:after="0" w:line="240" w:lineRule="auto"/>
        <w:contextualSpacing/>
        <w:rPr>
          <w:lang w:val="fr-CH"/>
        </w:rPr>
      </w:pPr>
      <w:r w:rsidRPr="00A9769E">
        <w:rPr>
          <w:rFonts w:cstheme="minorHAnsi"/>
          <w:b/>
          <w:lang w:val="fr-CH"/>
        </w:rPr>
        <w:t xml:space="preserve">Décision SC62-50 : </w:t>
      </w:r>
      <w:r>
        <w:rPr>
          <w:rFonts w:cstheme="minorHAnsi"/>
          <w:b/>
          <w:lang w:val="fr-CH"/>
        </w:rPr>
        <w:t>Le Comité permanent demande au Groupe d’évaluation scientifique et technique de débattre de l’application du système actuel de classification des zones humides Ramsar à sa 26</w:t>
      </w:r>
      <w:r w:rsidRPr="00063615">
        <w:rPr>
          <w:rFonts w:cstheme="minorHAnsi"/>
          <w:b/>
          <w:vertAlign w:val="superscript"/>
          <w:lang w:val="fr-CH"/>
        </w:rPr>
        <w:t>e</w:t>
      </w:r>
      <w:r>
        <w:rPr>
          <w:rFonts w:cstheme="minorHAnsi"/>
          <w:b/>
          <w:lang w:val="fr-CH"/>
        </w:rPr>
        <w:t> réunion et de faire rapport à la 63</w:t>
      </w:r>
      <w:r w:rsidRPr="00063615">
        <w:rPr>
          <w:rFonts w:cstheme="minorHAnsi"/>
          <w:b/>
          <w:vertAlign w:val="superscript"/>
          <w:lang w:val="fr-CH"/>
        </w:rPr>
        <w:t>e</w:t>
      </w:r>
      <w:r>
        <w:rPr>
          <w:rFonts w:cstheme="minorHAnsi"/>
          <w:b/>
          <w:lang w:val="fr-CH"/>
        </w:rPr>
        <w:t> Réunion du Comité permanent avec, si nécessaire, une esquisse d’approche proposée pour un examen technique, en consultation avec les Parties contractantes, les Organisations internationales partenaires et d’autres accords multilatéraux sur l’environnement, et demande au GEST d’examiner le recours à une enquête auprès des Correspondants nationaux du GEST pour rassembler des données d’expérience techniques de différentes régions sur le système de classification.</w:t>
      </w:r>
      <w:r w:rsidRPr="00A9769E">
        <w:rPr>
          <w:b/>
          <w:bCs/>
          <w:lang w:val="fr-CH"/>
        </w:rPr>
        <w:t xml:space="preserve"> </w:t>
      </w:r>
      <w:r w:rsidRPr="00A9769E">
        <w:rPr>
          <w:rFonts w:cstheme="minorHAnsi"/>
          <w:b/>
          <w:bCs/>
          <w:lang w:val="fr-CH"/>
        </w:rPr>
        <w:t xml:space="preserve">  </w:t>
      </w:r>
    </w:p>
    <w:p w14:paraId="56D8FA46" w14:textId="77777777" w:rsidR="0007746C" w:rsidRPr="00665D54" w:rsidRDefault="0007746C" w:rsidP="0007746C">
      <w:pPr>
        <w:keepNext/>
        <w:spacing w:after="0" w:line="240" w:lineRule="auto"/>
        <w:rPr>
          <w:rFonts w:cstheme="minorHAnsi"/>
          <w:lang w:val="fr-FR"/>
        </w:rPr>
      </w:pPr>
    </w:p>
    <w:p w14:paraId="5D06217A" w14:textId="77777777" w:rsidR="0007746C" w:rsidRPr="00665D5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bookmarkStart w:id="5" w:name="_Hlk145056792"/>
      <w:r w:rsidRPr="00EE162B">
        <w:rPr>
          <w:rFonts w:cstheme="minorHAnsi"/>
          <w:bCs/>
          <w:lang w:val="fr-CH"/>
        </w:rPr>
        <w:t xml:space="preserve">Point </w:t>
      </w:r>
      <w:r>
        <w:rPr>
          <w:rFonts w:cstheme="minorHAnsi"/>
          <w:bCs/>
          <w:lang w:val="fr-CH"/>
        </w:rPr>
        <w:t>11</w:t>
      </w:r>
      <w:r w:rsidRPr="00EE162B">
        <w:rPr>
          <w:rFonts w:cstheme="minorHAnsi"/>
          <w:bCs/>
          <w:lang w:val="fr-CH"/>
        </w:rPr>
        <w:t xml:space="preserve"> de l’ordre du jour :</w:t>
      </w:r>
      <w:r w:rsidRPr="00425384">
        <w:rPr>
          <w:rFonts w:cstheme="minorHAnsi"/>
          <w:bCs/>
          <w:lang w:val="fr-FR"/>
        </w:rPr>
        <w:t xml:space="preserve"> </w:t>
      </w:r>
      <w:r w:rsidRPr="000C1AD4">
        <w:rPr>
          <w:lang w:val="fr-FR"/>
        </w:rPr>
        <w:t>Rapport du Secrétariat sur le renforcement institutionnel pour soutenir</w:t>
      </w:r>
      <w:r>
        <w:rPr>
          <w:lang w:val="fr-FR"/>
        </w:rPr>
        <w:t xml:space="preserve"> </w:t>
      </w:r>
      <w:r w:rsidRPr="00F45F01">
        <w:rPr>
          <w:lang w:val="fr-CH"/>
        </w:rPr>
        <w:t>l’application de la Convention</w:t>
      </w:r>
      <w:r w:rsidRPr="00665D54">
        <w:rPr>
          <w:lang w:val="fr-FR"/>
        </w:rPr>
        <w:t xml:space="preserve"> (</w:t>
      </w:r>
      <w:r>
        <w:rPr>
          <w:lang w:val="fr-FR"/>
        </w:rPr>
        <w:t>suite</w:t>
      </w:r>
      <w:r w:rsidRPr="00665D54">
        <w:rPr>
          <w:lang w:val="fr-FR"/>
        </w:rPr>
        <w:t>)</w:t>
      </w:r>
    </w:p>
    <w:bookmarkEnd w:id="5"/>
    <w:p w14:paraId="79D75011" w14:textId="77777777" w:rsidR="0007746C" w:rsidRPr="00850A02" w:rsidRDefault="0007746C" w:rsidP="0007746C">
      <w:pPr>
        <w:spacing w:after="0" w:line="240" w:lineRule="auto"/>
        <w:ind w:left="567" w:hanging="567"/>
        <w:rPr>
          <w:rFonts w:cstheme="minorHAnsi"/>
          <w:lang w:val="fr-FR"/>
        </w:rPr>
      </w:pPr>
    </w:p>
    <w:p w14:paraId="54278D3E" w14:textId="77777777" w:rsidR="0007746C" w:rsidRPr="00850A02" w:rsidRDefault="0007746C" w:rsidP="0007746C">
      <w:pPr>
        <w:spacing w:after="0" w:line="240" w:lineRule="auto"/>
        <w:rPr>
          <w:b/>
          <w:bCs/>
          <w:lang w:val="fr-FR"/>
        </w:rPr>
      </w:pPr>
      <w:r w:rsidRPr="00850A02">
        <w:rPr>
          <w:b/>
          <w:bCs/>
          <w:lang w:val="fr-FR"/>
        </w:rPr>
        <w:t xml:space="preserve">Décision SC62-51 : </w:t>
      </w:r>
      <w:r w:rsidRPr="00850A02">
        <w:rPr>
          <w:rFonts w:cstheme="minorHAnsi"/>
          <w:b/>
          <w:lang w:val="fr-FR"/>
        </w:rPr>
        <w:t>Le Comité permanent prend note du cahier des charges convenu par le Groupe de travail et présenté à la 62</w:t>
      </w:r>
      <w:r w:rsidRPr="00850A02">
        <w:rPr>
          <w:rFonts w:cstheme="minorHAnsi"/>
          <w:b/>
          <w:vertAlign w:val="superscript"/>
          <w:lang w:val="fr-FR"/>
        </w:rPr>
        <w:t>e</w:t>
      </w:r>
      <w:r w:rsidRPr="00850A02">
        <w:rPr>
          <w:rFonts w:cstheme="minorHAnsi"/>
          <w:b/>
          <w:lang w:val="fr-FR"/>
        </w:rPr>
        <w:t xml:space="preserve"> Réunion du Comité permanent dans le</w:t>
      </w:r>
      <w:r w:rsidRPr="00850A02">
        <w:rPr>
          <w:b/>
          <w:bCs/>
          <w:lang w:val="fr-FR"/>
        </w:rPr>
        <w:t xml:space="preserve"> document SC62 Com.2.</w:t>
      </w:r>
    </w:p>
    <w:p w14:paraId="74A83E0C" w14:textId="77777777" w:rsidR="0007746C" w:rsidRPr="00677BE0" w:rsidRDefault="0007746C" w:rsidP="0007746C">
      <w:pPr>
        <w:spacing w:after="0" w:line="240" w:lineRule="auto"/>
        <w:rPr>
          <w:b/>
          <w:bCs/>
          <w:lang w:val="fr-CH"/>
        </w:rPr>
      </w:pPr>
    </w:p>
    <w:p w14:paraId="75614F30" w14:textId="77777777" w:rsidR="0007746C" w:rsidRPr="00677BE0"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CH"/>
        </w:rPr>
      </w:pPr>
      <w:r w:rsidRPr="00677BE0">
        <w:rPr>
          <w:rFonts w:cstheme="minorHAnsi"/>
          <w:bCs/>
          <w:lang w:val="fr-CH"/>
        </w:rPr>
        <w:t>Point 22 de l’ordre du jour : Mise à jour sur l’état des sites inscrits sur la Liste des zones humides d’importance internationale</w:t>
      </w:r>
    </w:p>
    <w:p w14:paraId="5402541E" w14:textId="77777777" w:rsidR="0007746C" w:rsidRPr="00850A02" w:rsidRDefault="0007746C" w:rsidP="0007746C">
      <w:pPr>
        <w:spacing w:after="0" w:line="240" w:lineRule="auto"/>
        <w:rPr>
          <w:rFonts w:eastAsia="Calibri" w:cstheme="minorHAnsi"/>
          <w:bCs/>
          <w:lang w:val="fr-FR"/>
        </w:rPr>
      </w:pPr>
    </w:p>
    <w:p w14:paraId="7861DF22" w14:textId="77777777" w:rsidR="0007746C" w:rsidRPr="00A5535D" w:rsidRDefault="0007746C" w:rsidP="0007746C">
      <w:pPr>
        <w:spacing w:after="0" w:line="240" w:lineRule="auto"/>
        <w:contextualSpacing/>
        <w:rPr>
          <w:rFonts w:cstheme="minorHAnsi"/>
          <w:b/>
          <w:lang w:val="fr-FR"/>
        </w:rPr>
      </w:pPr>
      <w:r w:rsidRPr="00A5535D">
        <w:rPr>
          <w:rFonts w:cstheme="minorHAnsi"/>
          <w:b/>
          <w:lang w:val="fr-FR"/>
        </w:rPr>
        <w:t>Décision SC62-</w:t>
      </w:r>
      <w:r w:rsidRPr="00CC2268">
        <w:rPr>
          <w:rFonts w:cstheme="minorHAnsi"/>
          <w:b/>
          <w:lang w:val="fr-FR"/>
        </w:rPr>
        <w:t xml:space="preserve">52 </w:t>
      </w:r>
      <w:r w:rsidRPr="00A5535D">
        <w:rPr>
          <w:rFonts w:cstheme="minorHAnsi"/>
          <w:b/>
          <w:lang w:val="fr-FR"/>
        </w:rPr>
        <w:t>: Le Comité permanent prend note du rapport mis à jour sur l’état des sites de la Liste des zones humides d’importance internationale.</w:t>
      </w:r>
    </w:p>
    <w:p w14:paraId="5DBA0C31" w14:textId="77777777" w:rsidR="0007746C" w:rsidRPr="00225A74" w:rsidRDefault="0007746C" w:rsidP="0007746C">
      <w:pPr>
        <w:spacing w:after="0" w:line="240" w:lineRule="auto"/>
        <w:contextualSpacing/>
        <w:rPr>
          <w:rFonts w:cstheme="minorHAnsi"/>
          <w:b/>
          <w:highlight w:val="yellow"/>
          <w:lang w:val="fr-FR"/>
        </w:rPr>
      </w:pPr>
    </w:p>
    <w:p w14:paraId="4572A2EB" w14:textId="77777777" w:rsidR="0007746C" w:rsidRPr="00790965" w:rsidRDefault="0007746C" w:rsidP="0007746C">
      <w:pPr>
        <w:spacing w:after="0" w:line="240" w:lineRule="auto"/>
        <w:contextualSpacing/>
        <w:rPr>
          <w:rFonts w:cstheme="minorHAnsi"/>
          <w:b/>
          <w:lang w:val="fr-FR"/>
        </w:rPr>
      </w:pPr>
      <w:r w:rsidRPr="00790965">
        <w:rPr>
          <w:rFonts w:cstheme="minorHAnsi"/>
          <w:b/>
          <w:lang w:val="fr-FR"/>
        </w:rPr>
        <w:t>Décision SC62-</w:t>
      </w:r>
      <w:r w:rsidRPr="00CC2268">
        <w:rPr>
          <w:rFonts w:cstheme="minorHAnsi"/>
          <w:b/>
          <w:lang w:val="fr-FR"/>
        </w:rPr>
        <w:t>53 :</w:t>
      </w:r>
      <w:r w:rsidRPr="00790965">
        <w:rPr>
          <w:rFonts w:cstheme="minorHAnsi"/>
          <w:b/>
          <w:lang w:val="fr-FR"/>
        </w:rPr>
        <w:t xml:space="preserve"> Le Comité permanent donne instruction au Secrétariat de soumettre à la 63</w:t>
      </w:r>
      <w:r w:rsidRPr="00790965">
        <w:rPr>
          <w:rFonts w:cstheme="minorHAnsi"/>
          <w:b/>
          <w:vertAlign w:val="superscript"/>
          <w:lang w:val="fr-FR"/>
        </w:rPr>
        <w:t>e</w:t>
      </w:r>
      <w:r w:rsidRPr="00790965">
        <w:rPr>
          <w:rFonts w:cstheme="minorHAnsi"/>
          <w:b/>
          <w:lang w:val="fr-FR"/>
        </w:rPr>
        <w:t> Réunion du Comité permanent un rapport sur les difficultés et possibilités relatives à la soumission et à la mise à jour des Fiches descriptives Ramsar, notamment :</w:t>
      </w:r>
    </w:p>
    <w:p w14:paraId="59E0F985" w14:textId="77777777" w:rsidR="0007746C" w:rsidRPr="00790965" w:rsidRDefault="0007746C" w:rsidP="00620D86">
      <w:pPr>
        <w:pStyle w:val="ListParagraph"/>
        <w:numPr>
          <w:ilvl w:val="0"/>
          <w:numId w:val="52"/>
        </w:numPr>
        <w:spacing w:after="0" w:line="240" w:lineRule="auto"/>
        <w:ind w:left="567" w:hanging="567"/>
        <w:rPr>
          <w:rFonts w:cstheme="minorHAnsi"/>
          <w:b/>
          <w:lang w:val="fr-FR"/>
        </w:rPr>
      </w:pPr>
      <w:r w:rsidRPr="00790965">
        <w:rPr>
          <w:rFonts w:cstheme="minorHAnsi"/>
          <w:b/>
          <w:lang w:val="fr-FR"/>
        </w:rPr>
        <w:t xml:space="preserve">Difficultés et options </w:t>
      </w:r>
      <w:r w:rsidRPr="00CC2268">
        <w:rPr>
          <w:rFonts w:cstheme="minorHAnsi"/>
          <w:b/>
          <w:lang w:val="fr-FR"/>
        </w:rPr>
        <w:t xml:space="preserve">systémiques, liées à </w:t>
      </w:r>
      <w:r w:rsidRPr="00790965">
        <w:rPr>
          <w:rFonts w:cstheme="minorHAnsi"/>
          <w:b/>
          <w:lang w:val="fr-FR"/>
        </w:rPr>
        <w:t>la procédure et d’ordre technique ; et</w:t>
      </w:r>
    </w:p>
    <w:p w14:paraId="26D14F97" w14:textId="77777777" w:rsidR="0007746C" w:rsidRPr="00790965" w:rsidRDefault="0007746C" w:rsidP="00620D86">
      <w:pPr>
        <w:pStyle w:val="ListParagraph"/>
        <w:numPr>
          <w:ilvl w:val="0"/>
          <w:numId w:val="52"/>
        </w:numPr>
        <w:spacing w:after="0" w:line="240" w:lineRule="auto"/>
        <w:ind w:left="567" w:hanging="567"/>
        <w:rPr>
          <w:rFonts w:cstheme="minorHAnsi"/>
          <w:b/>
          <w:lang w:val="fr-FR"/>
        </w:rPr>
      </w:pPr>
      <w:r w:rsidRPr="00790965">
        <w:rPr>
          <w:rFonts w:cstheme="minorHAnsi"/>
          <w:b/>
          <w:lang w:val="fr-FR"/>
        </w:rPr>
        <w:t>Difficultés financières, besoins et possibilités.</w:t>
      </w:r>
    </w:p>
    <w:p w14:paraId="46E71964" w14:textId="77777777" w:rsidR="0007746C" w:rsidRPr="00B65C6A" w:rsidRDefault="0007746C" w:rsidP="0007746C">
      <w:pPr>
        <w:spacing w:after="0" w:line="240" w:lineRule="auto"/>
        <w:ind w:right="321"/>
        <w:rPr>
          <w:b/>
          <w:bCs/>
          <w:lang w:val="fr-FR"/>
        </w:rPr>
      </w:pPr>
      <w:r w:rsidRPr="00790965">
        <w:rPr>
          <w:b/>
          <w:bCs/>
          <w:lang w:val="fr-FR"/>
        </w:rPr>
        <w:lastRenderedPageBreak/>
        <w:t>Ce faisant, le Secrétariat obtiendra et rassemblera les données, en consultation avec les Parties contractantes, le GEST et d’autres parties prenantes. Le Secrétariat développera l’approche à adopter pour entreprendre cette tâche, en consultation avec les Parties contractantes, dans le cadre de procédures écrites et d’une ou de plusieurs séance(s) en ligne.</w:t>
      </w:r>
    </w:p>
    <w:p w14:paraId="2AC5DA63" w14:textId="77777777" w:rsidR="0007746C" w:rsidRPr="00B65C6A" w:rsidRDefault="0007746C" w:rsidP="0007746C">
      <w:pPr>
        <w:spacing w:after="0" w:line="240" w:lineRule="auto"/>
        <w:ind w:right="321"/>
        <w:rPr>
          <w:rFonts w:cstheme="minorHAnsi"/>
          <w:b/>
          <w:lang w:val="fr-FR"/>
        </w:rPr>
      </w:pPr>
    </w:p>
    <w:p w14:paraId="0357BF44" w14:textId="77777777" w:rsidR="0007746C" w:rsidRPr="002057F8" w:rsidRDefault="0007746C" w:rsidP="0007746C">
      <w:pPr>
        <w:spacing w:after="0" w:line="240" w:lineRule="auto"/>
        <w:ind w:right="321"/>
        <w:rPr>
          <w:b/>
          <w:bCs/>
          <w:lang w:val="fr-CH"/>
        </w:rPr>
      </w:pPr>
      <w:r w:rsidRPr="002057F8">
        <w:rPr>
          <w:rFonts w:cstheme="minorHAnsi"/>
          <w:b/>
          <w:lang w:val="fr-CH"/>
        </w:rPr>
        <w:t>Décision SC62</w:t>
      </w:r>
      <w:r w:rsidRPr="00CC2268">
        <w:rPr>
          <w:rFonts w:cstheme="minorHAnsi"/>
          <w:b/>
          <w:lang w:val="fr-CH"/>
        </w:rPr>
        <w:t xml:space="preserve">-54 </w:t>
      </w:r>
      <w:r w:rsidRPr="002057F8">
        <w:rPr>
          <w:rFonts w:cstheme="minorHAnsi"/>
          <w:b/>
          <w:lang w:val="fr-CH"/>
        </w:rPr>
        <w:t xml:space="preserve">: </w:t>
      </w:r>
      <w:r>
        <w:rPr>
          <w:rFonts w:cstheme="minorHAnsi"/>
          <w:b/>
          <w:lang w:val="fr-CH"/>
        </w:rPr>
        <w:t>Le Comité permanent décide que le Secrétariat ne préparera qu’une seule fois par période triennale</w:t>
      </w:r>
      <w:r w:rsidRPr="00790965">
        <w:rPr>
          <w:rFonts w:cstheme="minorHAnsi"/>
          <w:b/>
          <w:lang w:val="fr-CH"/>
        </w:rPr>
        <w:t xml:space="preserve"> </w:t>
      </w:r>
      <w:r>
        <w:rPr>
          <w:rFonts w:cstheme="minorHAnsi"/>
          <w:b/>
          <w:lang w:val="fr-CH"/>
        </w:rPr>
        <w:t xml:space="preserve">le rapport mondial sur l’état des sites inscrits sur la Liste des zones humides d’importance internationale, pour présentation à la COP, et abroge la Décision </w:t>
      </w:r>
      <w:r w:rsidRPr="002057F8">
        <w:rPr>
          <w:rFonts w:cstheme="minorHAnsi"/>
          <w:b/>
          <w:lang w:val="fr-CH"/>
        </w:rPr>
        <w:t>SC38</w:t>
      </w:r>
      <w:r>
        <w:rPr>
          <w:rFonts w:cstheme="minorHAnsi"/>
          <w:b/>
          <w:lang w:val="fr-CH"/>
        </w:rPr>
        <w:noBreakHyphen/>
      </w:r>
      <w:r w:rsidRPr="002057F8">
        <w:rPr>
          <w:rFonts w:cstheme="minorHAnsi"/>
          <w:b/>
          <w:lang w:val="fr-CH"/>
        </w:rPr>
        <w:t xml:space="preserve">28 </w:t>
      </w:r>
      <w:r>
        <w:rPr>
          <w:rFonts w:cstheme="minorHAnsi"/>
          <w:b/>
          <w:lang w:val="fr-CH"/>
        </w:rPr>
        <w:t>sur cette question.</w:t>
      </w:r>
      <w:r w:rsidRPr="002057F8">
        <w:rPr>
          <w:rFonts w:cstheme="minorHAnsi"/>
          <w:b/>
          <w:lang w:val="fr-CH"/>
        </w:rPr>
        <w:t xml:space="preserve"> </w:t>
      </w:r>
    </w:p>
    <w:p w14:paraId="58514920" w14:textId="77777777" w:rsidR="0007746C" w:rsidRPr="002057F8" w:rsidRDefault="0007746C" w:rsidP="0007746C">
      <w:pPr>
        <w:keepNext/>
        <w:spacing w:after="0" w:line="240" w:lineRule="auto"/>
        <w:rPr>
          <w:rFonts w:cstheme="minorHAnsi"/>
          <w:lang w:val="fr-CH"/>
        </w:rPr>
      </w:pPr>
    </w:p>
    <w:p w14:paraId="416F3E05" w14:textId="77777777" w:rsidR="0007746C" w:rsidRPr="002057F8"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2057F8">
        <w:rPr>
          <w:rFonts w:cstheme="minorHAnsi"/>
          <w:bCs/>
          <w:lang w:val="fr-CH"/>
        </w:rPr>
        <w:t xml:space="preserve">Point 23 de l’ordre du jour : </w:t>
      </w:r>
      <w:r w:rsidRPr="002057F8">
        <w:rPr>
          <w:lang w:val="fr-CH"/>
        </w:rPr>
        <w:t>Rapport sur le processus mis en œuvre par le Secrétariat pour inscrire un site sur la Liste des zones humides d’importance internationale</w:t>
      </w:r>
    </w:p>
    <w:p w14:paraId="399E04A5" w14:textId="77777777" w:rsidR="0007746C" w:rsidRPr="00A97386" w:rsidRDefault="0007746C" w:rsidP="0007746C">
      <w:pPr>
        <w:spacing w:after="0" w:line="240" w:lineRule="auto"/>
        <w:rPr>
          <w:rFonts w:eastAsia="Calibri" w:cstheme="minorHAnsi"/>
          <w:bCs/>
          <w:lang w:val="fr-CH"/>
        </w:rPr>
      </w:pPr>
    </w:p>
    <w:p w14:paraId="7E2509A6" w14:textId="4811BB94" w:rsidR="0007746C" w:rsidRPr="00A41184" w:rsidRDefault="0007746C" w:rsidP="0007746C">
      <w:pPr>
        <w:pStyle w:val="ColorfulList-Accent11"/>
        <w:ind w:left="0" w:firstLine="0"/>
        <w:rPr>
          <w:b/>
          <w:bCs/>
          <w:lang w:val="fr-CH"/>
        </w:rPr>
      </w:pPr>
      <w:r w:rsidRPr="002057F8">
        <w:rPr>
          <w:b/>
          <w:bCs/>
          <w:lang w:val="fr-CH"/>
        </w:rPr>
        <w:t>Décision SC62-</w:t>
      </w:r>
      <w:r w:rsidRPr="00CC2268">
        <w:rPr>
          <w:b/>
          <w:bCs/>
          <w:lang w:val="fr-CH"/>
        </w:rPr>
        <w:t>55 :</w:t>
      </w:r>
      <w:r w:rsidRPr="002057F8">
        <w:rPr>
          <w:b/>
          <w:bCs/>
          <w:lang w:val="fr-CH"/>
        </w:rPr>
        <w:t xml:space="preserve"> </w:t>
      </w:r>
      <w:r>
        <w:rPr>
          <w:b/>
          <w:bCs/>
          <w:lang w:val="fr-CH"/>
        </w:rPr>
        <w:t xml:space="preserve">Le Comité permanent donne instruction au </w:t>
      </w:r>
      <w:r w:rsidRPr="00A41184">
        <w:rPr>
          <w:b/>
          <w:bCs/>
          <w:lang w:val="fr-CH"/>
        </w:rPr>
        <w:t>Secrétariat d’envoyer une notification aux Correspondants nationaux pour les inviter à soumettre des propositions de renforcement du processus d’inclusion d’un site sur la Liste des zones humides d’importance internationale, et de préparer un rapport compilant les contributions</w:t>
      </w:r>
      <w:r w:rsidR="00A97386" w:rsidRPr="00A41184">
        <w:rPr>
          <w:b/>
          <w:bCs/>
          <w:lang w:val="fr-CH"/>
        </w:rPr>
        <w:t>, accompagné de l’opinion du Conseiller juridique,</w:t>
      </w:r>
      <w:r w:rsidRPr="00A41184">
        <w:rPr>
          <w:b/>
          <w:bCs/>
          <w:lang w:val="fr-CH"/>
        </w:rPr>
        <w:t xml:space="preserve"> pour examen à la 63</w:t>
      </w:r>
      <w:r w:rsidRPr="00A41184">
        <w:rPr>
          <w:b/>
          <w:bCs/>
          <w:vertAlign w:val="superscript"/>
          <w:lang w:val="fr-CH"/>
        </w:rPr>
        <w:t>e</w:t>
      </w:r>
      <w:r w:rsidRPr="00A41184">
        <w:rPr>
          <w:b/>
          <w:bCs/>
          <w:lang w:val="fr-CH"/>
        </w:rPr>
        <w:t> Réunion du Comité permanent.</w:t>
      </w:r>
    </w:p>
    <w:p w14:paraId="6DF03218" w14:textId="77777777" w:rsidR="0007746C" w:rsidRPr="00A41184" w:rsidRDefault="0007746C" w:rsidP="0007746C">
      <w:pPr>
        <w:pStyle w:val="ColorfulList-Accent11"/>
        <w:ind w:left="0" w:firstLine="0"/>
        <w:rPr>
          <w:b/>
          <w:bCs/>
          <w:lang w:val="fr-CH"/>
        </w:rPr>
      </w:pPr>
    </w:p>
    <w:p w14:paraId="32BEA83F" w14:textId="77777777" w:rsidR="0007746C" w:rsidRPr="00C4110A"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21</w:t>
      </w:r>
      <w:r w:rsidRPr="00EE162B">
        <w:rPr>
          <w:rFonts w:cstheme="minorHAnsi"/>
          <w:bCs/>
          <w:lang w:val="fr-CH"/>
        </w:rPr>
        <w:t xml:space="preserve"> de l’ordre du jour :</w:t>
      </w:r>
      <w:r w:rsidRPr="00425384">
        <w:rPr>
          <w:rFonts w:cstheme="minorHAnsi"/>
          <w:bCs/>
          <w:lang w:val="fr-FR"/>
        </w:rPr>
        <w:t xml:space="preserve"> </w:t>
      </w:r>
      <w:r w:rsidRPr="00C4110A">
        <w:rPr>
          <w:rFonts w:cstheme="minorHAnsi"/>
          <w:bCs/>
          <w:lang w:val="fr-FR"/>
        </w:rPr>
        <w:t>Rapport national pour la COP15 (</w:t>
      </w:r>
      <w:r>
        <w:rPr>
          <w:rFonts w:cstheme="minorHAnsi"/>
          <w:bCs/>
          <w:lang w:val="fr-FR"/>
        </w:rPr>
        <w:t>suite</w:t>
      </w:r>
      <w:r w:rsidRPr="00C4110A">
        <w:rPr>
          <w:rFonts w:cstheme="minorHAnsi"/>
          <w:bCs/>
          <w:lang w:val="fr-FR"/>
        </w:rPr>
        <w:t>)</w:t>
      </w:r>
    </w:p>
    <w:p w14:paraId="6CDA4BEA" w14:textId="77777777" w:rsidR="0007746C" w:rsidRPr="00CB0FDA" w:rsidRDefault="0007746C" w:rsidP="0007746C">
      <w:pPr>
        <w:keepNext/>
        <w:spacing w:after="0" w:line="240" w:lineRule="auto"/>
        <w:ind w:left="720" w:hanging="720"/>
        <w:rPr>
          <w:rFonts w:eastAsia="Calibri" w:cstheme="minorHAnsi"/>
          <w:bCs/>
          <w:lang w:val="fr-FR"/>
        </w:rPr>
      </w:pPr>
    </w:p>
    <w:p w14:paraId="0D9F3637" w14:textId="77777777" w:rsidR="0007746C" w:rsidRPr="00225A74" w:rsidRDefault="0007746C" w:rsidP="0007746C">
      <w:pPr>
        <w:spacing w:after="0" w:line="240" w:lineRule="auto"/>
        <w:rPr>
          <w:b/>
          <w:bCs/>
          <w:lang w:val="fr-FR"/>
        </w:rPr>
      </w:pPr>
      <w:r w:rsidRPr="00CB0FDA">
        <w:rPr>
          <w:b/>
          <w:bCs/>
          <w:lang w:val="fr-FR"/>
        </w:rPr>
        <w:t>Décision SC62-</w:t>
      </w:r>
      <w:r w:rsidRPr="00CC2268">
        <w:rPr>
          <w:b/>
          <w:bCs/>
          <w:lang w:val="fr-FR"/>
        </w:rPr>
        <w:t>56 :</w:t>
      </w:r>
      <w:r w:rsidRPr="00CB0FDA">
        <w:rPr>
          <w:b/>
          <w:bCs/>
          <w:lang w:val="fr-FR"/>
        </w:rPr>
        <w:t xml:space="preserve"> </w:t>
      </w:r>
      <w:r w:rsidRPr="00CB0FDA">
        <w:rPr>
          <w:rFonts w:cstheme="minorHAnsi"/>
          <w:b/>
          <w:lang w:val="fr-FR"/>
        </w:rPr>
        <w:t xml:space="preserve">Le Comité permanent </w:t>
      </w:r>
      <w:r w:rsidRPr="00CB0FDA">
        <w:rPr>
          <w:b/>
          <w:bCs/>
          <w:lang w:val="fr-FR"/>
        </w:rPr>
        <w:t>approuve le modèle de Rapport national pour la COP15 présenté dans le document SC62 Com.3.</w:t>
      </w:r>
    </w:p>
    <w:p w14:paraId="2FEF862B" w14:textId="77777777" w:rsidR="0007746C" w:rsidRPr="00225A74" w:rsidRDefault="0007746C" w:rsidP="0007746C">
      <w:pPr>
        <w:pStyle w:val="ColorfulList-Accent11"/>
        <w:ind w:left="0" w:firstLine="0"/>
        <w:rPr>
          <w:b/>
          <w:bCs/>
          <w:iCs/>
          <w:color w:val="000000" w:themeColor="text1"/>
          <w:lang w:val="fr-FR"/>
        </w:rPr>
      </w:pPr>
    </w:p>
    <w:p w14:paraId="12FADD37" w14:textId="77777777" w:rsidR="0007746C" w:rsidRPr="00C4110A"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24</w:t>
      </w:r>
      <w:r w:rsidRPr="00EE162B">
        <w:rPr>
          <w:rFonts w:cstheme="minorHAnsi"/>
          <w:bCs/>
          <w:lang w:val="fr-CH"/>
        </w:rPr>
        <w:t xml:space="preserve"> de l’ordre du jour :</w:t>
      </w:r>
      <w:r w:rsidRPr="00425384">
        <w:rPr>
          <w:rFonts w:cstheme="minorHAnsi"/>
          <w:bCs/>
          <w:lang w:val="fr-FR"/>
        </w:rPr>
        <w:t xml:space="preserve"> </w:t>
      </w:r>
      <w:r w:rsidRPr="00C4110A">
        <w:rPr>
          <w:lang w:val="fr-FR"/>
        </w:rPr>
        <w:t>Mise à jour du Secrétariat sur l’application de la Résolution XIV.20</w:t>
      </w:r>
    </w:p>
    <w:p w14:paraId="40FB1694" w14:textId="77777777" w:rsidR="0007746C" w:rsidRPr="00850A02" w:rsidRDefault="0007746C" w:rsidP="0007746C">
      <w:pPr>
        <w:spacing w:after="0" w:line="240" w:lineRule="auto"/>
        <w:ind w:left="567" w:hanging="567"/>
        <w:rPr>
          <w:lang w:val="fr-FR"/>
        </w:rPr>
      </w:pPr>
    </w:p>
    <w:p w14:paraId="7B9DF5CB" w14:textId="77777777" w:rsidR="0007746C" w:rsidRPr="00BF45D1" w:rsidRDefault="0007746C" w:rsidP="0007746C">
      <w:pPr>
        <w:pStyle w:val="ColorfulList-Accent11"/>
        <w:ind w:left="0" w:firstLine="0"/>
        <w:rPr>
          <w:b/>
          <w:bCs/>
          <w:i/>
          <w:iCs/>
          <w:lang w:val="fr-FR"/>
        </w:rPr>
      </w:pPr>
      <w:r w:rsidRPr="00CB0FDA">
        <w:rPr>
          <w:b/>
          <w:bCs/>
          <w:lang w:val="fr-FR"/>
        </w:rPr>
        <w:t>Décision SC62-</w:t>
      </w:r>
      <w:r w:rsidRPr="00B72346">
        <w:rPr>
          <w:b/>
          <w:bCs/>
          <w:lang w:val="fr-FR"/>
        </w:rPr>
        <w:t>57</w:t>
      </w:r>
      <w:r w:rsidRPr="00CB0FDA">
        <w:rPr>
          <w:b/>
          <w:bCs/>
          <w:lang w:val="fr-FR"/>
        </w:rPr>
        <w:t xml:space="preserve"> : </w:t>
      </w:r>
      <w:r w:rsidRPr="00CB0FDA">
        <w:rPr>
          <w:rFonts w:cstheme="minorHAnsi"/>
          <w:b/>
          <w:lang w:val="fr-FR"/>
        </w:rPr>
        <w:t>Le Comité permanent prend note de la mise à jour du</w:t>
      </w:r>
      <w:r w:rsidRPr="00CB0FDA">
        <w:rPr>
          <w:b/>
          <w:bCs/>
          <w:lang w:val="fr-FR"/>
        </w:rPr>
        <w:t xml:space="preserve"> Secrétariat sur l’application de la Résolution XIV.20, </w:t>
      </w:r>
      <w:r w:rsidRPr="00CB0FDA">
        <w:rPr>
          <w:b/>
          <w:bCs/>
          <w:i/>
          <w:iCs/>
          <w:lang w:val="fr-FR"/>
        </w:rPr>
        <w:t>La réponse de la Convention de Ramsar à l’urgence environnementale en Ukraine liée aux dommages causés aux zones humides d’importance internationale du pays (Sites Ramsar) à la suite de l’agression de la Fédération de Russie.</w:t>
      </w:r>
    </w:p>
    <w:p w14:paraId="75EB5844" w14:textId="77777777" w:rsidR="0007746C" w:rsidRPr="00BF45D1" w:rsidRDefault="0007746C" w:rsidP="0007746C">
      <w:pPr>
        <w:pStyle w:val="ColorfulList-Accent11"/>
        <w:ind w:left="0" w:firstLine="0"/>
        <w:rPr>
          <w:b/>
          <w:bCs/>
          <w:lang w:val="fr-FR"/>
        </w:rPr>
      </w:pPr>
    </w:p>
    <w:p w14:paraId="60A61BB7" w14:textId="77777777" w:rsidR="0007746C" w:rsidRPr="00C4110A"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C4110A">
        <w:rPr>
          <w:rFonts w:cstheme="minorHAnsi"/>
          <w:bCs/>
          <w:lang w:val="fr-FR"/>
        </w:rPr>
        <w:t xml:space="preserve">Point 27 de l’ordre du jour : </w:t>
      </w:r>
      <w:r w:rsidRPr="00C4110A">
        <w:rPr>
          <w:lang w:val="fr-FR"/>
        </w:rPr>
        <w:t>Dates de la 63</w:t>
      </w:r>
      <w:r w:rsidRPr="00C4110A">
        <w:rPr>
          <w:vertAlign w:val="superscript"/>
          <w:lang w:val="fr-FR"/>
        </w:rPr>
        <w:t>e</w:t>
      </w:r>
      <w:r w:rsidRPr="00C4110A">
        <w:rPr>
          <w:lang w:val="fr-FR"/>
        </w:rPr>
        <w:t xml:space="preserve"> </w:t>
      </w:r>
      <w:r>
        <w:rPr>
          <w:lang w:val="fr-FR"/>
        </w:rPr>
        <w:t>R</w:t>
      </w:r>
      <w:r w:rsidRPr="00C4110A">
        <w:rPr>
          <w:lang w:val="fr-FR"/>
        </w:rPr>
        <w:t>éunion du Comité permanent</w:t>
      </w:r>
    </w:p>
    <w:p w14:paraId="10C26016" w14:textId="77777777" w:rsidR="0007746C" w:rsidRPr="00201B1E" w:rsidRDefault="0007746C" w:rsidP="0007746C">
      <w:pPr>
        <w:spacing w:after="0" w:line="240" w:lineRule="auto"/>
        <w:ind w:left="720" w:hanging="720"/>
        <w:rPr>
          <w:lang w:val="fr-CH"/>
        </w:rPr>
      </w:pPr>
    </w:p>
    <w:p w14:paraId="6B9255C3" w14:textId="4711BEE5" w:rsidR="0007746C" w:rsidRPr="00127BE7" w:rsidRDefault="0007746C" w:rsidP="00127BE7">
      <w:pPr>
        <w:spacing w:after="0" w:line="240" w:lineRule="auto"/>
        <w:contextualSpacing/>
        <w:rPr>
          <w:rFonts w:cstheme="minorHAnsi"/>
          <w:b/>
          <w:lang w:val="fr-CH"/>
        </w:rPr>
      </w:pPr>
      <w:r w:rsidRPr="00E31FE3">
        <w:rPr>
          <w:rFonts w:cstheme="minorHAnsi"/>
          <w:b/>
          <w:lang w:val="fr-CH"/>
        </w:rPr>
        <w:t>Décision SC62</w:t>
      </w:r>
      <w:r w:rsidRPr="00B72346">
        <w:rPr>
          <w:rFonts w:cstheme="minorHAnsi"/>
          <w:b/>
          <w:lang w:val="fr-CH"/>
        </w:rPr>
        <w:t xml:space="preserve">-58 </w:t>
      </w:r>
      <w:r w:rsidRPr="00E31FE3">
        <w:rPr>
          <w:rFonts w:cstheme="minorHAnsi"/>
          <w:b/>
          <w:lang w:val="fr-CH"/>
        </w:rPr>
        <w:t>: Le Comité permanent décide que la 63</w:t>
      </w:r>
      <w:r w:rsidRPr="00E31FE3">
        <w:rPr>
          <w:rFonts w:cstheme="minorHAnsi"/>
          <w:b/>
          <w:vertAlign w:val="superscript"/>
          <w:lang w:val="fr-CH"/>
        </w:rPr>
        <w:t>e</w:t>
      </w:r>
      <w:r w:rsidRPr="00E31FE3">
        <w:rPr>
          <w:rFonts w:cstheme="minorHAnsi"/>
          <w:b/>
          <w:lang w:val="fr-CH"/>
        </w:rPr>
        <w:t xml:space="preserve"> Réunion du Comité permanent aura lieu du 3 au 7 juin 2024 et note que les dates de la 64</w:t>
      </w:r>
      <w:r w:rsidRPr="00E31FE3">
        <w:rPr>
          <w:rFonts w:cstheme="minorHAnsi"/>
          <w:b/>
          <w:vertAlign w:val="superscript"/>
          <w:lang w:val="fr-CH"/>
        </w:rPr>
        <w:t>e</w:t>
      </w:r>
      <w:r w:rsidRPr="00E31FE3">
        <w:rPr>
          <w:rFonts w:cstheme="minorHAnsi"/>
          <w:b/>
          <w:lang w:val="fr-CH"/>
        </w:rPr>
        <w:t xml:space="preserve"> Réunion seront arrêtées à la 63</w:t>
      </w:r>
      <w:r w:rsidRPr="00E31FE3">
        <w:rPr>
          <w:rFonts w:cstheme="minorHAnsi"/>
          <w:b/>
          <w:vertAlign w:val="superscript"/>
          <w:lang w:val="fr-CH"/>
        </w:rPr>
        <w:t>e</w:t>
      </w:r>
      <w:r w:rsidRPr="00E31FE3">
        <w:rPr>
          <w:rFonts w:cstheme="minorHAnsi"/>
          <w:b/>
          <w:lang w:val="fr-CH"/>
        </w:rPr>
        <w:t xml:space="preserve"> Réunion.</w:t>
      </w:r>
    </w:p>
    <w:p w14:paraId="6BA14A70" w14:textId="1F510454" w:rsidR="0007746C" w:rsidRDefault="0007746C" w:rsidP="00E64244">
      <w:pPr>
        <w:spacing w:after="0" w:line="240" w:lineRule="auto"/>
        <w:contextualSpacing/>
        <w:rPr>
          <w:rFonts w:eastAsia="Osnova MFA Cyrillic" w:cstheme="minorHAnsi"/>
          <w:b/>
          <w:sz w:val="24"/>
          <w:szCs w:val="24"/>
          <w:lang w:val="fr-FR"/>
        </w:rPr>
      </w:pPr>
    </w:p>
    <w:p w14:paraId="021FBCB9" w14:textId="77777777" w:rsidR="00DB7429" w:rsidRPr="00321E55" w:rsidRDefault="00DB7429" w:rsidP="00E64244">
      <w:pPr>
        <w:spacing w:after="0" w:line="240" w:lineRule="auto"/>
        <w:contextualSpacing/>
        <w:rPr>
          <w:rFonts w:cstheme="minorHAnsi"/>
          <w:b/>
          <w:i/>
          <w:lang w:val="fr-FR"/>
        </w:rPr>
      </w:pPr>
    </w:p>
    <w:sectPr w:rsidR="00DB7429" w:rsidRPr="00321E55"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4736F" w14:textId="77777777" w:rsidR="00C1525D" w:rsidRDefault="00C1525D" w:rsidP="0021462B">
      <w:pPr>
        <w:spacing w:after="0" w:line="240" w:lineRule="auto"/>
      </w:pPr>
      <w:r>
        <w:separator/>
      </w:r>
    </w:p>
  </w:endnote>
  <w:endnote w:type="continuationSeparator" w:id="0">
    <w:p w14:paraId="4A8C1CF7" w14:textId="77777777" w:rsidR="00C1525D" w:rsidRDefault="00C1525D" w:rsidP="0021462B">
      <w:pPr>
        <w:spacing w:after="0" w:line="240" w:lineRule="auto"/>
      </w:pPr>
      <w:r>
        <w:continuationSeparator/>
      </w:r>
    </w:p>
  </w:endnote>
  <w:endnote w:type="continuationNotice" w:id="1">
    <w:p w14:paraId="41A78199" w14:textId="77777777" w:rsidR="00C1525D" w:rsidRDefault="00C15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Osnova MFA Cyrillic">
    <w:altName w:val="Times New Roman"/>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586BF39E" w:rsidR="0007746C" w:rsidRPr="0021462B" w:rsidRDefault="0007746C">
    <w:pPr>
      <w:pStyle w:val="Footer"/>
      <w:rPr>
        <w:sz w:val="20"/>
        <w:szCs w:val="20"/>
      </w:rPr>
    </w:pPr>
    <w:r>
      <w:rPr>
        <w:sz w:val="20"/>
        <w:szCs w:val="20"/>
      </w:rPr>
      <w:t xml:space="preserve">SC62 </w:t>
    </w:r>
    <w:r w:rsidR="00985CF2" w:rsidRPr="002555E6">
      <w:rPr>
        <w:sz w:val="20"/>
        <w:szCs w:val="20"/>
        <w:lang w:val="fr-FR"/>
      </w:rPr>
      <w:t>Décisions</w:t>
    </w:r>
    <w:r w:rsidRPr="0021462B">
      <w:rPr>
        <w:sz w:val="20"/>
        <w:szCs w:val="20"/>
      </w:rPr>
      <w:tab/>
    </w:r>
    <w:r w:rsidRPr="0021462B">
      <w:rPr>
        <w:sz w:val="20"/>
        <w:szCs w:val="20"/>
      </w:rPr>
      <w:tab/>
    </w:r>
    <w:r>
      <w:fldChar w:fldCharType="begin"/>
    </w:r>
    <w:r>
      <w:instrText xml:space="preserve"> PAGE   \* MERGEFORMAT </w:instrText>
    </w:r>
    <w:r>
      <w:fldChar w:fldCharType="separate"/>
    </w:r>
    <w:r w:rsidR="00127BE7" w:rsidRPr="00127BE7">
      <w:rPr>
        <w:noProof/>
        <w:sz w:val="20"/>
        <w:szCs w:val="20"/>
      </w:rPr>
      <w:t>6</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D278" w14:textId="77777777" w:rsidR="00C1525D" w:rsidRDefault="00C1525D" w:rsidP="0021462B">
      <w:pPr>
        <w:spacing w:after="0" w:line="240" w:lineRule="auto"/>
      </w:pPr>
      <w:r>
        <w:separator/>
      </w:r>
    </w:p>
  </w:footnote>
  <w:footnote w:type="continuationSeparator" w:id="0">
    <w:p w14:paraId="776F77B6" w14:textId="77777777" w:rsidR="00C1525D" w:rsidRDefault="00C1525D" w:rsidP="0021462B">
      <w:pPr>
        <w:spacing w:after="0" w:line="240" w:lineRule="auto"/>
      </w:pPr>
      <w:r>
        <w:continuationSeparator/>
      </w:r>
    </w:p>
  </w:footnote>
  <w:footnote w:type="continuationNotice" w:id="1">
    <w:p w14:paraId="4E724D78" w14:textId="77777777" w:rsidR="00C1525D" w:rsidRDefault="00C1525D">
      <w:pPr>
        <w:spacing w:after="0" w:line="240" w:lineRule="auto"/>
      </w:pPr>
    </w:p>
  </w:footnote>
  <w:footnote w:id="2">
    <w:p w14:paraId="331D5B87" w14:textId="3349E72F" w:rsidR="00287E67" w:rsidRPr="00287E67" w:rsidRDefault="00287E67">
      <w:pPr>
        <w:pStyle w:val="FootnoteText"/>
        <w:rPr>
          <w:lang w:val="fr-FR"/>
        </w:rPr>
      </w:pPr>
      <w:r>
        <w:rPr>
          <w:rStyle w:val="FootnoteReference"/>
        </w:rPr>
        <w:footnoteRef/>
      </w:r>
      <w:r w:rsidRPr="00287E67">
        <w:rPr>
          <w:lang w:val="fr-FR"/>
        </w:rPr>
        <w:t xml:space="preserve"> </w:t>
      </w:r>
      <w:r>
        <w:rPr>
          <w:rStyle w:val="FootnoteReference"/>
        </w:rPr>
        <w:footnoteRef/>
      </w:r>
      <w:r w:rsidRPr="00672991">
        <w:rPr>
          <w:lang w:val="fr-FR"/>
        </w:rPr>
        <w:t xml:space="preserve"> Voir le budget administratif pour 2023 qui en résulte à l'Annexe 1 du </w:t>
      </w:r>
      <w:hyperlink r:id="rId1" w:history="1">
        <w:r w:rsidRPr="00672991">
          <w:rPr>
            <w:rStyle w:val="Hyperlink"/>
            <w:lang w:val="fr-FR"/>
          </w:rPr>
          <w:t>document SC62 Com.1 Rev.2 Rapport du Sous-groupe sur les finances, 4 septembre 2023</w:t>
        </w:r>
      </w:hyperlink>
      <w:r>
        <w:rPr>
          <w:lang w:val="fr-FR"/>
        </w:rPr>
        <w:t>.</w:t>
      </w:r>
      <w:bookmarkStart w:id="4" w:name="_GoBac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40162C"/>
    <w:multiLevelType w:val="multilevel"/>
    <w:tmpl w:val="8F32EE4A"/>
    <w:numStyleLink w:val="Style1"/>
  </w:abstractNum>
  <w:abstractNum w:abstractNumId="33"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4"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4"/>
  </w:num>
  <w:num w:numId="2">
    <w:abstractNumId w:val="27"/>
  </w:num>
  <w:num w:numId="3">
    <w:abstractNumId w:val="3"/>
  </w:num>
  <w:num w:numId="4">
    <w:abstractNumId w:val="31"/>
  </w:num>
  <w:num w:numId="5">
    <w:abstractNumId w:val="8"/>
  </w:num>
  <w:num w:numId="6">
    <w:abstractNumId w:val="35"/>
  </w:num>
  <w:num w:numId="7">
    <w:abstractNumId w:val="42"/>
  </w:num>
  <w:num w:numId="8">
    <w:abstractNumId w:val="7"/>
  </w:num>
  <w:num w:numId="9">
    <w:abstractNumId w:val="29"/>
  </w:num>
  <w:num w:numId="10">
    <w:abstractNumId w:val="20"/>
  </w:num>
  <w:num w:numId="11">
    <w:abstractNumId w:val="38"/>
  </w:num>
  <w:num w:numId="12">
    <w:abstractNumId w:val="4"/>
  </w:num>
  <w:num w:numId="13">
    <w:abstractNumId w:val="28"/>
  </w:num>
  <w:num w:numId="14">
    <w:abstractNumId w:val="12"/>
  </w:num>
  <w:num w:numId="15">
    <w:abstractNumId w:val="50"/>
  </w:num>
  <w:num w:numId="16">
    <w:abstractNumId w:val="30"/>
  </w:num>
  <w:num w:numId="17">
    <w:abstractNumId w:val="46"/>
  </w:num>
  <w:num w:numId="18">
    <w:abstractNumId w:val="49"/>
  </w:num>
  <w:num w:numId="19">
    <w:abstractNumId w:val="1"/>
  </w:num>
  <w:num w:numId="20">
    <w:abstractNumId w:val="25"/>
  </w:num>
  <w:num w:numId="21">
    <w:abstractNumId w:val="2"/>
  </w:num>
  <w:num w:numId="22">
    <w:abstractNumId w:val="10"/>
  </w:num>
  <w:num w:numId="23">
    <w:abstractNumId w:val="9"/>
  </w:num>
  <w:num w:numId="24">
    <w:abstractNumId w:val="15"/>
  </w:num>
  <w:num w:numId="25">
    <w:abstractNumId w:val="24"/>
  </w:num>
  <w:num w:numId="26">
    <w:abstractNumId w:val="32"/>
  </w:num>
  <w:num w:numId="27">
    <w:abstractNumId w:val="23"/>
  </w:num>
  <w:num w:numId="28">
    <w:abstractNumId w:val="5"/>
  </w:num>
  <w:num w:numId="29">
    <w:abstractNumId w:val="21"/>
  </w:num>
  <w:num w:numId="30">
    <w:abstractNumId w:val="51"/>
  </w:num>
  <w:num w:numId="31">
    <w:abstractNumId w:val="33"/>
  </w:num>
  <w:num w:numId="32">
    <w:abstractNumId w:val="19"/>
  </w:num>
  <w:num w:numId="33">
    <w:abstractNumId w:val="16"/>
  </w:num>
  <w:num w:numId="34">
    <w:abstractNumId w:val="18"/>
  </w:num>
  <w:num w:numId="35">
    <w:abstractNumId w:val="43"/>
  </w:num>
  <w:num w:numId="36">
    <w:abstractNumId w:val="48"/>
  </w:num>
  <w:num w:numId="37">
    <w:abstractNumId w:val="0"/>
  </w:num>
  <w:num w:numId="38">
    <w:abstractNumId w:val="3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7"/>
  </w:num>
  <w:num w:numId="48">
    <w:abstractNumId w:val="26"/>
  </w:num>
  <w:num w:numId="49">
    <w:abstractNumId w:val="41"/>
  </w:num>
  <w:num w:numId="50">
    <w:abstractNumId w:val="6"/>
  </w:num>
  <w:num w:numId="51">
    <w:abstractNumId w:val="36"/>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11710"/>
    <w:rsid w:val="00015DBE"/>
    <w:rsid w:val="00035341"/>
    <w:rsid w:val="00037E1E"/>
    <w:rsid w:val="00040BFC"/>
    <w:rsid w:val="00051460"/>
    <w:rsid w:val="00052163"/>
    <w:rsid w:val="00052A2A"/>
    <w:rsid w:val="000571AD"/>
    <w:rsid w:val="00065D01"/>
    <w:rsid w:val="00071F08"/>
    <w:rsid w:val="00072B46"/>
    <w:rsid w:val="0007746C"/>
    <w:rsid w:val="0008003D"/>
    <w:rsid w:val="00081ED3"/>
    <w:rsid w:val="0008257D"/>
    <w:rsid w:val="00094BD4"/>
    <w:rsid w:val="00096C8C"/>
    <w:rsid w:val="0009708B"/>
    <w:rsid w:val="000A5B19"/>
    <w:rsid w:val="000A739B"/>
    <w:rsid w:val="000B4F99"/>
    <w:rsid w:val="000B5097"/>
    <w:rsid w:val="000C31CF"/>
    <w:rsid w:val="000C7AAC"/>
    <w:rsid w:val="000D6619"/>
    <w:rsid w:val="000E08CF"/>
    <w:rsid w:val="000E0D43"/>
    <w:rsid w:val="000E1B66"/>
    <w:rsid w:val="000E1F64"/>
    <w:rsid w:val="000E621C"/>
    <w:rsid w:val="000F08CF"/>
    <w:rsid w:val="000F0DA6"/>
    <w:rsid w:val="000F6A3D"/>
    <w:rsid w:val="000F768E"/>
    <w:rsid w:val="001032CA"/>
    <w:rsid w:val="001048C0"/>
    <w:rsid w:val="00105953"/>
    <w:rsid w:val="00105BBF"/>
    <w:rsid w:val="00111E9F"/>
    <w:rsid w:val="0011266F"/>
    <w:rsid w:val="0011286D"/>
    <w:rsid w:val="00113818"/>
    <w:rsid w:val="00121C24"/>
    <w:rsid w:val="001266DB"/>
    <w:rsid w:val="00127BE7"/>
    <w:rsid w:val="00130E47"/>
    <w:rsid w:val="00131D19"/>
    <w:rsid w:val="001340A2"/>
    <w:rsid w:val="00135706"/>
    <w:rsid w:val="00135C9D"/>
    <w:rsid w:val="00141FBB"/>
    <w:rsid w:val="001436BD"/>
    <w:rsid w:val="00152DA6"/>
    <w:rsid w:val="00166BFF"/>
    <w:rsid w:val="0017223F"/>
    <w:rsid w:val="0017411A"/>
    <w:rsid w:val="001833DC"/>
    <w:rsid w:val="00185088"/>
    <w:rsid w:val="00194C41"/>
    <w:rsid w:val="00197D9D"/>
    <w:rsid w:val="001A1A5D"/>
    <w:rsid w:val="001B1CCF"/>
    <w:rsid w:val="001C643C"/>
    <w:rsid w:val="001C70EF"/>
    <w:rsid w:val="001D6C4B"/>
    <w:rsid w:val="001E31B7"/>
    <w:rsid w:val="001E7082"/>
    <w:rsid w:val="001E7F06"/>
    <w:rsid w:val="001F6CDE"/>
    <w:rsid w:val="00201B8E"/>
    <w:rsid w:val="002035A8"/>
    <w:rsid w:val="00204321"/>
    <w:rsid w:val="0020647A"/>
    <w:rsid w:val="00211A0E"/>
    <w:rsid w:val="00212BA9"/>
    <w:rsid w:val="00213A8D"/>
    <w:rsid w:val="0021462B"/>
    <w:rsid w:val="00214C25"/>
    <w:rsid w:val="00234A2B"/>
    <w:rsid w:val="00242978"/>
    <w:rsid w:val="0024341A"/>
    <w:rsid w:val="00247BDA"/>
    <w:rsid w:val="00250708"/>
    <w:rsid w:val="00251713"/>
    <w:rsid w:val="002549C8"/>
    <w:rsid w:val="002555E6"/>
    <w:rsid w:val="002566E0"/>
    <w:rsid w:val="002620FA"/>
    <w:rsid w:val="002676BB"/>
    <w:rsid w:val="00277224"/>
    <w:rsid w:val="00284EA9"/>
    <w:rsid w:val="00287E67"/>
    <w:rsid w:val="00294A7E"/>
    <w:rsid w:val="002B1C9D"/>
    <w:rsid w:val="002B333B"/>
    <w:rsid w:val="002B506E"/>
    <w:rsid w:val="002B5D8A"/>
    <w:rsid w:val="002C18F1"/>
    <w:rsid w:val="002C1AAA"/>
    <w:rsid w:val="002C1D8B"/>
    <w:rsid w:val="002C46E8"/>
    <w:rsid w:val="002D1A0A"/>
    <w:rsid w:val="002D3C07"/>
    <w:rsid w:val="002D70BA"/>
    <w:rsid w:val="002E3F8A"/>
    <w:rsid w:val="002E7E09"/>
    <w:rsid w:val="00300945"/>
    <w:rsid w:val="00307696"/>
    <w:rsid w:val="00310F8B"/>
    <w:rsid w:val="00311EA4"/>
    <w:rsid w:val="00316FB0"/>
    <w:rsid w:val="00321E55"/>
    <w:rsid w:val="00322898"/>
    <w:rsid w:val="0032300E"/>
    <w:rsid w:val="00324094"/>
    <w:rsid w:val="00327A64"/>
    <w:rsid w:val="003323C2"/>
    <w:rsid w:val="003365A5"/>
    <w:rsid w:val="003370DB"/>
    <w:rsid w:val="0034026E"/>
    <w:rsid w:val="003441C9"/>
    <w:rsid w:val="00347B02"/>
    <w:rsid w:val="0035175C"/>
    <w:rsid w:val="00360D78"/>
    <w:rsid w:val="00367A4B"/>
    <w:rsid w:val="00370B73"/>
    <w:rsid w:val="003713EF"/>
    <w:rsid w:val="0037435C"/>
    <w:rsid w:val="00374368"/>
    <w:rsid w:val="00376AEA"/>
    <w:rsid w:val="00393E41"/>
    <w:rsid w:val="00397BD3"/>
    <w:rsid w:val="003A7503"/>
    <w:rsid w:val="003B2460"/>
    <w:rsid w:val="003B5404"/>
    <w:rsid w:val="003B6C18"/>
    <w:rsid w:val="003C0E3F"/>
    <w:rsid w:val="003C32B7"/>
    <w:rsid w:val="003C4862"/>
    <w:rsid w:val="003D63A4"/>
    <w:rsid w:val="003F6F4D"/>
    <w:rsid w:val="00400D96"/>
    <w:rsid w:val="00403150"/>
    <w:rsid w:val="00403D87"/>
    <w:rsid w:val="0041000E"/>
    <w:rsid w:val="00411E32"/>
    <w:rsid w:val="004153DD"/>
    <w:rsid w:val="00416BFE"/>
    <w:rsid w:val="00434D8C"/>
    <w:rsid w:val="00440B38"/>
    <w:rsid w:val="00452F29"/>
    <w:rsid w:val="0045457C"/>
    <w:rsid w:val="00456B09"/>
    <w:rsid w:val="004608D6"/>
    <w:rsid w:val="00460E83"/>
    <w:rsid w:val="0046529B"/>
    <w:rsid w:val="0046661F"/>
    <w:rsid w:val="00480A12"/>
    <w:rsid w:val="00486AD0"/>
    <w:rsid w:val="004872A3"/>
    <w:rsid w:val="00495680"/>
    <w:rsid w:val="004A3EEF"/>
    <w:rsid w:val="004A6E99"/>
    <w:rsid w:val="004A701D"/>
    <w:rsid w:val="004B16FF"/>
    <w:rsid w:val="004C2E9B"/>
    <w:rsid w:val="004D20C6"/>
    <w:rsid w:val="004D36C2"/>
    <w:rsid w:val="004E28BD"/>
    <w:rsid w:val="004E7B4B"/>
    <w:rsid w:val="004F2321"/>
    <w:rsid w:val="005323FC"/>
    <w:rsid w:val="0053592E"/>
    <w:rsid w:val="00541DD8"/>
    <w:rsid w:val="00543BF9"/>
    <w:rsid w:val="00545238"/>
    <w:rsid w:val="0054557E"/>
    <w:rsid w:val="0054722F"/>
    <w:rsid w:val="005502D7"/>
    <w:rsid w:val="00550CBA"/>
    <w:rsid w:val="00554312"/>
    <w:rsid w:val="00554838"/>
    <w:rsid w:val="00555C54"/>
    <w:rsid w:val="00583A38"/>
    <w:rsid w:val="00584154"/>
    <w:rsid w:val="00584301"/>
    <w:rsid w:val="00584D51"/>
    <w:rsid w:val="005936F1"/>
    <w:rsid w:val="005A3D2D"/>
    <w:rsid w:val="005A4B27"/>
    <w:rsid w:val="005B417C"/>
    <w:rsid w:val="005B4766"/>
    <w:rsid w:val="005C32B7"/>
    <w:rsid w:val="005C3E7C"/>
    <w:rsid w:val="005C4477"/>
    <w:rsid w:val="005D1FDD"/>
    <w:rsid w:val="005D2F71"/>
    <w:rsid w:val="005D5335"/>
    <w:rsid w:val="005D5974"/>
    <w:rsid w:val="005E33B1"/>
    <w:rsid w:val="005E38DF"/>
    <w:rsid w:val="005E529E"/>
    <w:rsid w:val="005E61C6"/>
    <w:rsid w:val="005F4C17"/>
    <w:rsid w:val="00601B54"/>
    <w:rsid w:val="0061113C"/>
    <w:rsid w:val="006208DD"/>
    <w:rsid w:val="00620D86"/>
    <w:rsid w:val="006211E5"/>
    <w:rsid w:val="00624F00"/>
    <w:rsid w:val="00630910"/>
    <w:rsid w:val="00633E8E"/>
    <w:rsid w:val="00635768"/>
    <w:rsid w:val="0064056B"/>
    <w:rsid w:val="006523E7"/>
    <w:rsid w:val="00655353"/>
    <w:rsid w:val="0065637A"/>
    <w:rsid w:val="00664841"/>
    <w:rsid w:val="0066515D"/>
    <w:rsid w:val="006666D2"/>
    <w:rsid w:val="00666C2B"/>
    <w:rsid w:val="00667D01"/>
    <w:rsid w:val="00675BFB"/>
    <w:rsid w:val="0068291E"/>
    <w:rsid w:val="00682DEC"/>
    <w:rsid w:val="00683D21"/>
    <w:rsid w:val="00694026"/>
    <w:rsid w:val="0069487C"/>
    <w:rsid w:val="00696420"/>
    <w:rsid w:val="006A020D"/>
    <w:rsid w:val="006A157B"/>
    <w:rsid w:val="006A46EA"/>
    <w:rsid w:val="006A7A89"/>
    <w:rsid w:val="006B2FBC"/>
    <w:rsid w:val="006B3DD2"/>
    <w:rsid w:val="006B761D"/>
    <w:rsid w:val="006C022D"/>
    <w:rsid w:val="006C132D"/>
    <w:rsid w:val="006E1938"/>
    <w:rsid w:val="006F28D9"/>
    <w:rsid w:val="006F5E92"/>
    <w:rsid w:val="0072363D"/>
    <w:rsid w:val="00725E3E"/>
    <w:rsid w:val="007275D7"/>
    <w:rsid w:val="00727C91"/>
    <w:rsid w:val="0073058F"/>
    <w:rsid w:val="007439FE"/>
    <w:rsid w:val="007460D1"/>
    <w:rsid w:val="00747705"/>
    <w:rsid w:val="00753EB2"/>
    <w:rsid w:val="007546F8"/>
    <w:rsid w:val="00755B88"/>
    <w:rsid w:val="007563D8"/>
    <w:rsid w:val="007564EF"/>
    <w:rsid w:val="0076043D"/>
    <w:rsid w:val="0076130E"/>
    <w:rsid w:val="00764A77"/>
    <w:rsid w:val="00764D6F"/>
    <w:rsid w:val="00781BED"/>
    <w:rsid w:val="00783E5D"/>
    <w:rsid w:val="0078588B"/>
    <w:rsid w:val="0079208E"/>
    <w:rsid w:val="00793277"/>
    <w:rsid w:val="00793C93"/>
    <w:rsid w:val="0079631C"/>
    <w:rsid w:val="007A0A3F"/>
    <w:rsid w:val="007A4532"/>
    <w:rsid w:val="007A6FBF"/>
    <w:rsid w:val="007B277C"/>
    <w:rsid w:val="007C7939"/>
    <w:rsid w:val="007D1682"/>
    <w:rsid w:val="007D30A0"/>
    <w:rsid w:val="007E33B4"/>
    <w:rsid w:val="00813848"/>
    <w:rsid w:val="0081547F"/>
    <w:rsid w:val="008156F0"/>
    <w:rsid w:val="0081602C"/>
    <w:rsid w:val="008179A1"/>
    <w:rsid w:val="00827019"/>
    <w:rsid w:val="00831663"/>
    <w:rsid w:val="00833202"/>
    <w:rsid w:val="0083600D"/>
    <w:rsid w:val="008410FE"/>
    <w:rsid w:val="0085174C"/>
    <w:rsid w:val="00851CC0"/>
    <w:rsid w:val="008615C1"/>
    <w:rsid w:val="008804A8"/>
    <w:rsid w:val="00881410"/>
    <w:rsid w:val="00882E05"/>
    <w:rsid w:val="00887882"/>
    <w:rsid w:val="00890A37"/>
    <w:rsid w:val="0089482D"/>
    <w:rsid w:val="00895030"/>
    <w:rsid w:val="008A2242"/>
    <w:rsid w:val="008B6CF3"/>
    <w:rsid w:val="008B7CE3"/>
    <w:rsid w:val="008C1127"/>
    <w:rsid w:val="008C2486"/>
    <w:rsid w:val="008C50AB"/>
    <w:rsid w:val="008D116B"/>
    <w:rsid w:val="008D5B1B"/>
    <w:rsid w:val="008E2CB2"/>
    <w:rsid w:val="008E35E3"/>
    <w:rsid w:val="008E546A"/>
    <w:rsid w:val="008E6CC8"/>
    <w:rsid w:val="00902FB2"/>
    <w:rsid w:val="00906E1C"/>
    <w:rsid w:val="00921422"/>
    <w:rsid w:val="00925E93"/>
    <w:rsid w:val="00933D94"/>
    <w:rsid w:val="0094347C"/>
    <w:rsid w:val="00944D92"/>
    <w:rsid w:val="00945ECB"/>
    <w:rsid w:val="009549BE"/>
    <w:rsid w:val="00955177"/>
    <w:rsid w:val="00956EFE"/>
    <w:rsid w:val="009571A0"/>
    <w:rsid w:val="0095766D"/>
    <w:rsid w:val="009643B7"/>
    <w:rsid w:val="00965639"/>
    <w:rsid w:val="00976B31"/>
    <w:rsid w:val="00985CF2"/>
    <w:rsid w:val="00987BD7"/>
    <w:rsid w:val="009A0A9D"/>
    <w:rsid w:val="009A6EDB"/>
    <w:rsid w:val="009B0705"/>
    <w:rsid w:val="009C33E8"/>
    <w:rsid w:val="009C5EC5"/>
    <w:rsid w:val="009C6DA8"/>
    <w:rsid w:val="009D41B6"/>
    <w:rsid w:val="009F11C2"/>
    <w:rsid w:val="00A143F1"/>
    <w:rsid w:val="00A21C0C"/>
    <w:rsid w:val="00A250BF"/>
    <w:rsid w:val="00A304EB"/>
    <w:rsid w:val="00A35D1B"/>
    <w:rsid w:val="00A41184"/>
    <w:rsid w:val="00A47A1A"/>
    <w:rsid w:val="00A54897"/>
    <w:rsid w:val="00A56B91"/>
    <w:rsid w:val="00A86EA6"/>
    <w:rsid w:val="00A900FF"/>
    <w:rsid w:val="00A93866"/>
    <w:rsid w:val="00A97386"/>
    <w:rsid w:val="00A97DC2"/>
    <w:rsid w:val="00AB1DEB"/>
    <w:rsid w:val="00AB525F"/>
    <w:rsid w:val="00AB5C7C"/>
    <w:rsid w:val="00AC363F"/>
    <w:rsid w:val="00AD14BC"/>
    <w:rsid w:val="00AD3D63"/>
    <w:rsid w:val="00AD793E"/>
    <w:rsid w:val="00AE707B"/>
    <w:rsid w:val="00B075AB"/>
    <w:rsid w:val="00B27D50"/>
    <w:rsid w:val="00B31A7A"/>
    <w:rsid w:val="00B3294C"/>
    <w:rsid w:val="00B3611F"/>
    <w:rsid w:val="00B475AA"/>
    <w:rsid w:val="00B47721"/>
    <w:rsid w:val="00B52919"/>
    <w:rsid w:val="00B60302"/>
    <w:rsid w:val="00B62467"/>
    <w:rsid w:val="00B70D29"/>
    <w:rsid w:val="00B76D18"/>
    <w:rsid w:val="00B77951"/>
    <w:rsid w:val="00B80455"/>
    <w:rsid w:val="00B83816"/>
    <w:rsid w:val="00B90D2C"/>
    <w:rsid w:val="00B97795"/>
    <w:rsid w:val="00BA0294"/>
    <w:rsid w:val="00BA7AAC"/>
    <w:rsid w:val="00BB05D5"/>
    <w:rsid w:val="00BB135B"/>
    <w:rsid w:val="00BB542E"/>
    <w:rsid w:val="00BC304E"/>
    <w:rsid w:val="00BC5FF3"/>
    <w:rsid w:val="00BD300C"/>
    <w:rsid w:val="00BE2067"/>
    <w:rsid w:val="00BE2ABC"/>
    <w:rsid w:val="00BE59A4"/>
    <w:rsid w:val="00BF06D5"/>
    <w:rsid w:val="00BF73AC"/>
    <w:rsid w:val="00C03FA9"/>
    <w:rsid w:val="00C04BED"/>
    <w:rsid w:val="00C05D05"/>
    <w:rsid w:val="00C115B5"/>
    <w:rsid w:val="00C1221D"/>
    <w:rsid w:val="00C1525D"/>
    <w:rsid w:val="00C21FDF"/>
    <w:rsid w:val="00C27F80"/>
    <w:rsid w:val="00C56683"/>
    <w:rsid w:val="00C602BE"/>
    <w:rsid w:val="00C611B3"/>
    <w:rsid w:val="00C64C2B"/>
    <w:rsid w:val="00C73282"/>
    <w:rsid w:val="00C92D16"/>
    <w:rsid w:val="00CA2333"/>
    <w:rsid w:val="00CA36D1"/>
    <w:rsid w:val="00CA3BDB"/>
    <w:rsid w:val="00CB5A76"/>
    <w:rsid w:val="00CC1A43"/>
    <w:rsid w:val="00CC30D5"/>
    <w:rsid w:val="00CC3C70"/>
    <w:rsid w:val="00CC6DB5"/>
    <w:rsid w:val="00CE1A59"/>
    <w:rsid w:val="00CE3C87"/>
    <w:rsid w:val="00CF0FE8"/>
    <w:rsid w:val="00CF30CB"/>
    <w:rsid w:val="00CF44E4"/>
    <w:rsid w:val="00D1200F"/>
    <w:rsid w:val="00D15407"/>
    <w:rsid w:val="00D163CF"/>
    <w:rsid w:val="00D16603"/>
    <w:rsid w:val="00D20B2A"/>
    <w:rsid w:val="00D315D4"/>
    <w:rsid w:val="00D349A5"/>
    <w:rsid w:val="00D358A4"/>
    <w:rsid w:val="00D35B8B"/>
    <w:rsid w:val="00D4704A"/>
    <w:rsid w:val="00D47231"/>
    <w:rsid w:val="00D62485"/>
    <w:rsid w:val="00D6398B"/>
    <w:rsid w:val="00D66AE8"/>
    <w:rsid w:val="00D71B9D"/>
    <w:rsid w:val="00D72801"/>
    <w:rsid w:val="00D7656B"/>
    <w:rsid w:val="00D77582"/>
    <w:rsid w:val="00D84F77"/>
    <w:rsid w:val="00D8796B"/>
    <w:rsid w:val="00D93E9F"/>
    <w:rsid w:val="00DA2204"/>
    <w:rsid w:val="00DA3496"/>
    <w:rsid w:val="00DA7386"/>
    <w:rsid w:val="00DB5E67"/>
    <w:rsid w:val="00DB7429"/>
    <w:rsid w:val="00DC1755"/>
    <w:rsid w:val="00DC6E49"/>
    <w:rsid w:val="00DE0587"/>
    <w:rsid w:val="00DE252E"/>
    <w:rsid w:val="00DE3186"/>
    <w:rsid w:val="00DE6B77"/>
    <w:rsid w:val="00DF7D6D"/>
    <w:rsid w:val="00E02F47"/>
    <w:rsid w:val="00E0533F"/>
    <w:rsid w:val="00E061E4"/>
    <w:rsid w:val="00E13E6E"/>
    <w:rsid w:val="00E21EC0"/>
    <w:rsid w:val="00E22DAF"/>
    <w:rsid w:val="00E2616F"/>
    <w:rsid w:val="00E2797C"/>
    <w:rsid w:val="00E378D8"/>
    <w:rsid w:val="00E37D85"/>
    <w:rsid w:val="00E42DCB"/>
    <w:rsid w:val="00E460D8"/>
    <w:rsid w:val="00E57C18"/>
    <w:rsid w:val="00E64244"/>
    <w:rsid w:val="00E6583E"/>
    <w:rsid w:val="00E70BFC"/>
    <w:rsid w:val="00E74514"/>
    <w:rsid w:val="00E76DCA"/>
    <w:rsid w:val="00E828ED"/>
    <w:rsid w:val="00E8665D"/>
    <w:rsid w:val="00E875D4"/>
    <w:rsid w:val="00EA0885"/>
    <w:rsid w:val="00EB42C7"/>
    <w:rsid w:val="00EB5383"/>
    <w:rsid w:val="00EB67D8"/>
    <w:rsid w:val="00EC300B"/>
    <w:rsid w:val="00EC46D8"/>
    <w:rsid w:val="00EC551F"/>
    <w:rsid w:val="00ED22B7"/>
    <w:rsid w:val="00EE7105"/>
    <w:rsid w:val="00F00092"/>
    <w:rsid w:val="00F16FDD"/>
    <w:rsid w:val="00F20BB8"/>
    <w:rsid w:val="00F22DC9"/>
    <w:rsid w:val="00F30066"/>
    <w:rsid w:val="00F43279"/>
    <w:rsid w:val="00F4437B"/>
    <w:rsid w:val="00F530AD"/>
    <w:rsid w:val="00F565FC"/>
    <w:rsid w:val="00F708A3"/>
    <w:rsid w:val="00F73806"/>
    <w:rsid w:val="00F822F6"/>
    <w:rsid w:val="00F85AA4"/>
    <w:rsid w:val="00F92602"/>
    <w:rsid w:val="00F945BA"/>
    <w:rsid w:val="00FA4496"/>
    <w:rsid w:val="00FA6993"/>
    <w:rsid w:val="00FC0A33"/>
    <w:rsid w:val="00FC0D43"/>
    <w:rsid w:val="00FC75A4"/>
    <w:rsid w:val="00FD3CC4"/>
    <w:rsid w:val="00FD6179"/>
    <w:rsid w:val="00FD74FD"/>
    <w:rsid w:val="00FD7646"/>
    <w:rsid w:val="00FE2FC8"/>
    <w:rsid w:val="00FE4641"/>
    <w:rsid w:val="00FE4B20"/>
    <w:rsid w:val="00FF01DB"/>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07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1341-9A43-4D56-A22D-27730D8BDC44}">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8c0b6b05-eb82-4bda-97e8-cd82d0d6b453"/>
    <ds:schemaRef ds:uri="http://schemas.microsoft.com/office/2006/metadata/properties"/>
    <ds:schemaRef ds:uri="http://purl.org/dc/elements/1.1/"/>
    <ds:schemaRef ds:uri="http://schemas.microsoft.com/office/infopath/2007/PartnerControls"/>
    <ds:schemaRef ds:uri="aedd258d-19a7-41ba-8260-b0918f25313d"/>
  </ds:schemaRefs>
</ds:datastoreItem>
</file>

<file path=customXml/itemProps4.xml><?xml version="1.0" encoding="utf-8"?>
<ds:datastoreItem xmlns:ds="http://schemas.openxmlformats.org/officeDocument/2006/customXml" ds:itemID="{F2732F09-9C4B-4137-AE7D-774CADD0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2631</Words>
  <Characters>14999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2023-09-25T12:58:00Z</cp:lastPrinted>
  <dcterms:created xsi:type="dcterms:W3CDTF">2023-09-25T12:56:00Z</dcterms:created>
  <dcterms:modified xsi:type="dcterms:W3CDTF">2023-10-19T15:32:00Z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