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E00" w:rsidRPr="00E42B7D" w:rsidRDefault="00BB2E00" w:rsidP="00BB2E00">
      <w:pPr>
        <w:pBdr>
          <w:top w:val="single" w:sz="12" w:space="0" w:color="auto" w:shadow="1"/>
          <w:left w:val="single" w:sz="12" w:space="4" w:color="auto" w:shadow="1"/>
          <w:bottom w:val="single" w:sz="12" w:space="1" w:color="auto" w:shadow="1"/>
          <w:right w:val="single" w:sz="12" w:space="7" w:color="auto" w:shadow="1"/>
        </w:pBdr>
        <w:spacing w:after="0" w:line="240" w:lineRule="auto"/>
        <w:ind w:right="4490"/>
        <w:rPr>
          <w:rFonts w:cstheme="minorHAnsi"/>
          <w:bCs/>
        </w:rPr>
      </w:pPr>
      <w:r w:rsidRPr="00E42B7D">
        <w:rPr>
          <w:rFonts w:cstheme="minorHAnsi"/>
          <w:bCs/>
        </w:rPr>
        <w:t xml:space="preserve">THE CONVENTION ON WETLANDS </w:t>
      </w:r>
    </w:p>
    <w:p w:rsidR="00BB2E00" w:rsidRPr="00E42B7D" w:rsidRDefault="00BB2E00" w:rsidP="00BB2E00">
      <w:pPr>
        <w:pBdr>
          <w:top w:val="single" w:sz="12" w:space="0" w:color="auto" w:shadow="1"/>
          <w:left w:val="single" w:sz="12" w:space="4" w:color="auto" w:shadow="1"/>
          <w:bottom w:val="single" w:sz="12" w:space="1" w:color="auto" w:shadow="1"/>
          <w:right w:val="single" w:sz="12" w:space="7" w:color="auto" w:shadow="1"/>
        </w:pBdr>
        <w:spacing w:after="0" w:line="240" w:lineRule="auto"/>
        <w:ind w:right="4490"/>
        <w:rPr>
          <w:rFonts w:cstheme="minorHAnsi"/>
          <w:bCs/>
        </w:rPr>
      </w:pPr>
      <w:r w:rsidRPr="00E42B7D">
        <w:rPr>
          <w:rFonts w:cstheme="minorHAnsi"/>
          <w:bCs/>
        </w:rPr>
        <w:t>62nd meeting of the Standing Committee</w:t>
      </w:r>
    </w:p>
    <w:p w:rsidR="00BB2E00" w:rsidRPr="00E42B7D" w:rsidRDefault="00BB2E00" w:rsidP="00BB2E00">
      <w:pPr>
        <w:pBdr>
          <w:top w:val="single" w:sz="12" w:space="0" w:color="auto" w:shadow="1"/>
          <w:left w:val="single" w:sz="12" w:space="4" w:color="auto" w:shadow="1"/>
          <w:bottom w:val="single" w:sz="12" w:space="1" w:color="auto" w:shadow="1"/>
          <w:right w:val="single" w:sz="12" w:space="7" w:color="auto" w:shadow="1"/>
        </w:pBdr>
        <w:spacing w:after="0" w:line="240" w:lineRule="auto"/>
        <w:ind w:right="4490"/>
        <w:rPr>
          <w:rFonts w:cstheme="minorHAnsi"/>
          <w:bCs/>
        </w:rPr>
      </w:pPr>
      <w:r w:rsidRPr="00E42B7D">
        <w:rPr>
          <w:rFonts w:cstheme="minorHAnsi"/>
          <w:bCs/>
        </w:rPr>
        <w:t>Gland, Switzerland, 4-8 September 2023</w:t>
      </w:r>
    </w:p>
    <w:p w:rsidR="00BB2E00" w:rsidRPr="00DD4092" w:rsidRDefault="00BB2E00" w:rsidP="00BB2E00">
      <w:pPr>
        <w:spacing w:after="0" w:line="240" w:lineRule="auto"/>
        <w:jc w:val="right"/>
        <w:rPr>
          <w:rFonts w:cstheme="minorHAnsi"/>
          <w:b/>
          <w:sz w:val="28"/>
          <w:szCs w:val="28"/>
        </w:rPr>
      </w:pPr>
    </w:p>
    <w:p w:rsidR="00BB2E00" w:rsidRPr="00DD4092" w:rsidRDefault="00BB2E00" w:rsidP="00BB2E00">
      <w:pPr>
        <w:spacing w:after="0" w:line="240" w:lineRule="auto"/>
        <w:jc w:val="right"/>
        <w:rPr>
          <w:rFonts w:cstheme="minorHAnsi"/>
          <w:sz w:val="28"/>
          <w:szCs w:val="28"/>
        </w:rPr>
      </w:pPr>
      <w:r w:rsidRPr="00DD4092">
        <w:rPr>
          <w:rFonts w:cstheme="minorHAnsi"/>
          <w:b/>
          <w:sz w:val="28"/>
          <w:szCs w:val="28"/>
        </w:rPr>
        <w:t>SC62 Doc.</w:t>
      </w:r>
      <w:r>
        <w:rPr>
          <w:rFonts w:cstheme="minorHAnsi"/>
          <w:b/>
          <w:sz w:val="28"/>
          <w:szCs w:val="28"/>
        </w:rPr>
        <w:t>26</w:t>
      </w:r>
      <w:r w:rsidR="00A06F26">
        <w:rPr>
          <w:rFonts w:cstheme="minorHAnsi"/>
          <w:b/>
          <w:sz w:val="28"/>
          <w:szCs w:val="28"/>
        </w:rPr>
        <w:t xml:space="preserve"> Rev.1</w:t>
      </w:r>
    </w:p>
    <w:p w:rsidR="00BB2E00" w:rsidRPr="00DD4092" w:rsidRDefault="00BB2E00" w:rsidP="00BB2E00">
      <w:pPr>
        <w:spacing w:after="0" w:line="240" w:lineRule="auto"/>
        <w:jc w:val="center"/>
        <w:rPr>
          <w:rFonts w:cstheme="minorHAnsi"/>
          <w:b/>
          <w:sz w:val="28"/>
          <w:szCs w:val="28"/>
        </w:rPr>
      </w:pPr>
    </w:p>
    <w:p w:rsidR="00BB2E00" w:rsidRDefault="00BB2E00" w:rsidP="00BB2E00">
      <w:pPr>
        <w:spacing w:after="0" w:line="240" w:lineRule="auto"/>
        <w:jc w:val="center"/>
        <w:rPr>
          <w:rFonts w:cstheme="minorHAnsi"/>
          <w:b/>
          <w:sz w:val="28"/>
          <w:szCs w:val="28"/>
        </w:rPr>
      </w:pPr>
      <w:r w:rsidRPr="00BB2E00">
        <w:rPr>
          <w:rFonts w:cstheme="minorHAnsi"/>
          <w:b/>
          <w:sz w:val="28"/>
          <w:szCs w:val="28"/>
        </w:rPr>
        <w:t>Wetland City Accreditation</w:t>
      </w:r>
      <w:r w:rsidR="00DA4C31">
        <w:rPr>
          <w:rFonts w:cstheme="minorHAnsi"/>
          <w:b/>
          <w:sz w:val="28"/>
          <w:szCs w:val="28"/>
        </w:rPr>
        <w:t>:</w:t>
      </w:r>
    </w:p>
    <w:p w:rsidR="00BB2E00" w:rsidRPr="00DD4092" w:rsidRDefault="00BB2E00" w:rsidP="00BB2E00">
      <w:pPr>
        <w:spacing w:after="0" w:line="240" w:lineRule="auto"/>
        <w:jc w:val="center"/>
        <w:rPr>
          <w:rFonts w:cstheme="minorHAnsi"/>
          <w:b/>
          <w:sz w:val="28"/>
          <w:szCs w:val="28"/>
        </w:rPr>
      </w:pPr>
      <w:r w:rsidRPr="00BB2E00">
        <w:rPr>
          <w:rFonts w:cstheme="minorHAnsi"/>
          <w:b/>
          <w:sz w:val="28"/>
          <w:szCs w:val="28"/>
        </w:rPr>
        <w:t>Establishment of the Independent Advisory Committee (IAC)</w:t>
      </w:r>
    </w:p>
    <w:p w:rsidR="00BB2E00" w:rsidRDefault="00BB2E00" w:rsidP="00BB2E00">
      <w:pPr>
        <w:shd w:val="clear" w:color="auto" w:fill="FFFFFF"/>
        <w:spacing w:after="0" w:line="240" w:lineRule="auto"/>
        <w:rPr>
          <w:rFonts w:eastAsia="Times New Roman" w:cstheme="minorHAnsi"/>
          <w:color w:val="222222"/>
          <w:lang w:eastAsia="en-ZA"/>
        </w:rPr>
      </w:pPr>
    </w:p>
    <w:p w:rsidR="00BB2E00" w:rsidRDefault="00BB2E00" w:rsidP="00BB2E00">
      <w:pPr>
        <w:shd w:val="clear" w:color="auto" w:fill="FFFFFF"/>
        <w:spacing w:after="0" w:line="240" w:lineRule="auto"/>
        <w:rPr>
          <w:rFonts w:eastAsia="Times New Roman" w:cstheme="minorHAnsi"/>
          <w:color w:val="222222"/>
          <w:lang w:eastAsia="en-ZA"/>
        </w:rPr>
      </w:pPr>
    </w:p>
    <w:p w:rsidR="00146BEF" w:rsidRPr="00146BEF" w:rsidRDefault="00146BEF" w:rsidP="00BB2E00">
      <w:pPr>
        <w:shd w:val="clear" w:color="auto" w:fill="FFFFFF"/>
        <w:spacing w:after="0" w:line="240" w:lineRule="auto"/>
        <w:rPr>
          <w:rFonts w:eastAsia="Times New Roman" w:cstheme="minorHAnsi"/>
          <w:i/>
          <w:color w:val="222222"/>
          <w:lang w:eastAsia="en-ZA"/>
        </w:rPr>
      </w:pPr>
      <w:r w:rsidRPr="00146BEF">
        <w:rPr>
          <w:rFonts w:eastAsia="Times New Roman" w:cstheme="minorHAnsi"/>
          <w:i/>
          <w:color w:val="222222"/>
          <w:lang w:eastAsia="en-ZA"/>
        </w:rPr>
        <w:t>Submitted by: IAC co-chairs</w:t>
      </w:r>
    </w:p>
    <w:p w:rsidR="00C46F23" w:rsidRDefault="00C46F23" w:rsidP="00BB2E00">
      <w:pPr>
        <w:shd w:val="clear" w:color="auto" w:fill="FFFFFF"/>
        <w:spacing w:after="0" w:line="240" w:lineRule="auto"/>
        <w:rPr>
          <w:rFonts w:eastAsia="Times New Roman" w:cstheme="minorHAnsi"/>
          <w:color w:val="222222"/>
          <w:lang w:eastAsia="en-ZA"/>
        </w:rPr>
      </w:pPr>
    </w:p>
    <w:p w:rsidR="00C46F23" w:rsidRDefault="00A06F26" w:rsidP="0005407E">
      <w:pPr>
        <w:autoSpaceDE w:val="0"/>
        <w:autoSpaceDN w:val="0"/>
        <w:adjustRightInd w:val="0"/>
        <w:spacing w:after="0" w:line="240" w:lineRule="auto"/>
        <w:rPr>
          <w:rFonts w:eastAsiaTheme="minorHAnsi" w:cs="Calibri-Bold"/>
          <w:b/>
          <w:bCs/>
        </w:rPr>
      </w:pPr>
      <w:r>
        <w:rPr>
          <w:noProof/>
          <w:lang w:val="en-GB" w:eastAsia="en-GB"/>
        </w:rPr>
        <mc:AlternateContent>
          <mc:Choice Requires="wps">
            <w:drawing>
              <wp:inline distT="0" distB="0" distL="0" distR="0">
                <wp:extent cx="5840095" cy="942975"/>
                <wp:effectExtent l="9525" t="5715" r="8255" b="133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942975"/>
                        </a:xfrm>
                        <a:prstGeom prst="rect">
                          <a:avLst/>
                        </a:prstGeom>
                        <a:solidFill>
                          <a:srgbClr val="FFFFFF"/>
                        </a:solidFill>
                        <a:ln w="9525">
                          <a:solidFill>
                            <a:srgbClr val="000000"/>
                          </a:solidFill>
                          <a:miter lim="800000"/>
                          <a:headEnd/>
                          <a:tailEnd/>
                        </a:ln>
                      </wps:spPr>
                      <wps:txbx>
                        <w:txbxContent>
                          <w:p w:rsidR="00C3776A" w:rsidRDefault="00C3776A" w:rsidP="00C46F23">
                            <w:pPr>
                              <w:spacing w:after="0" w:line="240" w:lineRule="auto"/>
                              <w:rPr>
                                <w:b/>
                                <w:bCs/>
                              </w:rPr>
                            </w:pPr>
                            <w:r>
                              <w:rPr>
                                <w:b/>
                                <w:bCs/>
                              </w:rPr>
                              <w:t xml:space="preserve">Actions requested: </w:t>
                            </w:r>
                          </w:p>
                          <w:p w:rsidR="00C3776A" w:rsidRDefault="00C3776A" w:rsidP="00C46F23">
                            <w:pPr>
                              <w:pStyle w:val="ColorfulList-Accent11"/>
                              <w:ind w:left="0"/>
                            </w:pPr>
                          </w:p>
                          <w:p w:rsidR="00C3776A" w:rsidRDefault="00C3776A" w:rsidP="00C46F23">
                            <w:pPr>
                              <w:pStyle w:val="ColorfulList-Accent11"/>
                              <w:ind w:left="0" w:firstLine="0"/>
                              <w:rPr>
                                <w:rFonts w:cs="Calibri"/>
                              </w:rPr>
                            </w:pPr>
                            <w:r>
                              <w:t xml:space="preserve">The Standing Committee is </w:t>
                            </w:r>
                            <w:r>
                              <w:rPr>
                                <w:rFonts w:cs="Calibri"/>
                              </w:rPr>
                              <w:t>invited to confirm the membership of the Independent Advisory Committee, as described in Table 1 of the present document, for the 2023-20</w:t>
                            </w:r>
                            <w:r w:rsidR="005C0613">
                              <w:rPr>
                                <w:rFonts w:cs="Calibri"/>
                              </w:rPr>
                              <w:t>2</w:t>
                            </w:r>
                            <w:r>
                              <w:rPr>
                                <w:rFonts w:cs="Calibri"/>
                              </w:rPr>
                              <w:t>5 triennium.</w:t>
                            </w:r>
                          </w:p>
                          <w:p w:rsidR="00C3776A" w:rsidRDefault="00C3776A" w:rsidP="00C46F23">
                            <w:pPr>
                              <w:pStyle w:val="ColorfulList-Accent11"/>
                              <w:ind w:left="0" w:firstLine="0"/>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9.8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">
                <v:textbox>
                  <w:txbxContent>
                    <w:p w:rsidR="00C3776A" w:rsidRDefault="00C3776A" w:rsidP="00C46F23">
                      <w:pPr>
                        <w:spacing w:after="0" w:line="240" w:lineRule="auto"/>
                        <w:rPr>
                          <w:b/>
                          <w:bCs/>
                        </w:rPr>
                      </w:pPr>
                      <w:r>
                        <w:rPr>
                          <w:b/>
                          <w:bCs/>
                        </w:rPr>
                        <w:t xml:space="preserve">Actions requested: </w:t>
                      </w:r>
                    </w:p>
                    <w:p w:rsidR="00C3776A" w:rsidRDefault="00C3776A" w:rsidP="00C46F23">
                      <w:pPr>
                        <w:pStyle w:val="ColorfulList-Accent11"/>
                        <w:ind w:left="0"/>
                      </w:pPr>
                    </w:p>
                    <w:p w:rsidR="00C3776A" w:rsidRDefault="00C3776A" w:rsidP="00C46F23">
                      <w:pPr>
                        <w:pStyle w:val="ColorfulList-Accent11"/>
                        <w:ind w:left="0" w:firstLine="0"/>
                        <w:rPr>
                          <w:rFonts w:cs="Calibri"/>
                        </w:rPr>
                      </w:pPr>
                      <w:r>
                        <w:t xml:space="preserve">The Standing Committee is </w:t>
                      </w:r>
                      <w:r>
                        <w:rPr>
                          <w:rFonts w:cs="Calibri"/>
                        </w:rPr>
                        <w:t>invited to confirm the membership of the Independent Advisory Committee, as described in Table 1 of the present document, for the 2023-20</w:t>
                      </w:r>
                      <w:r w:rsidR="005C0613">
                        <w:rPr>
                          <w:rFonts w:cs="Calibri"/>
                        </w:rPr>
                        <w:t>2</w:t>
                      </w:r>
                      <w:r>
                        <w:rPr>
                          <w:rFonts w:cs="Calibri"/>
                        </w:rPr>
                        <w:t>5 triennium.</w:t>
                      </w:r>
                    </w:p>
                    <w:p w:rsidR="00C3776A" w:rsidRDefault="00C3776A" w:rsidP="00C46F23">
                      <w:pPr>
                        <w:pStyle w:val="ColorfulList-Accent11"/>
                        <w:ind w:left="0" w:firstLine="0"/>
                      </w:pPr>
                    </w:p>
                  </w:txbxContent>
                </v:textbox>
                <w10:anchorlock/>
              </v:shape>
            </w:pict>
          </mc:Fallback>
        </mc:AlternateContent>
      </w:r>
    </w:p>
    <w:p w:rsidR="00C46F23" w:rsidRPr="00BB2E00" w:rsidRDefault="00C46F23" w:rsidP="00BB2E00">
      <w:pPr>
        <w:shd w:val="clear" w:color="auto" w:fill="FFFFFF"/>
        <w:spacing w:after="0" w:line="240" w:lineRule="auto"/>
        <w:rPr>
          <w:rFonts w:eastAsia="Times New Roman" w:cstheme="minorHAnsi"/>
          <w:color w:val="222222"/>
          <w:lang w:eastAsia="en-ZA"/>
        </w:rPr>
      </w:pPr>
    </w:p>
    <w:p w:rsidR="00A7215D" w:rsidRPr="00BB2E00" w:rsidRDefault="00A7215D" w:rsidP="00BB2E00">
      <w:pPr>
        <w:shd w:val="clear" w:color="auto" w:fill="FFFFFF"/>
        <w:spacing w:after="0" w:line="240" w:lineRule="auto"/>
        <w:rPr>
          <w:rFonts w:eastAsia="Times New Roman" w:cstheme="minorHAnsi"/>
          <w:b/>
          <w:color w:val="222222"/>
          <w:lang w:eastAsia="en-ZA"/>
        </w:rPr>
      </w:pPr>
    </w:p>
    <w:p w:rsidR="00242C5E" w:rsidRPr="00BB2E00" w:rsidRDefault="00D112C9" w:rsidP="00D112C9">
      <w:pPr>
        <w:shd w:val="clear" w:color="auto" w:fill="FFFFFF"/>
        <w:spacing w:after="0" w:line="240" w:lineRule="auto"/>
        <w:ind w:left="426" w:hanging="426"/>
        <w:rPr>
          <w:rFonts w:eastAsia="Times New Roman" w:cstheme="minorHAnsi"/>
          <w:color w:val="222222"/>
          <w:lang w:eastAsia="en-ZA"/>
        </w:rPr>
      </w:pPr>
      <w:r>
        <w:rPr>
          <w:rFonts w:eastAsia="Times New Roman" w:cstheme="minorHAnsi"/>
          <w:color w:val="222222"/>
          <w:lang w:val="en-US" w:eastAsia="en-ZA"/>
        </w:rPr>
        <w:t>1.</w:t>
      </w:r>
      <w:r>
        <w:rPr>
          <w:rFonts w:eastAsia="Times New Roman" w:cstheme="minorHAnsi"/>
          <w:color w:val="222222"/>
          <w:lang w:val="en-US" w:eastAsia="en-ZA"/>
        </w:rPr>
        <w:tab/>
      </w:r>
      <w:r w:rsidR="000B0611" w:rsidRPr="00BB2E00">
        <w:rPr>
          <w:rFonts w:eastAsia="Times New Roman" w:cstheme="minorHAnsi"/>
          <w:color w:val="222222"/>
          <w:lang w:val="en-US" w:eastAsia="en-ZA"/>
        </w:rPr>
        <w:t>The new membership</w:t>
      </w:r>
      <w:r w:rsidR="0005407E">
        <w:rPr>
          <w:rFonts w:eastAsia="Times New Roman" w:cstheme="minorHAnsi"/>
          <w:color w:val="222222"/>
          <w:lang w:val="en-US" w:eastAsia="en-ZA"/>
        </w:rPr>
        <w:t xml:space="preserve"> of the </w:t>
      </w:r>
      <w:r w:rsidR="0005407E">
        <w:rPr>
          <w:rFonts w:cs="Calibri"/>
        </w:rPr>
        <w:t>Independent Advisory Committee</w:t>
      </w:r>
      <w:r w:rsidR="00F16E65">
        <w:rPr>
          <w:rFonts w:cs="Calibri" w:hint="eastAsia"/>
          <w:lang w:eastAsia="ko-KR"/>
        </w:rPr>
        <w:t xml:space="preserve"> </w:t>
      </w:r>
      <w:r w:rsidR="0005407E">
        <w:rPr>
          <w:rFonts w:eastAsia="Times New Roman" w:cstheme="minorHAnsi"/>
          <w:color w:val="222222"/>
          <w:lang w:val="en-US" w:eastAsia="en-ZA"/>
        </w:rPr>
        <w:t>(</w:t>
      </w:r>
      <w:r w:rsidR="0005407E" w:rsidRPr="00BB2E00">
        <w:rPr>
          <w:rFonts w:eastAsia="Times New Roman" w:cstheme="minorHAnsi"/>
          <w:color w:val="222222"/>
          <w:lang w:val="en-US" w:eastAsia="en-ZA"/>
        </w:rPr>
        <w:t>IAC</w:t>
      </w:r>
      <w:r w:rsidR="0005407E">
        <w:rPr>
          <w:rFonts w:eastAsia="Times New Roman" w:cstheme="minorHAnsi"/>
          <w:color w:val="222222"/>
          <w:lang w:val="en-US" w:eastAsia="en-ZA"/>
        </w:rPr>
        <w:t>)</w:t>
      </w:r>
      <w:r w:rsidR="000B0611" w:rsidRPr="00BB2E00">
        <w:rPr>
          <w:rFonts w:eastAsia="Times New Roman" w:cstheme="minorHAnsi"/>
          <w:color w:val="222222"/>
          <w:lang w:val="en-US" w:eastAsia="en-ZA"/>
        </w:rPr>
        <w:t xml:space="preserve"> is to be presented to </w:t>
      </w:r>
      <w:r w:rsidR="001B175E">
        <w:rPr>
          <w:rFonts w:eastAsia="Times New Roman" w:cstheme="minorHAnsi"/>
          <w:color w:val="222222"/>
          <w:lang w:val="en-US" w:eastAsia="en-ZA"/>
        </w:rPr>
        <w:t>the 62nd meeting of the Standing Committee (</w:t>
      </w:r>
      <w:r w:rsidR="0064408B" w:rsidRPr="00EB30C3">
        <w:rPr>
          <w:rFonts w:eastAsia="Times New Roman" w:cstheme="minorHAnsi"/>
          <w:lang w:val="en-US" w:eastAsia="en-ZA"/>
        </w:rPr>
        <w:t>SC62</w:t>
      </w:r>
      <w:r w:rsidR="001B175E" w:rsidRPr="00EB30C3">
        <w:rPr>
          <w:rFonts w:eastAsia="Times New Roman" w:cstheme="minorHAnsi"/>
          <w:lang w:val="en-US" w:eastAsia="en-ZA"/>
        </w:rPr>
        <w:t>)</w:t>
      </w:r>
      <w:r w:rsidR="000B0611" w:rsidRPr="00EB30C3">
        <w:rPr>
          <w:rFonts w:eastAsia="Times New Roman" w:cstheme="minorHAnsi"/>
          <w:lang w:val="en-US" w:eastAsia="en-ZA"/>
        </w:rPr>
        <w:t> </w:t>
      </w:r>
      <w:r w:rsidR="000B0611" w:rsidRPr="00BB2E00">
        <w:rPr>
          <w:rFonts w:eastAsia="Times New Roman" w:cstheme="minorHAnsi"/>
          <w:color w:val="222222"/>
          <w:lang w:val="en-US" w:eastAsia="en-ZA"/>
        </w:rPr>
        <w:t>as agenda item 26.1.</w:t>
      </w:r>
      <w:r w:rsidR="00F16E65">
        <w:rPr>
          <w:rFonts w:cstheme="minorHAnsi" w:hint="eastAsia"/>
          <w:color w:val="222222"/>
          <w:lang w:val="en-US" w:eastAsia="ko-KR"/>
        </w:rPr>
        <w:t xml:space="preserve"> </w:t>
      </w:r>
      <w:r w:rsidR="00242C5E" w:rsidRPr="00BB2E00">
        <w:rPr>
          <w:rFonts w:eastAsia="Times New Roman" w:cstheme="minorHAnsi"/>
          <w:color w:val="222222"/>
          <w:lang w:eastAsia="en-ZA"/>
        </w:rPr>
        <w:t>Decisions that bear reference</w:t>
      </w:r>
      <w:r w:rsidR="001B175E">
        <w:rPr>
          <w:rFonts w:eastAsia="Times New Roman" w:cstheme="minorHAnsi"/>
          <w:color w:val="222222"/>
          <w:lang w:eastAsia="en-ZA"/>
        </w:rPr>
        <w:t xml:space="preserve"> include</w:t>
      </w:r>
      <w:r w:rsidR="00242C5E" w:rsidRPr="00BB2E00">
        <w:rPr>
          <w:rFonts w:eastAsia="Times New Roman" w:cstheme="minorHAnsi"/>
          <w:color w:val="222222"/>
          <w:lang w:eastAsia="en-ZA"/>
        </w:rPr>
        <w:t>:</w:t>
      </w:r>
    </w:p>
    <w:p w:rsidR="00A7215D" w:rsidRPr="00BB2E00" w:rsidRDefault="00A7215D" w:rsidP="00BB2E00">
      <w:pPr>
        <w:shd w:val="clear" w:color="auto" w:fill="FFFFFF"/>
        <w:spacing w:after="0" w:line="240" w:lineRule="auto"/>
        <w:rPr>
          <w:rFonts w:eastAsia="Times New Roman" w:cstheme="minorHAnsi"/>
          <w:color w:val="222222"/>
          <w:lang w:eastAsia="en-ZA"/>
        </w:rPr>
      </w:pPr>
    </w:p>
    <w:p w:rsidR="00242C5E" w:rsidRPr="00BB2E00" w:rsidRDefault="00242C5E" w:rsidP="00D112C9">
      <w:pPr>
        <w:pStyle w:val="ListParagraph"/>
        <w:numPr>
          <w:ilvl w:val="0"/>
          <w:numId w:val="1"/>
        </w:numPr>
        <w:shd w:val="clear" w:color="auto" w:fill="FFFFFF"/>
        <w:tabs>
          <w:tab w:val="clear" w:pos="720"/>
        </w:tabs>
        <w:spacing w:after="0" w:line="240" w:lineRule="auto"/>
        <w:ind w:left="851" w:hanging="425"/>
        <w:rPr>
          <w:rFonts w:eastAsia="Times New Roman" w:cstheme="minorHAnsi"/>
          <w:color w:val="222222"/>
          <w:lang w:eastAsia="en-ZA"/>
        </w:rPr>
      </w:pPr>
      <w:r w:rsidRPr="00BB2E00">
        <w:rPr>
          <w:rFonts w:eastAsia="Times New Roman" w:cstheme="minorHAnsi"/>
          <w:b/>
          <w:bCs/>
          <w:color w:val="222222"/>
          <w:lang w:val="en-US" w:eastAsia="en-ZA"/>
        </w:rPr>
        <w:t xml:space="preserve">Decision SC61-08: </w:t>
      </w:r>
      <w:r w:rsidRPr="00BB2E00">
        <w:rPr>
          <w:rFonts w:eastAsia="Times New Roman" w:cstheme="minorHAnsi"/>
          <w:bCs/>
          <w:color w:val="222222"/>
          <w:lang w:val="en-US" w:eastAsia="en-ZA"/>
        </w:rPr>
        <w:t>The Standing Committee appointed the Republic of Korea as the contact point to coordinate with support from the Secretariat the establishment of the new Independent Advisory Committee membership.</w:t>
      </w:r>
    </w:p>
    <w:p w:rsidR="00242C5E" w:rsidRPr="00BB2E00" w:rsidRDefault="00242C5E" w:rsidP="00D112C9">
      <w:pPr>
        <w:pStyle w:val="ListParagraph"/>
        <w:shd w:val="clear" w:color="auto" w:fill="FFFFFF"/>
        <w:spacing w:after="0" w:line="240" w:lineRule="auto"/>
        <w:ind w:left="851" w:hanging="425"/>
        <w:rPr>
          <w:rFonts w:eastAsia="Times New Roman" w:cstheme="minorHAnsi"/>
          <w:color w:val="222222"/>
          <w:lang w:eastAsia="en-ZA"/>
        </w:rPr>
      </w:pPr>
    </w:p>
    <w:p w:rsidR="00242C5E" w:rsidRPr="00BB2E00" w:rsidRDefault="00242C5E" w:rsidP="00D112C9">
      <w:pPr>
        <w:pStyle w:val="ListParagraph"/>
        <w:numPr>
          <w:ilvl w:val="0"/>
          <w:numId w:val="1"/>
        </w:numPr>
        <w:shd w:val="clear" w:color="auto" w:fill="FFFFFF"/>
        <w:tabs>
          <w:tab w:val="clear" w:pos="720"/>
        </w:tabs>
        <w:spacing w:after="0" w:line="240" w:lineRule="auto"/>
        <w:ind w:left="851" w:hanging="425"/>
        <w:rPr>
          <w:rFonts w:eastAsia="Times New Roman" w:cstheme="minorHAnsi"/>
          <w:color w:val="222222"/>
          <w:lang w:eastAsia="en-ZA"/>
        </w:rPr>
      </w:pPr>
      <w:r w:rsidRPr="00BB2E00">
        <w:rPr>
          <w:rFonts w:eastAsia="Times New Roman" w:cstheme="minorHAnsi"/>
          <w:b/>
          <w:bCs/>
          <w:color w:val="222222"/>
          <w:lang w:val="en-US" w:eastAsia="en-ZA"/>
        </w:rPr>
        <w:t xml:space="preserve">Decision SC61-09: </w:t>
      </w:r>
      <w:r w:rsidRPr="00BB2E00">
        <w:rPr>
          <w:rFonts w:eastAsia="Times New Roman" w:cstheme="minorHAnsi"/>
          <w:bCs/>
          <w:color w:val="222222"/>
          <w:lang w:val="en-US" w:eastAsia="en-ZA"/>
        </w:rPr>
        <w:t>The Standing Committee deferred the decision on the new membership of the Independent Advisory Committee to SC62 and acknowledged expressions of interest for membership of the Independent Advisory Committee from the following Contracting Parties: Rwanda, representing the Africa Region; China and Iran (Islamic Republic of), representing the Asia Region, and the Republic of Korea as the Technical Advisor; Czechia, representing the Europe Region; the United States of America, representing the North America Region; and Colombia, representing the Latin America and the Caribbean Region.</w:t>
      </w:r>
    </w:p>
    <w:p w:rsidR="00242C5E" w:rsidRPr="00BB2E00" w:rsidRDefault="00242C5E" w:rsidP="00BB2E00">
      <w:pPr>
        <w:shd w:val="clear" w:color="auto" w:fill="FFFFFF"/>
        <w:spacing w:after="0" w:line="240" w:lineRule="auto"/>
        <w:rPr>
          <w:rFonts w:eastAsia="Times New Roman" w:cstheme="minorHAnsi"/>
          <w:color w:val="222222"/>
          <w:lang w:eastAsia="en-ZA"/>
        </w:rPr>
      </w:pPr>
    </w:p>
    <w:p w:rsidR="00410585" w:rsidRPr="00BB2E00" w:rsidRDefault="00D112C9" w:rsidP="00D112C9">
      <w:pPr>
        <w:shd w:val="clear" w:color="auto" w:fill="FFFFFF"/>
        <w:spacing w:after="0" w:line="240" w:lineRule="auto"/>
        <w:ind w:left="426" w:hanging="426"/>
        <w:rPr>
          <w:rFonts w:eastAsia="Times New Roman" w:cstheme="minorHAnsi"/>
          <w:color w:val="222222"/>
          <w:lang w:val="en-US" w:eastAsia="en-ZA"/>
        </w:rPr>
      </w:pPr>
      <w:r w:rsidRPr="00D112C9">
        <w:rPr>
          <w:rFonts w:eastAsia="Times New Roman" w:cstheme="minorHAnsi"/>
          <w:bCs/>
          <w:color w:val="222222"/>
          <w:lang w:val="en-US" w:eastAsia="en-ZA"/>
        </w:rPr>
        <w:t>2.</w:t>
      </w:r>
      <w:r w:rsidRPr="00D112C9">
        <w:rPr>
          <w:rFonts w:eastAsia="Times New Roman" w:cstheme="minorHAnsi"/>
          <w:bCs/>
          <w:color w:val="222222"/>
          <w:lang w:val="en-US" w:eastAsia="en-ZA"/>
        </w:rPr>
        <w:tab/>
      </w:r>
      <w:r w:rsidR="00BE615B">
        <w:rPr>
          <w:rFonts w:eastAsia="Times New Roman" w:cstheme="minorHAnsi"/>
          <w:bCs/>
          <w:color w:val="222222"/>
          <w:lang w:val="en-US" w:eastAsia="en-ZA"/>
        </w:rPr>
        <w:t>Paragraph 1</w:t>
      </w:r>
      <w:r w:rsidR="00BE615B">
        <w:rPr>
          <w:rFonts w:cstheme="minorHAnsi" w:hint="eastAsia"/>
          <w:bCs/>
          <w:color w:val="222222"/>
          <w:lang w:val="en-US" w:eastAsia="ko-KR"/>
        </w:rPr>
        <w:t>6</w:t>
      </w:r>
      <w:r w:rsidR="00CC736F">
        <w:rPr>
          <w:rFonts w:cstheme="minorHAnsi" w:hint="eastAsia"/>
          <w:bCs/>
          <w:color w:val="222222"/>
          <w:lang w:val="en-US" w:eastAsia="ko-KR"/>
        </w:rPr>
        <w:t xml:space="preserve"> in</w:t>
      </w:r>
      <w:r w:rsidR="00410585" w:rsidRPr="00EB30C3">
        <w:rPr>
          <w:rFonts w:eastAsia="Times New Roman" w:cstheme="minorHAnsi"/>
          <w:bCs/>
          <w:color w:val="222222"/>
          <w:lang w:val="en-US" w:eastAsia="en-ZA"/>
        </w:rPr>
        <w:t xml:space="preserve"> Annex 2 </w:t>
      </w:r>
      <w:r w:rsidR="00410585" w:rsidRPr="00EB30C3">
        <w:rPr>
          <w:rFonts w:eastAsia="Times New Roman" w:cstheme="minorHAnsi"/>
          <w:bCs/>
          <w:lang w:val="en-US" w:eastAsia="en-ZA"/>
        </w:rPr>
        <w:t>of </w:t>
      </w:r>
      <w:r w:rsidR="001B175E" w:rsidRPr="00EB30C3">
        <w:rPr>
          <w:rFonts w:eastAsia="Times New Roman" w:cstheme="minorHAnsi"/>
          <w:bCs/>
          <w:lang w:val="en-US" w:eastAsia="en-ZA"/>
        </w:rPr>
        <w:t>Resolution XIV</w:t>
      </w:r>
      <w:r w:rsidR="00410585" w:rsidRPr="00EB30C3">
        <w:rPr>
          <w:rFonts w:eastAsia="Times New Roman" w:cstheme="minorHAnsi"/>
          <w:bCs/>
          <w:lang w:val="en-US" w:eastAsia="en-ZA"/>
        </w:rPr>
        <w:t>.10 </w:t>
      </w:r>
      <w:r w:rsidR="001B175E">
        <w:rPr>
          <w:rFonts w:eastAsia="Times New Roman" w:cstheme="minorHAnsi"/>
          <w:bCs/>
          <w:color w:val="222222"/>
          <w:lang w:val="en-US" w:eastAsia="en-ZA"/>
        </w:rPr>
        <w:t xml:space="preserve">on </w:t>
      </w:r>
      <w:r w:rsidR="001B175E" w:rsidRPr="00EB30C3">
        <w:rPr>
          <w:rFonts w:eastAsia="Times New Roman" w:cstheme="minorHAnsi"/>
          <w:bCs/>
          <w:i/>
          <w:color w:val="222222"/>
          <w:lang w:val="en-US" w:eastAsia="en-ZA"/>
        </w:rPr>
        <w:t>Updating the Wetland City Accreditation of the Convention</w:t>
      </w:r>
      <w:r w:rsidR="00410585" w:rsidRPr="00EB30C3">
        <w:rPr>
          <w:rFonts w:eastAsia="Times New Roman" w:cstheme="minorHAnsi"/>
          <w:bCs/>
          <w:color w:val="222222"/>
          <w:lang w:val="en-US" w:eastAsia="en-ZA"/>
        </w:rPr>
        <w:t xml:space="preserve"> prescribes the </w:t>
      </w:r>
      <w:r w:rsidR="00410585" w:rsidRPr="001B175E">
        <w:rPr>
          <w:rFonts w:eastAsia="Times New Roman" w:cstheme="minorHAnsi"/>
          <w:color w:val="222222"/>
          <w:lang w:val="en-US" w:eastAsia="en-ZA"/>
        </w:rPr>
        <w:t>com</w:t>
      </w:r>
      <w:r w:rsidR="00410585" w:rsidRPr="00BB2E00">
        <w:rPr>
          <w:rFonts w:eastAsia="Times New Roman" w:cstheme="minorHAnsi"/>
          <w:color w:val="222222"/>
          <w:lang w:val="en-US" w:eastAsia="en-ZA"/>
        </w:rPr>
        <w:t xml:space="preserve">position of the </w:t>
      </w:r>
      <w:r w:rsidR="0064408B">
        <w:rPr>
          <w:rFonts w:eastAsia="Times New Roman" w:cstheme="minorHAnsi"/>
          <w:color w:val="222222"/>
          <w:lang w:val="en-US" w:eastAsia="en-ZA"/>
        </w:rPr>
        <w:t>IAC</w:t>
      </w:r>
      <w:r w:rsidR="00410585" w:rsidRPr="00BB2E00">
        <w:rPr>
          <w:rFonts w:eastAsia="Times New Roman" w:cstheme="minorHAnsi"/>
          <w:color w:val="222222"/>
          <w:lang w:val="en-US" w:eastAsia="en-ZA"/>
        </w:rPr>
        <w:t xml:space="preserve"> as follows:</w:t>
      </w:r>
    </w:p>
    <w:p w:rsidR="004F1F86" w:rsidRPr="00BB2E00" w:rsidRDefault="004F1F86" w:rsidP="00BB2E00">
      <w:pPr>
        <w:shd w:val="clear" w:color="auto" w:fill="FFFFFF"/>
        <w:spacing w:after="0" w:line="240" w:lineRule="auto"/>
        <w:rPr>
          <w:rFonts w:eastAsia="Times New Roman" w:cstheme="minorHAnsi"/>
          <w:color w:val="222222"/>
          <w:lang w:eastAsia="en-ZA"/>
        </w:rPr>
      </w:pPr>
    </w:p>
    <w:p w:rsidR="00410585" w:rsidRPr="00BB2E00" w:rsidRDefault="00410585" w:rsidP="006A3F91">
      <w:pPr>
        <w:pStyle w:val="ListParagraph"/>
        <w:numPr>
          <w:ilvl w:val="0"/>
          <w:numId w:val="2"/>
        </w:numPr>
        <w:shd w:val="clear" w:color="auto" w:fill="FFFFFF"/>
        <w:spacing w:after="0" w:line="240" w:lineRule="auto"/>
        <w:ind w:left="851" w:right="-46" w:hanging="425"/>
        <w:rPr>
          <w:rFonts w:eastAsia="Times New Roman" w:cstheme="minorHAnsi"/>
          <w:color w:val="222222"/>
          <w:lang w:eastAsia="en-ZA"/>
        </w:rPr>
      </w:pPr>
      <w:r w:rsidRPr="00BB2E00">
        <w:rPr>
          <w:rFonts w:eastAsia="Times New Roman" w:cstheme="minorHAnsi"/>
          <w:color w:val="222222"/>
          <w:lang w:val="en-US" w:eastAsia="en-ZA"/>
        </w:rPr>
        <w:t>A Standing Committee member representative from each of the regions of the Convention;</w:t>
      </w:r>
    </w:p>
    <w:p w:rsidR="00410585" w:rsidRPr="00BB2E00" w:rsidRDefault="00410585" w:rsidP="006A3F91">
      <w:pPr>
        <w:pStyle w:val="ListParagraph"/>
        <w:numPr>
          <w:ilvl w:val="0"/>
          <w:numId w:val="2"/>
        </w:numPr>
        <w:shd w:val="clear" w:color="auto" w:fill="FFFFFF"/>
        <w:spacing w:after="0" w:line="240" w:lineRule="auto"/>
        <w:ind w:left="851" w:right="-46" w:hanging="425"/>
        <w:rPr>
          <w:rFonts w:eastAsia="Times New Roman" w:cstheme="minorHAnsi"/>
          <w:color w:val="222222"/>
          <w:lang w:eastAsia="en-ZA"/>
        </w:rPr>
      </w:pPr>
      <w:r w:rsidRPr="00BB2E00">
        <w:rPr>
          <w:rFonts w:eastAsia="Times New Roman" w:cstheme="minorHAnsi"/>
          <w:color w:val="222222"/>
          <w:lang w:val="en-US" w:eastAsia="en-ZA"/>
        </w:rPr>
        <w:t>A representative of the Convention’s International Organization Partners;</w:t>
      </w:r>
    </w:p>
    <w:p w:rsidR="00410585" w:rsidRPr="00BB2E00" w:rsidRDefault="00410585" w:rsidP="006A3F91">
      <w:pPr>
        <w:pStyle w:val="ListParagraph"/>
        <w:numPr>
          <w:ilvl w:val="0"/>
          <w:numId w:val="2"/>
        </w:numPr>
        <w:shd w:val="clear" w:color="auto" w:fill="FFFFFF"/>
        <w:spacing w:after="0" w:line="240" w:lineRule="auto"/>
        <w:ind w:left="851" w:right="-46" w:hanging="425"/>
        <w:rPr>
          <w:rFonts w:eastAsia="Times New Roman" w:cstheme="minorHAnsi"/>
          <w:color w:val="222222"/>
          <w:lang w:eastAsia="en-ZA"/>
        </w:rPr>
      </w:pPr>
      <w:r w:rsidRPr="00BB2E00">
        <w:rPr>
          <w:rFonts w:eastAsia="Times New Roman" w:cstheme="minorHAnsi"/>
          <w:color w:val="222222"/>
          <w:lang w:val="en-US" w:eastAsia="en-ZA"/>
        </w:rPr>
        <w:t>A representative of the United Nations Human Settlements Programme (UN-Habitat);</w:t>
      </w:r>
    </w:p>
    <w:p w:rsidR="00410585" w:rsidRPr="00BB2E00" w:rsidRDefault="00410585" w:rsidP="006A3F91">
      <w:pPr>
        <w:pStyle w:val="ListParagraph"/>
        <w:numPr>
          <w:ilvl w:val="0"/>
          <w:numId w:val="2"/>
        </w:numPr>
        <w:shd w:val="clear" w:color="auto" w:fill="FFFFFF"/>
        <w:spacing w:after="0" w:line="240" w:lineRule="auto"/>
        <w:ind w:left="851" w:right="-46" w:hanging="425"/>
        <w:rPr>
          <w:rFonts w:eastAsia="Times New Roman" w:cstheme="minorHAnsi"/>
          <w:color w:val="222222"/>
          <w:lang w:eastAsia="en-ZA"/>
        </w:rPr>
      </w:pPr>
      <w:r w:rsidRPr="00BB2E00">
        <w:rPr>
          <w:rFonts w:eastAsia="Times New Roman" w:cstheme="minorHAnsi"/>
          <w:color w:val="222222"/>
          <w:lang w:val="en-US" w:eastAsia="en-ZA"/>
        </w:rPr>
        <w:t>A representative from ICLEI-Local Governments for Sustainability (ICLEI);</w:t>
      </w:r>
    </w:p>
    <w:p w:rsidR="00410585" w:rsidRPr="00BB2E00" w:rsidRDefault="00410585" w:rsidP="006A3F91">
      <w:pPr>
        <w:pStyle w:val="ListParagraph"/>
        <w:numPr>
          <w:ilvl w:val="0"/>
          <w:numId w:val="2"/>
        </w:numPr>
        <w:shd w:val="clear" w:color="auto" w:fill="FFFFFF"/>
        <w:spacing w:after="0" w:line="240" w:lineRule="auto"/>
        <w:ind w:left="851" w:right="-46" w:hanging="425"/>
        <w:rPr>
          <w:rFonts w:eastAsia="Times New Roman" w:cstheme="minorHAnsi"/>
          <w:color w:val="222222"/>
          <w:lang w:eastAsia="en-ZA"/>
        </w:rPr>
      </w:pPr>
      <w:r w:rsidRPr="00BB2E00">
        <w:rPr>
          <w:rFonts w:eastAsia="Times New Roman" w:cstheme="minorHAnsi"/>
          <w:color w:val="222222"/>
          <w:lang w:val="en-US" w:eastAsia="en-ZA"/>
        </w:rPr>
        <w:t>A representative of the Scientific and Technical Review Panel of the Convention;</w:t>
      </w:r>
    </w:p>
    <w:p w:rsidR="00410585" w:rsidRPr="00BB2E00" w:rsidRDefault="00410585" w:rsidP="006A3F91">
      <w:pPr>
        <w:pStyle w:val="ListParagraph"/>
        <w:numPr>
          <w:ilvl w:val="0"/>
          <w:numId w:val="2"/>
        </w:numPr>
        <w:shd w:val="clear" w:color="auto" w:fill="FFFFFF"/>
        <w:spacing w:after="0" w:line="240" w:lineRule="auto"/>
        <w:ind w:left="851" w:right="-46" w:hanging="425"/>
        <w:rPr>
          <w:rFonts w:eastAsia="Times New Roman" w:cstheme="minorHAnsi"/>
          <w:color w:val="222222"/>
          <w:lang w:eastAsia="en-ZA"/>
        </w:rPr>
      </w:pPr>
      <w:r w:rsidRPr="00BB2E00">
        <w:rPr>
          <w:rFonts w:eastAsia="Times New Roman" w:cstheme="minorHAnsi"/>
          <w:color w:val="222222"/>
          <w:lang w:val="en-US" w:eastAsia="en-ZA"/>
        </w:rPr>
        <w:t>A representative of the Communication, Capacity Building, Education, Participation and Awareness (CEPA) Oversight Panel of the Convention;</w:t>
      </w:r>
    </w:p>
    <w:p w:rsidR="00410585" w:rsidRPr="00BB2E00" w:rsidRDefault="00410585" w:rsidP="006A3F91">
      <w:pPr>
        <w:pStyle w:val="ListParagraph"/>
        <w:numPr>
          <w:ilvl w:val="0"/>
          <w:numId w:val="2"/>
        </w:numPr>
        <w:shd w:val="clear" w:color="auto" w:fill="FFFFFF"/>
        <w:spacing w:after="0" w:line="240" w:lineRule="auto"/>
        <w:ind w:left="851" w:right="-46" w:hanging="425"/>
        <w:rPr>
          <w:rFonts w:eastAsia="Times New Roman" w:cstheme="minorHAnsi"/>
          <w:color w:val="222222"/>
          <w:lang w:eastAsia="en-ZA"/>
        </w:rPr>
      </w:pPr>
      <w:r w:rsidRPr="00BB2E00">
        <w:rPr>
          <w:rFonts w:eastAsia="Times New Roman" w:cstheme="minorHAnsi"/>
          <w:color w:val="222222"/>
          <w:lang w:val="en-US" w:eastAsia="en-ZA"/>
        </w:rPr>
        <w:t>Representatives of any concerned Ramsar Regional Initiatives; and</w:t>
      </w:r>
    </w:p>
    <w:p w:rsidR="00410585" w:rsidRPr="00BB2E00" w:rsidRDefault="00410585" w:rsidP="006A3F91">
      <w:pPr>
        <w:pStyle w:val="ListParagraph"/>
        <w:numPr>
          <w:ilvl w:val="0"/>
          <w:numId w:val="2"/>
        </w:numPr>
        <w:shd w:val="clear" w:color="auto" w:fill="FFFFFF"/>
        <w:spacing w:after="0" w:line="240" w:lineRule="auto"/>
        <w:ind w:left="851" w:right="-46" w:hanging="425"/>
        <w:rPr>
          <w:rFonts w:eastAsia="Times New Roman" w:cstheme="minorHAnsi"/>
          <w:color w:val="222222"/>
          <w:lang w:eastAsia="en-ZA"/>
        </w:rPr>
      </w:pPr>
      <w:r w:rsidRPr="00BB2E00">
        <w:rPr>
          <w:rFonts w:eastAsia="Times New Roman" w:cstheme="minorHAnsi"/>
          <w:color w:val="222222"/>
          <w:lang w:val="en-US" w:eastAsia="en-ZA"/>
        </w:rPr>
        <w:t>The Secretary General of the Convention or his/her designated representative (observer).</w:t>
      </w:r>
    </w:p>
    <w:p w:rsidR="00A7215D" w:rsidRDefault="00A7215D" w:rsidP="00BB2E00">
      <w:pPr>
        <w:shd w:val="clear" w:color="auto" w:fill="FFFFFF"/>
        <w:spacing w:after="0" w:line="240" w:lineRule="auto"/>
        <w:rPr>
          <w:rFonts w:cstheme="minorHAnsi"/>
          <w:color w:val="222222"/>
          <w:lang w:val="en-US" w:eastAsia="ko-KR"/>
        </w:rPr>
      </w:pPr>
    </w:p>
    <w:p w:rsidR="00BE615B" w:rsidRDefault="00A05DB9" w:rsidP="00D112C9">
      <w:pPr>
        <w:shd w:val="clear" w:color="auto" w:fill="FFFFFF"/>
        <w:spacing w:after="0" w:line="240" w:lineRule="auto"/>
        <w:ind w:left="426" w:hanging="426"/>
        <w:rPr>
          <w:lang w:eastAsia="ko-KR"/>
        </w:rPr>
      </w:pPr>
      <w:r w:rsidRPr="00781345">
        <w:rPr>
          <w:rFonts w:cstheme="minorHAnsi" w:hint="eastAsia"/>
          <w:bCs/>
          <w:color w:val="222222"/>
          <w:lang w:val="en-US" w:eastAsia="ko-KR"/>
        </w:rPr>
        <w:lastRenderedPageBreak/>
        <w:t>3</w:t>
      </w:r>
      <w:r w:rsidR="00BE615B" w:rsidRPr="00781345">
        <w:rPr>
          <w:rFonts w:eastAsia="Times New Roman" w:cstheme="minorHAnsi"/>
          <w:bCs/>
          <w:color w:val="222222"/>
          <w:lang w:val="en-US" w:eastAsia="en-ZA"/>
        </w:rPr>
        <w:t>.</w:t>
      </w:r>
      <w:r w:rsidR="00BE615B" w:rsidRPr="00781345">
        <w:rPr>
          <w:rFonts w:eastAsia="Times New Roman" w:cstheme="minorHAnsi"/>
          <w:bCs/>
          <w:color w:val="222222"/>
          <w:lang w:val="en-US" w:eastAsia="en-ZA"/>
        </w:rPr>
        <w:tab/>
      </w:r>
      <w:r w:rsidR="005B63DD" w:rsidRPr="00781345">
        <w:rPr>
          <w:rFonts w:cstheme="minorHAnsi" w:hint="eastAsia"/>
          <w:bCs/>
          <w:color w:val="222222"/>
          <w:lang w:val="en-US" w:eastAsia="ko-KR"/>
        </w:rPr>
        <w:t xml:space="preserve">Paragraph 17 in Annex 2 of the same </w:t>
      </w:r>
      <w:r w:rsidR="00303BDF" w:rsidRPr="00781345">
        <w:rPr>
          <w:rFonts w:cstheme="minorHAnsi" w:hint="eastAsia"/>
          <w:bCs/>
          <w:color w:val="222222"/>
          <w:lang w:val="en-US" w:eastAsia="ko-KR"/>
        </w:rPr>
        <w:t>R</w:t>
      </w:r>
      <w:r w:rsidR="005B63DD" w:rsidRPr="00781345">
        <w:rPr>
          <w:rFonts w:cstheme="minorHAnsi" w:hint="eastAsia"/>
          <w:bCs/>
          <w:color w:val="222222"/>
          <w:lang w:val="en-US" w:eastAsia="ko-KR"/>
        </w:rPr>
        <w:t xml:space="preserve">esolution also </w:t>
      </w:r>
      <w:r w:rsidR="004B78B9" w:rsidRPr="00781345">
        <w:rPr>
          <w:rFonts w:cstheme="minorHAnsi" w:hint="eastAsia"/>
          <w:bCs/>
          <w:color w:val="222222"/>
          <w:lang w:val="en-US" w:eastAsia="ko-KR"/>
        </w:rPr>
        <w:t>adds</w:t>
      </w:r>
      <w:r w:rsidR="00E50E18" w:rsidRPr="00781345">
        <w:rPr>
          <w:rFonts w:cstheme="minorHAnsi" w:hint="eastAsia"/>
          <w:bCs/>
          <w:color w:val="222222"/>
          <w:lang w:val="en-US" w:eastAsia="ko-KR"/>
        </w:rPr>
        <w:t xml:space="preserve"> </w:t>
      </w:r>
      <w:r w:rsidR="00F43706" w:rsidRPr="00781345">
        <w:rPr>
          <w:rFonts w:cstheme="minorHAnsi" w:hint="eastAsia"/>
          <w:bCs/>
          <w:color w:val="222222"/>
          <w:lang w:val="en-US" w:eastAsia="ko-KR"/>
        </w:rPr>
        <w:t xml:space="preserve">that </w:t>
      </w:r>
      <w:r w:rsidR="005B63DD" w:rsidRPr="00781345">
        <w:rPr>
          <w:rFonts w:hint="eastAsia"/>
          <w:lang w:eastAsia="ko-KR"/>
        </w:rPr>
        <w:t>t</w:t>
      </w:r>
      <w:r w:rsidR="005B63DD" w:rsidRPr="00781345">
        <w:t>echnical advisors may be co-opted to the IAC as required</w:t>
      </w:r>
      <w:r w:rsidRPr="00781345">
        <w:rPr>
          <w:rFonts w:hint="eastAsia"/>
          <w:lang w:eastAsia="ko-KR"/>
        </w:rPr>
        <w:t>,</w:t>
      </w:r>
      <w:r w:rsidR="005B63DD" w:rsidRPr="00781345">
        <w:t xml:space="preserve"> subject to approval by the Standing Committee.</w:t>
      </w:r>
    </w:p>
    <w:p w:rsidR="005B63DD" w:rsidRPr="005B63DD" w:rsidRDefault="005B63DD" w:rsidP="00D112C9">
      <w:pPr>
        <w:shd w:val="clear" w:color="auto" w:fill="FFFFFF"/>
        <w:spacing w:after="0" w:line="240" w:lineRule="auto"/>
        <w:ind w:left="426" w:hanging="426"/>
        <w:rPr>
          <w:rFonts w:cstheme="minorHAnsi"/>
          <w:bCs/>
          <w:color w:val="222222"/>
          <w:lang w:val="en-US" w:eastAsia="ko-KR"/>
        </w:rPr>
      </w:pPr>
    </w:p>
    <w:p w:rsidR="00C3106D" w:rsidRPr="00BB2E00" w:rsidRDefault="00A05DB9" w:rsidP="00D112C9">
      <w:pPr>
        <w:shd w:val="clear" w:color="auto" w:fill="FFFFFF"/>
        <w:spacing w:after="0" w:line="240" w:lineRule="auto"/>
        <w:ind w:left="426" w:hanging="426"/>
        <w:rPr>
          <w:rFonts w:eastAsia="Gulim" w:cstheme="minorHAnsi"/>
          <w:color w:val="000000"/>
        </w:rPr>
      </w:pPr>
      <w:r>
        <w:rPr>
          <w:rFonts w:cstheme="minorHAnsi" w:hint="eastAsia"/>
          <w:color w:val="222222"/>
          <w:lang w:val="en-US" w:eastAsia="ko-KR"/>
        </w:rPr>
        <w:t>4</w:t>
      </w:r>
      <w:r w:rsidR="00D112C9">
        <w:rPr>
          <w:rFonts w:eastAsia="Times New Roman" w:cstheme="minorHAnsi"/>
          <w:color w:val="222222"/>
          <w:lang w:val="en-US" w:eastAsia="en-ZA"/>
        </w:rPr>
        <w:t>.</w:t>
      </w:r>
      <w:r w:rsidR="00D112C9">
        <w:rPr>
          <w:rFonts w:eastAsia="Times New Roman" w:cstheme="minorHAnsi"/>
          <w:color w:val="222222"/>
          <w:lang w:val="en-US" w:eastAsia="en-ZA"/>
        </w:rPr>
        <w:tab/>
      </w:r>
      <w:r w:rsidR="00410585" w:rsidRPr="00BB2E00">
        <w:rPr>
          <w:rFonts w:eastAsia="Times New Roman" w:cstheme="minorHAnsi"/>
          <w:color w:val="222222"/>
          <w:lang w:val="en-US" w:eastAsia="en-ZA"/>
        </w:rPr>
        <w:t xml:space="preserve">In addition, </w:t>
      </w:r>
      <w:r w:rsidR="00410585" w:rsidRPr="00EB30C3">
        <w:rPr>
          <w:rFonts w:eastAsia="Times New Roman" w:cstheme="minorHAnsi"/>
          <w:bCs/>
          <w:color w:val="222222"/>
          <w:lang w:val="en-US" w:eastAsia="en-ZA"/>
        </w:rPr>
        <w:t>Annex 1</w:t>
      </w:r>
      <w:r w:rsidR="00410585" w:rsidRPr="001B175E">
        <w:rPr>
          <w:rFonts w:eastAsia="Times New Roman" w:cstheme="minorHAnsi"/>
          <w:color w:val="222222"/>
          <w:lang w:val="en-US" w:eastAsia="en-ZA"/>
        </w:rPr>
        <w:t> </w:t>
      </w:r>
      <w:r w:rsidR="00410585" w:rsidRPr="00EB30C3">
        <w:rPr>
          <w:rFonts w:eastAsia="Times New Roman" w:cstheme="minorHAnsi"/>
          <w:color w:val="222222"/>
          <w:lang w:val="en-US" w:eastAsia="en-ZA"/>
        </w:rPr>
        <w:t>of Resolution XIV.3</w:t>
      </w:r>
      <w:r w:rsidR="00410585" w:rsidRPr="00BB2E00">
        <w:rPr>
          <w:rFonts w:eastAsia="Times New Roman" w:cstheme="minorHAnsi"/>
          <w:color w:val="222222"/>
          <w:lang w:val="en-US" w:eastAsia="en-ZA"/>
        </w:rPr>
        <w:t xml:space="preserve"> on </w:t>
      </w:r>
      <w:r w:rsidR="001B175E" w:rsidRPr="00EB30C3">
        <w:rPr>
          <w:rFonts w:eastAsia="Times New Roman" w:cstheme="minorHAnsi"/>
          <w:i/>
          <w:color w:val="222222"/>
          <w:lang w:val="en-US" w:eastAsia="en-ZA"/>
        </w:rPr>
        <w:t>T</w:t>
      </w:r>
      <w:r w:rsidR="00410585" w:rsidRPr="00EB30C3">
        <w:rPr>
          <w:rFonts w:eastAsia="Times New Roman" w:cstheme="minorHAnsi"/>
          <w:i/>
          <w:color w:val="222222"/>
          <w:lang w:val="en-US" w:eastAsia="en-ZA"/>
        </w:rPr>
        <w:t>he effectiveness and efficiency of the Convention</w:t>
      </w:r>
      <w:r w:rsidR="00410585" w:rsidRPr="00BB2E00">
        <w:rPr>
          <w:rFonts w:eastAsia="Times New Roman" w:cstheme="minorHAnsi"/>
          <w:color w:val="222222"/>
          <w:lang w:val="en-US" w:eastAsia="en-ZA"/>
        </w:rPr>
        <w:t xml:space="preserve"> requires all Groups to designate a Chair and a Co-Chair who will serve as the group’s rapporteur over the triennium.</w:t>
      </w:r>
      <w:r w:rsidR="00D62602">
        <w:rPr>
          <w:rFonts w:cstheme="minorHAnsi" w:hint="eastAsia"/>
          <w:color w:val="222222"/>
          <w:lang w:val="en-US" w:eastAsia="ko-KR"/>
        </w:rPr>
        <w:t xml:space="preserve"> </w:t>
      </w:r>
      <w:r w:rsidR="00C3106D" w:rsidRPr="00BB2E00">
        <w:rPr>
          <w:rFonts w:eastAsia="Gulim" w:cstheme="minorHAnsi"/>
          <w:color w:val="000000"/>
        </w:rPr>
        <w:t xml:space="preserve">According to the </w:t>
      </w:r>
      <w:r w:rsidR="00C3106D" w:rsidRPr="00EB30C3">
        <w:rPr>
          <w:rFonts w:eastAsia="Gulim" w:cstheme="minorHAnsi"/>
          <w:color w:val="000000"/>
        </w:rPr>
        <w:t>IAC</w:t>
      </w:r>
      <w:r w:rsidR="001B175E" w:rsidRPr="00EB30C3">
        <w:rPr>
          <w:rFonts w:eastAsia="Gulim" w:cstheme="minorHAnsi"/>
          <w:color w:val="000000"/>
        </w:rPr>
        <w:t>’s</w:t>
      </w:r>
      <w:r w:rsidR="00F16E65">
        <w:rPr>
          <w:rFonts w:cstheme="minorHAnsi" w:hint="eastAsia"/>
          <w:color w:val="000000"/>
          <w:lang w:eastAsia="ko-KR"/>
        </w:rPr>
        <w:t xml:space="preserve"> </w:t>
      </w:r>
      <w:r w:rsidR="001B175E" w:rsidRPr="00EB30C3">
        <w:rPr>
          <w:rFonts w:eastAsia="Gulim" w:cstheme="minorHAnsi"/>
          <w:color w:val="000000"/>
        </w:rPr>
        <w:t xml:space="preserve">terms of reference </w:t>
      </w:r>
      <w:r w:rsidR="00C3106D" w:rsidRPr="00EB30C3">
        <w:rPr>
          <w:rFonts w:eastAsia="Gulim" w:cstheme="minorHAnsi"/>
          <w:color w:val="000000"/>
        </w:rPr>
        <w:t>in Annex 2</w:t>
      </w:r>
      <w:r w:rsidR="00C3106D" w:rsidRPr="001B175E">
        <w:rPr>
          <w:rFonts w:eastAsia="Gulim" w:cstheme="minorHAnsi"/>
          <w:color w:val="000000"/>
        </w:rPr>
        <w:t xml:space="preserve"> of </w:t>
      </w:r>
      <w:r w:rsidR="00C3106D" w:rsidRPr="00EB30C3">
        <w:rPr>
          <w:rFonts w:eastAsia="Gulim" w:cstheme="minorHAnsi"/>
          <w:color w:val="000000"/>
        </w:rPr>
        <w:t>Resolution XIV.10</w:t>
      </w:r>
      <w:r w:rsidR="00C3106D" w:rsidRPr="001B175E">
        <w:rPr>
          <w:rFonts w:eastAsia="Gulim" w:cstheme="minorHAnsi"/>
          <w:color w:val="000000"/>
        </w:rPr>
        <w:t>,</w:t>
      </w:r>
      <w:r w:rsidR="00F16E65">
        <w:rPr>
          <w:rFonts w:cstheme="minorHAnsi" w:hint="eastAsia"/>
          <w:color w:val="000000"/>
          <w:lang w:eastAsia="ko-KR"/>
        </w:rPr>
        <w:t xml:space="preserve"> </w:t>
      </w:r>
      <w:r w:rsidR="006A3F91">
        <w:rPr>
          <w:rFonts w:eastAsia="Gulim" w:cstheme="minorHAnsi"/>
          <w:color w:val="000000"/>
        </w:rPr>
        <w:t>t</w:t>
      </w:r>
      <w:r w:rsidR="0064408B" w:rsidRPr="00BB2E00">
        <w:rPr>
          <w:rFonts w:eastAsia="Gulim" w:cstheme="minorHAnsi"/>
          <w:color w:val="000000"/>
        </w:rPr>
        <w:t xml:space="preserve">he </w:t>
      </w:r>
      <w:r w:rsidR="00C3106D" w:rsidRPr="00BB2E00">
        <w:rPr>
          <w:rFonts w:eastAsia="Gulim" w:cstheme="minorHAnsi"/>
          <w:color w:val="000000"/>
        </w:rPr>
        <w:t xml:space="preserve">Chair and </w:t>
      </w:r>
      <w:r w:rsidR="0005407E">
        <w:rPr>
          <w:rFonts w:eastAsia="Gulim" w:cstheme="minorHAnsi"/>
          <w:color w:val="000000"/>
        </w:rPr>
        <w:t>C</w:t>
      </w:r>
      <w:r w:rsidR="00C3106D" w:rsidRPr="00BB2E00">
        <w:rPr>
          <w:rFonts w:eastAsia="Gulim" w:cstheme="minorHAnsi"/>
          <w:color w:val="000000"/>
        </w:rPr>
        <w:t xml:space="preserve">o-Chair </w:t>
      </w:r>
      <w:r w:rsidR="00A629A8" w:rsidRPr="00BB2E00">
        <w:rPr>
          <w:rFonts w:eastAsia="Gulim" w:cstheme="minorHAnsi"/>
          <w:color w:val="000000"/>
        </w:rPr>
        <w:t xml:space="preserve">of the IAC </w:t>
      </w:r>
      <w:r w:rsidR="00C3106D" w:rsidRPr="00BB2E00">
        <w:rPr>
          <w:rFonts w:eastAsia="Gulim" w:cstheme="minorHAnsi"/>
          <w:color w:val="000000"/>
        </w:rPr>
        <w:t>will be elected by IAC members </w:t>
      </w:r>
      <w:r w:rsidR="00C3106D" w:rsidRPr="00BB2E00">
        <w:rPr>
          <w:rFonts w:eastAsia="Gulim" w:cstheme="minorHAnsi"/>
          <w:bCs/>
          <w:color w:val="000000"/>
        </w:rPr>
        <w:t xml:space="preserve">within two months of </w:t>
      </w:r>
      <w:r w:rsidR="00624A0B">
        <w:rPr>
          <w:rFonts w:eastAsia="Gulim" w:cstheme="minorHAnsi"/>
          <w:bCs/>
          <w:color w:val="000000"/>
        </w:rPr>
        <w:t>determination</w:t>
      </w:r>
      <w:r w:rsidR="00F16E65">
        <w:rPr>
          <w:rFonts w:cstheme="minorHAnsi" w:hint="eastAsia"/>
          <w:bCs/>
          <w:color w:val="000000"/>
          <w:lang w:eastAsia="ko-KR"/>
        </w:rPr>
        <w:t xml:space="preserve"> </w:t>
      </w:r>
      <w:r w:rsidR="00C3106D" w:rsidRPr="00BB2E00">
        <w:rPr>
          <w:rFonts w:eastAsia="Gulim" w:cstheme="minorHAnsi"/>
          <w:bCs/>
          <w:color w:val="000000"/>
        </w:rPr>
        <w:t>of the full IAC membership</w:t>
      </w:r>
      <w:r w:rsidR="00C3106D" w:rsidRPr="00BB2E00">
        <w:rPr>
          <w:rFonts w:eastAsia="Gulim" w:cstheme="minorHAnsi"/>
          <w:color w:val="000000"/>
        </w:rPr>
        <w:t>.</w:t>
      </w:r>
    </w:p>
    <w:p w:rsidR="00A7215D" w:rsidRPr="00F16E65" w:rsidRDefault="00A7215D" w:rsidP="00D112C9">
      <w:pPr>
        <w:spacing w:after="0" w:line="240" w:lineRule="auto"/>
        <w:ind w:left="426" w:hanging="426"/>
        <w:rPr>
          <w:rFonts w:cstheme="minorHAnsi"/>
        </w:rPr>
      </w:pPr>
    </w:p>
    <w:p w:rsidR="00301E6D" w:rsidRPr="00BB2E00" w:rsidRDefault="00A05DB9" w:rsidP="00D112C9">
      <w:pPr>
        <w:spacing w:after="0" w:line="240" w:lineRule="auto"/>
        <w:ind w:left="426" w:hanging="426"/>
        <w:rPr>
          <w:rFonts w:cstheme="minorHAnsi"/>
        </w:rPr>
      </w:pPr>
      <w:r>
        <w:rPr>
          <w:rFonts w:cstheme="minorHAnsi" w:hint="eastAsia"/>
          <w:lang w:eastAsia="ko-KR"/>
        </w:rPr>
        <w:t>5</w:t>
      </w:r>
      <w:r w:rsidR="00D112C9">
        <w:rPr>
          <w:rFonts w:cstheme="minorHAnsi"/>
        </w:rPr>
        <w:t>.</w:t>
      </w:r>
      <w:r w:rsidR="00D112C9">
        <w:rPr>
          <w:rFonts w:cstheme="minorHAnsi"/>
        </w:rPr>
        <w:tab/>
      </w:r>
      <w:r w:rsidR="00A629A8" w:rsidRPr="00BB2E00">
        <w:rPr>
          <w:rFonts w:cstheme="minorHAnsi"/>
        </w:rPr>
        <w:t xml:space="preserve">Table 1 below </w:t>
      </w:r>
      <w:r w:rsidR="00C46F23">
        <w:rPr>
          <w:rFonts w:cstheme="minorHAnsi"/>
        </w:rPr>
        <w:t>shows the</w:t>
      </w:r>
      <w:r w:rsidR="00F16E65">
        <w:rPr>
          <w:rFonts w:cstheme="minorHAnsi" w:hint="eastAsia"/>
          <w:lang w:eastAsia="ko-KR"/>
        </w:rPr>
        <w:t xml:space="preserve"> </w:t>
      </w:r>
      <w:r w:rsidR="000A7D16" w:rsidRPr="00BB2E00">
        <w:rPr>
          <w:rFonts w:cstheme="minorHAnsi"/>
        </w:rPr>
        <w:t xml:space="preserve">IAC membership </w:t>
      </w:r>
      <w:r w:rsidR="00A629A8" w:rsidRPr="00BB2E00">
        <w:rPr>
          <w:rFonts w:cstheme="minorHAnsi"/>
        </w:rPr>
        <w:t>nominations received</w:t>
      </w:r>
      <w:r w:rsidR="00C46F23">
        <w:rPr>
          <w:rFonts w:cstheme="minorHAnsi"/>
        </w:rPr>
        <w:t>, to be confirmed by the Standing Committee</w:t>
      </w:r>
      <w:r w:rsidR="000A7D16" w:rsidRPr="00BB2E00">
        <w:rPr>
          <w:rFonts w:cstheme="minorHAnsi"/>
        </w:rPr>
        <w:t xml:space="preserve"> during </w:t>
      </w:r>
      <w:r w:rsidR="001B175E" w:rsidRPr="00BB2E00">
        <w:rPr>
          <w:rFonts w:cstheme="minorHAnsi"/>
        </w:rPr>
        <w:t>SC6</w:t>
      </w:r>
      <w:r w:rsidR="001B175E">
        <w:rPr>
          <w:rFonts w:cstheme="minorHAnsi"/>
        </w:rPr>
        <w:t>2</w:t>
      </w:r>
      <w:r w:rsidR="000A7D16" w:rsidRPr="00BB2E00">
        <w:rPr>
          <w:rFonts w:cstheme="minorHAnsi"/>
        </w:rPr>
        <w:t>.</w:t>
      </w:r>
    </w:p>
    <w:p w:rsidR="00A7215D" w:rsidRPr="00BB2E00" w:rsidRDefault="00A7215D" w:rsidP="00D112C9">
      <w:pPr>
        <w:spacing w:after="0" w:line="240" w:lineRule="auto"/>
        <w:ind w:left="426" w:hanging="426"/>
        <w:rPr>
          <w:rFonts w:cstheme="minorHAnsi"/>
        </w:rPr>
      </w:pPr>
    </w:p>
    <w:p w:rsidR="00460BD3" w:rsidRDefault="00A05DB9" w:rsidP="00D112C9">
      <w:pPr>
        <w:spacing w:after="0" w:line="240" w:lineRule="auto"/>
        <w:ind w:left="426" w:hanging="426"/>
        <w:rPr>
          <w:rFonts w:cstheme="minorHAnsi"/>
          <w:lang w:eastAsia="ko-KR"/>
        </w:rPr>
      </w:pPr>
      <w:r>
        <w:rPr>
          <w:rFonts w:cstheme="minorHAnsi" w:hint="eastAsia"/>
          <w:lang w:eastAsia="ko-KR"/>
        </w:rPr>
        <w:t>6</w:t>
      </w:r>
      <w:r w:rsidR="00D112C9">
        <w:rPr>
          <w:rFonts w:cstheme="minorHAnsi"/>
        </w:rPr>
        <w:t>.</w:t>
      </w:r>
      <w:r w:rsidR="00D112C9">
        <w:rPr>
          <w:rFonts w:cstheme="minorHAnsi"/>
        </w:rPr>
        <w:tab/>
      </w:r>
      <w:r w:rsidR="00460BD3" w:rsidRPr="00D60BBD">
        <w:rPr>
          <w:rFonts w:eastAsia="Calibri" w:cstheme="minorHAnsi"/>
        </w:rPr>
        <w:t>Since preparing the last IAC report to the Standing Committee (</w:t>
      </w:r>
      <w:r w:rsidR="00460BD3">
        <w:rPr>
          <w:rFonts w:eastAsia="Calibri" w:cstheme="minorHAnsi"/>
        </w:rPr>
        <w:t xml:space="preserve">February </w:t>
      </w:r>
      <w:r w:rsidR="00460BD3" w:rsidRPr="00D60BBD">
        <w:rPr>
          <w:rFonts w:eastAsia="Calibri" w:cstheme="minorHAnsi"/>
        </w:rPr>
        <w:t>202</w:t>
      </w:r>
      <w:r w:rsidR="00460BD3">
        <w:rPr>
          <w:rFonts w:eastAsia="Calibri" w:cstheme="minorHAnsi"/>
        </w:rPr>
        <w:t>2</w:t>
      </w:r>
      <w:r w:rsidR="00460BD3" w:rsidRPr="00D60BBD">
        <w:rPr>
          <w:rFonts w:eastAsia="Calibri" w:cstheme="minorHAnsi"/>
        </w:rPr>
        <w:t xml:space="preserve">), the IAC held </w:t>
      </w:r>
      <w:r w:rsidR="00460BD3">
        <w:rPr>
          <w:rFonts w:eastAsia="Calibri" w:cstheme="minorHAnsi"/>
        </w:rPr>
        <w:t>eight</w:t>
      </w:r>
      <w:r w:rsidR="00460BD3" w:rsidRPr="00D60BBD">
        <w:rPr>
          <w:rFonts w:eastAsia="Calibri" w:cstheme="minorHAnsi"/>
        </w:rPr>
        <w:t xml:space="preserve"> virtual meetings to </w:t>
      </w:r>
      <w:r w:rsidR="00460BD3">
        <w:rPr>
          <w:rFonts w:eastAsia="Calibri" w:cstheme="minorHAnsi"/>
        </w:rPr>
        <w:t xml:space="preserve">further its activities on </w:t>
      </w:r>
      <w:r w:rsidR="00460BD3" w:rsidRPr="00D60BBD">
        <w:rPr>
          <w:rFonts w:eastAsia="Calibri" w:cstheme="minorHAnsi"/>
        </w:rPr>
        <w:t xml:space="preserve">the Wetland City Accreditation process. </w:t>
      </w:r>
    </w:p>
    <w:p w:rsidR="00C3776A" w:rsidRPr="00BB2E00" w:rsidRDefault="00C3776A" w:rsidP="00D112C9">
      <w:pPr>
        <w:spacing w:after="0" w:line="240" w:lineRule="auto"/>
        <w:ind w:left="426" w:hanging="426"/>
        <w:rPr>
          <w:rFonts w:cstheme="minorHAnsi"/>
        </w:rPr>
        <w:sectPr w:rsidR="00C3776A" w:rsidRPr="00BB2E00" w:rsidSect="00146BEF">
          <w:headerReference w:type="default" r:id="rId11"/>
          <w:footerReference w:type="default" r:id="rId12"/>
          <w:pgSz w:w="11906" w:h="16838"/>
          <w:pgMar w:top="1440" w:right="1440" w:bottom="1440" w:left="1440" w:header="709" w:footer="709" w:gutter="0"/>
          <w:cols w:space="708"/>
          <w:titlePg/>
          <w:docGrid w:linePitch="360"/>
        </w:sectPr>
      </w:pPr>
    </w:p>
    <w:p w:rsidR="00D5717D" w:rsidRDefault="00532FA4" w:rsidP="00BB2E00">
      <w:pPr>
        <w:spacing w:after="0" w:line="240" w:lineRule="auto"/>
        <w:rPr>
          <w:rFonts w:cstheme="minorHAnsi"/>
          <w:i/>
          <w:lang w:eastAsia="ko-KR"/>
        </w:rPr>
      </w:pPr>
      <w:r w:rsidRPr="00D112C9">
        <w:rPr>
          <w:rFonts w:cstheme="minorHAnsi"/>
          <w:i/>
        </w:rPr>
        <w:lastRenderedPageBreak/>
        <w:t>Table 1. IAC membership nominations received to</w:t>
      </w:r>
      <w:r w:rsidR="003E67C2">
        <w:rPr>
          <w:rFonts w:cstheme="minorHAnsi" w:hint="eastAsia"/>
          <w:i/>
          <w:lang w:eastAsia="ko-KR"/>
        </w:rPr>
        <w:t xml:space="preserve"> </w:t>
      </w:r>
      <w:r w:rsidRPr="00D112C9">
        <w:rPr>
          <w:rFonts w:cstheme="minorHAnsi"/>
          <w:i/>
        </w:rPr>
        <w:t>date for the third triennium</w:t>
      </w:r>
      <w:r w:rsidR="001B175E">
        <w:rPr>
          <w:rFonts w:cstheme="minorHAnsi"/>
          <w:i/>
        </w:rPr>
        <w:t xml:space="preserve"> of the WCA</w:t>
      </w:r>
    </w:p>
    <w:p w:rsidR="00D3052E" w:rsidRPr="00D112C9" w:rsidRDefault="00D3052E" w:rsidP="00BB2E00">
      <w:pPr>
        <w:spacing w:after="0" w:line="240" w:lineRule="auto"/>
        <w:rPr>
          <w:rFonts w:cstheme="minorHAnsi"/>
          <w:i/>
          <w:lang w:eastAsia="ko-KR"/>
        </w:rPr>
      </w:pPr>
    </w:p>
    <w:tbl>
      <w:tblPr>
        <w:tblStyle w:val="TableGrid"/>
        <w:tblW w:w="12673" w:type="dxa"/>
        <w:tblCellMar>
          <w:top w:w="28" w:type="dxa"/>
          <w:left w:w="57" w:type="dxa"/>
          <w:bottom w:w="28" w:type="dxa"/>
          <w:right w:w="57" w:type="dxa"/>
        </w:tblCellMar>
        <w:tblLook w:val="04A0" w:firstRow="1" w:lastRow="0" w:firstColumn="1" w:lastColumn="0" w:noHBand="0" w:noVBand="1"/>
      </w:tblPr>
      <w:tblGrid>
        <w:gridCol w:w="8704"/>
        <w:gridCol w:w="3969"/>
      </w:tblGrid>
      <w:tr w:rsidR="003409C0" w:rsidRPr="00BB2E00" w:rsidTr="0027678F">
        <w:tc>
          <w:tcPr>
            <w:tcW w:w="8704" w:type="dxa"/>
            <w:shd w:val="clear" w:color="auto" w:fill="F2F2F2" w:themeFill="background1" w:themeFillShade="F2"/>
          </w:tcPr>
          <w:p w:rsidR="003409C0" w:rsidRPr="00BB2E00" w:rsidRDefault="003409C0" w:rsidP="00781345">
            <w:pPr>
              <w:rPr>
                <w:rFonts w:cstheme="minorHAnsi"/>
                <w:b/>
              </w:rPr>
            </w:pPr>
            <w:r w:rsidRPr="00BB2E00">
              <w:rPr>
                <w:rFonts w:cstheme="minorHAnsi"/>
                <w:b/>
              </w:rPr>
              <w:t>IAC</w:t>
            </w:r>
            <w:r>
              <w:rPr>
                <w:rFonts w:cstheme="minorHAnsi" w:hint="eastAsia"/>
                <w:b/>
                <w:lang w:eastAsia="ko-KR"/>
              </w:rPr>
              <w:t xml:space="preserve"> Composition</w:t>
            </w:r>
            <w:r w:rsidR="00781345">
              <w:rPr>
                <w:rFonts w:cstheme="minorHAnsi" w:hint="eastAsia"/>
                <w:b/>
                <w:lang w:eastAsia="ko-KR"/>
              </w:rPr>
              <w:t xml:space="preserve"> as set out in</w:t>
            </w:r>
            <w:r w:rsidRPr="00BB2E00">
              <w:rPr>
                <w:rFonts w:cstheme="minorHAnsi"/>
                <w:b/>
              </w:rPr>
              <w:t xml:space="preserve"> Resolution XIV.10 </w:t>
            </w:r>
          </w:p>
        </w:tc>
        <w:tc>
          <w:tcPr>
            <w:tcW w:w="3969" w:type="dxa"/>
            <w:shd w:val="clear" w:color="auto" w:fill="F2F2F2" w:themeFill="background1" w:themeFillShade="F2"/>
          </w:tcPr>
          <w:p w:rsidR="003409C0" w:rsidRPr="00BB2E00" w:rsidRDefault="003409C0" w:rsidP="00BB2E00">
            <w:pPr>
              <w:rPr>
                <w:rFonts w:cstheme="minorHAnsi"/>
                <w:b/>
                <w:lang w:eastAsia="ko-KR"/>
              </w:rPr>
            </w:pPr>
            <w:r>
              <w:rPr>
                <w:rFonts w:cstheme="minorHAnsi" w:hint="eastAsia"/>
                <w:b/>
                <w:lang w:eastAsia="ko-KR"/>
              </w:rPr>
              <w:t>Individual Representatives</w:t>
            </w:r>
          </w:p>
        </w:tc>
      </w:tr>
      <w:tr w:rsidR="003409C0" w:rsidRPr="00BB2E00" w:rsidTr="0027678F">
        <w:trPr>
          <w:trHeight w:val="354"/>
        </w:trPr>
        <w:tc>
          <w:tcPr>
            <w:tcW w:w="8704" w:type="dxa"/>
          </w:tcPr>
          <w:p w:rsidR="003409C0" w:rsidRDefault="003409C0" w:rsidP="007B16F9">
            <w:pPr>
              <w:rPr>
                <w:rFonts w:cstheme="minorHAnsi"/>
                <w:lang w:eastAsia="ko-KR"/>
              </w:rPr>
            </w:pPr>
            <w:r w:rsidRPr="00BB2E00">
              <w:rPr>
                <w:rFonts w:eastAsia="Times New Roman" w:cstheme="minorHAnsi"/>
                <w:lang w:eastAsia="en-ZA"/>
              </w:rPr>
              <w:t xml:space="preserve">Standing Committee member representing </w:t>
            </w:r>
            <w:r w:rsidRPr="00BB2E00">
              <w:rPr>
                <w:rFonts w:eastAsia="Times New Roman" w:cstheme="minorHAnsi"/>
                <w:b/>
                <w:lang w:eastAsia="en-ZA"/>
              </w:rPr>
              <w:t>Africa</w:t>
            </w:r>
            <w:r w:rsidRPr="00BB2E00">
              <w:rPr>
                <w:rFonts w:eastAsia="Times New Roman" w:cstheme="minorHAnsi"/>
                <w:lang w:eastAsia="en-ZA"/>
              </w:rPr>
              <w:t>: Rwanda</w:t>
            </w:r>
          </w:p>
          <w:p w:rsidR="003409C0" w:rsidRPr="0091026D" w:rsidRDefault="003409C0" w:rsidP="007B16F9">
            <w:pPr>
              <w:ind w:firstLineChars="2050" w:firstLine="4510"/>
              <w:rPr>
                <w:rFonts w:cstheme="minorHAnsi"/>
                <w:lang w:eastAsia="ko-KR"/>
              </w:rPr>
            </w:pPr>
            <w:r>
              <w:rPr>
                <w:rFonts w:cstheme="minorHAnsi" w:hint="eastAsia"/>
                <w:lang w:eastAsia="ko-KR"/>
              </w:rPr>
              <w:t>(Alternate: Botswana)</w:t>
            </w:r>
          </w:p>
        </w:tc>
        <w:tc>
          <w:tcPr>
            <w:tcW w:w="3969" w:type="dxa"/>
          </w:tcPr>
          <w:p w:rsidR="003409C0" w:rsidRDefault="003409C0" w:rsidP="00BB2E00">
            <w:pPr>
              <w:rPr>
                <w:rFonts w:cstheme="minorHAnsi"/>
                <w:color w:val="000000"/>
                <w:lang w:eastAsia="ko-KR"/>
              </w:rPr>
            </w:pPr>
            <w:r w:rsidRPr="00BB2E00">
              <w:rPr>
                <w:rFonts w:eastAsia="Times New Roman" w:cstheme="minorHAnsi"/>
                <w:color w:val="000000"/>
              </w:rPr>
              <w:t>Theogene Ngaboyamahina</w:t>
            </w:r>
          </w:p>
          <w:p w:rsidR="003409C0" w:rsidRPr="00D605AA" w:rsidRDefault="003409C0" w:rsidP="00BB2E00">
            <w:pPr>
              <w:rPr>
                <w:rFonts w:cstheme="minorHAnsi"/>
                <w:color w:val="000000"/>
                <w:lang w:eastAsia="ko-KR"/>
              </w:rPr>
            </w:pPr>
            <w:r>
              <w:rPr>
                <w:rFonts w:cstheme="minorHAnsi" w:hint="eastAsia"/>
                <w:color w:val="000000"/>
                <w:lang w:eastAsia="ko-KR"/>
              </w:rPr>
              <w:t xml:space="preserve">(Alternate: </w:t>
            </w:r>
            <w:r w:rsidRPr="009634A6">
              <w:rPr>
                <w:rFonts w:cstheme="minorHAnsi"/>
                <w:color w:val="000000"/>
                <w:lang w:eastAsia="ko-KR"/>
              </w:rPr>
              <w:t>Jobe Manga</w:t>
            </w:r>
            <w:r>
              <w:rPr>
                <w:rFonts w:cstheme="minorHAnsi" w:hint="eastAsia"/>
                <w:color w:val="000000"/>
                <w:lang w:eastAsia="ko-KR"/>
              </w:rPr>
              <w:t>)</w:t>
            </w:r>
          </w:p>
        </w:tc>
      </w:tr>
      <w:tr w:rsidR="003409C0" w:rsidRPr="00BB2E00" w:rsidTr="0027678F">
        <w:trPr>
          <w:trHeight w:val="25"/>
        </w:trPr>
        <w:tc>
          <w:tcPr>
            <w:tcW w:w="8704" w:type="dxa"/>
          </w:tcPr>
          <w:p w:rsidR="003409C0" w:rsidRDefault="003409C0" w:rsidP="007B16F9">
            <w:pPr>
              <w:tabs>
                <w:tab w:val="left" w:pos="1803"/>
              </w:tabs>
              <w:rPr>
                <w:rFonts w:cstheme="minorHAnsi"/>
                <w:lang w:eastAsia="ko-KR"/>
              </w:rPr>
            </w:pPr>
            <w:r w:rsidRPr="00BB2E00">
              <w:rPr>
                <w:rFonts w:eastAsia="Times New Roman" w:cstheme="minorHAnsi"/>
                <w:lang w:eastAsia="en-ZA"/>
              </w:rPr>
              <w:t xml:space="preserve">Standing Committee member representing </w:t>
            </w:r>
            <w:r w:rsidRPr="00BB2E00">
              <w:rPr>
                <w:rFonts w:eastAsia="Times New Roman" w:cstheme="minorHAnsi"/>
                <w:b/>
                <w:lang w:eastAsia="en-ZA"/>
              </w:rPr>
              <w:t>Asia</w:t>
            </w:r>
            <w:r w:rsidRPr="00BB2E00">
              <w:rPr>
                <w:rFonts w:eastAsia="Times New Roman" w:cstheme="minorHAnsi"/>
                <w:lang w:eastAsia="en-ZA"/>
              </w:rPr>
              <w:t>: China</w:t>
            </w:r>
          </w:p>
          <w:p w:rsidR="003409C0" w:rsidRPr="0091026D" w:rsidRDefault="003409C0" w:rsidP="007B16F9">
            <w:pPr>
              <w:tabs>
                <w:tab w:val="left" w:pos="1803"/>
              </w:tabs>
              <w:spacing w:line="259" w:lineRule="auto"/>
              <w:ind w:firstLineChars="2000" w:firstLine="4400"/>
              <w:rPr>
                <w:rFonts w:cstheme="minorHAnsi"/>
                <w:lang w:eastAsia="ko-KR"/>
              </w:rPr>
            </w:pPr>
            <w:r>
              <w:rPr>
                <w:rFonts w:cstheme="minorHAnsi" w:hint="eastAsia"/>
                <w:lang w:eastAsia="ko-KR"/>
              </w:rPr>
              <w:t>(Alternate: Iran)</w:t>
            </w:r>
          </w:p>
        </w:tc>
        <w:tc>
          <w:tcPr>
            <w:tcW w:w="3969" w:type="dxa"/>
          </w:tcPr>
          <w:p w:rsidR="003409C0" w:rsidRDefault="003409C0" w:rsidP="0071563B">
            <w:pPr>
              <w:rPr>
                <w:rFonts w:cstheme="minorHAnsi"/>
                <w:color w:val="000000"/>
                <w:lang w:eastAsia="ko-KR"/>
              </w:rPr>
            </w:pPr>
            <w:r>
              <w:rPr>
                <w:rFonts w:cstheme="minorHAnsi" w:hint="eastAsia"/>
                <w:color w:val="000000"/>
                <w:lang w:eastAsia="ko-KR"/>
              </w:rPr>
              <w:t>Xinxin Hu</w:t>
            </w:r>
          </w:p>
          <w:p w:rsidR="003409C0" w:rsidRPr="00D605AA" w:rsidRDefault="003409C0" w:rsidP="0071563B">
            <w:pPr>
              <w:rPr>
                <w:rFonts w:cstheme="minorHAnsi"/>
                <w:lang w:eastAsia="ko-KR"/>
              </w:rPr>
            </w:pPr>
            <w:r>
              <w:rPr>
                <w:rFonts w:cstheme="minorHAnsi" w:hint="eastAsia"/>
                <w:color w:val="000000"/>
                <w:lang w:eastAsia="ko-KR"/>
              </w:rPr>
              <w:t xml:space="preserve">(Alternate: </w:t>
            </w:r>
            <w:r>
              <w:rPr>
                <w:rFonts w:cstheme="minorHAnsi" w:hint="eastAsia"/>
                <w:lang w:eastAsia="ko-KR"/>
              </w:rPr>
              <w:t>Amir Akhlaghi)</w:t>
            </w:r>
          </w:p>
        </w:tc>
      </w:tr>
      <w:tr w:rsidR="003409C0" w:rsidRPr="00BB2E00" w:rsidTr="0027678F">
        <w:tc>
          <w:tcPr>
            <w:tcW w:w="8704" w:type="dxa"/>
          </w:tcPr>
          <w:p w:rsidR="003409C0" w:rsidRPr="00BB2E00" w:rsidRDefault="003409C0" w:rsidP="00BB2E00">
            <w:pPr>
              <w:rPr>
                <w:rFonts w:cstheme="minorHAnsi"/>
              </w:rPr>
            </w:pPr>
            <w:r w:rsidRPr="00BB2E00">
              <w:rPr>
                <w:rFonts w:eastAsia="Times New Roman" w:cstheme="minorHAnsi"/>
                <w:lang w:eastAsia="en-ZA"/>
              </w:rPr>
              <w:t xml:space="preserve">Standing Committee member representing </w:t>
            </w:r>
            <w:r w:rsidRPr="00BB2E00">
              <w:rPr>
                <w:rFonts w:eastAsia="Times New Roman" w:cstheme="minorHAnsi"/>
                <w:b/>
                <w:lang w:eastAsia="en-ZA"/>
              </w:rPr>
              <w:t>Europe</w:t>
            </w:r>
            <w:r w:rsidRPr="00BB2E00">
              <w:rPr>
                <w:rFonts w:eastAsia="Times New Roman" w:cstheme="minorHAnsi"/>
                <w:lang w:eastAsia="en-ZA"/>
              </w:rPr>
              <w:t>:</w:t>
            </w:r>
            <w:r>
              <w:rPr>
                <w:rFonts w:cstheme="minorHAnsi" w:hint="eastAsia"/>
                <w:lang w:eastAsia="ko-KR"/>
              </w:rPr>
              <w:t xml:space="preserve"> </w:t>
            </w:r>
            <w:r w:rsidRPr="00BB2E00">
              <w:rPr>
                <w:rFonts w:eastAsia="Gulim" w:cstheme="minorHAnsi"/>
                <w:color w:val="000000"/>
              </w:rPr>
              <w:t>Czechia</w:t>
            </w:r>
          </w:p>
        </w:tc>
        <w:tc>
          <w:tcPr>
            <w:tcW w:w="3969" w:type="dxa"/>
          </w:tcPr>
          <w:p w:rsidR="003409C0" w:rsidRPr="00BB2E00" w:rsidRDefault="003409C0" w:rsidP="00BB2E00">
            <w:pPr>
              <w:rPr>
                <w:rFonts w:cstheme="minorHAnsi"/>
                <w:lang w:val="de-AT" w:eastAsia="ko-KR"/>
              </w:rPr>
            </w:pPr>
            <w:r w:rsidRPr="005B1119">
              <w:rPr>
                <w:rFonts w:cstheme="minorHAnsi"/>
                <w:color w:val="000000"/>
                <w:lang w:eastAsia="ko-KR"/>
              </w:rPr>
              <w:t>Libuše Vlasáková</w:t>
            </w:r>
          </w:p>
        </w:tc>
      </w:tr>
      <w:tr w:rsidR="003409C0" w:rsidRPr="00E42B7D" w:rsidTr="0027678F">
        <w:tc>
          <w:tcPr>
            <w:tcW w:w="8704" w:type="dxa"/>
          </w:tcPr>
          <w:p w:rsidR="003409C0" w:rsidRPr="00BB2E00" w:rsidRDefault="003409C0" w:rsidP="005F2B21">
            <w:pPr>
              <w:ind w:left="5940" w:hangingChars="2700" w:hanging="5940"/>
              <w:rPr>
                <w:rFonts w:cstheme="minorHAnsi"/>
              </w:rPr>
            </w:pPr>
            <w:r w:rsidRPr="00BB2E00">
              <w:rPr>
                <w:rFonts w:eastAsia="Times New Roman" w:cstheme="minorHAnsi"/>
                <w:lang w:eastAsia="en-ZA"/>
              </w:rPr>
              <w:t xml:space="preserve">Standing Committee member representing </w:t>
            </w:r>
            <w:r w:rsidRPr="00BB2E00">
              <w:rPr>
                <w:rFonts w:eastAsia="Times New Roman" w:cstheme="minorHAnsi"/>
                <w:b/>
                <w:lang w:eastAsia="en-ZA"/>
              </w:rPr>
              <w:t xml:space="preserve">Latin America and the Caribbean: </w:t>
            </w:r>
            <w:r w:rsidRPr="00BB2E00">
              <w:rPr>
                <w:rFonts w:eastAsia="Times New Roman" w:cstheme="minorHAnsi"/>
                <w:lang w:eastAsia="en-ZA"/>
              </w:rPr>
              <w:t>Colombia</w:t>
            </w:r>
          </w:p>
        </w:tc>
        <w:tc>
          <w:tcPr>
            <w:tcW w:w="3969" w:type="dxa"/>
          </w:tcPr>
          <w:p w:rsidR="003409C0" w:rsidRPr="00C3776A" w:rsidRDefault="003409C0" w:rsidP="001B73D1">
            <w:pPr>
              <w:rPr>
                <w:rFonts w:cstheme="minorHAnsi"/>
                <w:lang w:val="es-ES" w:eastAsia="ko-KR"/>
              </w:rPr>
            </w:pPr>
            <w:r w:rsidRPr="00C3776A">
              <w:rPr>
                <w:rFonts w:cstheme="minorHAnsi"/>
                <w:lang w:val="es-ES" w:eastAsia="ko-KR"/>
              </w:rPr>
              <w:t>María Angélica Mejía Pimienta</w:t>
            </w:r>
          </w:p>
        </w:tc>
      </w:tr>
      <w:tr w:rsidR="003409C0" w:rsidRPr="00BB2E00" w:rsidTr="0027678F">
        <w:tc>
          <w:tcPr>
            <w:tcW w:w="8704" w:type="dxa"/>
          </w:tcPr>
          <w:p w:rsidR="003409C0" w:rsidRPr="00BB2E00" w:rsidRDefault="003409C0" w:rsidP="00BB2E00">
            <w:pPr>
              <w:rPr>
                <w:rFonts w:eastAsia="Times New Roman" w:cstheme="minorHAnsi"/>
                <w:lang w:eastAsia="en-ZA"/>
              </w:rPr>
            </w:pPr>
            <w:r w:rsidRPr="00BB2E00">
              <w:rPr>
                <w:rFonts w:eastAsia="Times New Roman" w:cstheme="minorHAnsi"/>
                <w:lang w:eastAsia="en-ZA"/>
              </w:rPr>
              <w:t xml:space="preserve">Standing Committee member representing </w:t>
            </w:r>
            <w:r w:rsidRPr="00BB2E00">
              <w:rPr>
                <w:rFonts w:eastAsia="Times New Roman" w:cstheme="minorHAnsi"/>
                <w:b/>
                <w:lang w:eastAsia="en-ZA"/>
              </w:rPr>
              <w:t xml:space="preserve">North America: </w:t>
            </w:r>
            <w:r w:rsidRPr="00BB2E00">
              <w:rPr>
                <w:rFonts w:eastAsia="Times New Roman" w:cstheme="minorHAnsi"/>
                <w:lang w:eastAsia="en-ZA"/>
              </w:rPr>
              <w:t>USA</w:t>
            </w:r>
          </w:p>
        </w:tc>
        <w:tc>
          <w:tcPr>
            <w:tcW w:w="3969" w:type="dxa"/>
          </w:tcPr>
          <w:p w:rsidR="003409C0" w:rsidRPr="00BB2E00" w:rsidRDefault="003409C0" w:rsidP="000B7520">
            <w:pPr>
              <w:rPr>
                <w:rFonts w:cstheme="minorHAnsi"/>
                <w:lang w:eastAsia="ko-KR"/>
              </w:rPr>
            </w:pPr>
            <w:r w:rsidRPr="00BB2E00">
              <w:rPr>
                <w:rFonts w:cstheme="minorHAnsi"/>
              </w:rPr>
              <w:t>Lauren Kasparek</w:t>
            </w:r>
          </w:p>
        </w:tc>
      </w:tr>
      <w:tr w:rsidR="003409C0" w:rsidRPr="00BB2E00" w:rsidTr="0027678F">
        <w:tc>
          <w:tcPr>
            <w:tcW w:w="8704" w:type="dxa"/>
          </w:tcPr>
          <w:p w:rsidR="003409C0" w:rsidRPr="00BB2E00" w:rsidRDefault="003409C0" w:rsidP="00BB2E00">
            <w:pPr>
              <w:rPr>
                <w:rFonts w:cstheme="minorHAnsi"/>
              </w:rPr>
            </w:pPr>
            <w:r w:rsidRPr="00BB2E00">
              <w:rPr>
                <w:rFonts w:eastAsia="Times New Roman" w:cstheme="minorHAnsi"/>
                <w:lang w:eastAsia="en-ZA"/>
              </w:rPr>
              <w:t xml:space="preserve">Standing Committee member representing </w:t>
            </w:r>
            <w:r w:rsidRPr="00BB2E00">
              <w:rPr>
                <w:rFonts w:eastAsia="Times New Roman" w:cstheme="minorHAnsi"/>
                <w:b/>
                <w:lang w:eastAsia="en-ZA"/>
              </w:rPr>
              <w:t>Oceania</w:t>
            </w:r>
            <w:r w:rsidRPr="00BB2E00">
              <w:rPr>
                <w:rFonts w:eastAsia="Times New Roman" w:cstheme="minorHAnsi"/>
                <w:lang w:eastAsia="en-ZA"/>
              </w:rPr>
              <w:t>: Australia</w:t>
            </w:r>
          </w:p>
        </w:tc>
        <w:tc>
          <w:tcPr>
            <w:tcW w:w="3969" w:type="dxa"/>
          </w:tcPr>
          <w:p w:rsidR="003409C0" w:rsidRPr="00BB2E00" w:rsidRDefault="003409C0" w:rsidP="00BB2E00">
            <w:pPr>
              <w:rPr>
                <w:rFonts w:cstheme="minorHAnsi"/>
              </w:rPr>
            </w:pPr>
            <w:r w:rsidRPr="00BB2E00">
              <w:rPr>
                <w:rFonts w:eastAsia="Times New Roman" w:cstheme="minorHAnsi"/>
                <w:color w:val="000000"/>
              </w:rPr>
              <w:t>Ariana Magini</w:t>
            </w:r>
          </w:p>
        </w:tc>
      </w:tr>
      <w:tr w:rsidR="003409C0" w:rsidRPr="00BB2E00" w:rsidTr="0027678F">
        <w:tc>
          <w:tcPr>
            <w:tcW w:w="8704" w:type="dxa"/>
          </w:tcPr>
          <w:p w:rsidR="003409C0" w:rsidRPr="00214926" w:rsidRDefault="003409C0" w:rsidP="0064408B">
            <w:pPr>
              <w:rPr>
                <w:rFonts w:cstheme="minorHAnsi"/>
                <w:lang w:eastAsia="ko-KR"/>
              </w:rPr>
            </w:pPr>
            <w:r w:rsidRPr="00BB2E00">
              <w:rPr>
                <w:rFonts w:eastAsia="Times New Roman" w:cstheme="minorHAnsi"/>
                <w:lang w:eastAsia="en-ZA"/>
              </w:rPr>
              <w:t xml:space="preserve">A representative of the Convention’s </w:t>
            </w:r>
            <w:r w:rsidRPr="00BB2E00">
              <w:rPr>
                <w:rFonts w:eastAsia="Times New Roman" w:cstheme="minorHAnsi"/>
                <w:b/>
                <w:lang w:eastAsia="en-ZA"/>
              </w:rPr>
              <w:t>IOPs:</w:t>
            </w:r>
            <w:r>
              <w:rPr>
                <w:rFonts w:cstheme="minorHAnsi" w:hint="eastAsia"/>
                <w:b/>
                <w:lang w:eastAsia="ko-KR"/>
              </w:rPr>
              <w:t xml:space="preserve"> </w:t>
            </w:r>
            <w:r w:rsidRPr="000D26BC">
              <w:rPr>
                <w:rFonts w:cstheme="minorHAnsi" w:hint="eastAsia"/>
                <w:lang w:eastAsia="ko-KR"/>
              </w:rPr>
              <w:t>WWF</w:t>
            </w:r>
          </w:p>
        </w:tc>
        <w:tc>
          <w:tcPr>
            <w:tcW w:w="3969" w:type="dxa"/>
          </w:tcPr>
          <w:p w:rsidR="003409C0" w:rsidRPr="00BB2E00" w:rsidRDefault="003409C0" w:rsidP="00BB2E00">
            <w:pPr>
              <w:rPr>
                <w:rFonts w:cstheme="minorHAnsi"/>
                <w:lang w:eastAsia="ko-KR"/>
              </w:rPr>
            </w:pPr>
            <w:r w:rsidRPr="00BB2E00">
              <w:rPr>
                <w:rFonts w:cstheme="minorHAnsi"/>
                <w:lang w:eastAsia="ko-KR"/>
              </w:rPr>
              <w:t xml:space="preserve">Wenwei Ren </w:t>
            </w:r>
          </w:p>
        </w:tc>
      </w:tr>
      <w:tr w:rsidR="003409C0" w:rsidRPr="00BB2E00" w:rsidTr="0027678F">
        <w:tc>
          <w:tcPr>
            <w:tcW w:w="8704" w:type="dxa"/>
          </w:tcPr>
          <w:p w:rsidR="003409C0" w:rsidRPr="00BB2E00" w:rsidRDefault="003409C0" w:rsidP="00BB2E00">
            <w:pPr>
              <w:rPr>
                <w:rFonts w:eastAsia="Times New Roman" w:cstheme="minorHAnsi"/>
                <w:lang w:eastAsia="en-ZA"/>
              </w:rPr>
            </w:pPr>
            <w:r w:rsidRPr="00BB2E00">
              <w:rPr>
                <w:rFonts w:eastAsia="Times New Roman" w:cstheme="minorHAnsi"/>
                <w:lang w:eastAsia="en-ZA"/>
              </w:rPr>
              <w:t xml:space="preserve">A representative of </w:t>
            </w:r>
            <w:r w:rsidRPr="00BB2E00">
              <w:rPr>
                <w:rFonts w:eastAsia="Times New Roman" w:cstheme="minorHAnsi"/>
                <w:b/>
                <w:lang w:eastAsia="en-ZA"/>
              </w:rPr>
              <w:t>UN-Habitat</w:t>
            </w:r>
          </w:p>
        </w:tc>
        <w:tc>
          <w:tcPr>
            <w:tcW w:w="3969" w:type="dxa"/>
          </w:tcPr>
          <w:p w:rsidR="003409C0" w:rsidRPr="00BB2E00" w:rsidRDefault="003409C0" w:rsidP="00BB2E00">
            <w:pPr>
              <w:rPr>
                <w:rFonts w:cstheme="minorHAnsi"/>
                <w:lang w:eastAsia="ko-KR"/>
              </w:rPr>
            </w:pPr>
            <w:r w:rsidRPr="00BB2E00">
              <w:rPr>
                <w:rFonts w:cstheme="minorHAnsi"/>
                <w:lang w:eastAsia="ko-KR"/>
              </w:rPr>
              <w:t>Andrew Rudd</w:t>
            </w:r>
          </w:p>
        </w:tc>
      </w:tr>
      <w:tr w:rsidR="003409C0" w:rsidRPr="00BB2E00" w:rsidTr="0027678F">
        <w:tc>
          <w:tcPr>
            <w:tcW w:w="8704" w:type="dxa"/>
          </w:tcPr>
          <w:p w:rsidR="003409C0" w:rsidRPr="00BB2E00" w:rsidRDefault="003409C0" w:rsidP="00BB2E00">
            <w:pPr>
              <w:rPr>
                <w:rFonts w:eastAsia="Times New Roman" w:cstheme="minorHAnsi"/>
                <w:lang w:eastAsia="en-ZA"/>
              </w:rPr>
            </w:pPr>
            <w:r w:rsidRPr="00BB2E00">
              <w:rPr>
                <w:rFonts w:cstheme="minorHAnsi"/>
              </w:rPr>
              <w:t>A representative of ICLEI-Local Governments for Sustainability (</w:t>
            </w:r>
            <w:r w:rsidRPr="00BB2E00">
              <w:rPr>
                <w:rFonts w:cstheme="minorHAnsi"/>
                <w:b/>
              </w:rPr>
              <w:t>ICLEI</w:t>
            </w:r>
            <w:r w:rsidRPr="00BB2E00">
              <w:rPr>
                <w:rFonts w:cstheme="minorHAnsi"/>
              </w:rPr>
              <w:t>)</w:t>
            </w:r>
          </w:p>
        </w:tc>
        <w:tc>
          <w:tcPr>
            <w:tcW w:w="3969" w:type="dxa"/>
          </w:tcPr>
          <w:p w:rsidR="003409C0" w:rsidRPr="00214926" w:rsidRDefault="003409C0" w:rsidP="00BB2E00">
            <w:pPr>
              <w:rPr>
                <w:rFonts w:cstheme="minorHAnsi"/>
                <w:lang w:eastAsia="ko-KR"/>
              </w:rPr>
            </w:pPr>
            <w:r w:rsidRPr="00BB2E00">
              <w:rPr>
                <w:rFonts w:eastAsia="Times New Roman" w:cstheme="minorHAnsi"/>
                <w:lang w:eastAsia="en-ZA"/>
              </w:rPr>
              <w:t xml:space="preserve">Ingrid Coetzee </w:t>
            </w:r>
          </w:p>
        </w:tc>
      </w:tr>
      <w:tr w:rsidR="003409C0" w:rsidRPr="00BB2E00" w:rsidTr="0027678F">
        <w:tc>
          <w:tcPr>
            <w:tcW w:w="8704" w:type="dxa"/>
          </w:tcPr>
          <w:p w:rsidR="003409C0" w:rsidRPr="00BB2E00" w:rsidRDefault="003409C0" w:rsidP="00BB2E00">
            <w:pPr>
              <w:rPr>
                <w:rFonts w:eastAsia="Times New Roman" w:cstheme="minorHAnsi"/>
                <w:lang w:eastAsia="en-ZA"/>
              </w:rPr>
            </w:pPr>
            <w:r w:rsidRPr="00BB2E00">
              <w:rPr>
                <w:rFonts w:eastAsia="Times New Roman" w:cstheme="minorHAnsi"/>
                <w:lang w:eastAsia="en-ZA"/>
              </w:rPr>
              <w:t xml:space="preserve">A representative of the </w:t>
            </w:r>
            <w:r w:rsidRPr="00BB2E00">
              <w:rPr>
                <w:rFonts w:eastAsia="Times New Roman" w:cstheme="minorHAnsi"/>
                <w:b/>
                <w:lang w:eastAsia="en-ZA"/>
              </w:rPr>
              <w:t xml:space="preserve">Scientific </w:t>
            </w:r>
            <w:r>
              <w:rPr>
                <w:rFonts w:eastAsia="Times New Roman" w:cstheme="minorHAnsi"/>
                <w:b/>
                <w:lang w:eastAsia="en-ZA"/>
              </w:rPr>
              <w:t xml:space="preserve">and </w:t>
            </w:r>
            <w:r w:rsidRPr="00BB2E00">
              <w:rPr>
                <w:rFonts w:eastAsia="Times New Roman" w:cstheme="minorHAnsi"/>
                <w:b/>
                <w:lang w:eastAsia="en-ZA"/>
              </w:rPr>
              <w:t>Technical Review Panel</w:t>
            </w:r>
            <w:r w:rsidRPr="00BB2E00">
              <w:rPr>
                <w:rFonts w:eastAsia="Times New Roman" w:cstheme="minorHAnsi"/>
                <w:lang w:eastAsia="en-ZA"/>
              </w:rPr>
              <w:t xml:space="preserve"> (STRP)</w:t>
            </w:r>
          </w:p>
        </w:tc>
        <w:tc>
          <w:tcPr>
            <w:tcW w:w="3969" w:type="dxa"/>
          </w:tcPr>
          <w:p w:rsidR="003409C0" w:rsidRPr="00BB2E00" w:rsidRDefault="003409C0" w:rsidP="00BB2E00">
            <w:pPr>
              <w:rPr>
                <w:rFonts w:eastAsia="Times New Roman" w:cstheme="minorHAnsi"/>
                <w:lang w:eastAsia="en-ZA"/>
              </w:rPr>
            </w:pPr>
            <w:r w:rsidRPr="00BB2E00">
              <w:rPr>
                <w:rFonts w:eastAsia="Times New Roman" w:cstheme="minorHAnsi"/>
                <w:lang w:eastAsia="en-ZA"/>
              </w:rPr>
              <w:t>Matthew Simpson</w:t>
            </w:r>
          </w:p>
        </w:tc>
        <w:bookmarkStart w:id="0" w:name="_GoBack"/>
        <w:bookmarkEnd w:id="0"/>
      </w:tr>
      <w:tr w:rsidR="003409C0" w:rsidRPr="00BB2E00" w:rsidTr="0027678F">
        <w:trPr>
          <w:trHeight w:val="273"/>
        </w:trPr>
        <w:tc>
          <w:tcPr>
            <w:tcW w:w="8704" w:type="dxa"/>
          </w:tcPr>
          <w:p w:rsidR="003409C0" w:rsidRPr="00BB2E00" w:rsidRDefault="003409C0" w:rsidP="00BB2E00">
            <w:pPr>
              <w:pStyle w:val="Default"/>
              <w:rPr>
                <w:rFonts w:asciiTheme="minorHAnsi" w:hAnsiTheme="minorHAnsi" w:cstheme="minorHAnsi"/>
                <w:sz w:val="22"/>
                <w:szCs w:val="22"/>
              </w:rPr>
            </w:pPr>
            <w:r w:rsidRPr="00BB2E00">
              <w:rPr>
                <w:rFonts w:asciiTheme="minorHAnsi" w:hAnsiTheme="minorHAnsi" w:cstheme="minorHAnsi"/>
                <w:sz w:val="22"/>
                <w:szCs w:val="22"/>
              </w:rPr>
              <w:t xml:space="preserve">A representative of the </w:t>
            </w:r>
            <w:r w:rsidRPr="00BB2E00">
              <w:rPr>
                <w:rFonts w:asciiTheme="minorHAnsi" w:hAnsiTheme="minorHAnsi" w:cstheme="minorHAnsi"/>
                <w:b/>
                <w:bCs/>
                <w:sz w:val="22"/>
                <w:szCs w:val="22"/>
              </w:rPr>
              <w:t>CEPA Oversight Panel</w:t>
            </w:r>
          </w:p>
        </w:tc>
        <w:tc>
          <w:tcPr>
            <w:tcW w:w="3969" w:type="dxa"/>
          </w:tcPr>
          <w:p w:rsidR="003409C0" w:rsidRPr="00BB2E00" w:rsidRDefault="003409C0" w:rsidP="00BB2E00">
            <w:pPr>
              <w:rPr>
                <w:rFonts w:cstheme="minorHAnsi"/>
              </w:rPr>
            </w:pPr>
            <w:r w:rsidRPr="00BB2E00">
              <w:rPr>
                <w:rFonts w:cstheme="minorHAnsi"/>
              </w:rPr>
              <w:t>Chris Rostron</w:t>
            </w:r>
          </w:p>
        </w:tc>
      </w:tr>
      <w:tr w:rsidR="003409C0" w:rsidRPr="00BB2E00" w:rsidTr="0027678F">
        <w:trPr>
          <w:trHeight w:val="273"/>
        </w:trPr>
        <w:tc>
          <w:tcPr>
            <w:tcW w:w="8704" w:type="dxa"/>
          </w:tcPr>
          <w:p w:rsidR="003409C0" w:rsidRPr="00BB2E00" w:rsidRDefault="003409C0" w:rsidP="00BB2E00">
            <w:pPr>
              <w:pStyle w:val="Default"/>
              <w:rPr>
                <w:rFonts w:asciiTheme="minorHAnsi" w:hAnsiTheme="minorHAnsi" w:cstheme="minorHAnsi"/>
                <w:sz w:val="22"/>
                <w:szCs w:val="22"/>
                <w:lang w:eastAsia="ko-KR"/>
              </w:rPr>
            </w:pPr>
            <w:r w:rsidRPr="00BB2E00">
              <w:rPr>
                <w:rFonts w:asciiTheme="minorHAnsi" w:hAnsiTheme="minorHAnsi" w:cstheme="minorHAnsi"/>
                <w:sz w:val="22"/>
                <w:szCs w:val="22"/>
              </w:rPr>
              <w:t>Representatives of any concerned Ramsar Regional Initiatives</w:t>
            </w:r>
            <w:r w:rsidRPr="00AD7525">
              <w:rPr>
                <w:rFonts w:asciiTheme="minorHAnsi" w:hAnsiTheme="minorHAnsi" w:cstheme="minorHAnsi" w:hint="eastAsia"/>
                <w:sz w:val="22"/>
                <w:szCs w:val="22"/>
                <w:lang w:eastAsia="ko-KR"/>
              </w:rPr>
              <w:t xml:space="preserve">: </w:t>
            </w:r>
            <w:r w:rsidRPr="00AD7525">
              <w:rPr>
                <w:rFonts w:cstheme="minorHAnsi"/>
                <w:sz w:val="22"/>
                <w:szCs w:val="22"/>
              </w:rPr>
              <w:t>RRC-East Asia</w:t>
            </w:r>
          </w:p>
        </w:tc>
        <w:tc>
          <w:tcPr>
            <w:tcW w:w="3969" w:type="dxa"/>
          </w:tcPr>
          <w:p w:rsidR="003409C0" w:rsidRPr="00BB2E00" w:rsidRDefault="003409C0" w:rsidP="00A609E0">
            <w:pPr>
              <w:rPr>
                <w:rFonts w:cstheme="minorHAnsi"/>
              </w:rPr>
            </w:pPr>
            <w:r w:rsidRPr="00BB2E00">
              <w:rPr>
                <w:rFonts w:cstheme="minorHAnsi"/>
                <w:shd w:val="clear" w:color="auto" w:fill="FFFFFF"/>
                <w:lang w:val="de-AT"/>
              </w:rPr>
              <w:t>Seung Oh Suh</w:t>
            </w:r>
          </w:p>
        </w:tc>
      </w:tr>
      <w:tr w:rsidR="003409C0" w:rsidRPr="00BB2E00" w:rsidTr="0027678F">
        <w:tc>
          <w:tcPr>
            <w:tcW w:w="8704" w:type="dxa"/>
          </w:tcPr>
          <w:p w:rsidR="003409C0" w:rsidRPr="00BB2E00" w:rsidRDefault="003409C0" w:rsidP="0064408B">
            <w:pPr>
              <w:pStyle w:val="Default"/>
              <w:rPr>
                <w:rFonts w:asciiTheme="minorHAnsi" w:hAnsiTheme="minorHAnsi" w:cstheme="minorHAnsi"/>
                <w:sz w:val="22"/>
                <w:szCs w:val="22"/>
              </w:rPr>
            </w:pPr>
            <w:r w:rsidRPr="00BB2E00">
              <w:rPr>
                <w:rFonts w:asciiTheme="minorHAnsi" w:hAnsiTheme="minorHAnsi" w:cstheme="minorHAnsi"/>
                <w:b/>
                <w:sz w:val="22"/>
                <w:szCs w:val="22"/>
              </w:rPr>
              <w:t>The Secretary General</w:t>
            </w:r>
            <w:r w:rsidRPr="00BB2E00">
              <w:rPr>
                <w:rFonts w:asciiTheme="minorHAnsi" w:hAnsiTheme="minorHAnsi" w:cstheme="minorHAnsi"/>
                <w:sz w:val="22"/>
                <w:szCs w:val="22"/>
              </w:rPr>
              <w:t xml:space="preserve"> or his/her designated representative (Observer)</w:t>
            </w:r>
          </w:p>
        </w:tc>
        <w:tc>
          <w:tcPr>
            <w:tcW w:w="3969" w:type="dxa"/>
          </w:tcPr>
          <w:p w:rsidR="003409C0" w:rsidRPr="00BB2E00" w:rsidRDefault="003409C0" w:rsidP="00BB2E00">
            <w:pPr>
              <w:rPr>
                <w:rFonts w:cstheme="minorHAnsi"/>
              </w:rPr>
            </w:pPr>
          </w:p>
        </w:tc>
      </w:tr>
      <w:tr w:rsidR="003409C0" w:rsidRPr="00BB2E00" w:rsidTr="0027678F">
        <w:tc>
          <w:tcPr>
            <w:tcW w:w="8704" w:type="dxa"/>
          </w:tcPr>
          <w:p w:rsidR="003409C0" w:rsidRPr="00BB2E00" w:rsidRDefault="003409C0" w:rsidP="00927C7B">
            <w:pPr>
              <w:rPr>
                <w:rFonts w:cstheme="minorHAnsi"/>
                <w:lang w:eastAsia="ko-KR"/>
              </w:rPr>
            </w:pPr>
            <w:r w:rsidRPr="00BB2E00">
              <w:rPr>
                <w:rFonts w:cstheme="minorHAnsi"/>
                <w:lang w:eastAsia="ko-KR"/>
              </w:rPr>
              <w:t>Technical Advisors</w:t>
            </w:r>
          </w:p>
        </w:tc>
        <w:tc>
          <w:tcPr>
            <w:tcW w:w="3969" w:type="dxa"/>
          </w:tcPr>
          <w:p w:rsidR="003409C0" w:rsidRPr="003409C0" w:rsidRDefault="003409C0" w:rsidP="003409C0">
            <w:pPr>
              <w:rPr>
                <w:rFonts w:cstheme="minorHAnsi"/>
                <w:lang w:val="de-AT" w:eastAsia="ko-KR"/>
              </w:rPr>
            </w:pPr>
            <w:r w:rsidRPr="00BB2E00">
              <w:rPr>
                <w:rFonts w:eastAsia="Times New Roman" w:cstheme="minorHAnsi"/>
                <w:lang w:val="de-AT" w:eastAsia="en-ZA"/>
              </w:rPr>
              <w:t>Denis Landenbergue</w:t>
            </w:r>
          </w:p>
          <w:p w:rsidR="00AD7C3C" w:rsidRDefault="00AD7C3C" w:rsidP="003409C0">
            <w:pPr>
              <w:rPr>
                <w:rFonts w:cstheme="minorHAnsi"/>
                <w:shd w:val="clear" w:color="auto" w:fill="FFFFFF"/>
                <w:lang w:val="de-AT" w:eastAsia="ko-KR"/>
              </w:rPr>
            </w:pPr>
            <w:r>
              <w:rPr>
                <w:rFonts w:cstheme="minorHAnsi" w:hint="eastAsia"/>
                <w:shd w:val="clear" w:color="auto" w:fill="FFFFFF"/>
                <w:lang w:val="de-AT" w:eastAsia="ko-KR"/>
              </w:rPr>
              <w:t xml:space="preserve">Gert </w:t>
            </w:r>
            <w:r w:rsidRPr="00BB2E00">
              <w:rPr>
                <w:rFonts w:cstheme="minorHAnsi"/>
                <w:shd w:val="clear" w:color="auto" w:fill="FFFFFF"/>
                <w:lang w:val="de-AT"/>
              </w:rPr>
              <w:t>Michael Steiner (</w:t>
            </w:r>
            <w:r>
              <w:rPr>
                <w:rFonts w:cstheme="minorHAnsi" w:hint="eastAsia"/>
                <w:shd w:val="clear" w:color="auto" w:fill="FFFFFF"/>
                <w:lang w:val="de-AT" w:eastAsia="ko-KR"/>
              </w:rPr>
              <w:t xml:space="preserve">former </w:t>
            </w:r>
            <w:r w:rsidRPr="00BB2E00">
              <w:rPr>
                <w:rFonts w:cstheme="minorHAnsi"/>
                <w:shd w:val="clear" w:color="auto" w:fill="FFFFFF"/>
                <w:lang w:val="de-AT"/>
              </w:rPr>
              <w:t xml:space="preserve">IAC </w:t>
            </w:r>
            <w:r>
              <w:rPr>
                <w:rFonts w:cstheme="minorHAnsi" w:hint="eastAsia"/>
                <w:shd w:val="clear" w:color="auto" w:fill="FFFFFF"/>
                <w:lang w:val="de-AT" w:eastAsia="ko-KR"/>
              </w:rPr>
              <w:t>C</w:t>
            </w:r>
            <w:r w:rsidRPr="00BB2E00">
              <w:rPr>
                <w:rFonts w:cstheme="minorHAnsi"/>
                <w:shd w:val="clear" w:color="auto" w:fill="FFFFFF"/>
                <w:lang w:val="de-AT"/>
              </w:rPr>
              <w:t>hair)</w:t>
            </w:r>
          </w:p>
          <w:p w:rsidR="003409C0" w:rsidRPr="00AE3CA8" w:rsidRDefault="003409C0" w:rsidP="003409C0">
            <w:pPr>
              <w:rPr>
                <w:rFonts w:cstheme="minorHAnsi"/>
                <w:shd w:val="clear" w:color="auto" w:fill="FFFFFF"/>
                <w:lang w:val="de-AT" w:eastAsia="ko-KR"/>
              </w:rPr>
            </w:pPr>
            <w:r w:rsidRPr="00BB2E00">
              <w:rPr>
                <w:rFonts w:cstheme="minorHAnsi"/>
                <w:shd w:val="clear" w:color="auto" w:fill="FFFFFF"/>
                <w:lang w:val="de-AT"/>
              </w:rPr>
              <w:t>Joon-woo Seo (Republic of Korea)</w:t>
            </w:r>
          </w:p>
        </w:tc>
      </w:tr>
    </w:tbl>
    <w:p w:rsidR="00E430B3" w:rsidRDefault="00E430B3" w:rsidP="004A0861">
      <w:pPr>
        <w:pStyle w:val="Header"/>
        <w:rPr>
          <w:rFonts w:cstheme="minorHAnsi"/>
          <w:b/>
          <w:sz w:val="24"/>
          <w:szCs w:val="24"/>
        </w:rPr>
      </w:pPr>
    </w:p>
    <w:sectPr w:rsidR="00E430B3" w:rsidSect="004A0861">
      <w:headerReference w:type="default" r:id="rId13"/>
      <w:footerReference w:type="default" r:id="rId14"/>
      <w:pgSz w:w="16838" w:h="11906" w:orient="landscape"/>
      <w:pgMar w:top="1440" w:right="1440" w:bottom="1440" w:left="1440" w:header="709" w:footer="709"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B7E5BB" w16cid:durableId="27FFA2B3"/>
  <w16cid:commentId w16cid:paraId="0302421A" w16cid:durableId="27FFA2C0"/>
  <w16cid:commentId w16cid:paraId="2B210D86" w16cid:durableId="27FF9C75"/>
  <w16cid:commentId w16cid:paraId="4D0E0A38" w16cid:durableId="27FFA2B5"/>
  <w16cid:commentId w16cid:paraId="6F5758B7" w16cid:durableId="27FFA2DD"/>
  <w16cid:commentId w16cid:paraId="64EBC390" w16cid:durableId="27FF9B92"/>
  <w16cid:commentId w16cid:paraId="509034EB" w16cid:durableId="27FF9C1E"/>
  <w16cid:commentId w16cid:paraId="0F1D77B4" w16cid:durableId="280299CD"/>
  <w16cid:commentId w16cid:paraId="398446D9" w16cid:durableId="27FF9CF2"/>
  <w16cid:commentId w16cid:paraId="1A267476" w16cid:durableId="27FF9C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2D2" w:rsidRDefault="004162D2" w:rsidP="0013443F">
      <w:pPr>
        <w:spacing w:after="0" w:line="240" w:lineRule="auto"/>
      </w:pPr>
      <w:r>
        <w:separator/>
      </w:r>
    </w:p>
  </w:endnote>
  <w:endnote w:type="continuationSeparator" w:id="0">
    <w:p w:rsidR="004162D2" w:rsidRDefault="004162D2" w:rsidP="00134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6A" w:rsidRPr="00146BEF" w:rsidRDefault="00DA4C31" w:rsidP="00146BEF">
    <w:pPr>
      <w:pStyle w:val="Footer"/>
      <w:rPr>
        <w:sz w:val="20"/>
        <w:szCs w:val="20"/>
      </w:rPr>
    </w:pPr>
    <w:r>
      <w:rPr>
        <w:sz w:val="20"/>
        <w:szCs w:val="20"/>
      </w:rPr>
      <w:t>SC62 Doc.26</w:t>
    </w:r>
    <w:r w:rsidR="00A06F26">
      <w:rPr>
        <w:sz w:val="20"/>
        <w:szCs w:val="20"/>
      </w:rPr>
      <w:t xml:space="preserve"> Rev.1</w:t>
    </w:r>
    <w:r w:rsidR="00C3776A" w:rsidRPr="00370FBA">
      <w:rPr>
        <w:sz w:val="20"/>
        <w:szCs w:val="20"/>
      </w:rPr>
      <w:tab/>
    </w:r>
    <w:r w:rsidR="00C3776A" w:rsidRPr="00370FBA">
      <w:rPr>
        <w:sz w:val="20"/>
        <w:szCs w:val="20"/>
      </w:rPr>
      <w:tab/>
    </w:r>
    <w:r w:rsidR="00A0121D" w:rsidRPr="00370FBA">
      <w:rPr>
        <w:sz w:val="20"/>
        <w:szCs w:val="20"/>
      </w:rPr>
      <w:fldChar w:fldCharType="begin"/>
    </w:r>
    <w:r w:rsidR="00C3776A" w:rsidRPr="00370FBA">
      <w:rPr>
        <w:sz w:val="20"/>
        <w:szCs w:val="20"/>
      </w:rPr>
      <w:instrText xml:space="preserve"> PAGE   \* MERGEFORMAT </w:instrText>
    </w:r>
    <w:r w:rsidR="00A0121D" w:rsidRPr="00370FBA">
      <w:rPr>
        <w:sz w:val="20"/>
        <w:szCs w:val="20"/>
      </w:rPr>
      <w:fldChar w:fldCharType="separate"/>
    </w:r>
    <w:r w:rsidR="00A06F26">
      <w:rPr>
        <w:noProof/>
        <w:sz w:val="20"/>
        <w:szCs w:val="20"/>
      </w:rPr>
      <w:t>2</w:t>
    </w:r>
    <w:r w:rsidR="00A0121D" w:rsidRPr="00370FBA">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861" w:rsidRPr="00146BEF" w:rsidRDefault="00DA4C31" w:rsidP="004A0861">
    <w:pPr>
      <w:pStyle w:val="Footer"/>
      <w:tabs>
        <w:tab w:val="clear" w:pos="9026"/>
        <w:tab w:val="right" w:pos="13892"/>
      </w:tabs>
      <w:rPr>
        <w:sz w:val="20"/>
        <w:szCs w:val="20"/>
      </w:rPr>
    </w:pPr>
    <w:r>
      <w:rPr>
        <w:sz w:val="20"/>
        <w:szCs w:val="20"/>
      </w:rPr>
      <w:t>SC62 Doc.26</w:t>
    </w:r>
    <w:r w:rsidR="00A06F26">
      <w:rPr>
        <w:sz w:val="20"/>
        <w:szCs w:val="20"/>
      </w:rPr>
      <w:t xml:space="preserve"> Rev.1</w:t>
    </w:r>
    <w:r w:rsidR="004A0861" w:rsidRPr="00370FBA">
      <w:rPr>
        <w:sz w:val="20"/>
        <w:szCs w:val="20"/>
      </w:rPr>
      <w:tab/>
    </w:r>
    <w:r w:rsidR="004A0861" w:rsidRPr="00370FBA">
      <w:rPr>
        <w:sz w:val="20"/>
        <w:szCs w:val="20"/>
      </w:rPr>
      <w:tab/>
    </w:r>
    <w:r w:rsidR="00A0121D" w:rsidRPr="00370FBA">
      <w:rPr>
        <w:sz w:val="20"/>
        <w:szCs w:val="20"/>
      </w:rPr>
      <w:fldChar w:fldCharType="begin"/>
    </w:r>
    <w:r w:rsidR="004A0861" w:rsidRPr="00370FBA">
      <w:rPr>
        <w:sz w:val="20"/>
        <w:szCs w:val="20"/>
      </w:rPr>
      <w:instrText xml:space="preserve"> PAGE   \* MERGEFORMAT </w:instrText>
    </w:r>
    <w:r w:rsidR="00A0121D" w:rsidRPr="00370FBA">
      <w:rPr>
        <w:sz w:val="20"/>
        <w:szCs w:val="20"/>
      </w:rPr>
      <w:fldChar w:fldCharType="separate"/>
    </w:r>
    <w:r w:rsidR="00A06F26">
      <w:rPr>
        <w:noProof/>
        <w:sz w:val="20"/>
        <w:szCs w:val="20"/>
      </w:rPr>
      <w:t>3</w:t>
    </w:r>
    <w:r w:rsidR="00A0121D" w:rsidRPr="00370FBA">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2D2" w:rsidRDefault="004162D2" w:rsidP="0013443F">
      <w:pPr>
        <w:spacing w:after="0" w:line="240" w:lineRule="auto"/>
      </w:pPr>
      <w:r>
        <w:separator/>
      </w:r>
    </w:p>
  </w:footnote>
  <w:footnote w:type="continuationSeparator" w:id="0">
    <w:p w:rsidR="004162D2" w:rsidRDefault="004162D2" w:rsidP="00134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6A" w:rsidRDefault="00C3776A">
    <w:pPr>
      <w:pStyle w:val="Header"/>
      <w:jc w:val="center"/>
    </w:pPr>
  </w:p>
  <w:p w:rsidR="00C3776A" w:rsidRDefault="00C37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6A" w:rsidRDefault="00C37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1D5"/>
    <w:multiLevelType w:val="hybridMultilevel"/>
    <w:tmpl w:val="8176F9A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9A82F32"/>
    <w:multiLevelType w:val="hybridMultilevel"/>
    <w:tmpl w:val="9D74D66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A91647B"/>
    <w:multiLevelType w:val="hybridMultilevel"/>
    <w:tmpl w:val="34AC3AB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00B5A55"/>
    <w:multiLevelType w:val="hybridMultilevel"/>
    <w:tmpl w:val="89B201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3F45351"/>
    <w:multiLevelType w:val="hybridMultilevel"/>
    <w:tmpl w:val="2B42DA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68F0652"/>
    <w:multiLevelType w:val="multilevel"/>
    <w:tmpl w:val="5C70C2F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heme="minorEastAsia" w:hAnsi="Wingdings" w:cstheme="min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CD7AEB"/>
    <w:multiLevelType w:val="hybridMultilevel"/>
    <w:tmpl w:val="9800CCC0"/>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6FA3F8A"/>
    <w:multiLevelType w:val="hybridMultilevel"/>
    <w:tmpl w:val="A3C2F46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6B6552FA"/>
    <w:multiLevelType w:val="hybridMultilevel"/>
    <w:tmpl w:val="3262539E"/>
    <w:lvl w:ilvl="0" w:tplc="1C090001">
      <w:start w:val="1"/>
      <w:numFmt w:val="bullet"/>
      <w:lvlText w:val=""/>
      <w:lvlJc w:val="left"/>
      <w:pPr>
        <w:ind w:left="1440" w:hanging="360"/>
      </w:pPr>
      <w:rPr>
        <w:rFonts w:ascii="Symbol" w:hAnsi="Symbol"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73320D32"/>
    <w:multiLevelType w:val="hybridMultilevel"/>
    <w:tmpl w:val="75C68E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9114E25"/>
    <w:multiLevelType w:val="hybridMultilevel"/>
    <w:tmpl w:val="8DCC46F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7F104A9A"/>
    <w:multiLevelType w:val="hybridMultilevel"/>
    <w:tmpl w:val="55644D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9"/>
  </w:num>
  <w:num w:numId="5">
    <w:abstractNumId w:val="8"/>
  </w:num>
  <w:num w:numId="6">
    <w:abstractNumId w:val="1"/>
  </w:num>
  <w:num w:numId="7">
    <w:abstractNumId w:val="7"/>
  </w:num>
  <w:num w:numId="8">
    <w:abstractNumId w:val="3"/>
  </w:num>
  <w:num w:numId="9">
    <w:abstractNumId w:val="6"/>
  </w:num>
  <w:num w:numId="10">
    <w:abstractNumId w:val="1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e1NLE0MDE2NjAxMzNV0lEKTi0uzszPAykwqgUAguMnXSwAAAA="/>
  </w:docVars>
  <w:rsids>
    <w:rsidRoot w:val="003D6F19"/>
    <w:rsid w:val="00005CD3"/>
    <w:rsid w:val="0002247D"/>
    <w:rsid w:val="000376D8"/>
    <w:rsid w:val="00042765"/>
    <w:rsid w:val="0005407E"/>
    <w:rsid w:val="000625ED"/>
    <w:rsid w:val="00080933"/>
    <w:rsid w:val="000849FD"/>
    <w:rsid w:val="00095CAB"/>
    <w:rsid w:val="000970AF"/>
    <w:rsid w:val="000A12F8"/>
    <w:rsid w:val="000A7D16"/>
    <w:rsid w:val="000B0611"/>
    <w:rsid w:val="000B7520"/>
    <w:rsid w:val="000C277F"/>
    <w:rsid w:val="000C3B22"/>
    <w:rsid w:val="000C494F"/>
    <w:rsid w:val="000D26BC"/>
    <w:rsid w:val="0013443F"/>
    <w:rsid w:val="00146BEF"/>
    <w:rsid w:val="00183F2E"/>
    <w:rsid w:val="0019093F"/>
    <w:rsid w:val="0019109C"/>
    <w:rsid w:val="001930A9"/>
    <w:rsid w:val="0019770F"/>
    <w:rsid w:val="001B175E"/>
    <w:rsid w:val="001B269F"/>
    <w:rsid w:val="001B73D1"/>
    <w:rsid w:val="001C348C"/>
    <w:rsid w:val="001D3BB0"/>
    <w:rsid w:val="001E3DD4"/>
    <w:rsid w:val="00214926"/>
    <w:rsid w:val="00230508"/>
    <w:rsid w:val="00235745"/>
    <w:rsid w:val="00242C5E"/>
    <w:rsid w:val="00253598"/>
    <w:rsid w:val="002675F1"/>
    <w:rsid w:val="0027678F"/>
    <w:rsid w:val="00280B9F"/>
    <w:rsid w:val="002864B3"/>
    <w:rsid w:val="00292E5F"/>
    <w:rsid w:val="002971F0"/>
    <w:rsid w:val="002F13A7"/>
    <w:rsid w:val="003000CA"/>
    <w:rsid w:val="00301E6D"/>
    <w:rsid w:val="00303BDF"/>
    <w:rsid w:val="003042EA"/>
    <w:rsid w:val="00314F6B"/>
    <w:rsid w:val="0031550C"/>
    <w:rsid w:val="00321742"/>
    <w:rsid w:val="0032298F"/>
    <w:rsid w:val="003254E2"/>
    <w:rsid w:val="003305F9"/>
    <w:rsid w:val="003324FB"/>
    <w:rsid w:val="003409C0"/>
    <w:rsid w:val="00345E95"/>
    <w:rsid w:val="00350986"/>
    <w:rsid w:val="00367DB0"/>
    <w:rsid w:val="003A3C86"/>
    <w:rsid w:val="003D2460"/>
    <w:rsid w:val="003D6F19"/>
    <w:rsid w:val="003E376D"/>
    <w:rsid w:val="003E67C2"/>
    <w:rsid w:val="003F20EB"/>
    <w:rsid w:val="00404F57"/>
    <w:rsid w:val="00410585"/>
    <w:rsid w:val="0041314A"/>
    <w:rsid w:val="004131A0"/>
    <w:rsid w:val="004155FF"/>
    <w:rsid w:val="004162D2"/>
    <w:rsid w:val="004424C1"/>
    <w:rsid w:val="00444FF8"/>
    <w:rsid w:val="0044569E"/>
    <w:rsid w:val="00460BD3"/>
    <w:rsid w:val="00476222"/>
    <w:rsid w:val="004A0861"/>
    <w:rsid w:val="004A0867"/>
    <w:rsid w:val="004A3603"/>
    <w:rsid w:val="004B2546"/>
    <w:rsid w:val="004B57AD"/>
    <w:rsid w:val="004B78B9"/>
    <w:rsid w:val="004C40B0"/>
    <w:rsid w:val="004D7B3A"/>
    <w:rsid w:val="004E2FD5"/>
    <w:rsid w:val="004E6308"/>
    <w:rsid w:val="004F1F86"/>
    <w:rsid w:val="004F3269"/>
    <w:rsid w:val="005238F7"/>
    <w:rsid w:val="00532FA4"/>
    <w:rsid w:val="005550A0"/>
    <w:rsid w:val="00591566"/>
    <w:rsid w:val="005B0500"/>
    <w:rsid w:val="005B1119"/>
    <w:rsid w:val="005B63DD"/>
    <w:rsid w:val="005C0613"/>
    <w:rsid w:val="005F2B21"/>
    <w:rsid w:val="005F7E6D"/>
    <w:rsid w:val="00624A0B"/>
    <w:rsid w:val="0064408B"/>
    <w:rsid w:val="00667837"/>
    <w:rsid w:val="006A054E"/>
    <w:rsid w:val="006A3F91"/>
    <w:rsid w:val="006B75DF"/>
    <w:rsid w:val="006E6CBC"/>
    <w:rsid w:val="00706F8F"/>
    <w:rsid w:val="0071563B"/>
    <w:rsid w:val="00735DB0"/>
    <w:rsid w:val="00761BCD"/>
    <w:rsid w:val="00763412"/>
    <w:rsid w:val="007764B1"/>
    <w:rsid w:val="00777D74"/>
    <w:rsid w:val="00781345"/>
    <w:rsid w:val="00784248"/>
    <w:rsid w:val="00785E1E"/>
    <w:rsid w:val="007A5916"/>
    <w:rsid w:val="007B16F9"/>
    <w:rsid w:val="007C4128"/>
    <w:rsid w:val="007C6DEB"/>
    <w:rsid w:val="0081286A"/>
    <w:rsid w:val="00813810"/>
    <w:rsid w:val="00815ABD"/>
    <w:rsid w:val="00851F77"/>
    <w:rsid w:val="008676E1"/>
    <w:rsid w:val="00870885"/>
    <w:rsid w:val="008716EB"/>
    <w:rsid w:val="00893C71"/>
    <w:rsid w:val="0091026D"/>
    <w:rsid w:val="00916834"/>
    <w:rsid w:val="00920064"/>
    <w:rsid w:val="009203F1"/>
    <w:rsid w:val="0092297D"/>
    <w:rsid w:val="00927C7B"/>
    <w:rsid w:val="00934255"/>
    <w:rsid w:val="00937F68"/>
    <w:rsid w:val="009513D2"/>
    <w:rsid w:val="009527D1"/>
    <w:rsid w:val="009634A6"/>
    <w:rsid w:val="009740CC"/>
    <w:rsid w:val="00980434"/>
    <w:rsid w:val="009835EF"/>
    <w:rsid w:val="009B0B31"/>
    <w:rsid w:val="009B1270"/>
    <w:rsid w:val="009D0C39"/>
    <w:rsid w:val="009D21EB"/>
    <w:rsid w:val="009E570E"/>
    <w:rsid w:val="009E6796"/>
    <w:rsid w:val="009E7E56"/>
    <w:rsid w:val="009F2FDE"/>
    <w:rsid w:val="009F7C96"/>
    <w:rsid w:val="00A0121D"/>
    <w:rsid w:val="00A048F4"/>
    <w:rsid w:val="00A05DB9"/>
    <w:rsid w:val="00A06F26"/>
    <w:rsid w:val="00A33EEA"/>
    <w:rsid w:val="00A33EEC"/>
    <w:rsid w:val="00A42762"/>
    <w:rsid w:val="00A42893"/>
    <w:rsid w:val="00A51196"/>
    <w:rsid w:val="00A56256"/>
    <w:rsid w:val="00A609E0"/>
    <w:rsid w:val="00A629A8"/>
    <w:rsid w:val="00A66055"/>
    <w:rsid w:val="00A716D1"/>
    <w:rsid w:val="00A7215D"/>
    <w:rsid w:val="00A74BD0"/>
    <w:rsid w:val="00A82F66"/>
    <w:rsid w:val="00AD71AE"/>
    <w:rsid w:val="00AD7525"/>
    <w:rsid w:val="00AD7C3C"/>
    <w:rsid w:val="00AE3CA8"/>
    <w:rsid w:val="00AE40DF"/>
    <w:rsid w:val="00B11985"/>
    <w:rsid w:val="00B30FEE"/>
    <w:rsid w:val="00B32044"/>
    <w:rsid w:val="00B50E0B"/>
    <w:rsid w:val="00B536DB"/>
    <w:rsid w:val="00B6312F"/>
    <w:rsid w:val="00B85724"/>
    <w:rsid w:val="00B9138A"/>
    <w:rsid w:val="00BB2E00"/>
    <w:rsid w:val="00BC1392"/>
    <w:rsid w:val="00BE615B"/>
    <w:rsid w:val="00C1476A"/>
    <w:rsid w:val="00C230C1"/>
    <w:rsid w:val="00C3106D"/>
    <w:rsid w:val="00C35226"/>
    <w:rsid w:val="00C35A03"/>
    <w:rsid w:val="00C3776A"/>
    <w:rsid w:val="00C46B09"/>
    <w:rsid w:val="00C46F23"/>
    <w:rsid w:val="00C57291"/>
    <w:rsid w:val="00C70EFF"/>
    <w:rsid w:val="00CA345D"/>
    <w:rsid w:val="00CA4EF1"/>
    <w:rsid w:val="00CA64DE"/>
    <w:rsid w:val="00CA76F2"/>
    <w:rsid w:val="00CB4830"/>
    <w:rsid w:val="00CB54D3"/>
    <w:rsid w:val="00CC736F"/>
    <w:rsid w:val="00CC7D34"/>
    <w:rsid w:val="00D04074"/>
    <w:rsid w:val="00D101C4"/>
    <w:rsid w:val="00D112C9"/>
    <w:rsid w:val="00D16377"/>
    <w:rsid w:val="00D2410E"/>
    <w:rsid w:val="00D24EA9"/>
    <w:rsid w:val="00D3052E"/>
    <w:rsid w:val="00D3142D"/>
    <w:rsid w:val="00D34AD2"/>
    <w:rsid w:val="00D5717D"/>
    <w:rsid w:val="00D605AA"/>
    <w:rsid w:val="00D62602"/>
    <w:rsid w:val="00D71001"/>
    <w:rsid w:val="00D968B1"/>
    <w:rsid w:val="00D96B18"/>
    <w:rsid w:val="00DA4C31"/>
    <w:rsid w:val="00DB408C"/>
    <w:rsid w:val="00DC3BF8"/>
    <w:rsid w:val="00DC4EF5"/>
    <w:rsid w:val="00DE7597"/>
    <w:rsid w:val="00E16CDF"/>
    <w:rsid w:val="00E42B7D"/>
    <w:rsid w:val="00E430B3"/>
    <w:rsid w:val="00E4497F"/>
    <w:rsid w:val="00E50E18"/>
    <w:rsid w:val="00E53D0C"/>
    <w:rsid w:val="00EA0F31"/>
    <w:rsid w:val="00EB30C3"/>
    <w:rsid w:val="00EB591D"/>
    <w:rsid w:val="00EE2706"/>
    <w:rsid w:val="00EE2913"/>
    <w:rsid w:val="00EF5C38"/>
    <w:rsid w:val="00F00F8D"/>
    <w:rsid w:val="00F02599"/>
    <w:rsid w:val="00F16E65"/>
    <w:rsid w:val="00F207FC"/>
    <w:rsid w:val="00F22B8D"/>
    <w:rsid w:val="00F24ED3"/>
    <w:rsid w:val="00F31DFC"/>
    <w:rsid w:val="00F43706"/>
    <w:rsid w:val="00F544DE"/>
    <w:rsid w:val="00FC100E"/>
    <w:rsid w:val="00FC5587"/>
    <w:rsid w:val="00FC7159"/>
    <w:rsid w:val="00FE57FD"/>
    <w:rsid w:val="00FE64E8"/>
    <w:rsid w:val="00FF1598"/>
    <w:rsid w:val="00FF606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FD53BF5"/>
  <w15:docId w15:val="{4128ABC5-7692-472A-B16D-49D7C51E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196"/>
  </w:style>
  <w:style w:type="paragraph" w:styleId="Heading3">
    <w:name w:val="heading 3"/>
    <w:basedOn w:val="Normal"/>
    <w:link w:val="Heading3Char"/>
    <w:uiPriority w:val="9"/>
    <w:qFormat/>
    <w:rsid w:val="003042EA"/>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C5E"/>
    <w:rPr>
      <w:color w:val="0000FF"/>
      <w:u w:val="single"/>
    </w:rPr>
  </w:style>
  <w:style w:type="paragraph" w:styleId="ListParagraph">
    <w:name w:val="List Paragraph"/>
    <w:basedOn w:val="Normal"/>
    <w:uiPriority w:val="34"/>
    <w:qFormat/>
    <w:rsid w:val="00242C5E"/>
    <w:pPr>
      <w:ind w:left="720"/>
      <w:contextualSpacing/>
    </w:pPr>
  </w:style>
  <w:style w:type="paragraph" w:styleId="NormalWeb">
    <w:name w:val="Normal (Web)"/>
    <w:basedOn w:val="Normal"/>
    <w:uiPriority w:val="99"/>
    <w:unhideWhenUsed/>
    <w:rsid w:val="00C3522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rsid w:val="003042EA"/>
    <w:rPr>
      <w:rFonts w:ascii="Times New Roman" w:eastAsia="Times New Roman" w:hAnsi="Times New Roman" w:cs="Times New Roman"/>
      <w:b/>
      <w:bCs/>
      <w:sz w:val="27"/>
      <w:szCs w:val="27"/>
      <w:lang w:eastAsia="en-ZA"/>
    </w:rPr>
  </w:style>
  <w:style w:type="character" w:customStyle="1" w:styleId="gd">
    <w:name w:val="gd"/>
    <w:basedOn w:val="DefaultParagraphFont"/>
    <w:rsid w:val="003042EA"/>
  </w:style>
  <w:style w:type="character" w:customStyle="1" w:styleId="g3">
    <w:name w:val="g3"/>
    <w:basedOn w:val="DefaultParagraphFont"/>
    <w:rsid w:val="003042EA"/>
  </w:style>
  <w:style w:type="character" w:customStyle="1" w:styleId="hb">
    <w:name w:val="hb"/>
    <w:basedOn w:val="DefaultParagraphFont"/>
    <w:rsid w:val="003042EA"/>
  </w:style>
  <w:style w:type="character" w:customStyle="1" w:styleId="g2">
    <w:name w:val="g2"/>
    <w:basedOn w:val="DefaultParagraphFont"/>
    <w:rsid w:val="003042EA"/>
  </w:style>
  <w:style w:type="character" w:styleId="CommentReference">
    <w:name w:val="annotation reference"/>
    <w:basedOn w:val="DefaultParagraphFont"/>
    <w:uiPriority w:val="99"/>
    <w:semiHidden/>
    <w:unhideWhenUsed/>
    <w:rsid w:val="003042EA"/>
    <w:rPr>
      <w:sz w:val="16"/>
      <w:szCs w:val="16"/>
    </w:rPr>
  </w:style>
  <w:style w:type="paragraph" w:styleId="CommentText">
    <w:name w:val="annotation text"/>
    <w:basedOn w:val="Normal"/>
    <w:link w:val="CommentTextChar"/>
    <w:uiPriority w:val="99"/>
    <w:semiHidden/>
    <w:unhideWhenUsed/>
    <w:rsid w:val="003042EA"/>
    <w:pPr>
      <w:spacing w:line="240" w:lineRule="auto"/>
    </w:pPr>
    <w:rPr>
      <w:sz w:val="20"/>
      <w:szCs w:val="20"/>
    </w:rPr>
  </w:style>
  <w:style w:type="character" w:customStyle="1" w:styleId="CommentTextChar">
    <w:name w:val="Comment Text Char"/>
    <w:basedOn w:val="DefaultParagraphFont"/>
    <w:link w:val="CommentText"/>
    <w:uiPriority w:val="99"/>
    <w:semiHidden/>
    <w:rsid w:val="003042EA"/>
    <w:rPr>
      <w:sz w:val="20"/>
      <w:szCs w:val="20"/>
    </w:rPr>
  </w:style>
  <w:style w:type="paragraph" w:styleId="CommentSubject">
    <w:name w:val="annotation subject"/>
    <w:basedOn w:val="CommentText"/>
    <w:next w:val="CommentText"/>
    <w:link w:val="CommentSubjectChar"/>
    <w:uiPriority w:val="99"/>
    <w:semiHidden/>
    <w:unhideWhenUsed/>
    <w:rsid w:val="003042EA"/>
    <w:rPr>
      <w:b/>
      <w:bCs/>
    </w:rPr>
  </w:style>
  <w:style w:type="character" w:customStyle="1" w:styleId="CommentSubjectChar">
    <w:name w:val="Comment Subject Char"/>
    <w:basedOn w:val="CommentTextChar"/>
    <w:link w:val="CommentSubject"/>
    <w:uiPriority w:val="99"/>
    <w:semiHidden/>
    <w:rsid w:val="003042EA"/>
    <w:rPr>
      <w:b/>
      <w:bCs/>
      <w:sz w:val="20"/>
      <w:szCs w:val="20"/>
    </w:rPr>
  </w:style>
  <w:style w:type="paragraph" w:styleId="BalloonText">
    <w:name w:val="Balloon Text"/>
    <w:basedOn w:val="Normal"/>
    <w:link w:val="BalloonTextChar"/>
    <w:uiPriority w:val="99"/>
    <w:semiHidden/>
    <w:unhideWhenUsed/>
    <w:rsid w:val="00304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2EA"/>
    <w:rPr>
      <w:rFonts w:ascii="Segoe UI" w:hAnsi="Segoe UI" w:cs="Segoe UI"/>
      <w:sz w:val="18"/>
      <w:szCs w:val="18"/>
    </w:rPr>
  </w:style>
  <w:style w:type="table" w:styleId="TableGrid">
    <w:name w:val="Table Grid"/>
    <w:basedOn w:val="TableNormal"/>
    <w:uiPriority w:val="39"/>
    <w:rsid w:val="00777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7D7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34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43F"/>
  </w:style>
  <w:style w:type="paragraph" w:styleId="Footer">
    <w:name w:val="footer"/>
    <w:basedOn w:val="Normal"/>
    <w:link w:val="FooterChar"/>
    <w:uiPriority w:val="99"/>
    <w:unhideWhenUsed/>
    <w:rsid w:val="00134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43F"/>
  </w:style>
  <w:style w:type="paragraph" w:styleId="Revision">
    <w:name w:val="Revision"/>
    <w:hidden/>
    <w:uiPriority w:val="99"/>
    <w:semiHidden/>
    <w:rsid w:val="00934255"/>
    <w:pPr>
      <w:spacing w:after="0" w:line="240" w:lineRule="auto"/>
    </w:pPr>
  </w:style>
  <w:style w:type="paragraph" w:customStyle="1" w:styleId="ColorfulList-Accent11">
    <w:name w:val="Colorful List - Accent 11"/>
    <w:basedOn w:val="Normal"/>
    <w:uiPriority w:val="34"/>
    <w:qFormat/>
    <w:rsid w:val="00C46F23"/>
    <w:pPr>
      <w:spacing w:after="0" w:line="240" w:lineRule="auto"/>
      <w:ind w:left="720" w:hanging="425"/>
      <w:contextualSpacing/>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030867">
      <w:bodyDiv w:val="1"/>
      <w:marLeft w:val="0"/>
      <w:marRight w:val="0"/>
      <w:marTop w:val="0"/>
      <w:marBottom w:val="0"/>
      <w:divBdr>
        <w:top w:val="none" w:sz="0" w:space="0" w:color="auto"/>
        <w:left w:val="none" w:sz="0" w:space="0" w:color="auto"/>
        <w:bottom w:val="none" w:sz="0" w:space="0" w:color="auto"/>
        <w:right w:val="none" w:sz="0" w:space="0" w:color="auto"/>
      </w:divBdr>
    </w:div>
    <w:div w:id="598031488">
      <w:bodyDiv w:val="1"/>
      <w:marLeft w:val="0"/>
      <w:marRight w:val="0"/>
      <w:marTop w:val="0"/>
      <w:marBottom w:val="0"/>
      <w:divBdr>
        <w:top w:val="none" w:sz="0" w:space="0" w:color="auto"/>
        <w:left w:val="none" w:sz="0" w:space="0" w:color="auto"/>
        <w:bottom w:val="none" w:sz="0" w:space="0" w:color="auto"/>
        <w:right w:val="none" w:sz="0" w:space="0" w:color="auto"/>
      </w:divBdr>
      <w:divsChild>
        <w:div w:id="2114788823">
          <w:marLeft w:val="0"/>
          <w:marRight w:val="0"/>
          <w:marTop w:val="0"/>
          <w:marBottom w:val="0"/>
          <w:divBdr>
            <w:top w:val="none" w:sz="0" w:space="0" w:color="auto"/>
            <w:left w:val="none" w:sz="0" w:space="0" w:color="auto"/>
            <w:bottom w:val="none" w:sz="0" w:space="0" w:color="auto"/>
            <w:right w:val="none" w:sz="0" w:space="0" w:color="auto"/>
          </w:divBdr>
          <w:divsChild>
            <w:div w:id="135152087">
              <w:marLeft w:val="0"/>
              <w:marRight w:val="0"/>
              <w:marTop w:val="0"/>
              <w:marBottom w:val="0"/>
              <w:divBdr>
                <w:top w:val="none" w:sz="0" w:space="0" w:color="auto"/>
                <w:left w:val="none" w:sz="0" w:space="0" w:color="auto"/>
                <w:bottom w:val="none" w:sz="0" w:space="0" w:color="auto"/>
                <w:right w:val="none" w:sz="0" w:space="0" w:color="auto"/>
              </w:divBdr>
            </w:div>
          </w:divsChild>
        </w:div>
        <w:div w:id="278335947">
          <w:marLeft w:val="0"/>
          <w:marRight w:val="0"/>
          <w:marTop w:val="0"/>
          <w:marBottom w:val="0"/>
          <w:divBdr>
            <w:top w:val="none" w:sz="0" w:space="0" w:color="auto"/>
            <w:left w:val="none" w:sz="0" w:space="0" w:color="auto"/>
            <w:bottom w:val="none" w:sz="0" w:space="0" w:color="auto"/>
            <w:right w:val="none" w:sz="0" w:space="0" w:color="auto"/>
          </w:divBdr>
          <w:divsChild>
            <w:div w:id="1393308780">
              <w:marLeft w:val="0"/>
              <w:marRight w:val="0"/>
              <w:marTop w:val="0"/>
              <w:marBottom w:val="0"/>
              <w:divBdr>
                <w:top w:val="none" w:sz="0" w:space="0" w:color="auto"/>
                <w:left w:val="none" w:sz="0" w:space="0" w:color="auto"/>
                <w:bottom w:val="none" w:sz="0" w:space="0" w:color="auto"/>
                <w:right w:val="none" w:sz="0" w:space="0" w:color="auto"/>
              </w:divBdr>
              <w:divsChild>
                <w:div w:id="1605916589">
                  <w:marLeft w:val="0"/>
                  <w:marRight w:val="0"/>
                  <w:marTop w:val="0"/>
                  <w:marBottom w:val="0"/>
                  <w:divBdr>
                    <w:top w:val="none" w:sz="0" w:space="0" w:color="auto"/>
                    <w:left w:val="none" w:sz="0" w:space="0" w:color="auto"/>
                    <w:bottom w:val="none" w:sz="0" w:space="0" w:color="auto"/>
                    <w:right w:val="none" w:sz="0" w:space="0" w:color="auto"/>
                  </w:divBdr>
                </w:div>
                <w:div w:id="472524003">
                  <w:marLeft w:val="300"/>
                  <w:marRight w:val="0"/>
                  <w:marTop w:val="0"/>
                  <w:marBottom w:val="0"/>
                  <w:divBdr>
                    <w:top w:val="none" w:sz="0" w:space="0" w:color="auto"/>
                    <w:left w:val="none" w:sz="0" w:space="0" w:color="auto"/>
                    <w:bottom w:val="none" w:sz="0" w:space="0" w:color="auto"/>
                    <w:right w:val="none" w:sz="0" w:space="0" w:color="auto"/>
                  </w:divBdr>
                </w:div>
                <w:div w:id="1036663795">
                  <w:marLeft w:val="300"/>
                  <w:marRight w:val="0"/>
                  <w:marTop w:val="0"/>
                  <w:marBottom w:val="0"/>
                  <w:divBdr>
                    <w:top w:val="none" w:sz="0" w:space="0" w:color="auto"/>
                    <w:left w:val="none" w:sz="0" w:space="0" w:color="auto"/>
                    <w:bottom w:val="none" w:sz="0" w:space="0" w:color="auto"/>
                    <w:right w:val="none" w:sz="0" w:space="0" w:color="auto"/>
                  </w:divBdr>
                </w:div>
                <w:div w:id="1692534314">
                  <w:marLeft w:val="0"/>
                  <w:marRight w:val="0"/>
                  <w:marTop w:val="0"/>
                  <w:marBottom w:val="0"/>
                  <w:divBdr>
                    <w:top w:val="none" w:sz="0" w:space="0" w:color="auto"/>
                    <w:left w:val="none" w:sz="0" w:space="0" w:color="auto"/>
                    <w:bottom w:val="none" w:sz="0" w:space="0" w:color="auto"/>
                    <w:right w:val="none" w:sz="0" w:space="0" w:color="auto"/>
                  </w:divBdr>
                </w:div>
                <w:div w:id="346097431">
                  <w:marLeft w:val="60"/>
                  <w:marRight w:val="0"/>
                  <w:marTop w:val="0"/>
                  <w:marBottom w:val="0"/>
                  <w:divBdr>
                    <w:top w:val="none" w:sz="0" w:space="0" w:color="auto"/>
                    <w:left w:val="none" w:sz="0" w:space="0" w:color="auto"/>
                    <w:bottom w:val="none" w:sz="0" w:space="0" w:color="auto"/>
                    <w:right w:val="none" w:sz="0" w:space="0" w:color="auto"/>
                  </w:divBdr>
                </w:div>
              </w:divsChild>
            </w:div>
            <w:div w:id="1179082225">
              <w:marLeft w:val="0"/>
              <w:marRight w:val="0"/>
              <w:marTop w:val="0"/>
              <w:marBottom w:val="0"/>
              <w:divBdr>
                <w:top w:val="none" w:sz="0" w:space="0" w:color="auto"/>
                <w:left w:val="none" w:sz="0" w:space="0" w:color="auto"/>
                <w:bottom w:val="none" w:sz="0" w:space="0" w:color="auto"/>
                <w:right w:val="none" w:sz="0" w:space="0" w:color="auto"/>
              </w:divBdr>
              <w:divsChild>
                <w:div w:id="1633751053">
                  <w:marLeft w:val="0"/>
                  <w:marRight w:val="0"/>
                  <w:marTop w:val="120"/>
                  <w:marBottom w:val="0"/>
                  <w:divBdr>
                    <w:top w:val="none" w:sz="0" w:space="0" w:color="auto"/>
                    <w:left w:val="none" w:sz="0" w:space="0" w:color="auto"/>
                    <w:bottom w:val="none" w:sz="0" w:space="0" w:color="auto"/>
                    <w:right w:val="none" w:sz="0" w:space="0" w:color="auto"/>
                  </w:divBdr>
                  <w:divsChild>
                    <w:div w:id="1716348841">
                      <w:marLeft w:val="0"/>
                      <w:marRight w:val="0"/>
                      <w:marTop w:val="0"/>
                      <w:marBottom w:val="0"/>
                      <w:divBdr>
                        <w:top w:val="none" w:sz="0" w:space="0" w:color="auto"/>
                        <w:left w:val="none" w:sz="0" w:space="0" w:color="auto"/>
                        <w:bottom w:val="none" w:sz="0" w:space="0" w:color="auto"/>
                        <w:right w:val="none" w:sz="0" w:space="0" w:color="auto"/>
                      </w:divBdr>
                      <w:divsChild>
                        <w:div w:id="1515146982">
                          <w:marLeft w:val="0"/>
                          <w:marRight w:val="0"/>
                          <w:marTop w:val="0"/>
                          <w:marBottom w:val="0"/>
                          <w:divBdr>
                            <w:top w:val="none" w:sz="0" w:space="0" w:color="auto"/>
                            <w:left w:val="none" w:sz="0" w:space="0" w:color="auto"/>
                            <w:bottom w:val="none" w:sz="0" w:space="0" w:color="auto"/>
                            <w:right w:val="none" w:sz="0" w:space="0" w:color="auto"/>
                          </w:divBdr>
                          <w:divsChild>
                            <w:div w:id="9115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1000">
      <w:bodyDiv w:val="1"/>
      <w:marLeft w:val="0"/>
      <w:marRight w:val="0"/>
      <w:marTop w:val="0"/>
      <w:marBottom w:val="0"/>
      <w:divBdr>
        <w:top w:val="none" w:sz="0" w:space="0" w:color="auto"/>
        <w:left w:val="none" w:sz="0" w:space="0" w:color="auto"/>
        <w:bottom w:val="none" w:sz="0" w:space="0" w:color="auto"/>
        <w:right w:val="none" w:sz="0" w:space="0" w:color="auto"/>
      </w:divBdr>
    </w:div>
    <w:div w:id="1026907147">
      <w:bodyDiv w:val="1"/>
      <w:marLeft w:val="0"/>
      <w:marRight w:val="0"/>
      <w:marTop w:val="0"/>
      <w:marBottom w:val="0"/>
      <w:divBdr>
        <w:top w:val="none" w:sz="0" w:space="0" w:color="auto"/>
        <w:left w:val="none" w:sz="0" w:space="0" w:color="auto"/>
        <w:bottom w:val="none" w:sz="0" w:space="0" w:color="auto"/>
        <w:right w:val="none" w:sz="0" w:space="0" w:color="auto"/>
      </w:divBdr>
    </w:div>
    <w:div w:id="14938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4" ma:contentTypeDescription="Create a new document." ma:contentTypeScope="" ma:versionID="2055849121a78828b203c376bcc09796">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ac13e0d67ac5406e1a12fcdbd3791b9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C32AF-FA39-40DC-BC90-5BED9C6991A3}">
  <ds:schemaRefs>
    <ds:schemaRef ds:uri="http://schemas.microsoft.com/sharepoint/v3/contenttype/forms"/>
  </ds:schemaRefs>
</ds:datastoreItem>
</file>

<file path=customXml/itemProps2.xml><?xml version="1.0" encoding="utf-8"?>
<ds:datastoreItem xmlns:ds="http://schemas.openxmlformats.org/officeDocument/2006/customXml" ds:itemID="{ADA82A66-751C-4A3B-A953-F4CE7E6A9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50B34B-88CF-4F27-B442-15B4D357498E}">
  <ds:schemaRefs>
    <ds:schemaRef ds:uri="8c0b6b05-eb82-4bda-97e8-cd82d0d6b453"/>
    <ds:schemaRef ds:uri="http://schemas.microsoft.com/office/2006/documentManagement/types"/>
    <ds:schemaRef ds:uri="aedd258d-19a7-41ba-8260-b0918f25313d"/>
    <ds:schemaRef ds:uri="http://www.w3.org/XML/1998/namespace"/>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EC207DF5-997A-4F10-BE67-351B05D9A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3712</Characters>
  <Application>Microsoft Office Word</Application>
  <DocSecurity>4</DocSecurity>
  <Lines>30</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2</cp:revision>
  <dcterms:created xsi:type="dcterms:W3CDTF">2023-09-07T08:06:00Z</dcterms:created>
  <dcterms:modified xsi:type="dcterms:W3CDTF">2023-09-07T08:06:00Z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