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CD727" w14:textId="1357435D" w:rsidR="00534C31" w:rsidRPr="000A1295" w:rsidRDefault="00534C31" w:rsidP="00534C31">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Calibri"/>
          <w:lang w:val="fr-FR"/>
        </w:rPr>
      </w:pPr>
      <w:r w:rsidRPr="000A1295">
        <w:rPr>
          <w:rFonts w:cs="Calibri"/>
          <w:lang w:val="fr-FR"/>
        </w:rPr>
        <w:t>CONVENTION SUR LES ZONES HUMIDES</w:t>
      </w:r>
    </w:p>
    <w:p w14:paraId="7626D446" w14:textId="1C332104" w:rsidR="00534C31" w:rsidRPr="000A1295" w:rsidRDefault="00534C31" w:rsidP="00534C31">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Calibri"/>
          <w:lang w:val="fr-FR"/>
        </w:rPr>
      </w:pPr>
      <w:r w:rsidRPr="000A1295">
        <w:rPr>
          <w:rFonts w:cs="Calibri"/>
          <w:lang w:val="fr-FR"/>
        </w:rPr>
        <w:t>64</w:t>
      </w:r>
      <w:r w:rsidRPr="000A1295">
        <w:rPr>
          <w:rFonts w:cs="Calibri"/>
          <w:vertAlign w:val="superscript"/>
          <w:lang w:val="fr-FR"/>
        </w:rPr>
        <w:t xml:space="preserve">e </w:t>
      </w:r>
      <w:r w:rsidRPr="000A1295">
        <w:rPr>
          <w:rFonts w:cs="Calibri"/>
          <w:lang w:val="fr-FR"/>
        </w:rPr>
        <w:t>réunion du Comité permanent</w:t>
      </w:r>
    </w:p>
    <w:p w14:paraId="4AAA6ADA" w14:textId="0F236650" w:rsidR="00534C31" w:rsidRPr="000A1295" w:rsidRDefault="00534C31" w:rsidP="00534C31">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Calibri"/>
          <w:lang w:val="fr-FR"/>
        </w:rPr>
      </w:pPr>
      <w:r w:rsidRPr="000A1295">
        <w:rPr>
          <w:rFonts w:cs="Calibri"/>
          <w:lang w:val="fr-FR"/>
        </w:rPr>
        <w:t>Gland, Suisse, 20</w:t>
      </w:r>
      <w:r w:rsidR="00A67B3C">
        <w:rPr>
          <w:rFonts w:cs="Calibri"/>
          <w:lang w:val="fr-FR"/>
        </w:rPr>
        <w:t xml:space="preserve"> au </w:t>
      </w:r>
      <w:r w:rsidRPr="000A1295">
        <w:rPr>
          <w:rFonts w:cs="Calibri"/>
          <w:lang w:val="fr-FR"/>
        </w:rPr>
        <w:t>24 janvier 2025</w:t>
      </w:r>
    </w:p>
    <w:p w14:paraId="06D21CEB" w14:textId="77777777" w:rsidR="00534C31" w:rsidRPr="000A1295" w:rsidRDefault="00534C31" w:rsidP="00534C31">
      <w:pPr>
        <w:spacing w:after="0" w:line="240" w:lineRule="auto"/>
        <w:jc w:val="right"/>
        <w:rPr>
          <w:rFonts w:cs="Calibri"/>
          <w:b/>
          <w:sz w:val="28"/>
          <w:szCs w:val="28"/>
          <w:lang w:val="fr-FR"/>
        </w:rPr>
      </w:pPr>
    </w:p>
    <w:p w14:paraId="45AC102E" w14:textId="77777777" w:rsidR="00534C31" w:rsidRPr="000A1295" w:rsidRDefault="00534C31" w:rsidP="00534C31">
      <w:pPr>
        <w:spacing w:after="0" w:line="240" w:lineRule="auto"/>
        <w:jc w:val="right"/>
        <w:rPr>
          <w:rFonts w:cs="Calibri"/>
          <w:b/>
          <w:bCs/>
          <w:sz w:val="28"/>
          <w:szCs w:val="28"/>
          <w:lang w:val="fr-FR"/>
        </w:rPr>
      </w:pPr>
      <w:r w:rsidRPr="000A1295">
        <w:rPr>
          <w:rFonts w:cs="Calibri"/>
          <w:b/>
          <w:bCs/>
          <w:sz w:val="28"/>
          <w:szCs w:val="28"/>
          <w:lang w:val="fr-FR"/>
        </w:rPr>
        <w:t>SC64 Doc.23</w:t>
      </w:r>
    </w:p>
    <w:p w14:paraId="74F58003" w14:textId="77777777" w:rsidR="00534C31" w:rsidRPr="00FA45A6" w:rsidRDefault="00534C31" w:rsidP="00FA45A6">
      <w:pPr>
        <w:spacing w:after="0" w:line="240" w:lineRule="auto"/>
        <w:jc w:val="center"/>
        <w:rPr>
          <w:rFonts w:cs="Calibri"/>
          <w:b/>
          <w:bCs/>
          <w:sz w:val="28"/>
          <w:szCs w:val="28"/>
          <w:lang w:val="fr-FR"/>
        </w:rPr>
      </w:pPr>
    </w:p>
    <w:p w14:paraId="7FB653CA" w14:textId="7E76FA49" w:rsidR="00534C31" w:rsidRDefault="008E3E05" w:rsidP="008E3E05">
      <w:pPr>
        <w:spacing w:after="0" w:line="240" w:lineRule="auto"/>
        <w:jc w:val="center"/>
        <w:rPr>
          <w:rFonts w:cs="Calibri"/>
          <w:b/>
          <w:bCs/>
          <w:sz w:val="28"/>
          <w:szCs w:val="28"/>
          <w:lang w:val="fr-FR"/>
        </w:rPr>
      </w:pPr>
      <w:r w:rsidRPr="008E3E05">
        <w:rPr>
          <w:rFonts w:cs="Calibri"/>
          <w:b/>
          <w:bCs/>
          <w:sz w:val="28"/>
          <w:szCs w:val="28"/>
          <w:lang w:val="fr-FR"/>
        </w:rPr>
        <w:t>Projet de résolution sur les Initiatives régionales Ramsar 2025-2028</w:t>
      </w:r>
    </w:p>
    <w:p w14:paraId="62DCCAF5" w14:textId="77777777" w:rsidR="008E3E05" w:rsidRPr="008E3E05" w:rsidRDefault="008E3E05" w:rsidP="00534C31">
      <w:pPr>
        <w:spacing w:after="0" w:line="240" w:lineRule="auto"/>
        <w:rPr>
          <w:rFonts w:cs="Calibri"/>
          <w:b/>
          <w:lang w:val="fr-FR"/>
        </w:rPr>
      </w:pPr>
    </w:p>
    <w:p w14:paraId="10B96505" w14:textId="4D24CFC9" w:rsidR="00534C31" w:rsidRPr="000A1295" w:rsidRDefault="00534C31" w:rsidP="00534C31">
      <w:pPr>
        <w:spacing w:after="0" w:line="240" w:lineRule="auto"/>
        <w:rPr>
          <w:rFonts w:cs="Calibri"/>
          <w:i/>
          <w:iCs/>
          <w:lang w:val="fr-FR"/>
        </w:rPr>
      </w:pPr>
      <w:r w:rsidRPr="000A1295">
        <w:rPr>
          <w:rFonts w:cs="Calibri"/>
          <w:bCs/>
          <w:i/>
          <w:iCs/>
          <w:noProof/>
          <w:lang w:val="fr-FR" w:eastAsia="en-GB"/>
        </w:rPr>
        <mc:AlternateContent>
          <mc:Choice Requires="wps">
            <w:drawing>
              <wp:anchor distT="45720" distB="45720" distL="114300" distR="114300" simplePos="0" relativeHeight="251659264" behindDoc="0" locked="0" layoutInCell="1" allowOverlap="1" wp14:anchorId="33653560" wp14:editId="1E931A2A">
                <wp:simplePos x="0" y="0"/>
                <wp:positionH relativeFrom="column">
                  <wp:posOffset>-53340</wp:posOffset>
                </wp:positionH>
                <wp:positionV relativeFrom="paragraph">
                  <wp:posOffset>254635</wp:posOffset>
                </wp:positionV>
                <wp:extent cx="5820410" cy="9144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914400"/>
                        </a:xfrm>
                        <a:prstGeom prst="rect">
                          <a:avLst/>
                        </a:prstGeom>
                        <a:solidFill>
                          <a:srgbClr val="FFFFFF"/>
                        </a:solidFill>
                        <a:ln w="9525">
                          <a:solidFill>
                            <a:srgbClr val="000000"/>
                          </a:solidFill>
                          <a:miter lim="800000"/>
                          <a:headEnd/>
                          <a:tailEnd/>
                        </a:ln>
                      </wps:spPr>
                      <wps:txbx>
                        <w:txbxContent>
                          <w:p w14:paraId="267649D7" w14:textId="2B055EDB" w:rsidR="00534C31" w:rsidRPr="007F6336" w:rsidRDefault="007F6336" w:rsidP="00534C31">
                            <w:pPr>
                              <w:spacing w:after="0" w:line="240" w:lineRule="auto"/>
                              <w:ind w:left="425" w:hanging="425"/>
                              <w:rPr>
                                <w:rFonts w:cs="Calibri"/>
                                <w:b/>
                                <w:lang w:val="fr-FR"/>
                              </w:rPr>
                            </w:pPr>
                            <w:r w:rsidRPr="007F6336">
                              <w:rPr>
                                <w:rFonts w:cs="Calibri"/>
                                <w:b/>
                                <w:lang w:val="fr-FR"/>
                              </w:rPr>
                              <w:t>Mesure requise </w:t>
                            </w:r>
                            <w:r w:rsidR="00534C31" w:rsidRPr="007F6336">
                              <w:rPr>
                                <w:rFonts w:cs="Calibri"/>
                                <w:b/>
                                <w:lang w:val="fr-FR"/>
                              </w:rPr>
                              <w:t>:</w:t>
                            </w:r>
                          </w:p>
                          <w:p w14:paraId="22FB850A" w14:textId="77777777" w:rsidR="00534C31" w:rsidRPr="007F6336" w:rsidRDefault="00534C31" w:rsidP="00534C31">
                            <w:pPr>
                              <w:spacing w:after="0" w:line="240" w:lineRule="auto"/>
                              <w:ind w:left="425" w:hanging="425"/>
                              <w:rPr>
                                <w:rFonts w:cs="Calibri"/>
                                <w:b/>
                                <w:lang w:val="fr-FR"/>
                              </w:rPr>
                            </w:pPr>
                          </w:p>
                          <w:p w14:paraId="709FDF03" w14:textId="643F5D64" w:rsidR="00534C31" w:rsidRPr="007F6336" w:rsidRDefault="007F6336" w:rsidP="008E3E05">
                            <w:pPr>
                              <w:widowControl w:val="0"/>
                              <w:spacing w:after="0" w:line="240" w:lineRule="auto"/>
                              <w:rPr>
                                <w:rFonts w:cs="Calibri"/>
                                <w:lang w:val="fr-FR"/>
                              </w:rPr>
                            </w:pPr>
                            <w:r w:rsidRPr="007F6336">
                              <w:rPr>
                                <w:rFonts w:cs="Calibri"/>
                                <w:lang w:val="fr-FR"/>
                              </w:rPr>
                              <w:t xml:space="preserve">Le Comité permanent est invité à examiner et à approuver le projet de </w:t>
                            </w:r>
                            <w:r w:rsidR="00463625">
                              <w:rPr>
                                <w:rFonts w:cs="Calibri"/>
                                <w:lang w:val="fr-FR"/>
                              </w:rPr>
                              <w:t>r</w:t>
                            </w:r>
                            <w:r w:rsidRPr="007F6336">
                              <w:rPr>
                                <w:rFonts w:cs="Calibri"/>
                                <w:lang w:val="fr-FR"/>
                              </w:rPr>
                              <w:t xml:space="preserve">ésolution ci-joint pour examen </w:t>
                            </w:r>
                            <w:r>
                              <w:rPr>
                                <w:rFonts w:cs="Calibri"/>
                                <w:lang w:val="fr-FR"/>
                              </w:rPr>
                              <w:t>à la 15</w:t>
                            </w:r>
                            <w:r w:rsidRPr="007F6336">
                              <w:rPr>
                                <w:rFonts w:cs="Calibri"/>
                                <w:vertAlign w:val="superscript"/>
                                <w:lang w:val="fr-FR"/>
                              </w:rPr>
                              <w:t>e</w:t>
                            </w:r>
                            <w:r w:rsidR="00463625">
                              <w:rPr>
                                <w:rFonts w:cs="Calibri"/>
                                <w:lang w:val="fr-FR"/>
                              </w:rPr>
                              <w:t> </w:t>
                            </w:r>
                            <w:r>
                              <w:rPr>
                                <w:rFonts w:cs="Calibri"/>
                                <w:lang w:val="fr-FR"/>
                              </w:rPr>
                              <w:t>session</w:t>
                            </w:r>
                            <w:r w:rsidRPr="007F6336">
                              <w:rPr>
                                <w:rFonts w:cs="Calibri"/>
                                <w:lang w:val="fr-FR"/>
                              </w:rPr>
                              <w:t xml:space="preserve"> de la Conférence des Parties</w:t>
                            </w:r>
                            <w:r w:rsidR="00A57B0F">
                              <w:rPr>
                                <w:rFonts w:cs="Calibri"/>
                                <w:lang w:val="fr-FR"/>
                              </w:rPr>
                              <w:t xml:space="preserve"> contractantes</w:t>
                            </w:r>
                            <w:r w:rsidRPr="007F6336">
                              <w:rPr>
                                <w:rFonts w:cs="Calibri"/>
                                <w:lang w:val="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53560" id="_x0000_t202" coordsize="21600,21600" o:spt="202" path="m,l,21600r21600,l21600,xe">
                <v:stroke joinstyle="miter"/>
                <v:path gradientshapeok="t" o:connecttype="rect"/>
              </v:shapetype>
              <v:shape id="Text Box 2" o:spid="_x0000_s1026" type="#_x0000_t202" style="position:absolute;margin-left:-4.2pt;margin-top:20.05pt;width:458.3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">
                <v:textbox>
                  <w:txbxContent>
                    <w:p w14:paraId="267649D7" w14:textId="2B055EDB" w:rsidR="00534C31" w:rsidRPr="007F6336" w:rsidRDefault="007F6336" w:rsidP="00534C31">
                      <w:pPr>
                        <w:spacing w:after="0" w:line="240" w:lineRule="auto"/>
                        <w:ind w:left="425" w:hanging="425"/>
                        <w:rPr>
                          <w:rFonts w:cs="Calibri"/>
                          <w:b/>
                          <w:lang w:val="fr-FR"/>
                        </w:rPr>
                      </w:pPr>
                      <w:r w:rsidRPr="007F6336">
                        <w:rPr>
                          <w:rFonts w:cs="Calibri"/>
                          <w:b/>
                          <w:lang w:val="fr-FR"/>
                        </w:rPr>
                        <w:t>Mesure requise </w:t>
                      </w:r>
                      <w:r w:rsidR="00534C31" w:rsidRPr="007F6336">
                        <w:rPr>
                          <w:rFonts w:cs="Calibri"/>
                          <w:b/>
                          <w:lang w:val="fr-FR"/>
                        </w:rPr>
                        <w:t>:</w:t>
                      </w:r>
                    </w:p>
                    <w:p w14:paraId="22FB850A" w14:textId="77777777" w:rsidR="00534C31" w:rsidRPr="007F6336" w:rsidRDefault="00534C31" w:rsidP="00534C31">
                      <w:pPr>
                        <w:spacing w:after="0" w:line="240" w:lineRule="auto"/>
                        <w:ind w:left="425" w:hanging="425"/>
                        <w:rPr>
                          <w:rFonts w:cs="Calibri"/>
                          <w:b/>
                          <w:lang w:val="fr-FR"/>
                        </w:rPr>
                      </w:pPr>
                    </w:p>
                    <w:p w14:paraId="709FDF03" w14:textId="643F5D64" w:rsidR="00534C31" w:rsidRPr="007F6336" w:rsidRDefault="007F6336" w:rsidP="008E3E05">
                      <w:pPr>
                        <w:widowControl w:val="0"/>
                        <w:spacing w:after="0" w:line="240" w:lineRule="auto"/>
                        <w:rPr>
                          <w:rFonts w:cs="Calibri"/>
                          <w:lang w:val="fr-FR"/>
                        </w:rPr>
                      </w:pPr>
                      <w:r w:rsidRPr="007F6336">
                        <w:rPr>
                          <w:rFonts w:cs="Calibri"/>
                          <w:lang w:val="fr-FR"/>
                        </w:rPr>
                        <w:t xml:space="preserve">Le Comité permanent est invité à examiner et à approuver le projet de </w:t>
                      </w:r>
                      <w:r w:rsidR="00463625">
                        <w:rPr>
                          <w:rFonts w:cs="Calibri"/>
                          <w:lang w:val="fr-FR"/>
                        </w:rPr>
                        <w:t>r</w:t>
                      </w:r>
                      <w:r w:rsidRPr="007F6336">
                        <w:rPr>
                          <w:rFonts w:cs="Calibri"/>
                          <w:lang w:val="fr-FR"/>
                        </w:rPr>
                        <w:t xml:space="preserve">ésolution ci-joint pour examen </w:t>
                      </w:r>
                      <w:r>
                        <w:rPr>
                          <w:rFonts w:cs="Calibri"/>
                          <w:lang w:val="fr-FR"/>
                        </w:rPr>
                        <w:t>à la 15</w:t>
                      </w:r>
                      <w:r w:rsidRPr="007F6336">
                        <w:rPr>
                          <w:rFonts w:cs="Calibri"/>
                          <w:vertAlign w:val="superscript"/>
                          <w:lang w:val="fr-FR"/>
                        </w:rPr>
                        <w:t>e</w:t>
                      </w:r>
                      <w:r w:rsidR="00463625">
                        <w:rPr>
                          <w:rFonts w:cs="Calibri"/>
                          <w:lang w:val="fr-FR"/>
                        </w:rPr>
                        <w:t> </w:t>
                      </w:r>
                      <w:r>
                        <w:rPr>
                          <w:rFonts w:cs="Calibri"/>
                          <w:lang w:val="fr-FR"/>
                        </w:rPr>
                        <w:t>session</w:t>
                      </w:r>
                      <w:r w:rsidRPr="007F6336">
                        <w:rPr>
                          <w:rFonts w:cs="Calibri"/>
                          <w:lang w:val="fr-FR"/>
                        </w:rPr>
                        <w:t xml:space="preserve"> de la Conférence des Parties</w:t>
                      </w:r>
                      <w:r w:rsidR="00A57B0F">
                        <w:rPr>
                          <w:rFonts w:cs="Calibri"/>
                          <w:lang w:val="fr-FR"/>
                        </w:rPr>
                        <w:t xml:space="preserve"> contractantes</w:t>
                      </w:r>
                      <w:r w:rsidRPr="007F6336">
                        <w:rPr>
                          <w:rFonts w:cs="Calibri"/>
                          <w:lang w:val="fr-FR"/>
                        </w:rPr>
                        <w:t>.</w:t>
                      </w:r>
                    </w:p>
                  </w:txbxContent>
                </v:textbox>
                <w10:wrap type="square"/>
              </v:shape>
            </w:pict>
          </mc:Fallback>
        </mc:AlternateContent>
      </w:r>
      <w:r w:rsidRPr="000A1295">
        <w:rPr>
          <w:rFonts w:cs="Calibri"/>
          <w:i/>
          <w:iCs/>
          <w:lang w:val="fr-FR"/>
        </w:rPr>
        <w:t>P</w:t>
      </w:r>
      <w:r w:rsidR="007F6336" w:rsidRPr="000A1295">
        <w:rPr>
          <w:rFonts w:cs="Calibri"/>
          <w:i/>
          <w:iCs/>
          <w:lang w:val="fr-FR"/>
        </w:rPr>
        <w:t>ré</w:t>
      </w:r>
      <w:r w:rsidRPr="000A1295">
        <w:rPr>
          <w:rFonts w:cs="Calibri"/>
          <w:i/>
          <w:iCs/>
          <w:lang w:val="fr-FR"/>
        </w:rPr>
        <w:t>par</w:t>
      </w:r>
      <w:r w:rsidR="007F6336" w:rsidRPr="000A1295">
        <w:rPr>
          <w:rFonts w:cs="Calibri"/>
          <w:i/>
          <w:iCs/>
          <w:lang w:val="fr-FR"/>
        </w:rPr>
        <w:t>é par le</w:t>
      </w:r>
      <w:r w:rsidRPr="000A1295">
        <w:rPr>
          <w:rFonts w:cs="Calibri"/>
          <w:i/>
          <w:iCs/>
          <w:lang w:val="fr-FR"/>
        </w:rPr>
        <w:t xml:space="preserve"> Secr</w:t>
      </w:r>
      <w:r w:rsidR="007F6336" w:rsidRPr="000A1295">
        <w:rPr>
          <w:rFonts w:cs="Calibri"/>
          <w:i/>
          <w:iCs/>
          <w:lang w:val="fr-FR"/>
        </w:rPr>
        <w:t>é</w:t>
      </w:r>
      <w:r w:rsidRPr="000A1295">
        <w:rPr>
          <w:rFonts w:cs="Calibri"/>
          <w:i/>
          <w:iCs/>
          <w:lang w:val="fr-FR"/>
        </w:rPr>
        <w:t xml:space="preserve">tariat </w:t>
      </w:r>
    </w:p>
    <w:p w14:paraId="69C75341" w14:textId="77777777" w:rsidR="00472842" w:rsidRPr="00472842" w:rsidRDefault="00472842" w:rsidP="000A1295">
      <w:pPr>
        <w:spacing w:after="0" w:line="240" w:lineRule="auto"/>
        <w:ind w:left="425" w:hanging="425"/>
        <w:rPr>
          <w:rFonts w:asciiTheme="minorHAnsi" w:hAnsiTheme="minorHAnsi" w:cstheme="minorHAnsi"/>
          <w:lang w:val="fr-FR"/>
        </w:rPr>
      </w:pPr>
    </w:p>
    <w:p w14:paraId="6065351D" w14:textId="454456EB" w:rsidR="000A1295" w:rsidRPr="000A1295" w:rsidRDefault="000A1295" w:rsidP="000A1295">
      <w:pPr>
        <w:spacing w:after="0" w:line="240" w:lineRule="auto"/>
        <w:ind w:left="425" w:hanging="425"/>
        <w:rPr>
          <w:rFonts w:cs="Calibri"/>
          <w:b/>
          <w:lang w:val="fr-FR"/>
        </w:rPr>
      </w:pPr>
      <w:r w:rsidRPr="000A1295">
        <w:rPr>
          <w:rFonts w:cs="Calibri"/>
          <w:b/>
          <w:lang w:val="fr-FR"/>
        </w:rPr>
        <w:t>Introduction</w:t>
      </w:r>
    </w:p>
    <w:p w14:paraId="25B38DFA" w14:textId="77777777" w:rsidR="000A1295" w:rsidRPr="000A1295" w:rsidRDefault="000A1295" w:rsidP="000A1295">
      <w:pPr>
        <w:spacing w:after="0" w:line="240" w:lineRule="auto"/>
        <w:ind w:left="425" w:hanging="425"/>
        <w:rPr>
          <w:rFonts w:cs="Calibri"/>
          <w:lang w:val="fr-FR"/>
        </w:rPr>
      </w:pPr>
    </w:p>
    <w:p w14:paraId="745A6DA2" w14:textId="3A8C5A3D" w:rsidR="000A1295" w:rsidRPr="000A1295" w:rsidRDefault="000A1295" w:rsidP="000A1295">
      <w:pPr>
        <w:spacing w:after="0" w:line="240" w:lineRule="auto"/>
        <w:rPr>
          <w:rFonts w:cs="Calibri"/>
          <w:i/>
          <w:iCs/>
          <w:color w:val="000000" w:themeColor="text1"/>
          <w:lang w:val="fr-FR" w:eastAsia="ko-KR"/>
        </w:rPr>
      </w:pPr>
      <w:r>
        <w:rPr>
          <w:rFonts w:cs="Calibri"/>
          <w:i/>
          <w:iCs/>
          <w:color w:val="000000" w:themeColor="text1"/>
          <w:lang w:val="fr-FR" w:eastAsia="ko-KR"/>
        </w:rPr>
        <w:t>A</w:t>
      </w:r>
      <w:r w:rsidRPr="000A1295">
        <w:rPr>
          <w:rFonts w:cs="Calibri"/>
          <w:i/>
          <w:iCs/>
          <w:color w:val="000000" w:themeColor="text1"/>
          <w:lang w:val="fr-FR" w:eastAsia="ko-KR"/>
        </w:rPr>
        <w:t xml:space="preserve">doptée </w:t>
      </w:r>
      <w:r>
        <w:rPr>
          <w:rFonts w:cs="Calibri"/>
          <w:i/>
          <w:iCs/>
          <w:color w:val="000000" w:themeColor="text1"/>
          <w:lang w:val="fr-FR" w:eastAsia="ko-KR"/>
        </w:rPr>
        <w:t>à</w:t>
      </w:r>
      <w:r w:rsidRPr="000A1295">
        <w:rPr>
          <w:rFonts w:cs="Calibri"/>
          <w:i/>
          <w:iCs/>
          <w:color w:val="000000" w:themeColor="text1"/>
          <w:lang w:val="fr-FR" w:eastAsia="ko-KR"/>
        </w:rPr>
        <w:t xml:space="preserve"> de la 14</w:t>
      </w:r>
      <w:r w:rsidRPr="000A1295">
        <w:rPr>
          <w:rFonts w:cs="Calibri"/>
          <w:i/>
          <w:iCs/>
          <w:color w:val="000000" w:themeColor="text1"/>
          <w:vertAlign w:val="superscript"/>
          <w:lang w:val="fr-FR" w:eastAsia="ko-KR"/>
        </w:rPr>
        <w:t>e</w:t>
      </w:r>
      <w:r>
        <w:rPr>
          <w:rFonts w:cs="Calibri"/>
          <w:i/>
          <w:iCs/>
          <w:color w:val="000000" w:themeColor="text1"/>
          <w:lang w:val="fr-FR" w:eastAsia="ko-KR"/>
        </w:rPr>
        <w:t> </w:t>
      </w:r>
      <w:r w:rsidRPr="000A1295">
        <w:rPr>
          <w:rFonts w:cs="Calibri"/>
          <w:i/>
          <w:iCs/>
          <w:color w:val="000000" w:themeColor="text1"/>
          <w:lang w:val="fr-FR" w:eastAsia="ko-KR"/>
        </w:rPr>
        <w:t xml:space="preserve">session de la Conférence des Parties (COP14), </w:t>
      </w:r>
      <w:r>
        <w:rPr>
          <w:rFonts w:cs="Calibri"/>
          <w:i/>
          <w:iCs/>
          <w:color w:val="000000" w:themeColor="text1"/>
          <w:lang w:val="fr-FR" w:eastAsia="ko-KR"/>
        </w:rPr>
        <w:t>l</w:t>
      </w:r>
      <w:r w:rsidRPr="000A1295">
        <w:rPr>
          <w:rFonts w:cs="Calibri"/>
          <w:i/>
          <w:iCs/>
          <w:color w:val="000000" w:themeColor="text1"/>
          <w:lang w:val="fr-FR" w:eastAsia="ko-KR"/>
        </w:rPr>
        <w:t>a Résolution</w:t>
      </w:r>
      <w:r w:rsidR="00463625">
        <w:rPr>
          <w:rFonts w:cs="Calibri"/>
          <w:i/>
          <w:iCs/>
          <w:color w:val="000000" w:themeColor="text1"/>
          <w:lang w:val="fr-FR" w:eastAsia="ko-KR"/>
        </w:rPr>
        <w:t> </w:t>
      </w:r>
      <w:r w:rsidRPr="000A1295">
        <w:rPr>
          <w:rFonts w:cs="Calibri"/>
          <w:i/>
          <w:iCs/>
          <w:color w:val="000000" w:themeColor="text1"/>
          <w:lang w:val="fr-FR" w:eastAsia="ko-KR"/>
        </w:rPr>
        <w:t>XIV.7</w:t>
      </w:r>
      <w:r>
        <w:rPr>
          <w:rFonts w:cs="Calibri"/>
          <w:i/>
          <w:iCs/>
          <w:color w:val="000000" w:themeColor="text1"/>
          <w:lang w:val="fr-FR" w:eastAsia="ko-KR"/>
        </w:rPr>
        <w:t xml:space="preserve"> sur les</w:t>
      </w:r>
      <w:r w:rsidRPr="000A1295">
        <w:rPr>
          <w:rFonts w:cs="Calibri"/>
          <w:i/>
          <w:iCs/>
          <w:color w:val="000000" w:themeColor="text1"/>
          <w:lang w:val="fr-FR" w:eastAsia="ko-KR"/>
        </w:rPr>
        <w:t xml:space="preserve"> </w:t>
      </w:r>
      <w:r w:rsidR="00A67B3C">
        <w:rPr>
          <w:rFonts w:cs="Calibri"/>
          <w:i/>
          <w:iCs/>
          <w:color w:val="000000" w:themeColor="text1"/>
          <w:lang w:val="fr-FR" w:eastAsia="ko-KR"/>
        </w:rPr>
        <w:t>I</w:t>
      </w:r>
      <w:r w:rsidRPr="000A1295">
        <w:rPr>
          <w:rFonts w:cs="Calibri"/>
          <w:i/>
          <w:iCs/>
          <w:color w:val="000000" w:themeColor="text1"/>
          <w:lang w:val="fr-FR" w:eastAsia="ko-KR"/>
        </w:rPr>
        <w:t>nitiatives régionales Ramsar</w:t>
      </w:r>
      <w:r>
        <w:rPr>
          <w:rFonts w:cs="Calibri"/>
          <w:i/>
          <w:iCs/>
          <w:color w:val="000000" w:themeColor="text1"/>
          <w:lang w:val="fr-FR" w:eastAsia="ko-KR"/>
        </w:rPr>
        <w:t xml:space="preserve"> comprend deux parties :</w:t>
      </w:r>
    </w:p>
    <w:p w14:paraId="4C2CDA6F" w14:textId="77777777" w:rsidR="000A1295" w:rsidRPr="000A1295" w:rsidRDefault="000A1295" w:rsidP="000A1295">
      <w:pPr>
        <w:spacing w:after="0" w:line="240" w:lineRule="auto"/>
        <w:rPr>
          <w:rFonts w:cs="Calibri"/>
          <w:i/>
          <w:iCs/>
          <w:color w:val="000000" w:themeColor="text1"/>
          <w:lang w:val="fr-FR" w:eastAsia="ko-KR"/>
        </w:rPr>
      </w:pPr>
    </w:p>
    <w:p w14:paraId="0B8A873C" w14:textId="63359F97" w:rsidR="008D5502" w:rsidRDefault="000A1295" w:rsidP="00A67B3C">
      <w:pPr>
        <w:numPr>
          <w:ilvl w:val="0"/>
          <w:numId w:val="10"/>
        </w:numPr>
        <w:tabs>
          <w:tab w:val="clear" w:pos="720"/>
        </w:tabs>
        <w:spacing w:after="0" w:line="240" w:lineRule="auto"/>
        <w:ind w:left="426" w:hanging="426"/>
        <w:rPr>
          <w:rFonts w:cs="Calibri"/>
          <w:i/>
          <w:iCs/>
          <w:color w:val="000000" w:themeColor="text1"/>
          <w:lang w:val="fr-FR" w:eastAsia="ko-KR"/>
        </w:rPr>
      </w:pPr>
      <w:r>
        <w:rPr>
          <w:rFonts w:cs="Calibri"/>
          <w:b/>
          <w:bCs/>
          <w:i/>
          <w:iCs/>
          <w:color w:val="000000" w:themeColor="text1"/>
          <w:lang w:val="fr-FR" w:eastAsia="ko-KR"/>
        </w:rPr>
        <w:t>La p</w:t>
      </w:r>
      <w:r w:rsidRPr="000A1295">
        <w:rPr>
          <w:rFonts w:cs="Calibri"/>
          <w:b/>
          <w:bCs/>
          <w:i/>
          <w:iCs/>
          <w:color w:val="000000" w:themeColor="text1"/>
          <w:lang w:val="fr-FR" w:eastAsia="ko-KR"/>
        </w:rPr>
        <w:t>art</w:t>
      </w:r>
      <w:r>
        <w:rPr>
          <w:rFonts w:cs="Calibri"/>
          <w:b/>
          <w:bCs/>
          <w:i/>
          <w:iCs/>
          <w:color w:val="000000" w:themeColor="text1"/>
          <w:lang w:val="fr-FR" w:eastAsia="ko-KR"/>
        </w:rPr>
        <w:t>ie</w:t>
      </w:r>
      <w:r w:rsidRPr="000A1295">
        <w:rPr>
          <w:rFonts w:cs="Calibri"/>
          <w:b/>
          <w:bCs/>
          <w:i/>
          <w:iCs/>
          <w:color w:val="000000" w:themeColor="text1"/>
          <w:lang w:val="fr-FR" w:eastAsia="ko-KR"/>
        </w:rPr>
        <w:t xml:space="preserve"> A</w:t>
      </w:r>
      <w:r w:rsidRPr="000A1295">
        <w:rPr>
          <w:rFonts w:cs="Calibri"/>
          <w:i/>
          <w:iCs/>
          <w:color w:val="000000" w:themeColor="text1"/>
          <w:lang w:val="fr-FR" w:eastAsia="ko-KR"/>
        </w:rPr>
        <w:t xml:space="preserve">, qui </w:t>
      </w:r>
      <w:r>
        <w:rPr>
          <w:rFonts w:cs="Calibri"/>
          <w:i/>
          <w:iCs/>
          <w:color w:val="000000" w:themeColor="text1"/>
          <w:lang w:val="fr-FR" w:eastAsia="ko-KR"/>
        </w:rPr>
        <w:t>donne</w:t>
      </w:r>
      <w:r w:rsidRPr="000A1295">
        <w:rPr>
          <w:rFonts w:cs="Calibri"/>
          <w:i/>
          <w:iCs/>
          <w:color w:val="000000" w:themeColor="text1"/>
          <w:lang w:val="fr-FR" w:eastAsia="ko-KR"/>
        </w:rPr>
        <w:t xml:space="preserve"> des orientations générales sur le fonctionnement des </w:t>
      </w:r>
      <w:r>
        <w:rPr>
          <w:rFonts w:cs="Calibri"/>
          <w:i/>
          <w:iCs/>
          <w:color w:val="000000" w:themeColor="text1"/>
          <w:lang w:val="fr-FR" w:eastAsia="ko-KR"/>
        </w:rPr>
        <w:t>I</w:t>
      </w:r>
      <w:r w:rsidRPr="000A1295">
        <w:rPr>
          <w:rFonts w:cs="Calibri"/>
          <w:i/>
          <w:iCs/>
          <w:color w:val="000000" w:themeColor="text1"/>
          <w:lang w:val="fr-FR" w:eastAsia="ko-KR"/>
        </w:rPr>
        <w:t>nitiatives régionales Ramsar (</w:t>
      </w:r>
      <w:r w:rsidR="00A67B3C">
        <w:rPr>
          <w:rFonts w:cs="Calibri"/>
          <w:i/>
          <w:iCs/>
          <w:color w:val="000000" w:themeColor="text1"/>
          <w:lang w:val="fr-FR" w:eastAsia="ko-KR"/>
        </w:rPr>
        <w:t>I</w:t>
      </w:r>
      <w:r w:rsidRPr="000A1295">
        <w:rPr>
          <w:rFonts w:cs="Calibri"/>
          <w:i/>
          <w:iCs/>
          <w:color w:val="000000" w:themeColor="text1"/>
          <w:lang w:val="fr-FR" w:eastAsia="ko-KR"/>
        </w:rPr>
        <w:t>RR)</w:t>
      </w:r>
      <w:r w:rsidR="00A67B3C">
        <w:rPr>
          <w:rFonts w:cs="Calibri"/>
          <w:i/>
          <w:iCs/>
          <w:color w:val="000000" w:themeColor="text1"/>
          <w:lang w:val="fr-FR" w:eastAsia="ko-KR"/>
        </w:rPr>
        <w:t xml:space="preserve">, accompagné </w:t>
      </w:r>
      <w:r w:rsidR="008D5502">
        <w:rPr>
          <w:rFonts w:cs="Calibri"/>
          <w:i/>
          <w:iCs/>
          <w:color w:val="000000" w:themeColor="text1"/>
          <w:lang w:val="fr-FR" w:eastAsia="ko-KR"/>
        </w:rPr>
        <w:t xml:space="preserve">en </w:t>
      </w:r>
      <w:r w:rsidR="008D5502" w:rsidRPr="00463625">
        <w:rPr>
          <w:rFonts w:cs="Calibri"/>
          <w:b/>
          <w:bCs/>
          <w:i/>
          <w:iCs/>
          <w:color w:val="000000" w:themeColor="text1"/>
          <w:lang w:val="fr-FR" w:eastAsia="ko-KR"/>
        </w:rPr>
        <w:t>annexe</w:t>
      </w:r>
      <w:r w:rsidR="00463625" w:rsidRPr="00463625">
        <w:rPr>
          <w:rFonts w:cs="Calibri"/>
          <w:b/>
          <w:bCs/>
          <w:i/>
          <w:iCs/>
          <w:color w:val="000000" w:themeColor="text1"/>
          <w:lang w:val="fr-FR" w:eastAsia="ko-KR"/>
        </w:rPr>
        <w:t> </w:t>
      </w:r>
      <w:r w:rsidR="008D5502" w:rsidRPr="00463625">
        <w:rPr>
          <w:rFonts w:cs="Calibri"/>
          <w:b/>
          <w:bCs/>
          <w:i/>
          <w:iCs/>
          <w:color w:val="000000" w:themeColor="text1"/>
          <w:lang w:val="fr-FR" w:eastAsia="ko-KR"/>
        </w:rPr>
        <w:t>1</w:t>
      </w:r>
      <w:r w:rsidR="008D5502">
        <w:rPr>
          <w:rFonts w:cs="Calibri"/>
          <w:i/>
          <w:iCs/>
          <w:color w:val="000000" w:themeColor="text1"/>
          <w:lang w:val="fr-FR" w:eastAsia="ko-KR"/>
        </w:rPr>
        <w:t xml:space="preserve"> </w:t>
      </w:r>
      <w:r w:rsidR="00A67B3C">
        <w:rPr>
          <w:rFonts w:cs="Calibri"/>
          <w:i/>
          <w:iCs/>
          <w:color w:val="000000" w:themeColor="text1"/>
          <w:lang w:val="fr-FR" w:eastAsia="ko-KR"/>
        </w:rPr>
        <w:t>d</w:t>
      </w:r>
      <w:r w:rsidR="008D5502">
        <w:rPr>
          <w:rFonts w:cs="Calibri"/>
          <w:i/>
          <w:iCs/>
          <w:color w:val="000000" w:themeColor="text1"/>
          <w:lang w:val="fr-FR" w:eastAsia="ko-KR"/>
        </w:rPr>
        <w:t>es Directives</w:t>
      </w:r>
      <w:r w:rsidRPr="000A1295">
        <w:rPr>
          <w:rFonts w:cs="Calibri"/>
          <w:i/>
          <w:iCs/>
          <w:color w:val="000000" w:themeColor="text1"/>
          <w:lang w:val="fr-FR" w:eastAsia="ko-KR"/>
        </w:rPr>
        <w:t xml:space="preserve"> opérationnelles</w:t>
      </w:r>
      <w:r w:rsidR="008D5502">
        <w:rPr>
          <w:rFonts w:cs="Calibri"/>
          <w:i/>
          <w:iCs/>
          <w:color w:val="000000" w:themeColor="text1"/>
          <w:lang w:val="fr-FR" w:eastAsia="ko-KR"/>
        </w:rPr>
        <w:t xml:space="preserve"> p</w:t>
      </w:r>
      <w:r w:rsidR="008D5502" w:rsidRPr="008D5502">
        <w:rPr>
          <w:rFonts w:cs="Calibri"/>
          <w:i/>
          <w:iCs/>
          <w:color w:val="000000" w:themeColor="text1"/>
          <w:lang w:val="fr-FR" w:eastAsia="ko-KR"/>
        </w:rPr>
        <w:t>our les Initiatives régionales Ramsar en appui à la mise en</w:t>
      </w:r>
      <w:r w:rsidR="008D5502">
        <w:rPr>
          <w:rFonts w:cs="Calibri"/>
          <w:i/>
          <w:iCs/>
          <w:color w:val="000000" w:themeColor="text1"/>
          <w:lang w:val="fr-FR" w:eastAsia="ko-KR"/>
        </w:rPr>
        <w:t xml:space="preserve"> œuvre de la Convention ; et</w:t>
      </w:r>
    </w:p>
    <w:p w14:paraId="72294441" w14:textId="77777777" w:rsidR="00A67B3C" w:rsidRDefault="00A67B3C" w:rsidP="00A67B3C">
      <w:pPr>
        <w:spacing w:after="0" w:line="240" w:lineRule="auto"/>
        <w:ind w:left="720"/>
        <w:rPr>
          <w:rFonts w:cs="Calibri"/>
          <w:i/>
          <w:iCs/>
          <w:color w:val="000000" w:themeColor="text1"/>
          <w:lang w:val="fr-FR" w:eastAsia="ko-KR"/>
        </w:rPr>
      </w:pPr>
    </w:p>
    <w:p w14:paraId="3E470CD1" w14:textId="0BA5DE02" w:rsidR="000A1295" w:rsidRPr="008D5502" w:rsidRDefault="000A1295" w:rsidP="00A67B3C">
      <w:pPr>
        <w:numPr>
          <w:ilvl w:val="0"/>
          <w:numId w:val="10"/>
        </w:numPr>
        <w:tabs>
          <w:tab w:val="clear" w:pos="720"/>
        </w:tabs>
        <w:spacing w:after="0" w:line="240" w:lineRule="auto"/>
        <w:ind w:left="426" w:hanging="426"/>
        <w:rPr>
          <w:rFonts w:cs="Calibri"/>
          <w:i/>
          <w:iCs/>
          <w:color w:val="000000" w:themeColor="text1"/>
          <w:lang w:val="fr-FR" w:eastAsia="ko-KR"/>
        </w:rPr>
      </w:pPr>
      <w:r w:rsidRPr="008D5502">
        <w:rPr>
          <w:rFonts w:cs="Calibri"/>
          <w:b/>
          <w:bCs/>
          <w:i/>
          <w:iCs/>
          <w:color w:val="000000" w:themeColor="text1"/>
          <w:lang w:val="fr-FR" w:eastAsia="ko-KR"/>
        </w:rPr>
        <w:t>La partie B</w:t>
      </w:r>
      <w:r w:rsidRPr="008D5502">
        <w:rPr>
          <w:rFonts w:cs="Calibri"/>
          <w:i/>
          <w:iCs/>
          <w:color w:val="000000" w:themeColor="text1"/>
          <w:lang w:val="fr-FR" w:eastAsia="ko-KR"/>
        </w:rPr>
        <w:t xml:space="preserve">, </w:t>
      </w:r>
      <w:r w:rsidR="008D5502">
        <w:rPr>
          <w:rFonts w:cs="Calibri"/>
          <w:i/>
          <w:iCs/>
          <w:color w:val="000000" w:themeColor="text1"/>
          <w:lang w:val="fr-FR" w:eastAsia="ko-KR"/>
        </w:rPr>
        <w:t>qui dresse la l</w:t>
      </w:r>
      <w:r w:rsidR="008D5502" w:rsidRPr="008D5502">
        <w:rPr>
          <w:rFonts w:cs="Calibri"/>
          <w:i/>
          <w:iCs/>
          <w:color w:val="000000" w:themeColor="text1"/>
          <w:lang w:val="fr-FR" w:eastAsia="ko-KR"/>
        </w:rPr>
        <w:t>iste des IRR approuvées comme fonctionnant</w:t>
      </w:r>
      <w:r w:rsidR="008D5502">
        <w:rPr>
          <w:rFonts w:cs="Calibri"/>
          <w:i/>
          <w:iCs/>
          <w:color w:val="000000" w:themeColor="text1"/>
          <w:lang w:val="fr-FR" w:eastAsia="ko-KR"/>
        </w:rPr>
        <w:t xml:space="preserve"> </w:t>
      </w:r>
      <w:r w:rsidR="008D5502" w:rsidRPr="008D5502">
        <w:rPr>
          <w:rFonts w:cs="Calibri"/>
          <w:i/>
          <w:iCs/>
          <w:color w:val="000000" w:themeColor="text1"/>
          <w:lang w:val="fr-FR" w:eastAsia="ko-KR"/>
        </w:rPr>
        <w:t>dans le cadre de la Convention sur les zones humides pour la période</w:t>
      </w:r>
      <w:r w:rsidR="008D5502">
        <w:rPr>
          <w:rFonts w:cs="Calibri"/>
          <w:i/>
          <w:iCs/>
          <w:color w:val="000000" w:themeColor="text1"/>
          <w:lang w:val="fr-FR" w:eastAsia="ko-KR"/>
        </w:rPr>
        <w:t xml:space="preserve"> </w:t>
      </w:r>
      <w:r w:rsidR="008D5502" w:rsidRPr="008D5502">
        <w:rPr>
          <w:rFonts w:cs="Calibri"/>
          <w:i/>
          <w:iCs/>
          <w:color w:val="000000" w:themeColor="text1"/>
          <w:lang w:val="fr-FR" w:eastAsia="ko-KR"/>
        </w:rPr>
        <w:t xml:space="preserve">intersessions </w:t>
      </w:r>
      <w:r w:rsidR="008D5502">
        <w:rPr>
          <w:rFonts w:cs="Calibri"/>
          <w:i/>
          <w:iCs/>
          <w:color w:val="000000" w:themeColor="text1"/>
          <w:lang w:val="fr-FR" w:eastAsia="ko-KR"/>
        </w:rPr>
        <w:t>séparant</w:t>
      </w:r>
      <w:r w:rsidR="008D5502" w:rsidRPr="008D5502">
        <w:rPr>
          <w:rFonts w:cs="Calibri"/>
          <w:i/>
          <w:iCs/>
          <w:color w:val="000000" w:themeColor="text1"/>
          <w:lang w:val="fr-FR" w:eastAsia="ko-KR"/>
        </w:rPr>
        <w:t xml:space="preserve"> la </w:t>
      </w:r>
      <w:r w:rsidR="008D5502" w:rsidRPr="008D5502">
        <w:rPr>
          <w:rFonts w:cs="Calibri"/>
          <w:b/>
          <w:bCs/>
          <w:i/>
          <w:iCs/>
          <w:color w:val="000000" w:themeColor="text1"/>
          <w:lang w:val="fr-FR" w:eastAsia="ko-KR"/>
        </w:rPr>
        <w:t>COP14</w:t>
      </w:r>
      <w:r w:rsidR="008D5502" w:rsidRPr="008D5502">
        <w:rPr>
          <w:rFonts w:cs="Calibri"/>
          <w:i/>
          <w:iCs/>
          <w:color w:val="000000" w:themeColor="text1"/>
          <w:lang w:val="fr-FR" w:eastAsia="ko-KR"/>
        </w:rPr>
        <w:t xml:space="preserve"> </w:t>
      </w:r>
      <w:r w:rsidR="008D5502">
        <w:rPr>
          <w:rFonts w:cs="Calibri"/>
          <w:i/>
          <w:iCs/>
          <w:color w:val="000000" w:themeColor="text1"/>
          <w:lang w:val="fr-FR" w:eastAsia="ko-KR"/>
        </w:rPr>
        <w:t>de la</w:t>
      </w:r>
      <w:r w:rsidR="008D5502" w:rsidRPr="008D5502">
        <w:rPr>
          <w:rFonts w:cs="Calibri"/>
          <w:i/>
          <w:iCs/>
          <w:color w:val="000000" w:themeColor="text1"/>
          <w:lang w:val="fr-FR" w:eastAsia="ko-KR"/>
        </w:rPr>
        <w:t xml:space="preserve"> </w:t>
      </w:r>
      <w:r w:rsidR="008D5502" w:rsidRPr="008D5502">
        <w:rPr>
          <w:rFonts w:cs="Calibri"/>
          <w:b/>
          <w:bCs/>
          <w:i/>
          <w:iCs/>
          <w:color w:val="000000" w:themeColor="text1"/>
          <w:lang w:val="fr-FR" w:eastAsia="ko-KR"/>
        </w:rPr>
        <w:t>COP15</w:t>
      </w:r>
      <w:r w:rsidRPr="008D5502">
        <w:rPr>
          <w:rFonts w:cs="Calibri"/>
          <w:i/>
          <w:iCs/>
          <w:color w:val="000000" w:themeColor="text1"/>
          <w:lang w:val="fr-FR" w:eastAsia="ko-KR"/>
        </w:rPr>
        <w:t>.</w:t>
      </w:r>
    </w:p>
    <w:p w14:paraId="46C38332" w14:textId="77777777" w:rsidR="000A1295" w:rsidRPr="000A1295" w:rsidRDefault="000A1295" w:rsidP="000A1295">
      <w:pPr>
        <w:spacing w:after="0" w:line="240" w:lineRule="auto"/>
        <w:rPr>
          <w:rFonts w:cs="Calibri"/>
          <w:i/>
          <w:iCs/>
          <w:color w:val="000000" w:themeColor="text1"/>
          <w:lang w:val="fr-FR" w:eastAsia="ko-KR"/>
        </w:rPr>
      </w:pPr>
    </w:p>
    <w:p w14:paraId="23496934" w14:textId="585B9F0F" w:rsidR="008D5502" w:rsidRDefault="008D5502" w:rsidP="000A1295">
      <w:pPr>
        <w:spacing w:after="0" w:line="240" w:lineRule="auto"/>
        <w:rPr>
          <w:rFonts w:cs="Calibri"/>
          <w:i/>
          <w:iCs/>
          <w:color w:val="000000" w:themeColor="text1"/>
          <w:lang w:val="fr-FR" w:eastAsia="ko-KR"/>
        </w:rPr>
      </w:pPr>
      <w:r>
        <w:rPr>
          <w:rFonts w:cs="Calibri"/>
          <w:i/>
          <w:iCs/>
          <w:color w:val="000000" w:themeColor="text1"/>
          <w:lang w:val="fr-FR" w:eastAsia="ko-KR"/>
        </w:rPr>
        <w:t>L</w:t>
      </w:r>
      <w:r w:rsidRPr="008D5502">
        <w:rPr>
          <w:rFonts w:cs="Calibri"/>
          <w:i/>
          <w:iCs/>
          <w:color w:val="000000" w:themeColor="text1"/>
          <w:lang w:val="fr-FR" w:eastAsia="ko-KR"/>
        </w:rPr>
        <w:t xml:space="preserve">e </w:t>
      </w:r>
      <w:r>
        <w:rPr>
          <w:rFonts w:cs="Calibri"/>
          <w:i/>
          <w:iCs/>
          <w:color w:val="000000" w:themeColor="text1"/>
          <w:lang w:val="fr-FR" w:eastAsia="ko-KR"/>
        </w:rPr>
        <w:t xml:space="preserve">présent </w:t>
      </w:r>
      <w:r w:rsidRPr="008D5502">
        <w:rPr>
          <w:rFonts w:cs="Calibri"/>
          <w:i/>
          <w:iCs/>
          <w:color w:val="000000" w:themeColor="text1"/>
          <w:lang w:val="fr-FR" w:eastAsia="ko-KR"/>
        </w:rPr>
        <w:t xml:space="preserve">projet de résolution propose, conformément aux instructions, de remplacer la </w:t>
      </w:r>
      <w:r w:rsidRPr="008D5502">
        <w:rPr>
          <w:rFonts w:cs="Calibri"/>
          <w:b/>
          <w:bCs/>
          <w:i/>
          <w:iCs/>
          <w:color w:val="000000" w:themeColor="text1"/>
          <w:lang w:val="fr-FR" w:eastAsia="ko-KR"/>
        </w:rPr>
        <w:t>partie</w:t>
      </w:r>
      <w:r w:rsidR="00A67B3C">
        <w:rPr>
          <w:rFonts w:cs="Calibri"/>
          <w:b/>
          <w:bCs/>
          <w:i/>
          <w:iCs/>
          <w:color w:val="000000" w:themeColor="text1"/>
          <w:lang w:val="fr-FR" w:eastAsia="ko-KR"/>
        </w:rPr>
        <w:t> </w:t>
      </w:r>
      <w:r w:rsidRPr="008D5502">
        <w:rPr>
          <w:rFonts w:cs="Calibri"/>
          <w:b/>
          <w:bCs/>
          <w:i/>
          <w:iCs/>
          <w:color w:val="000000" w:themeColor="text1"/>
          <w:lang w:val="fr-FR" w:eastAsia="ko-KR"/>
        </w:rPr>
        <w:t>B</w:t>
      </w:r>
      <w:r w:rsidRPr="008D5502">
        <w:rPr>
          <w:rFonts w:cs="Calibri"/>
          <w:i/>
          <w:iCs/>
          <w:color w:val="000000" w:themeColor="text1"/>
          <w:lang w:val="fr-FR" w:eastAsia="ko-KR"/>
        </w:rPr>
        <w:t xml:space="preserve"> de la </w:t>
      </w:r>
      <w:r>
        <w:rPr>
          <w:rFonts w:cs="Calibri"/>
          <w:b/>
          <w:bCs/>
          <w:i/>
          <w:iCs/>
          <w:color w:val="000000" w:themeColor="text1"/>
          <w:lang w:val="fr-FR" w:eastAsia="ko-KR"/>
        </w:rPr>
        <w:t>R</w:t>
      </w:r>
      <w:r w:rsidRPr="008D5502">
        <w:rPr>
          <w:rFonts w:cs="Calibri"/>
          <w:b/>
          <w:bCs/>
          <w:i/>
          <w:iCs/>
          <w:color w:val="000000" w:themeColor="text1"/>
          <w:lang w:val="fr-FR" w:eastAsia="ko-KR"/>
        </w:rPr>
        <w:t>ésolution</w:t>
      </w:r>
      <w:r>
        <w:rPr>
          <w:rFonts w:cs="Calibri"/>
          <w:b/>
          <w:bCs/>
          <w:i/>
          <w:iCs/>
          <w:color w:val="000000" w:themeColor="text1"/>
          <w:lang w:val="fr-FR" w:eastAsia="ko-KR"/>
        </w:rPr>
        <w:t> </w:t>
      </w:r>
      <w:r w:rsidRPr="008D5502">
        <w:rPr>
          <w:rFonts w:cs="Calibri"/>
          <w:b/>
          <w:bCs/>
          <w:i/>
          <w:iCs/>
          <w:color w:val="000000" w:themeColor="text1"/>
          <w:lang w:val="fr-FR" w:eastAsia="ko-KR"/>
        </w:rPr>
        <w:t>XIV.7</w:t>
      </w:r>
      <w:r w:rsidRPr="008D5502">
        <w:rPr>
          <w:rFonts w:cs="Calibri"/>
          <w:i/>
          <w:iCs/>
          <w:color w:val="000000" w:themeColor="text1"/>
          <w:lang w:val="fr-FR" w:eastAsia="ko-KR"/>
        </w:rPr>
        <w:t xml:space="preserve"> par une liste actualisée des </w:t>
      </w:r>
      <w:r>
        <w:rPr>
          <w:rFonts w:cs="Calibri"/>
          <w:i/>
          <w:iCs/>
          <w:color w:val="000000" w:themeColor="text1"/>
          <w:lang w:val="fr-FR" w:eastAsia="ko-KR"/>
        </w:rPr>
        <w:t>IRR</w:t>
      </w:r>
      <w:r w:rsidRPr="008D5502">
        <w:rPr>
          <w:rFonts w:cs="Calibri"/>
          <w:i/>
          <w:iCs/>
          <w:color w:val="000000" w:themeColor="text1"/>
          <w:lang w:val="fr-FR" w:eastAsia="ko-KR"/>
        </w:rPr>
        <w:t xml:space="preserve"> </w:t>
      </w:r>
      <w:r w:rsidR="00463625" w:rsidRPr="00463625">
        <w:rPr>
          <w:rFonts w:cs="Calibri"/>
          <w:i/>
          <w:iCs/>
          <w:color w:val="000000" w:themeColor="text1"/>
          <w:lang w:val="fr-FR" w:eastAsia="ko-KR"/>
        </w:rPr>
        <w:t xml:space="preserve">approuvées comme fonctionnant dans le cadre de la Convention </w:t>
      </w:r>
      <w:r w:rsidRPr="008D5502">
        <w:rPr>
          <w:rFonts w:cs="Calibri"/>
          <w:i/>
          <w:iCs/>
          <w:color w:val="000000" w:themeColor="text1"/>
          <w:lang w:val="fr-FR" w:eastAsia="ko-KR"/>
        </w:rPr>
        <w:t xml:space="preserve">pour la prochaine période intersessions, </w:t>
      </w:r>
      <w:r w:rsidR="00463625">
        <w:rPr>
          <w:rFonts w:cs="Calibri"/>
          <w:i/>
          <w:iCs/>
          <w:color w:val="000000" w:themeColor="text1"/>
          <w:lang w:val="fr-FR" w:eastAsia="ko-KR"/>
        </w:rPr>
        <w:t xml:space="preserve">à savoir celle séparant </w:t>
      </w:r>
      <w:r w:rsidRPr="008D5502">
        <w:rPr>
          <w:rFonts w:cs="Calibri"/>
          <w:i/>
          <w:iCs/>
          <w:color w:val="000000" w:themeColor="text1"/>
          <w:lang w:val="fr-FR" w:eastAsia="ko-KR"/>
        </w:rPr>
        <w:t xml:space="preserve">la </w:t>
      </w:r>
      <w:r w:rsidRPr="00463625">
        <w:rPr>
          <w:rFonts w:cs="Calibri"/>
          <w:b/>
          <w:bCs/>
          <w:i/>
          <w:iCs/>
          <w:color w:val="000000" w:themeColor="text1"/>
          <w:lang w:val="fr-FR" w:eastAsia="ko-KR"/>
        </w:rPr>
        <w:t xml:space="preserve">COP15 </w:t>
      </w:r>
      <w:r w:rsidR="00463625">
        <w:rPr>
          <w:rFonts w:cs="Calibri"/>
          <w:i/>
          <w:iCs/>
          <w:color w:val="000000" w:themeColor="text1"/>
          <w:lang w:val="fr-FR" w:eastAsia="ko-KR"/>
        </w:rPr>
        <w:t>de</w:t>
      </w:r>
      <w:r w:rsidRPr="008D5502">
        <w:rPr>
          <w:rFonts w:cs="Calibri"/>
          <w:i/>
          <w:iCs/>
          <w:color w:val="000000" w:themeColor="text1"/>
          <w:lang w:val="fr-FR" w:eastAsia="ko-KR"/>
        </w:rPr>
        <w:t xml:space="preserve"> la </w:t>
      </w:r>
      <w:r w:rsidRPr="00463625">
        <w:rPr>
          <w:rFonts w:cs="Calibri"/>
          <w:b/>
          <w:bCs/>
          <w:i/>
          <w:iCs/>
          <w:color w:val="000000" w:themeColor="text1"/>
          <w:lang w:val="fr-FR" w:eastAsia="ko-KR"/>
        </w:rPr>
        <w:t>COP16</w:t>
      </w:r>
      <w:r w:rsidRPr="008D5502">
        <w:rPr>
          <w:rFonts w:cs="Calibri"/>
          <w:i/>
          <w:iCs/>
          <w:color w:val="000000" w:themeColor="text1"/>
          <w:lang w:val="fr-FR" w:eastAsia="ko-KR"/>
        </w:rPr>
        <w:t>.</w:t>
      </w:r>
    </w:p>
    <w:p w14:paraId="190A9E70" w14:textId="77777777" w:rsidR="000A1295" w:rsidRPr="000A1295" w:rsidRDefault="000A1295" w:rsidP="000A1295">
      <w:pPr>
        <w:spacing w:after="0" w:line="240" w:lineRule="auto"/>
        <w:rPr>
          <w:rFonts w:cs="Calibri"/>
          <w:i/>
          <w:iCs/>
          <w:color w:val="000000" w:themeColor="text1"/>
          <w:lang w:val="fr-FR" w:eastAsia="ko-KR"/>
        </w:rPr>
      </w:pPr>
    </w:p>
    <w:p w14:paraId="476CE60F" w14:textId="618722A2" w:rsidR="000A1295" w:rsidRPr="000A1295" w:rsidRDefault="00463625" w:rsidP="000A1295">
      <w:pPr>
        <w:spacing w:after="0" w:line="240" w:lineRule="auto"/>
        <w:rPr>
          <w:rFonts w:cs="Calibri"/>
          <w:i/>
          <w:iCs/>
          <w:color w:val="000000" w:themeColor="text1"/>
          <w:lang w:val="fr-FR" w:eastAsia="ko-KR"/>
        </w:rPr>
      </w:pPr>
      <w:r>
        <w:rPr>
          <w:rFonts w:cs="Calibri"/>
          <w:i/>
          <w:iCs/>
          <w:color w:val="000000" w:themeColor="text1"/>
          <w:lang w:val="fr-FR" w:eastAsia="ko-KR"/>
        </w:rPr>
        <w:t xml:space="preserve">Les directives </w:t>
      </w:r>
      <w:r w:rsidRPr="00463625">
        <w:rPr>
          <w:rFonts w:cs="Calibri"/>
          <w:i/>
          <w:iCs/>
          <w:color w:val="000000" w:themeColor="text1"/>
          <w:lang w:val="fr-FR" w:eastAsia="ko-KR"/>
        </w:rPr>
        <w:t xml:space="preserve">opérationnelles </w:t>
      </w:r>
      <w:r>
        <w:rPr>
          <w:rFonts w:cs="Calibri"/>
          <w:i/>
          <w:iCs/>
          <w:color w:val="000000" w:themeColor="text1"/>
          <w:lang w:val="fr-FR" w:eastAsia="ko-KR"/>
        </w:rPr>
        <w:t>énoncées</w:t>
      </w:r>
      <w:r w:rsidRPr="00463625">
        <w:rPr>
          <w:rFonts w:cs="Calibri"/>
          <w:i/>
          <w:iCs/>
          <w:color w:val="000000" w:themeColor="text1"/>
          <w:lang w:val="fr-FR" w:eastAsia="ko-KR"/>
        </w:rPr>
        <w:t xml:space="preserve"> dans la </w:t>
      </w:r>
      <w:r w:rsidRPr="00463625">
        <w:rPr>
          <w:rFonts w:cs="Calibri"/>
          <w:b/>
          <w:bCs/>
          <w:i/>
          <w:iCs/>
          <w:color w:val="000000" w:themeColor="text1"/>
          <w:lang w:val="fr-FR" w:eastAsia="ko-KR"/>
        </w:rPr>
        <w:t>Résolution XIV.7</w:t>
      </w:r>
      <w:r w:rsidRPr="00463625">
        <w:rPr>
          <w:rFonts w:cs="Calibri"/>
          <w:i/>
          <w:iCs/>
          <w:color w:val="000000" w:themeColor="text1"/>
          <w:lang w:val="fr-FR" w:eastAsia="ko-KR"/>
        </w:rPr>
        <w:t xml:space="preserve"> resteront inchangées, à l'exception de la suppression </w:t>
      </w:r>
      <w:r>
        <w:rPr>
          <w:rFonts w:cs="Calibri"/>
          <w:i/>
          <w:iCs/>
          <w:color w:val="000000" w:themeColor="text1"/>
          <w:lang w:val="fr-FR" w:eastAsia="ko-KR"/>
        </w:rPr>
        <w:t xml:space="preserve">du renvoi à « la </w:t>
      </w:r>
      <w:r w:rsidRPr="00463625">
        <w:rPr>
          <w:rFonts w:cs="Calibri"/>
          <w:i/>
          <w:iCs/>
          <w:color w:val="000000" w:themeColor="text1"/>
          <w:lang w:val="fr-FR" w:eastAsia="ko-KR"/>
        </w:rPr>
        <w:t>partie A</w:t>
      </w:r>
      <w:r>
        <w:rPr>
          <w:rFonts w:cs="Calibri"/>
          <w:i/>
          <w:iCs/>
          <w:color w:val="000000" w:themeColor="text1"/>
          <w:lang w:val="fr-FR" w:eastAsia="ko-KR"/>
        </w:rPr>
        <w:t> »</w:t>
      </w:r>
      <w:r w:rsidRPr="00463625">
        <w:rPr>
          <w:rFonts w:cs="Calibri"/>
          <w:i/>
          <w:iCs/>
          <w:color w:val="000000" w:themeColor="text1"/>
          <w:lang w:val="fr-FR" w:eastAsia="ko-KR"/>
        </w:rPr>
        <w:t xml:space="preserve"> dans le titre et de la suppression de l'actuelle </w:t>
      </w:r>
      <w:r>
        <w:rPr>
          <w:rFonts w:cs="Calibri"/>
          <w:i/>
          <w:iCs/>
          <w:color w:val="000000" w:themeColor="text1"/>
          <w:lang w:val="fr-FR" w:eastAsia="ko-KR"/>
        </w:rPr>
        <w:t>« P</w:t>
      </w:r>
      <w:r w:rsidRPr="00463625">
        <w:rPr>
          <w:rFonts w:cs="Calibri"/>
          <w:i/>
          <w:iCs/>
          <w:color w:val="000000" w:themeColor="text1"/>
          <w:lang w:val="fr-FR" w:eastAsia="ko-KR"/>
        </w:rPr>
        <w:t>artie B</w:t>
      </w:r>
      <w:r>
        <w:rPr>
          <w:rFonts w:cs="Calibri"/>
          <w:i/>
          <w:iCs/>
          <w:color w:val="000000" w:themeColor="text1"/>
          <w:lang w:val="fr-FR" w:eastAsia="ko-KR"/>
        </w:rPr>
        <w:t> »</w:t>
      </w:r>
      <w:r w:rsidRPr="00463625">
        <w:rPr>
          <w:rFonts w:cs="Calibri"/>
          <w:i/>
          <w:iCs/>
          <w:color w:val="000000" w:themeColor="text1"/>
          <w:lang w:val="fr-FR" w:eastAsia="ko-KR"/>
        </w:rPr>
        <w:t xml:space="preserve"> </w:t>
      </w:r>
      <w:r>
        <w:rPr>
          <w:rFonts w:cs="Calibri"/>
          <w:i/>
          <w:iCs/>
          <w:color w:val="000000" w:themeColor="text1"/>
          <w:lang w:val="fr-FR" w:eastAsia="ko-KR"/>
        </w:rPr>
        <w:t>une fois</w:t>
      </w:r>
      <w:r w:rsidRPr="00463625">
        <w:rPr>
          <w:rFonts w:cs="Calibri"/>
          <w:i/>
          <w:iCs/>
          <w:color w:val="000000" w:themeColor="text1"/>
          <w:lang w:val="fr-FR" w:eastAsia="ko-KR"/>
        </w:rPr>
        <w:t xml:space="preserve"> </w:t>
      </w:r>
      <w:r w:rsidR="00A67B3C">
        <w:rPr>
          <w:rFonts w:cs="Calibri"/>
          <w:i/>
          <w:iCs/>
          <w:color w:val="000000" w:themeColor="text1"/>
          <w:lang w:val="fr-FR" w:eastAsia="ko-KR"/>
        </w:rPr>
        <w:t>la</w:t>
      </w:r>
      <w:r w:rsidRPr="00463625">
        <w:rPr>
          <w:rFonts w:cs="Calibri"/>
          <w:i/>
          <w:iCs/>
          <w:color w:val="000000" w:themeColor="text1"/>
          <w:lang w:val="fr-FR" w:eastAsia="ko-KR"/>
        </w:rPr>
        <w:t xml:space="preserve"> nouvelle résolution</w:t>
      </w:r>
      <w:r>
        <w:rPr>
          <w:rFonts w:cs="Calibri"/>
          <w:i/>
          <w:iCs/>
          <w:color w:val="000000" w:themeColor="text1"/>
          <w:lang w:val="fr-FR" w:eastAsia="ko-KR"/>
        </w:rPr>
        <w:t xml:space="preserve"> adoptée </w:t>
      </w:r>
      <w:r w:rsidRPr="00463625">
        <w:rPr>
          <w:rFonts w:cs="Calibri"/>
          <w:i/>
          <w:iCs/>
          <w:color w:val="000000" w:themeColor="text1"/>
          <w:lang w:val="fr-FR" w:eastAsia="ko-KR"/>
        </w:rPr>
        <w:t>.</w:t>
      </w:r>
    </w:p>
    <w:p w14:paraId="37C2B035" w14:textId="77777777" w:rsidR="000A1295" w:rsidRPr="000A1295" w:rsidRDefault="000A1295" w:rsidP="000A1295">
      <w:pPr>
        <w:spacing w:after="0" w:line="240" w:lineRule="auto"/>
        <w:rPr>
          <w:rFonts w:cs="Calibri"/>
          <w:i/>
          <w:iCs/>
          <w:color w:val="000000" w:themeColor="text1"/>
          <w:lang w:val="fr-FR" w:eastAsia="ko-KR"/>
        </w:rPr>
      </w:pPr>
    </w:p>
    <w:p w14:paraId="42EEA42A" w14:textId="77777777" w:rsidR="000A1295" w:rsidRPr="000A1295" w:rsidRDefault="000A1295" w:rsidP="000A1295">
      <w:pPr>
        <w:spacing w:after="0" w:line="240" w:lineRule="auto"/>
        <w:rPr>
          <w:rFonts w:cs="Calibri"/>
          <w:i/>
          <w:iCs/>
          <w:color w:val="000000" w:themeColor="text1"/>
          <w:lang w:val="fr-FR"/>
        </w:rPr>
      </w:pPr>
    </w:p>
    <w:p w14:paraId="581CC0F7" w14:textId="370BF51F" w:rsidR="000A1295" w:rsidRPr="000A1295" w:rsidRDefault="005D79EA" w:rsidP="000A1295">
      <w:pPr>
        <w:spacing w:after="0" w:line="240" w:lineRule="auto"/>
        <w:ind w:left="425" w:hanging="425"/>
        <w:rPr>
          <w:rFonts w:cs="Calibri"/>
          <w:i/>
          <w:iCs/>
          <w:lang w:val="fr-FR" w:eastAsia="ko-KR"/>
        </w:rPr>
      </w:pPr>
      <w:r w:rsidRPr="005D79EA">
        <w:rPr>
          <w:rFonts w:cs="Calibri"/>
          <w:i/>
          <w:iCs/>
          <w:lang w:val="fr-FR"/>
        </w:rPr>
        <w:t xml:space="preserve">Implications financières de la mise en œuvre : </w:t>
      </w:r>
      <w:r>
        <w:rPr>
          <w:rFonts w:cs="Calibri"/>
          <w:i/>
          <w:iCs/>
          <w:lang w:val="fr-FR"/>
        </w:rPr>
        <w:t>a</w:t>
      </w:r>
      <w:r w:rsidRPr="005D79EA">
        <w:rPr>
          <w:rFonts w:cs="Calibri"/>
          <w:i/>
          <w:iCs/>
          <w:lang w:val="fr-FR"/>
        </w:rPr>
        <w:t>ucune</w:t>
      </w:r>
      <w:r>
        <w:rPr>
          <w:rFonts w:cs="Calibri"/>
          <w:i/>
          <w:iCs/>
          <w:lang w:val="fr-FR"/>
        </w:rPr>
        <w:t>.</w:t>
      </w:r>
    </w:p>
    <w:p w14:paraId="6223982C" w14:textId="77777777" w:rsidR="000A1295" w:rsidRDefault="000A1295" w:rsidP="000A1295">
      <w:pPr>
        <w:spacing w:after="0" w:line="240" w:lineRule="auto"/>
        <w:ind w:left="425" w:hanging="425"/>
        <w:rPr>
          <w:rFonts w:cs="Calibri"/>
          <w:lang w:val="fr-FR"/>
        </w:rPr>
      </w:pPr>
    </w:p>
    <w:p w14:paraId="72F0F25E" w14:textId="77777777" w:rsidR="00472842" w:rsidRPr="000A1295" w:rsidRDefault="00472842" w:rsidP="000A1295">
      <w:pPr>
        <w:spacing w:after="0" w:line="240" w:lineRule="auto"/>
        <w:ind w:left="425" w:hanging="425"/>
        <w:rPr>
          <w:rFonts w:cs="Calibri"/>
          <w:lang w:val="fr-FR"/>
        </w:rPr>
      </w:pPr>
    </w:p>
    <w:p w14:paraId="390CEBC6" w14:textId="184884CF" w:rsidR="005D79EA" w:rsidRPr="005D79EA" w:rsidRDefault="005D79EA" w:rsidP="008E3E05">
      <w:pPr>
        <w:spacing w:after="0" w:line="240" w:lineRule="auto"/>
        <w:rPr>
          <w:rFonts w:cs="Calibri"/>
          <w:b/>
          <w:bCs/>
          <w:lang w:val="fr-FR"/>
        </w:rPr>
      </w:pPr>
      <w:r w:rsidRPr="005D79EA">
        <w:rPr>
          <w:rFonts w:cs="Calibri"/>
          <w:b/>
          <w:bCs/>
          <w:lang w:val="fr-FR"/>
        </w:rPr>
        <w:t>Projet de résolution</w:t>
      </w:r>
      <w:r>
        <w:rPr>
          <w:rFonts w:cs="Calibri"/>
          <w:b/>
          <w:bCs/>
          <w:lang w:val="fr-FR"/>
        </w:rPr>
        <w:t> XV.x sur le</w:t>
      </w:r>
      <w:r w:rsidR="00A67B3C">
        <w:rPr>
          <w:rFonts w:cs="Calibri"/>
          <w:b/>
          <w:bCs/>
          <w:lang w:val="fr-FR"/>
        </w:rPr>
        <w:t>s</w:t>
      </w:r>
      <w:r>
        <w:rPr>
          <w:rFonts w:cs="Calibri"/>
          <w:b/>
          <w:bCs/>
          <w:lang w:val="fr-FR"/>
        </w:rPr>
        <w:t xml:space="preserve"> </w:t>
      </w:r>
      <w:r w:rsidRPr="005D79EA">
        <w:rPr>
          <w:rFonts w:cs="Calibri"/>
          <w:b/>
          <w:bCs/>
          <w:lang w:val="fr-FR"/>
        </w:rPr>
        <w:t>Initiatives régionales Ramsar (IRR) – Liste des IRR approuvées comme fonctionnant dans le cadre de la Convention sur les zones humides pour la période intersessions séparant la COP15 de la COP16</w:t>
      </w:r>
    </w:p>
    <w:p w14:paraId="659CAD77" w14:textId="77777777" w:rsidR="00CB1BA6" w:rsidRPr="00472842" w:rsidRDefault="00CB1BA6" w:rsidP="00AF3A04">
      <w:pPr>
        <w:spacing w:after="0" w:line="240" w:lineRule="auto"/>
        <w:ind w:left="425" w:hanging="425"/>
        <w:rPr>
          <w:rFonts w:asciiTheme="minorHAnsi" w:hAnsiTheme="minorHAnsi" w:cstheme="minorHAnsi"/>
          <w:lang w:val="fr-FR"/>
        </w:rPr>
      </w:pPr>
    </w:p>
    <w:p w14:paraId="2E02F278" w14:textId="0F826617" w:rsidR="00AF3A04" w:rsidRPr="000A1295" w:rsidRDefault="00AF3A04" w:rsidP="00AF3A04">
      <w:pPr>
        <w:numPr>
          <w:ilvl w:val="0"/>
          <w:numId w:val="1"/>
        </w:numPr>
        <w:spacing w:after="0" w:line="240" w:lineRule="auto"/>
        <w:ind w:left="426" w:hanging="426"/>
        <w:contextualSpacing/>
        <w:rPr>
          <w:rFonts w:asciiTheme="minorHAnsi" w:eastAsia="Times New Roman" w:hAnsiTheme="minorHAnsi" w:cstheme="minorHAnsi"/>
          <w:lang w:val="fr-FR"/>
        </w:rPr>
      </w:pPr>
      <w:r w:rsidRPr="000A1295">
        <w:rPr>
          <w:rFonts w:asciiTheme="minorHAnsi" w:eastAsia="Times New Roman" w:hAnsiTheme="minorHAnsi" w:cstheme="minorHAnsi"/>
          <w:lang w:val="fr-FR"/>
        </w:rPr>
        <w:t xml:space="preserve">RAPPELANT que les Initiatives régionales Ramsar (IRR) placées sous l’égide de la Convention sur les zones humides, comprenant des centres régionaux pour la formation et le renforcement des capacités ainsi que des réseaux régionaux pour faciliter la coopération, ont pour vocation d’être des moyens opérationnels de fournir un appui efficace à la mise en œuvre améliorée de la Convention et de son Plan stratégique dans des régions géographiques spécifiques, par la </w:t>
      </w:r>
      <w:r w:rsidRPr="000A1295">
        <w:rPr>
          <w:rFonts w:asciiTheme="minorHAnsi" w:eastAsia="Times New Roman" w:hAnsiTheme="minorHAnsi" w:cstheme="minorHAnsi"/>
          <w:lang w:val="fr-FR"/>
        </w:rPr>
        <w:lastRenderedPageBreak/>
        <w:t>coopération internationale volontaire relative aux questions d’intérêt commun concernant les</w:t>
      </w:r>
      <w:r w:rsidR="00A67B3C">
        <w:rPr>
          <w:rFonts w:asciiTheme="minorHAnsi" w:eastAsia="Times New Roman" w:hAnsiTheme="minorHAnsi" w:cstheme="minorHAnsi"/>
          <w:lang w:val="fr-FR"/>
        </w:rPr>
        <w:t xml:space="preserve"> </w:t>
      </w:r>
      <w:r w:rsidRPr="000A1295">
        <w:rPr>
          <w:rFonts w:asciiTheme="minorHAnsi" w:eastAsia="Times New Roman" w:hAnsiTheme="minorHAnsi" w:cstheme="minorHAnsi"/>
          <w:lang w:val="fr-FR"/>
        </w:rPr>
        <w:t>zones humides ;</w:t>
      </w:r>
    </w:p>
    <w:p w14:paraId="421CA296" w14:textId="77777777" w:rsidR="00AF3A04" w:rsidRPr="000A1295" w:rsidRDefault="00AF3A04" w:rsidP="00AF3A04">
      <w:pPr>
        <w:spacing w:after="0" w:line="240" w:lineRule="auto"/>
        <w:ind w:left="425" w:hanging="425"/>
        <w:rPr>
          <w:rFonts w:asciiTheme="minorHAnsi" w:hAnsiTheme="minorHAnsi" w:cstheme="minorHAnsi"/>
          <w:lang w:val="fr-FR"/>
        </w:rPr>
      </w:pPr>
    </w:p>
    <w:p w14:paraId="5F9628C9" w14:textId="76811804" w:rsidR="00AF3A04" w:rsidRPr="000A1295" w:rsidRDefault="00AF3A04" w:rsidP="00AF3A04">
      <w:pPr>
        <w:numPr>
          <w:ilvl w:val="0"/>
          <w:numId w:val="1"/>
        </w:numPr>
        <w:spacing w:after="0" w:line="240" w:lineRule="auto"/>
        <w:ind w:left="426" w:hanging="426"/>
        <w:contextualSpacing/>
        <w:rPr>
          <w:rFonts w:asciiTheme="minorHAnsi" w:eastAsia="Times New Roman" w:hAnsiTheme="minorHAnsi" w:cstheme="minorHAnsi"/>
          <w:lang w:val="fr-FR"/>
        </w:rPr>
      </w:pPr>
      <w:r w:rsidRPr="000A1295">
        <w:rPr>
          <w:rFonts w:asciiTheme="minorHAnsi" w:eastAsia="Times New Roman" w:hAnsiTheme="minorHAnsi" w:cstheme="minorHAnsi"/>
          <w:lang w:val="fr-FR"/>
        </w:rPr>
        <w:t xml:space="preserve">RAPPELANT </w:t>
      </w:r>
      <w:r w:rsidR="005D79EA" w:rsidRPr="000A1295">
        <w:rPr>
          <w:rFonts w:asciiTheme="minorHAnsi" w:eastAsia="Times New Roman" w:hAnsiTheme="minorHAnsi" w:cstheme="minorHAnsi"/>
          <w:lang w:val="fr-FR"/>
        </w:rPr>
        <w:t xml:space="preserve">ÉGALEMENT </w:t>
      </w:r>
      <w:r w:rsidRPr="000A1295">
        <w:rPr>
          <w:rFonts w:asciiTheme="minorHAnsi" w:eastAsia="Times New Roman" w:hAnsiTheme="minorHAnsi" w:cstheme="minorHAnsi"/>
          <w:lang w:val="fr-FR"/>
        </w:rPr>
        <w:t xml:space="preserve">que la Conférence des Parties contractantes a reconnu l’importance des IRR pour la promotion des objectifs de la Convention ; </w:t>
      </w:r>
      <w:r w:rsidR="005D79EA">
        <w:rPr>
          <w:rFonts w:asciiTheme="minorHAnsi" w:eastAsia="Times New Roman" w:hAnsiTheme="minorHAnsi" w:cstheme="minorHAnsi"/>
          <w:lang w:val="fr-FR"/>
        </w:rPr>
        <w:t>et</w:t>
      </w:r>
    </w:p>
    <w:p w14:paraId="1EA78E20" w14:textId="77777777" w:rsidR="00AF3A04" w:rsidRPr="000A1295" w:rsidRDefault="00AF3A04" w:rsidP="00AF3A04">
      <w:pPr>
        <w:spacing w:after="0" w:line="240" w:lineRule="auto"/>
        <w:ind w:left="425" w:hanging="425"/>
        <w:rPr>
          <w:rFonts w:asciiTheme="minorHAnsi" w:hAnsiTheme="minorHAnsi" w:cstheme="minorHAnsi"/>
          <w:lang w:val="fr-FR"/>
        </w:rPr>
      </w:pPr>
    </w:p>
    <w:p w14:paraId="1CF48CD2" w14:textId="624F4304" w:rsidR="00AE123A" w:rsidRDefault="00AF3A04" w:rsidP="00AE123A">
      <w:pPr>
        <w:numPr>
          <w:ilvl w:val="0"/>
          <w:numId w:val="1"/>
        </w:numPr>
        <w:spacing w:after="0" w:line="240" w:lineRule="auto"/>
        <w:ind w:left="426" w:hanging="426"/>
        <w:contextualSpacing/>
        <w:rPr>
          <w:rFonts w:asciiTheme="minorHAnsi" w:eastAsia="Times New Roman" w:hAnsiTheme="minorHAnsi" w:cstheme="minorHAnsi"/>
          <w:lang w:val="fr-FR"/>
        </w:rPr>
      </w:pPr>
      <w:r w:rsidRPr="000A1295">
        <w:rPr>
          <w:rFonts w:asciiTheme="minorHAnsi" w:eastAsia="Times New Roman" w:hAnsiTheme="minorHAnsi" w:cstheme="minorHAnsi"/>
          <w:lang w:val="fr-FR"/>
        </w:rPr>
        <w:t xml:space="preserve">RAPPELANT </w:t>
      </w:r>
      <w:r w:rsidR="005D79EA">
        <w:rPr>
          <w:rFonts w:asciiTheme="minorHAnsi" w:eastAsia="Times New Roman" w:hAnsiTheme="minorHAnsi" w:cstheme="minorHAnsi"/>
          <w:lang w:val="fr-FR"/>
        </w:rPr>
        <w:t xml:space="preserve">EN OUTRE </w:t>
      </w:r>
      <w:r w:rsidRPr="000A1295">
        <w:rPr>
          <w:rFonts w:asciiTheme="minorHAnsi" w:eastAsia="Times New Roman" w:hAnsiTheme="minorHAnsi" w:cstheme="minorHAnsi"/>
          <w:lang w:val="fr-FR"/>
        </w:rPr>
        <w:t>qu’</w:t>
      </w:r>
      <w:r w:rsidR="00AE123A">
        <w:rPr>
          <w:rFonts w:asciiTheme="minorHAnsi" w:eastAsia="Times New Roman" w:hAnsiTheme="minorHAnsi" w:cstheme="minorHAnsi"/>
          <w:lang w:val="fr-FR"/>
        </w:rPr>
        <w:t>au paragraphe 13 de la Résolution XIV.7</w:t>
      </w:r>
      <w:r w:rsidRPr="000A1295">
        <w:rPr>
          <w:rFonts w:asciiTheme="minorHAnsi" w:eastAsia="Times New Roman" w:hAnsiTheme="minorHAnsi" w:cstheme="minorHAnsi"/>
          <w:lang w:val="fr-FR"/>
        </w:rPr>
        <w:t>,</w:t>
      </w:r>
      <w:r w:rsidR="00AE123A">
        <w:rPr>
          <w:rFonts w:asciiTheme="minorHAnsi" w:eastAsia="Times New Roman" w:hAnsiTheme="minorHAnsi" w:cstheme="minorHAnsi"/>
          <w:lang w:val="fr-FR"/>
        </w:rPr>
        <w:t xml:space="preserve"> Partie</w:t>
      </w:r>
      <w:r w:rsidR="00A67B3C">
        <w:rPr>
          <w:rFonts w:asciiTheme="minorHAnsi" w:eastAsia="Times New Roman" w:hAnsiTheme="minorHAnsi" w:cstheme="minorHAnsi"/>
          <w:lang w:val="fr-FR"/>
        </w:rPr>
        <w:t> </w:t>
      </w:r>
      <w:r w:rsidR="00AE123A">
        <w:rPr>
          <w:rFonts w:asciiTheme="minorHAnsi" w:eastAsia="Times New Roman" w:hAnsiTheme="minorHAnsi" w:cstheme="minorHAnsi"/>
          <w:lang w:val="fr-FR"/>
        </w:rPr>
        <w:t xml:space="preserve">A, </w:t>
      </w:r>
      <w:r w:rsidR="00AE123A" w:rsidRPr="00AE123A">
        <w:rPr>
          <w:rFonts w:asciiTheme="minorHAnsi" w:eastAsia="Times New Roman" w:hAnsiTheme="minorHAnsi" w:cstheme="minorHAnsi"/>
          <w:i/>
          <w:iCs/>
          <w:lang w:val="fr-FR"/>
        </w:rPr>
        <w:t xml:space="preserve">Initiatives régionales </w:t>
      </w:r>
      <w:r w:rsidR="00AE123A">
        <w:rPr>
          <w:rFonts w:asciiTheme="minorHAnsi" w:eastAsia="Times New Roman" w:hAnsiTheme="minorHAnsi" w:cstheme="minorHAnsi"/>
          <w:i/>
          <w:iCs/>
          <w:lang w:val="fr-FR"/>
        </w:rPr>
        <w:t>R</w:t>
      </w:r>
      <w:r w:rsidR="00AE123A" w:rsidRPr="00AE123A">
        <w:rPr>
          <w:rFonts w:asciiTheme="minorHAnsi" w:eastAsia="Times New Roman" w:hAnsiTheme="minorHAnsi" w:cstheme="minorHAnsi"/>
          <w:i/>
          <w:iCs/>
          <w:lang w:val="fr-FR"/>
        </w:rPr>
        <w:t>amsar</w:t>
      </w:r>
      <w:r w:rsidR="00AE123A">
        <w:rPr>
          <w:rFonts w:asciiTheme="minorHAnsi" w:eastAsia="Times New Roman" w:hAnsiTheme="minorHAnsi" w:cstheme="minorHAnsi"/>
          <w:lang w:val="fr-FR"/>
        </w:rPr>
        <w:t xml:space="preserve">, </w:t>
      </w:r>
      <w:r w:rsidRPr="000A1295">
        <w:rPr>
          <w:rFonts w:asciiTheme="minorHAnsi" w:eastAsia="Times New Roman" w:hAnsiTheme="minorHAnsi" w:cstheme="minorHAnsi"/>
          <w:lang w:val="fr-FR"/>
        </w:rPr>
        <w:t xml:space="preserve">la Conférence des Parties </w:t>
      </w:r>
      <w:r w:rsidR="00F063E7" w:rsidRPr="000A1295">
        <w:rPr>
          <w:rFonts w:asciiTheme="minorHAnsi" w:eastAsia="Times New Roman" w:hAnsiTheme="minorHAnsi" w:cstheme="minorHAnsi"/>
          <w:lang w:val="fr-FR"/>
        </w:rPr>
        <w:t xml:space="preserve">contractantes </w:t>
      </w:r>
      <w:r w:rsidRPr="000A1295">
        <w:rPr>
          <w:rFonts w:asciiTheme="minorHAnsi" w:eastAsia="Times New Roman" w:hAnsiTheme="minorHAnsi" w:cstheme="minorHAnsi"/>
          <w:lang w:val="fr-FR"/>
        </w:rPr>
        <w:t xml:space="preserve">a </w:t>
      </w:r>
      <w:r w:rsidR="00AE123A">
        <w:rPr>
          <w:rFonts w:asciiTheme="minorHAnsi" w:eastAsia="Times New Roman" w:hAnsiTheme="minorHAnsi" w:cstheme="minorHAnsi"/>
          <w:lang w:val="fr-FR"/>
        </w:rPr>
        <w:t>décidé</w:t>
      </w:r>
      <w:r w:rsidR="00AE123A" w:rsidRPr="00AE123A">
        <w:rPr>
          <w:rFonts w:asciiTheme="minorHAnsi" w:eastAsia="Times New Roman" w:hAnsiTheme="minorHAnsi" w:cstheme="minorHAnsi"/>
          <w:lang w:val="fr-FR"/>
        </w:rPr>
        <w:t xml:space="preserve"> que les IRR qui satisfont aux </w:t>
      </w:r>
      <w:r w:rsidR="00AE123A" w:rsidRPr="00AE123A">
        <w:rPr>
          <w:rFonts w:asciiTheme="minorHAnsi" w:eastAsia="Times New Roman" w:hAnsiTheme="minorHAnsi" w:cstheme="minorHAnsi"/>
          <w:i/>
          <w:iCs/>
          <w:lang w:val="fr-FR"/>
        </w:rPr>
        <w:t>Directives opérationnelles</w:t>
      </w:r>
      <w:r w:rsidR="00AE123A" w:rsidRPr="00AE123A">
        <w:rPr>
          <w:rFonts w:asciiTheme="minorHAnsi" w:eastAsia="Times New Roman" w:hAnsiTheme="minorHAnsi" w:cstheme="minorHAnsi"/>
          <w:lang w:val="fr-FR"/>
        </w:rPr>
        <w:t xml:space="preserve"> sont approuvées par la COP ou le Comité permanent comme fonctionnant dans le cadre de la Convention pour la période séparant deux sessions de la COP et reçoivent le statut d’Initiatives régionales Ramsar ou, si elles sont déjà reconnues, la confirmation de leur statut</w:t>
      </w:r>
      <w:r w:rsidR="00AE123A">
        <w:rPr>
          <w:rFonts w:asciiTheme="minorHAnsi" w:eastAsia="Times New Roman" w:hAnsiTheme="minorHAnsi" w:cstheme="minorHAnsi"/>
          <w:lang w:val="fr-FR"/>
        </w:rPr>
        <w:t> ;</w:t>
      </w:r>
    </w:p>
    <w:p w14:paraId="773CFB16" w14:textId="77777777" w:rsidR="00AE123A" w:rsidRPr="00AE123A" w:rsidRDefault="00AE123A" w:rsidP="00AE123A">
      <w:pPr>
        <w:spacing w:after="0" w:line="240" w:lineRule="auto"/>
        <w:contextualSpacing/>
        <w:rPr>
          <w:rFonts w:asciiTheme="minorHAnsi" w:eastAsia="Times New Roman" w:hAnsiTheme="minorHAnsi" w:cstheme="minorHAnsi"/>
          <w:lang w:val="fr-FR"/>
        </w:rPr>
      </w:pPr>
    </w:p>
    <w:p w14:paraId="5B67A1D1" w14:textId="091409E7" w:rsidR="00AE123A" w:rsidRDefault="00AE123A" w:rsidP="00AE123A">
      <w:pPr>
        <w:keepNext/>
        <w:spacing w:after="0" w:line="240" w:lineRule="auto"/>
        <w:jc w:val="center"/>
        <w:rPr>
          <w:rFonts w:asciiTheme="minorHAnsi" w:hAnsiTheme="minorHAnsi" w:cstheme="minorHAnsi"/>
          <w:lang w:val="fr-FR"/>
        </w:rPr>
      </w:pPr>
      <w:r w:rsidRPr="00AE123A">
        <w:rPr>
          <w:rFonts w:asciiTheme="minorHAnsi" w:hAnsiTheme="minorHAnsi" w:cstheme="minorHAnsi"/>
          <w:lang w:val="fr-FR"/>
        </w:rPr>
        <w:t>LA CONFÉRENCE DES PARTIES CONTRACTANTES</w:t>
      </w:r>
    </w:p>
    <w:p w14:paraId="7FD1444C" w14:textId="77777777" w:rsidR="00AE123A" w:rsidRPr="00AE123A" w:rsidRDefault="00AE123A" w:rsidP="00AE123A">
      <w:pPr>
        <w:keepNext/>
        <w:spacing w:after="0" w:line="240" w:lineRule="auto"/>
        <w:jc w:val="center"/>
        <w:rPr>
          <w:rFonts w:asciiTheme="minorHAnsi" w:hAnsiTheme="minorHAnsi" w:cstheme="minorHAnsi"/>
          <w:lang w:val="fr-FR"/>
        </w:rPr>
      </w:pPr>
    </w:p>
    <w:p w14:paraId="6BC0B834" w14:textId="5912D9F2" w:rsidR="00AE123A" w:rsidRDefault="00AE123A" w:rsidP="00AE123A">
      <w:pPr>
        <w:numPr>
          <w:ilvl w:val="0"/>
          <w:numId w:val="1"/>
        </w:numPr>
        <w:spacing w:after="0" w:line="240" w:lineRule="auto"/>
        <w:ind w:left="426" w:hanging="426"/>
        <w:contextualSpacing/>
        <w:rPr>
          <w:rFonts w:asciiTheme="minorHAnsi" w:eastAsia="Times New Roman" w:hAnsiTheme="minorHAnsi" w:cstheme="minorHAnsi"/>
          <w:lang w:val="fr-FR"/>
        </w:rPr>
      </w:pPr>
      <w:r>
        <w:rPr>
          <w:rFonts w:asciiTheme="minorHAnsi" w:eastAsia="Times New Roman" w:hAnsiTheme="minorHAnsi" w:cstheme="minorHAnsi"/>
          <w:lang w:val="fr-FR"/>
        </w:rPr>
        <w:t>DÉCIDE d’approuver cette liste ;</w:t>
      </w:r>
    </w:p>
    <w:p w14:paraId="739288E3" w14:textId="77777777" w:rsidR="008847C1" w:rsidRDefault="008847C1" w:rsidP="008847C1">
      <w:pPr>
        <w:spacing w:after="0" w:line="240" w:lineRule="auto"/>
        <w:ind w:left="426"/>
        <w:contextualSpacing/>
        <w:rPr>
          <w:rFonts w:asciiTheme="minorHAnsi" w:eastAsia="Times New Roman" w:hAnsiTheme="minorHAnsi" w:cstheme="minorHAnsi"/>
          <w:lang w:val="fr-FR"/>
        </w:rPr>
      </w:pPr>
    </w:p>
    <w:p w14:paraId="0DEBCC7A" w14:textId="207D2862" w:rsidR="008847C1" w:rsidRPr="008847C1" w:rsidRDefault="00AE123A" w:rsidP="008847C1">
      <w:pPr>
        <w:numPr>
          <w:ilvl w:val="0"/>
          <w:numId w:val="1"/>
        </w:numPr>
        <w:spacing w:after="0" w:line="240" w:lineRule="auto"/>
        <w:ind w:left="426" w:hanging="426"/>
        <w:contextualSpacing/>
        <w:rPr>
          <w:rFonts w:asciiTheme="minorHAnsi" w:eastAsia="Times New Roman" w:hAnsiTheme="minorHAnsi" w:cstheme="minorHAnsi"/>
          <w:lang w:val="fr-FR"/>
        </w:rPr>
      </w:pPr>
      <w:r w:rsidRPr="008847C1">
        <w:rPr>
          <w:rFonts w:asciiTheme="minorHAnsi" w:hAnsiTheme="minorHAnsi" w:cstheme="minorHAnsi"/>
          <w:bCs/>
          <w:lang w:val="fr-FR"/>
        </w:rPr>
        <w:t>DÉCIDE É</w:t>
      </w:r>
      <w:r w:rsidR="008847C1" w:rsidRPr="008847C1">
        <w:rPr>
          <w:rFonts w:asciiTheme="minorHAnsi" w:hAnsiTheme="minorHAnsi" w:cstheme="minorHAnsi"/>
          <w:bCs/>
          <w:lang w:val="fr-FR"/>
        </w:rPr>
        <w:t>GA</w:t>
      </w:r>
      <w:r w:rsidRPr="008847C1">
        <w:rPr>
          <w:rFonts w:asciiTheme="minorHAnsi" w:hAnsiTheme="minorHAnsi" w:cstheme="minorHAnsi"/>
          <w:bCs/>
          <w:lang w:val="fr-FR"/>
        </w:rPr>
        <w:t>LEMENT que cette liste sera valable jusqu'à ce qu'elle soit remplacée par une nouvelle liste pour la période COP16-COP17 lors de la 16</w:t>
      </w:r>
      <w:r w:rsidRPr="008847C1">
        <w:rPr>
          <w:rFonts w:asciiTheme="minorHAnsi" w:hAnsiTheme="minorHAnsi" w:cstheme="minorHAnsi"/>
          <w:bCs/>
          <w:vertAlign w:val="superscript"/>
          <w:lang w:val="fr-FR"/>
        </w:rPr>
        <w:t>e</w:t>
      </w:r>
      <w:r w:rsidR="00A67B3C">
        <w:rPr>
          <w:rFonts w:asciiTheme="minorHAnsi" w:hAnsiTheme="minorHAnsi" w:cstheme="minorHAnsi"/>
          <w:bCs/>
          <w:lang w:val="fr-FR"/>
        </w:rPr>
        <w:t> </w:t>
      </w:r>
      <w:r w:rsidRPr="008847C1">
        <w:rPr>
          <w:rFonts w:asciiTheme="minorHAnsi" w:hAnsiTheme="minorHAnsi" w:cstheme="minorHAnsi"/>
          <w:bCs/>
          <w:lang w:val="fr-FR"/>
        </w:rPr>
        <w:t>Session de la Conférence des Parties (COP16)</w:t>
      </w:r>
      <w:r w:rsidR="008847C1">
        <w:rPr>
          <w:rFonts w:asciiTheme="minorHAnsi" w:hAnsiTheme="minorHAnsi" w:cstheme="minorHAnsi"/>
          <w:bCs/>
          <w:lang w:val="fr-FR"/>
        </w:rPr>
        <w:t> ;</w:t>
      </w:r>
      <w:r w:rsidRPr="008847C1">
        <w:rPr>
          <w:rFonts w:asciiTheme="minorHAnsi" w:hAnsiTheme="minorHAnsi" w:cstheme="minorHAnsi"/>
          <w:bCs/>
          <w:lang w:val="fr-FR"/>
        </w:rPr>
        <w:t xml:space="preserve"> et</w:t>
      </w:r>
    </w:p>
    <w:p w14:paraId="46E49F48" w14:textId="77777777" w:rsidR="008847C1" w:rsidRPr="008847C1" w:rsidRDefault="008847C1" w:rsidP="008847C1">
      <w:pPr>
        <w:spacing w:after="0" w:line="240" w:lineRule="auto"/>
        <w:contextualSpacing/>
        <w:rPr>
          <w:rFonts w:asciiTheme="minorHAnsi" w:eastAsia="Times New Roman" w:hAnsiTheme="minorHAnsi" w:cstheme="minorHAnsi"/>
          <w:lang w:val="fr-FR"/>
        </w:rPr>
      </w:pPr>
    </w:p>
    <w:p w14:paraId="22A86A0A" w14:textId="2B055002" w:rsidR="008847C1" w:rsidRPr="00472842" w:rsidRDefault="008847C1" w:rsidP="00472842">
      <w:pPr>
        <w:numPr>
          <w:ilvl w:val="0"/>
          <w:numId w:val="1"/>
        </w:numPr>
        <w:spacing w:after="0" w:line="240" w:lineRule="auto"/>
        <w:ind w:left="426" w:hanging="426"/>
        <w:contextualSpacing/>
        <w:rPr>
          <w:rFonts w:asciiTheme="minorHAnsi" w:eastAsia="Times New Roman" w:hAnsiTheme="minorHAnsi" w:cstheme="minorHAnsi"/>
          <w:lang w:val="fr-FR"/>
        </w:rPr>
      </w:pPr>
      <w:r w:rsidRPr="008847C1">
        <w:rPr>
          <w:rFonts w:asciiTheme="minorHAnsi" w:eastAsia="Times New Roman" w:hAnsiTheme="minorHAnsi" w:cstheme="minorHAnsi"/>
          <w:lang w:val="fr-FR"/>
        </w:rPr>
        <w:t xml:space="preserve">CONFIRME que la présente </w:t>
      </w:r>
      <w:r>
        <w:rPr>
          <w:rFonts w:asciiTheme="minorHAnsi" w:eastAsia="Times New Roman" w:hAnsiTheme="minorHAnsi" w:cstheme="minorHAnsi"/>
          <w:lang w:val="fr-FR"/>
        </w:rPr>
        <w:t>R</w:t>
      </w:r>
      <w:r w:rsidRPr="008847C1">
        <w:rPr>
          <w:rFonts w:asciiTheme="minorHAnsi" w:eastAsia="Times New Roman" w:hAnsiTheme="minorHAnsi" w:cstheme="minorHAnsi"/>
          <w:lang w:val="fr-FR"/>
        </w:rPr>
        <w:t xml:space="preserve">ésolution remplace la </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Partie</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B</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 xml:space="preserve"> de la </w:t>
      </w:r>
      <w:r>
        <w:rPr>
          <w:rFonts w:asciiTheme="minorHAnsi" w:eastAsia="Times New Roman" w:hAnsiTheme="minorHAnsi" w:cstheme="minorHAnsi"/>
          <w:lang w:val="fr-FR"/>
        </w:rPr>
        <w:t>R</w:t>
      </w:r>
      <w:r w:rsidRPr="008847C1">
        <w:rPr>
          <w:rFonts w:asciiTheme="minorHAnsi" w:eastAsia="Times New Roman" w:hAnsiTheme="minorHAnsi" w:cstheme="minorHAnsi"/>
          <w:lang w:val="fr-FR"/>
        </w:rPr>
        <w:t>ésolution</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 xml:space="preserve">XIV.7, qui est retirée, et DONNE INSTRUCTION au Secrétariat de publier une version actualisée de la </w:t>
      </w:r>
      <w:r>
        <w:rPr>
          <w:rFonts w:asciiTheme="minorHAnsi" w:eastAsia="Times New Roman" w:hAnsiTheme="minorHAnsi" w:cstheme="minorHAnsi"/>
          <w:lang w:val="fr-FR"/>
        </w:rPr>
        <w:t>R</w:t>
      </w:r>
      <w:r w:rsidRPr="008847C1">
        <w:rPr>
          <w:rFonts w:asciiTheme="minorHAnsi" w:eastAsia="Times New Roman" w:hAnsiTheme="minorHAnsi" w:cstheme="minorHAnsi"/>
          <w:lang w:val="fr-FR"/>
        </w:rPr>
        <w:t>ésolution</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XIV.7 qui restera inchangée, à l</w:t>
      </w:r>
      <w:r w:rsidR="00A67B3C">
        <w:rPr>
          <w:rFonts w:asciiTheme="minorHAnsi" w:eastAsia="Times New Roman" w:hAnsiTheme="minorHAnsi" w:cstheme="minorHAnsi"/>
          <w:lang w:val="fr-FR"/>
        </w:rPr>
        <w:t>’</w:t>
      </w:r>
      <w:r w:rsidRPr="008847C1">
        <w:rPr>
          <w:rFonts w:asciiTheme="minorHAnsi" w:eastAsia="Times New Roman" w:hAnsiTheme="minorHAnsi" w:cstheme="minorHAnsi"/>
          <w:lang w:val="fr-FR"/>
        </w:rPr>
        <w:t xml:space="preserve">exception de la suppression </w:t>
      </w:r>
      <w:r>
        <w:rPr>
          <w:rFonts w:asciiTheme="minorHAnsi" w:eastAsia="Times New Roman" w:hAnsiTheme="minorHAnsi" w:cstheme="minorHAnsi"/>
          <w:lang w:val="fr-FR"/>
        </w:rPr>
        <w:t>du renvoi</w:t>
      </w:r>
      <w:r w:rsidRPr="008847C1">
        <w:rPr>
          <w:rFonts w:asciiTheme="minorHAnsi" w:eastAsia="Times New Roman" w:hAnsiTheme="minorHAnsi" w:cstheme="minorHAnsi"/>
          <w:lang w:val="fr-FR"/>
        </w:rPr>
        <w:t xml:space="preserve"> à la </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Partie</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A</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 xml:space="preserve"> dans le titre et de la suppression de l'actuelle </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Parti</w:t>
      </w:r>
      <w:r>
        <w:rPr>
          <w:rFonts w:asciiTheme="minorHAnsi" w:eastAsia="Times New Roman" w:hAnsiTheme="minorHAnsi" w:cstheme="minorHAnsi"/>
          <w:lang w:val="fr-FR"/>
        </w:rPr>
        <w:t>e </w:t>
      </w:r>
      <w:r w:rsidRPr="008847C1">
        <w:rPr>
          <w:rFonts w:asciiTheme="minorHAnsi" w:eastAsia="Times New Roman" w:hAnsiTheme="minorHAnsi" w:cstheme="minorHAnsi"/>
          <w:lang w:val="fr-FR"/>
        </w:rPr>
        <w:t>B</w:t>
      </w:r>
      <w:r>
        <w:rPr>
          <w:rFonts w:asciiTheme="minorHAnsi" w:eastAsia="Times New Roman" w:hAnsiTheme="minorHAnsi" w:cstheme="minorHAnsi"/>
          <w:lang w:val="fr-FR"/>
        </w:rPr>
        <w:t> »</w:t>
      </w:r>
      <w:r w:rsidRPr="008847C1">
        <w:rPr>
          <w:rFonts w:asciiTheme="minorHAnsi" w:eastAsia="Times New Roman" w:hAnsiTheme="minorHAnsi" w:cstheme="minorHAnsi"/>
          <w:lang w:val="fr-FR"/>
        </w:rPr>
        <w:t>.</w:t>
      </w:r>
    </w:p>
    <w:p w14:paraId="2975AE32" w14:textId="77777777" w:rsidR="008847C1" w:rsidRPr="008847C1" w:rsidRDefault="008847C1" w:rsidP="008847C1">
      <w:pPr>
        <w:spacing w:after="0" w:line="240" w:lineRule="auto"/>
        <w:ind w:left="426"/>
        <w:contextualSpacing/>
        <w:rPr>
          <w:rFonts w:asciiTheme="minorHAnsi" w:eastAsia="Times New Roman" w:hAnsiTheme="minorHAnsi" w:cstheme="minorHAnsi"/>
          <w:lang w:val="fr-FR"/>
        </w:rPr>
      </w:pPr>
    </w:p>
    <w:p w14:paraId="135578E2" w14:textId="197584AF" w:rsidR="00AF3A04" w:rsidRPr="000A1295" w:rsidRDefault="00AF3A04" w:rsidP="00E85573">
      <w:pPr>
        <w:spacing w:before="100" w:beforeAutospacing="1" w:after="100" w:afterAutospacing="1" w:line="240" w:lineRule="auto"/>
        <w:ind w:left="425"/>
        <w:contextualSpacing/>
        <w:rPr>
          <w:rFonts w:asciiTheme="minorHAnsi" w:eastAsia="Times New Roman" w:hAnsiTheme="minorHAnsi" w:cstheme="minorHAnsi"/>
          <w:b/>
          <w:bCs/>
          <w:i/>
          <w:iCs/>
          <w:lang w:val="fr-FR" w:eastAsia="cs-CZ"/>
        </w:rPr>
      </w:pPr>
      <w:r w:rsidRPr="000A1295">
        <w:rPr>
          <w:rFonts w:asciiTheme="minorHAnsi" w:eastAsia="Times New Roman" w:hAnsiTheme="minorHAnsi" w:cstheme="minorHAnsi"/>
          <w:b/>
          <w:bCs/>
          <w:i/>
          <w:iCs/>
          <w:lang w:val="fr-FR" w:eastAsia="cs-CZ"/>
        </w:rPr>
        <w:t xml:space="preserve">Les IRR approuvées pour la période intersessions </w:t>
      </w:r>
      <w:r w:rsidR="008847C1">
        <w:rPr>
          <w:rFonts w:asciiTheme="minorHAnsi" w:eastAsia="Times New Roman" w:hAnsiTheme="minorHAnsi" w:cstheme="minorHAnsi"/>
          <w:b/>
          <w:bCs/>
          <w:i/>
          <w:iCs/>
          <w:lang w:val="fr-FR" w:eastAsia="cs-CZ"/>
        </w:rPr>
        <w:t>séparant</w:t>
      </w:r>
      <w:r w:rsidRPr="000A1295">
        <w:rPr>
          <w:rFonts w:asciiTheme="minorHAnsi" w:eastAsia="Times New Roman" w:hAnsiTheme="minorHAnsi" w:cstheme="minorHAnsi"/>
          <w:b/>
          <w:bCs/>
          <w:i/>
          <w:iCs/>
          <w:lang w:val="fr-FR" w:eastAsia="cs-CZ"/>
        </w:rPr>
        <w:t xml:space="preserve"> la COP15 </w:t>
      </w:r>
      <w:r w:rsidR="008847C1">
        <w:rPr>
          <w:rFonts w:asciiTheme="minorHAnsi" w:eastAsia="Times New Roman" w:hAnsiTheme="minorHAnsi" w:cstheme="minorHAnsi"/>
          <w:b/>
          <w:bCs/>
          <w:i/>
          <w:iCs/>
          <w:lang w:val="fr-FR" w:eastAsia="cs-CZ"/>
        </w:rPr>
        <w:t xml:space="preserve">de la COP16 </w:t>
      </w:r>
      <w:r w:rsidRPr="000A1295">
        <w:rPr>
          <w:rFonts w:asciiTheme="minorHAnsi" w:eastAsia="Times New Roman" w:hAnsiTheme="minorHAnsi" w:cstheme="minorHAnsi"/>
          <w:b/>
          <w:bCs/>
          <w:i/>
          <w:iCs/>
          <w:lang w:val="fr-FR" w:eastAsia="cs-CZ"/>
        </w:rPr>
        <w:t>sont les suivantes :</w:t>
      </w:r>
    </w:p>
    <w:p w14:paraId="510B20CF" w14:textId="77777777" w:rsidR="00AF3A04" w:rsidRPr="00472842" w:rsidRDefault="00AF3A04" w:rsidP="00E85573">
      <w:pPr>
        <w:spacing w:before="100" w:beforeAutospacing="1" w:after="100" w:afterAutospacing="1" w:line="240" w:lineRule="auto"/>
        <w:ind w:left="425" w:hanging="425"/>
        <w:contextualSpacing/>
        <w:rPr>
          <w:rFonts w:asciiTheme="minorHAnsi" w:eastAsia="Times New Roman" w:hAnsiTheme="minorHAnsi" w:cstheme="minorHAnsi"/>
          <w:lang w:val="fr-FR" w:eastAsia="cs-CZ"/>
        </w:rPr>
      </w:pPr>
    </w:p>
    <w:p w14:paraId="32F69392" w14:textId="77777777" w:rsidR="00AF3A04" w:rsidRPr="000A1295" w:rsidRDefault="00AF3A04" w:rsidP="00E85573">
      <w:pPr>
        <w:spacing w:before="100" w:beforeAutospacing="1" w:after="100" w:afterAutospacing="1" w:line="240" w:lineRule="auto"/>
        <w:ind w:left="850" w:hanging="425"/>
        <w:contextualSpacing/>
        <w:rPr>
          <w:rFonts w:asciiTheme="minorHAnsi" w:eastAsia="Times New Roman" w:hAnsiTheme="minorHAnsi" w:cstheme="minorHAnsi"/>
          <w:lang w:val="fr-FR" w:eastAsia="cs-CZ"/>
        </w:rPr>
      </w:pPr>
      <w:r w:rsidRPr="000A1295">
        <w:rPr>
          <w:rFonts w:asciiTheme="minorHAnsi" w:eastAsia="Times New Roman" w:hAnsiTheme="minorHAnsi" w:cstheme="minorHAnsi"/>
          <w:lang w:val="fr-FR" w:eastAsia="cs-CZ"/>
        </w:rPr>
        <w:t>Quatre centres régionaux Ramsar pour la formation et le renforcement des capacités :</w:t>
      </w:r>
    </w:p>
    <w:p w14:paraId="388810DF" w14:textId="77777777" w:rsidR="00AF3A04" w:rsidRPr="000A1295" w:rsidRDefault="00AF3A04" w:rsidP="00E85573">
      <w:pPr>
        <w:spacing w:before="100" w:beforeAutospacing="1" w:after="100" w:afterAutospacing="1" w:line="240" w:lineRule="auto"/>
        <w:ind w:left="425" w:hanging="425"/>
        <w:contextualSpacing/>
        <w:rPr>
          <w:rFonts w:asciiTheme="minorHAnsi" w:eastAsia="Times New Roman" w:hAnsiTheme="minorHAnsi" w:cstheme="minorHAnsi"/>
          <w:lang w:val="fr-FR" w:eastAsia="cs-CZ"/>
        </w:rPr>
      </w:pPr>
    </w:p>
    <w:p w14:paraId="56FC03C4" w14:textId="77777777" w:rsidR="00AF3A04" w:rsidRPr="000A1295" w:rsidRDefault="00AF3A04"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rFonts w:asciiTheme="minorHAnsi" w:eastAsia="Times New Roman" w:hAnsiTheme="minorHAnsi" w:cstheme="minorHAnsi"/>
          <w:lang w:val="fr-FR" w:eastAsia="cs-CZ"/>
        </w:rPr>
        <w:t>Centre Ramsar pour l’Afrique de l’Est (RAMCEA)</w:t>
      </w:r>
    </w:p>
    <w:p w14:paraId="1D295E5B" w14:textId="77777777" w:rsidR="00AF3A04" w:rsidRPr="000A1295" w:rsidRDefault="00AF3A04"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rFonts w:asciiTheme="minorHAnsi" w:eastAsia="Times New Roman" w:hAnsiTheme="minorHAnsi" w:cstheme="minorHAnsi"/>
          <w:lang w:val="fr-FR" w:eastAsia="cs-CZ"/>
        </w:rPr>
        <w:t>Centre régional Ramsar pour la formation et la recherche sur les zones humides de l’hémisphère occidental (CREHO)</w:t>
      </w:r>
    </w:p>
    <w:p w14:paraId="57158EF7" w14:textId="77777777" w:rsidR="00AF3A04" w:rsidRPr="000A1295" w:rsidRDefault="00AF3A04"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rFonts w:asciiTheme="minorHAnsi" w:eastAsia="Times New Roman" w:hAnsiTheme="minorHAnsi" w:cstheme="minorHAnsi"/>
          <w:lang w:val="fr-FR" w:eastAsia="cs-CZ"/>
        </w:rPr>
        <w:t>Centre régional Ramsar – Asie centrale et de l’Ouest (RRC-CWA)</w:t>
      </w:r>
    </w:p>
    <w:p w14:paraId="711A85A0" w14:textId="77777777" w:rsidR="00AF3A04" w:rsidRPr="000A1295" w:rsidRDefault="00AF3A04"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rFonts w:asciiTheme="minorHAnsi" w:eastAsia="Times New Roman" w:hAnsiTheme="minorHAnsi" w:cstheme="minorHAnsi"/>
          <w:lang w:val="fr-FR" w:eastAsia="cs-CZ"/>
        </w:rPr>
        <w:t>Centre régional Ramsar – Asie de l’Est (RRC-EA) ; et</w:t>
      </w:r>
    </w:p>
    <w:p w14:paraId="21853A8C" w14:textId="77777777" w:rsidR="00AF3A04" w:rsidRPr="000A1295" w:rsidRDefault="00AF3A04" w:rsidP="00E85573">
      <w:pPr>
        <w:spacing w:before="100" w:beforeAutospacing="1" w:after="100" w:afterAutospacing="1" w:line="240" w:lineRule="auto"/>
        <w:ind w:left="425" w:hanging="425"/>
        <w:contextualSpacing/>
        <w:rPr>
          <w:rFonts w:asciiTheme="minorHAnsi" w:eastAsia="Times New Roman" w:hAnsiTheme="minorHAnsi" w:cstheme="minorHAnsi"/>
          <w:lang w:val="fr-FR" w:eastAsia="cs-CZ"/>
        </w:rPr>
      </w:pPr>
    </w:p>
    <w:p w14:paraId="0F23C43C" w14:textId="65A351F7" w:rsidR="00AF3A04" w:rsidRPr="000A1295" w:rsidRDefault="008847C1" w:rsidP="00E85573">
      <w:pPr>
        <w:spacing w:before="100" w:beforeAutospacing="1" w:after="100" w:afterAutospacing="1" w:line="240" w:lineRule="auto"/>
        <w:ind w:left="782" w:hanging="357"/>
        <w:contextualSpacing/>
        <w:rPr>
          <w:rFonts w:asciiTheme="minorHAnsi" w:eastAsia="Times New Roman" w:hAnsiTheme="minorHAnsi" w:cstheme="minorHAnsi"/>
          <w:lang w:val="fr-FR" w:eastAsia="cs-CZ"/>
        </w:rPr>
      </w:pPr>
      <w:r>
        <w:rPr>
          <w:rFonts w:asciiTheme="minorHAnsi" w:hAnsiTheme="minorHAnsi" w:cstheme="minorHAnsi"/>
          <w:lang w:val="fr-FR"/>
        </w:rPr>
        <w:t>Dix-huit</w:t>
      </w:r>
      <w:r w:rsidR="00AF3A04" w:rsidRPr="000A1295">
        <w:rPr>
          <w:rFonts w:asciiTheme="minorHAnsi" w:hAnsiTheme="minorHAnsi" w:cstheme="minorHAnsi"/>
          <w:lang w:val="fr-FR"/>
        </w:rPr>
        <w:t xml:space="preserve"> réseaux Ramsar de coopération régionale </w:t>
      </w:r>
      <w:r w:rsidR="00AF3A04" w:rsidRPr="000A1295">
        <w:rPr>
          <w:rFonts w:asciiTheme="minorHAnsi" w:eastAsia="Times New Roman" w:hAnsiTheme="minorHAnsi" w:cstheme="minorHAnsi"/>
          <w:lang w:val="fr-FR" w:eastAsia="cs-CZ"/>
        </w:rPr>
        <w:t>:</w:t>
      </w:r>
    </w:p>
    <w:p w14:paraId="6A2BEE30" w14:textId="77777777" w:rsidR="00AF3A04" w:rsidRPr="000A1295" w:rsidRDefault="00AF3A04" w:rsidP="00FA45A6">
      <w:p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p>
    <w:p w14:paraId="325D90B7" w14:textId="0A4CEE5D" w:rsidR="00AF3A04" w:rsidRPr="000A1295" w:rsidRDefault="00DC26AD" w:rsidP="00FA45A6">
      <w:pPr>
        <w:numPr>
          <w:ilvl w:val="1"/>
          <w:numId w:val="6"/>
        </w:numPr>
        <w:spacing w:before="100" w:beforeAutospacing="1" w:after="100" w:afterAutospacing="1" w:line="240" w:lineRule="auto"/>
        <w:ind w:left="851" w:hanging="425"/>
        <w:contextualSpacing/>
        <w:rPr>
          <w:lang w:val="fr-FR"/>
        </w:rPr>
      </w:pPr>
      <w:r w:rsidRPr="000A1295">
        <w:rPr>
          <w:lang w:val="fr-FR"/>
        </w:rPr>
        <w:t xml:space="preserve">Initiative régionale Ramsar pour les zones humides côtières d’Afrique de l’Ouest </w:t>
      </w:r>
      <w:r w:rsidR="00AF3A04" w:rsidRPr="000A1295">
        <w:rPr>
          <w:lang w:val="fr-FR"/>
        </w:rPr>
        <w:t>(WaCoWet)</w:t>
      </w:r>
    </w:p>
    <w:p w14:paraId="4A8577D3" w14:textId="2AA56DD8" w:rsidR="00AF3A04"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le bassin du Niger</w:t>
      </w:r>
      <w:r w:rsidRPr="000A1295">
        <w:rPr>
          <w:rFonts w:asciiTheme="minorHAnsi" w:eastAsia="Times New Roman" w:hAnsiTheme="minorHAnsi" w:cstheme="minorHAnsi"/>
          <w:lang w:val="fr-FR" w:eastAsia="cs-CZ"/>
        </w:rPr>
        <w:t xml:space="preserve"> </w:t>
      </w:r>
      <w:r w:rsidR="00AF3A04" w:rsidRPr="000A1295">
        <w:rPr>
          <w:rFonts w:asciiTheme="minorHAnsi" w:eastAsia="Times New Roman" w:hAnsiTheme="minorHAnsi" w:cstheme="minorHAnsi"/>
          <w:lang w:val="fr-FR" w:eastAsia="cs-CZ"/>
        </w:rPr>
        <w:t>(NigerWet)</w:t>
      </w:r>
    </w:p>
    <w:p w14:paraId="48AFB25A" w14:textId="1382F473" w:rsidR="00E54723"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le bassin du Sénégal</w:t>
      </w:r>
      <w:r w:rsidR="008847C1">
        <w:rPr>
          <w:lang w:val="fr-FR"/>
        </w:rPr>
        <w:t xml:space="preserve"> (SenegalWet)</w:t>
      </w:r>
    </w:p>
    <w:p w14:paraId="2514066D" w14:textId="77777777" w:rsidR="00E54723"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 xml:space="preserve">Initiative régionale Ramsar pour la conservation et l’utilisation rationnelle des zones humides des Hautes Andes </w:t>
      </w:r>
    </w:p>
    <w:p w14:paraId="3CD8F2FF" w14:textId="77777777" w:rsidR="00E54723"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la conservation et l’utilisation rationnelle des zones humides fluviales du bassin du Río de la Plata</w:t>
      </w:r>
    </w:p>
    <w:p w14:paraId="506E5E34" w14:textId="7A9AFD96" w:rsidR="00AF3A04"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les zones humides des Caraïbes</w:t>
      </w:r>
      <w:r w:rsidRPr="000A1295">
        <w:rPr>
          <w:rFonts w:asciiTheme="minorHAnsi" w:eastAsia="Times New Roman" w:hAnsiTheme="minorHAnsi" w:cstheme="minorHAnsi"/>
          <w:lang w:val="fr-FR" w:eastAsia="cs-CZ"/>
        </w:rPr>
        <w:t xml:space="preserve"> </w:t>
      </w:r>
      <w:r w:rsidR="00AF3A04" w:rsidRPr="000A1295">
        <w:rPr>
          <w:rFonts w:asciiTheme="minorHAnsi" w:eastAsia="Times New Roman" w:hAnsiTheme="minorHAnsi" w:cstheme="minorHAnsi"/>
          <w:lang w:val="fr-FR" w:eastAsia="cs-CZ"/>
        </w:rPr>
        <w:t>(CariWet)</w:t>
      </w:r>
    </w:p>
    <w:p w14:paraId="41EDEF25" w14:textId="77777777" w:rsidR="00E54723"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la conservation et l’utilisation rationnelle des mangroves et des récifs coralliens</w:t>
      </w:r>
    </w:p>
    <w:p w14:paraId="2FD8D543" w14:textId="77777777" w:rsidR="00E54723" w:rsidRPr="00472842"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le bassin de l’Amazone</w:t>
      </w:r>
    </w:p>
    <w:p w14:paraId="6CF6E85D" w14:textId="48839370" w:rsidR="00E54723" w:rsidRPr="00472842" w:rsidRDefault="00472842"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lastRenderedPageBreak/>
        <w:t>Partenariat pour la voie de migration Asie de l’Est-Australasie</w:t>
      </w:r>
      <w:r>
        <w:rPr>
          <w:lang w:val="fr-FR"/>
        </w:rPr>
        <w:t xml:space="preserve"> (EAAFP)</w:t>
      </w:r>
    </w:p>
    <w:p w14:paraId="66898048" w14:textId="40276DE0" w:rsidR="00E54723" w:rsidRPr="00472842"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l’Asie centrale</w:t>
      </w:r>
      <w:r w:rsidR="004E73F8" w:rsidRPr="00FA45A6">
        <w:rPr>
          <w:lang w:val="fr-FR"/>
        </w:rPr>
        <w:t xml:space="preserve"> (RRICA)</w:t>
      </w:r>
    </w:p>
    <w:p w14:paraId="54013240" w14:textId="436BE1C8" w:rsidR="00472842" w:rsidRPr="000A1295" w:rsidRDefault="00472842"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472842">
        <w:rPr>
          <w:rFonts w:asciiTheme="minorHAnsi" w:eastAsia="Times New Roman" w:hAnsiTheme="minorHAnsi" w:cstheme="minorHAnsi"/>
          <w:lang w:val="fr-FR" w:eastAsia="cs-CZ"/>
        </w:rPr>
        <w:t>Initiative régionale Ramsar indo-birmane</w:t>
      </w:r>
      <w:r>
        <w:rPr>
          <w:rFonts w:asciiTheme="minorHAnsi" w:eastAsia="Times New Roman" w:hAnsiTheme="minorHAnsi" w:cstheme="minorHAnsi"/>
          <w:lang w:val="fr-FR" w:eastAsia="cs-CZ"/>
        </w:rPr>
        <w:t xml:space="preserve"> (IBRRI)</w:t>
      </w:r>
    </w:p>
    <w:p w14:paraId="5D4AA0D0" w14:textId="2F5B352B" w:rsidR="00AF3A04"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les zones humides méditerranéennes</w:t>
      </w:r>
      <w:r w:rsidRPr="000A1295">
        <w:rPr>
          <w:rFonts w:asciiTheme="minorHAnsi" w:eastAsia="Times New Roman" w:hAnsiTheme="minorHAnsi" w:cstheme="minorHAnsi"/>
          <w:lang w:val="fr-FR" w:eastAsia="cs-CZ"/>
        </w:rPr>
        <w:t xml:space="preserve"> </w:t>
      </w:r>
      <w:r w:rsidR="00AF3A04" w:rsidRPr="000A1295">
        <w:rPr>
          <w:rFonts w:asciiTheme="minorHAnsi" w:eastAsia="Times New Roman" w:hAnsiTheme="minorHAnsi" w:cstheme="minorHAnsi"/>
          <w:lang w:val="fr-FR" w:eastAsia="cs-CZ"/>
        </w:rPr>
        <w:t>(MedWet)</w:t>
      </w:r>
    </w:p>
    <w:p w14:paraId="130846AC" w14:textId="7D445B5B" w:rsidR="00AF3A04"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les zones humides des Carpates</w:t>
      </w:r>
      <w:r w:rsidRPr="000A1295">
        <w:rPr>
          <w:rFonts w:asciiTheme="minorHAnsi" w:eastAsia="Times New Roman" w:hAnsiTheme="minorHAnsi" w:cstheme="minorHAnsi"/>
          <w:lang w:val="fr-FR" w:eastAsia="cs-CZ"/>
        </w:rPr>
        <w:t xml:space="preserve"> </w:t>
      </w:r>
      <w:r w:rsidR="00AF3A04" w:rsidRPr="000A1295">
        <w:rPr>
          <w:rFonts w:asciiTheme="minorHAnsi" w:eastAsia="Times New Roman" w:hAnsiTheme="minorHAnsi" w:cstheme="minorHAnsi"/>
          <w:lang w:val="fr-FR" w:eastAsia="cs-CZ"/>
        </w:rPr>
        <w:t>(CWI)</w:t>
      </w:r>
    </w:p>
    <w:p w14:paraId="3F8BF8AB" w14:textId="5DDFB11C" w:rsidR="00AF3A04"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les zones humides nordiques-baltiques</w:t>
      </w:r>
      <w:r w:rsidRPr="000A1295">
        <w:rPr>
          <w:rFonts w:asciiTheme="minorHAnsi" w:eastAsia="Times New Roman" w:hAnsiTheme="minorHAnsi" w:cstheme="minorHAnsi"/>
          <w:lang w:val="fr-FR" w:eastAsia="cs-CZ"/>
        </w:rPr>
        <w:t xml:space="preserve"> </w:t>
      </w:r>
      <w:r w:rsidR="00AF3A04" w:rsidRPr="000A1295">
        <w:rPr>
          <w:rFonts w:asciiTheme="minorHAnsi" w:eastAsia="Times New Roman" w:hAnsiTheme="minorHAnsi" w:cstheme="minorHAnsi"/>
          <w:lang w:val="fr-FR" w:eastAsia="cs-CZ"/>
        </w:rPr>
        <w:t>(NorBalWet)</w:t>
      </w:r>
    </w:p>
    <w:p w14:paraId="77CF9D32" w14:textId="6469042A" w:rsidR="00AF3A04" w:rsidRPr="000A1295" w:rsidRDefault="00E54723" w:rsidP="00FA45A6">
      <w:pPr>
        <w:numPr>
          <w:ilvl w:val="1"/>
          <w:numId w:val="6"/>
        </w:numPr>
        <w:spacing w:before="100" w:beforeAutospacing="1" w:after="100" w:afterAutospacing="1" w:line="240" w:lineRule="auto"/>
        <w:ind w:left="851" w:hanging="425"/>
        <w:contextualSpacing/>
        <w:rPr>
          <w:rFonts w:asciiTheme="minorHAnsi" w:eastAsia="Times New Roman" w:hAnsiTheme="minorHAnsi" w:cstheme="minorHAnsi"/>
          <w:lang w:val="fr-FR" w:eastAsia="cs-CZ"/>
        </w:rPr>
      </w:pPr>
      <w:r w:rsidRPr="000A1295">
        <w:rPr>
          <w:lang w:val="fr-FR"/>
        </w:rPr>
        <w:t>Initiative régionale Ramsar pour les zones humides côtières de la mer Noire et de la mer d’Azov</w:t>
      </w:r>
      <w:r w:rsidRPr="000A1295">
        <w:rPr>
          <w:rFonts w:asciiTheme="minorHAnsi" w:eastAsia="Times New Roman" w:hAnsiTheme="minorHAnsi" w:cstheme="minorHAnsi"/>
          <w:lang w:val="fr-FR" w:eastAsia="cs-CZ"/>
        </w:rPr>
        <w:t xml:space="preserve"> </w:t>
      </w:r>
      <w:r w:rsidR="00AF3A04" w:rsidRPr="000A1295">
        <w:rPr>
          <w:rFonts w:asciiTheme="minorHAnsi" w:eastAsia="Times New Roman" w:hAnsiTheme="minorHAnsi" w:cstheme="minorHAnsi"/>
          <w:lang w:val="fr-FR" w:eastAsia="cs-CZ"/>
        </w:rPr>
        <w:t>(BlackSeaWet)</w:t>
      </w:r>
    </w:p>
    <w:p w14:paraId="431BEC76" w14:textId="06B51BA7" w:rsidR="004E73F8" w:rsidRPr="00FA45A6" w:rsidRDefault="00E54723" w:rsidP="00FA45A6">
      <w:pPr>
        <w:numPr>
          <w:ilvl w:val="1"/>
          <w:numId w:val="11"/>
        </w:numPr>
        <w:spacing w:after="0" w:line="240" w:lineRule="auto"/>
        <w:ind w:left="851" w:hanging="425"/>
        <w:rPr>
          <w:lang w:val="fr-FR"/>
        </w:rPr>
      </w:pPr>
      <w:r w:rsidRPr="000A1295">
        <w:rPr>
          <w:lang w:val="fr-FR"/>
        </w:rPr>
        <w:t>Initiative régionale Ramsar pour l</w:t>
      </w:r>
      <w:r w:rsidR="0004731A" w:rsidRPr="000A1295">
        <w:rPr>
          <w:lang w:val="fr-FR"/>
        </w:rPr>
        <w:t>’</w:t>
      </w:r>
      <w:r w:rsidRPr="000A1295">
        <w:rPr>
          <w:lang w:val="fr-FR"/>
        </w:rPr>
        <w:t>Afrique australe</w:t>
      </w:r>
      <w:r w:rsidR="004E73F8">
        <w:rPr>
          <w:lang w:val="fr-FR"/>
        </w:rPr>
        <w:t xml:space="preserve"> </w:t>
      </w:r>
    </w:p>
    <w:p w14:paraId="214B43CF" w14:textId="122BB45C" w:rsidR="004E73F8" w:rsidRPr="00472842" w:rsidRDefault="004E73F8" w:rsidP="00FA45A6">
      <w:pPr>
        <w:numPr>
          <w:ilvl w:val="1"/>
          <w:numId w:val="11"/>
        </w:numPr>
        <w:spacing w:after="0" w:line="240" w:lineRule="auto"/>
        <w:ind w:left="851" w:hanging="425"/>
        <w:rPr>
          <w:rFonts w:cs="Calibri"/>
          <w:lang w:val="fr-FR"/>
        </w:rPr>
      </w:pPr>
      <w:r w:rsidRPr="00472842">
        <w:rPr>
          <w:rFonts w:cs="Calibri"/>
          <w:lang w:val="fr-FR" w:eastAsia="ko-KR"/>
        </w:rPr>
        <w:t>Centre international des mangroves (CIM)</w:t>
      </w:r>
    </w:p>
    <w:p w14:paraId="00E90A4D" w14:textId="6BC9618E" w:rsidR="00AF3A04" w:rsidRPr="00472842" w:rsidRDefault="00472842" w:rsidP="00FA45A6">
      <w:pPr>
        <w:numPr>
          <w:ilvl w:val="1"/>
          <w:numId w:val="11"/>
        </w:numPr>
        <w:spacing w:after="0" w:line="240" w:lineRule="auto"/>
        <w:ind w:left="851" w:hanging="425"/>
        <w:rPr>
          <w:lang w:val="fr-FR"/>
        </w:rPr>
      </w:pPr>
      <w:r w:rsidRPr="00472842">
        <w:rPr>
          <w:rFonts w:cs="Calibri"/>
          <w:lang w:val="fr-FR"/>
        </w:rPr>
        <w:t>Initiative</w:t>
      </w:r>
      <w:r w:rsidR="004E73F8" w:rsidRPr="00472842">
        <w:rPr>
          <w:rFonts w:cs="Calibri"/>
          <w:lang w:val="fr-FR"/>
        </w:rPr>
        <w:t xml:space="preserve"> régionale Ramsar Danube WILDisland </w:t>
      </w:r>
    </w:p>
    <w:sectPr w:rsidR="00AF3A04" w:rsidRPr="00472842" w:rsidSect="00795BDE">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0E7DE" w14:textId="77777777" w:rsidR="00D20F4E" w:rsidRDefault="00D20F4E" w:rsidP="00840907">
      <w:pPr>
        <w:spacing w:after="0" w:line="240" w:lineRule="auto"/>
      </w:pPr>
      <w:r>
        <w:separator/>
      </w:r>
    </w:p>
  </w:endnote>
  <w:endnote w:type="continuationSeparator" w:id="0">
    <w:p w14:paraId="2E733797" w14:textId="77777777" w:rsidR="00D20F4E" w:rsidRDefault="00D20F4E"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7E85" w14:textId="24534EAB" w:rsidR="0011624E" w:rsidRPr="00FA45A6" w:rsidRDefault="00FA45A6" w:rsidP="00FA45A6">
    <w:pPr>
      <w:tabs>
        <w:tab w:val="left" w:pos="3828"/>
        <w:tab w:val="left" w:pos="8789"/>
      </w:tabs>
      <w:spacing w:after="0" w:line="240" w:lineRule="auto"/>
      <w:rPr>
        <w:rFonts w:cs="Calibri"/>
        <w:sz w:val="20"/>
        <w:szCs w:val="20"/>
      </w:rPr>
    </w:pPr>
    <w:r w:rsidRPr="006E5D45">
      <w:rPr>
        <w:rFonts w:cs="Calibri"/>
        <w:sz w:val="20"/>
        <w:szCs w:val="20"/>
      </w:rPr>
      <w:t>SC64 Doc.23</w:t>
    </w:r>
    <w:r>
      <w:rPr>
        <w:rFonts w:cs="Calibri"/>
        <w:sz w:val="20"/>
        <w:szCs w:val="20"/>
      </w:rPr>
      <w:tab/>
    </w:r>
    <w:r>
      <w:rPr>
        <w:rFonts w:cs="Calibri"/>
        <w:sz w:val="20"/>
        <w:szCs w:val="20"/>
      </w:rPr>
      <w:tab/>
    </w:r>
    <w:r w:rsidRPr="006E5D45">
      <w:rPr>
        <w:rFonts w:cs="Calibri"/>
        <w:sz w:val="20"/>
        <w:szCs w:val="20"/>
      </w:rPr>
      <w:fldChar w:fldCharType="begin"/>
    </w:r>
    <w:r w:rsidRPr="006E5D45">
      <w:rPr>
        <w:rFonts w:cs="Calibri"/>
        <w:sz w:val="20"/>
        <w:szCs w:val="20"/>
      </w:rPr>
      <w:instrText xml:space="preserve"> PAGE   \* MERGEFORMAT </w:instrText>
    </w:r>
    <w:r w:rsidRPr="006E5D45">
      <w:rPr>
        <w:rFonts w:cs="Calibri"/>
        <w:sz w:val="20"/>
        <w:szCs w:val="20"/>
      </w:rPr>
      <w:fldChar w:fldCharType="separate"/>
    </w:r>
    <w:r>
      <w:rPr>
        <w:rFonts w:cs="Calibri"/>
        <w:sz w:val="20"/>
        <w:szCs w:val="20"/>
      </w:rPr>
      <w:t>3</w:t>
    </w:r>
    <w:r w:rsidRPr="006E5D45">
      <w:rPr>
        <w:rFonts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BBE14" w14:textId="77777777" w:rsidR="00D20F4E" w:rsidRDefault="00D20F4E" w:rsidP="00840907">
      <w:pPr>
        <w:spacing w:after="0" w:line="240" w:lineRule="auto"/>
      </w:pPr>
      <w:r>
        <w:separator/>
      </w:r>
    </w:p>
  </w:footnote>
  <w:footnote w:type="continuationSeparator" w:id="0">
    <w:p w14:paraId="064590B5" w14:textId="77777777" w:rsidR="00D20F4E" w:rsidRDefault="00D20F4E"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1" w15:restartNumberingAfterBreak="0">
    <w:nsid w:val="170427E6"/>
    <w:multiLevelType w:val="hybridMultilevel"/>
    <w:tmpl w:val="0E80B17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690C2F"/>
    <w:multiLevelType w:val="hybridMultilevel"/>
    <w:tmpl w:val="9D30E284"/>
    <w:lvl w:ilvl="0" w:tplc="4FFCE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76096"/>
    <w:multiLevelType w:val="hybridMultilevel"/>
    <w:tmpl w:val="8D3A550A"/>
    <w:lvl w:ilvl="0" w:tplc="330A541E">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DC34BDB"/>
    <w:multiLevelType w:val="hybridMultilevel"/>
    <w:tmpl w:val="4CDC2686"/>
    <w:lvl w:ilvl="0" w:tplc="24645798">
      <w:start w:val="1"/>
      <w:numFmt w:val="decimal"/>
      <w:lvlText w:val="%1."/>
      <w:lvlJc w:val="left"/>
      <w:pPr>
        <w:ind w:left="686" w:hanging="567"/>
      </w:pPr>
      <w:rPr>
        <w:rFonts w:ascii="Calibri" w:eastAsia="Calibri" w:hAnsi="Calibri" w:cs="Times New Roman" w:hint="default"/>
        <w:sz w:val="22"/>
        <w:szCs w:val="22"/>
      </w:rPr>
    </w:lvl>
    <w:lvl w:ilvl="1" w:tplc="CE9CED28">
      <w:numFmt w:val="decimal"/>
      <w:lvlText w:val="•"/>
      <w:lvlJc w:val="left"/>
      <w:pPr>
        <w:ind w:left="666" w:hanging="360"/>
      </w:pPr>
      <w:rPr>
        <w:sz w:val="22"/>
        <w:szCs w:val="22"/>
      </w:rPr>
    </w:lvl>
    <w:lvl w:ilvl="2" w:tplc="CE9CED28">
      <w:numFmt w:val="decimal"/>
      <w:lvlText w:val="•"/>
      <w:lvlJc w:val="left"/>
      <w:pPr>
        <w:ind w:left="1639" w:hanging="360"/>
      </w:pPr>
    </w:lvl>
    <w:lvl w:ilvl="3" w:tplc="9B76A3AA">
      <w:numFmt w:val="decimal"/>
      <w:lvlText w:val="•"/>
      <w:lvlJc w:val="left"/>
      <w:pPr>
        <w:ind w:left="2592" w:hanging="360"/>
      </w:pPr>
    </w:lvl>
    <w:lvl w:ilvl="4" w:tplc="1F427340">
      <w:numFmt w:val="decimal"/>
      <w:lvlText w:val="•"/>
      <w:lvlJc w:val="left"/>
      <w:pPr>
        <w:ind w:left="3546" w:hanging="360"/>
      </w:pPr>
    </w:lvl>
    <w:lvl w:ilvl="5" w:tplc="F6745888">
      <w:numFmt w:val="decimal"/>
      <w:lvlText w:val="•"/>
      <w:lvlJc w:val="left"/>
      <w:pPr>
        <w:ind w:left="4499" w:hanging="360"/>
      </w:pPr>
    </w:lvl>
    <w:lvl w:ilvl="6" w:tplc="D8A838C4">
      <w:numFmt w:val="decimal"/>
      <w:lvlText w:val="•"/>
      <w:lvlJc w:val="left"/>
      <w:pPr>
        <w:ind w:left="5452" w:hanging="360"/>
      </w:pPr>
    </w:lvl>
    <w:lvl w:ilvl="7" w:tplc="149C182C">
      <w:numFmt w:val="decimal"/>
      <w:lvlText w:val="•"/>
      <w:lvlJc w:val="left"/>
      <w:pPr>
        <w:ind w:left="6406" w:hanging="360"/>
      </w:pPr>
    </w:lvl>
    <w:lvl w:ilvl="8" w:tplc="BF8E4816">
      <w:numFmt w:val="decimal"/>
      <w:lvlText w:val="•"/>
      <w:lvlJc w:val="left"/>
      <w:pPr>
        <w:ind w:left="7359" w:hanging="360"/>
      </w:pPr>
    </w:lvl>
  </w:abstractNum>
  <w:abstractNum w:abstractNumId="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B0B54"/>
    <w:multiLevelType w:val="multilevel"/>
    <w:tmpl w:val="A082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F5781"/>
    <w:multiLevelType w:val="hybridMultilevel"/>
    <w:tmpl w:val="29F64718"/>
    <w:lvl w:ilvl="0" w:tplc="44CEE05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57E1C93"/>
    <w:multiLevelType w:val="hybridMultilevel"/>
    <w:tmpl w:val="D59E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B6213A"/>
    <w:multiLevelType w:val="hybridMultilevel"/>
    <w:tmpl w:val="F09C365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539825">
    <w:abstractNumId w:val="9"/>
  </w:num>
  <w:num w:numId="2" w16cid:durableId="510142915">
    <w:abstractNumId w:val="2"/>
  </w:num>
  <w:num w:numId="3" w16cid:durableId="521089726">
    <w:abstractNumId w:val="8"/>
  </w:num>
  <w:num w:numId="4" w16cid:durableId="939677132">
    <w:abstractNumId w:val="1"/>
  </w:num>
  <w:num w:numId="5" w16cid:durableId="941495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786999">
    <w:abstractNumId w:val="0"/>
    <w:lvlOverride w:ilvl="0">
      <w:startOverride w:val="1"/>
    </w:lvlOverride>
    <w:lvlOverride w:ilvl="1"/>
    <w:lvlOverride w:ilvl="2"/>
    <w:lvlOverride w:ilvl="3"/>
    <w:lvlOverride w:ilvl="4"/>
    <w:lvlOverride w:ilvl="5"/>
    <w:lvlOverride w:ilvl="6"/>
    <w:lvlOverride w:ilvl="7"/>
    <w:lvlOverride w:ilvl="8"/>
  </w:num>
  <w:num w:numId="7" w16cid:durableId="479200878">
    <w:abstractNumId w:val="3"/>
  </w:num>
  <w:num w:numId="8" w16cid:durableId="1978294019">
    <w:abstractNumId w:val="7"/>
  </w:num>
  <w:num w:numId="9" w16cid:durableId="1451317102">
    <w:abstractNumId w:val="5"/>
  </w:num>
  <w:num w:numId="10" w16cid:durableId="1094472489">
    <w:abstractNumId w:val="6"/>
  </w:num>
  <w:num w:numId="11" w16cid:durableId="195510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07"/>
    <w:rsid w:val="0004731A"/>
    <w:rsid w:val="0005221B"/>
    <w:rsid w:val="00080150"/>
    <w:rsid w:val="00090F98"/>
    <w:rsid w:val="000A1295"/>
    <w:rsid w:val="0011624E"/>
    <w:rsid w:val="00130C94"/>
    <w:rsid w:val="00155C3A"/>
    <w:rsid w:val="001569B7"/>
    <w:rsid w:val="00182509"/>
    <w:rsid w:val="001C4DA3"/>
    <w:rsid w:val="00206771"/>
    <w:rsid w:val="00227EF7"/>
    <w:rsid w:val="00285825"/>
    <w:rsid w:val="00343A3D"/>
    <w:rsid w:val="003A7D0B"/>
    <w:rsid w:val="003C5A60"/>
    <w:rsid w:val="0041778E"/>
    <w:rsid w:val="0044295A"/>
    <w:rsid w:val="00463625"/>
    <w:rsid w:val="00472842"/>
    <w:rsid w:val="004841E9"/>
    <w:rsid w:val="004C1E05"/>
    <w:rsid w:val="004E73F8"/>
    <w:rsid w:val="0051596C"/>
    <w:rsid w:val="00534C31"/>
    <w:rsid w:val="0053675A"/>
    <w:rsid w:val="005D79EA"/>
    <w:rsid w:val="00635AF4"/>
    <w:rsid w:val="006A79E1"/>
    <w:rsid w:val="006E09C6"/>
    <w:rsid w:val="007539A3"/>
    <w:rsid w:val="00795BDE"/>
    <w:rsid w:val="007C39BF"/>
    <w:rsid w:val="007E4AFF"/>
    <w:rsid w:val="007F6336"/>
    <w:rsid w:val="008133B6"/>
    <w:rsid w:val="008273F2"/>
    <w:rsid w:val="00840907"/>
    <w:rsid w:val="00853C70"/>
    <w:rsid w:val="008714CE"/>
    <w:rsid w:val="008847C1"/>
    <w:rsid w:val="00895943"/>
    <w:rsid w:val="008D5502"/>
    <w:rsid w:val="008E3E05"/>
    <w:rsid w:val="0090512E"/>
    <w:rsid w:val="00943BF0"/>
    <w:rsid w:val="0095170B"/>
    <w:rsid w:val="00966B68"/>
    <w:rsid w:val="0097294F"/>
    <w:rsid w:val="009F39B8"/>
    <w:rsid w:val="00A3104E"/>
    <w:rsid w:val="00A57B0F"/>
    <w:rsid w:val="00A67B3C"/>
    <w:rsid w:val="00A952D4"/>
    <w:rsid w:val="00AB4891"/>
    <w:rsid w:val="00AE123A"/>
    <w:rsid w:val="00AF3A04"/>
    <w:rsid w:val="00B47A65"/>
    <w:rsid w:val="00C02DDE"/>
    <w:rsid w:val="00CB1BA6"/>
    <w:rsid w:val="00CE35B5"/>
    <w:rsid w:val="00D20F4E"/>
    <w:rsid w:val="00D7514A"/>
    <w:rsid w:val="00D97BB0"/>
    <w:rsid w:val="00DC26AD"/>
    <w:rsid w:val="00E30B75"/>
    <w:rsid w:val="00E335BC"/>
    <w:rsid w:val="00E54723"/>
    <w:rsid w:val="00E85573"/>
    <w:rsid w:val="00ED0582"/>
    <w:rsid w:val="00F03BDE"/>
    <w:rsid w:val="00F057C3"/>
    <w:rsid w:val="00F063E7"/>
    <w:rsid w:val="00F16FDE"/>
    <w:rsid w:val="00F24EDE"/>
    <w:rsid w:val="00F84C03"/>
    <w:rsid w:val="00F95796"/>
    <w:rsid w:val="00FA45A6"/>
    <w:rsid w:val="00FA645B"/>
    <w:rsid w:val="00FB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25EC1"/>
  <w15:chartTrackingRefBased/>
  <w15:docId w15:val="{2F1549B6-A365-42B4-A520-7C80F09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3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0907"/>
    <w:pPr>
      <w:spacing w:after="0" w:line="240" w:lineRule="auto"/>
    </w:pPr>
    <w:rPr>
      <w:sz w:val="20"/>
      <w:szCs w:val="20"/>
    </w:rPr>
  </w:style>
  <w:style w:type="character" w:customStyle="1" w:styleId="FootnoteTextChar">
    <w:name w:val="Footnote Text Char"/>
    <w:basedOn w:val="DefaultParagraphFont"/>
    <w:link w:val="FootnoteText"/>
    <w:uiPriority w:val="99"/>
    <w:rsid w:val="0084090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40907"/>
    <w:rPr>
      <w:vertAlign w:val="superscript"/>
    </w:rPr>
  </w:style>
  <w:style w:type="paragraph" w:styleId="Header">
    <w:name w:val="header"/>
    <w:basedOn w:val="Normal"/>
    <w:link w:val="HeaderChar"/>
    <w:uiPriority w:val="99"/>
    <w:unhideWhenUsed/>
    <w:rsid w:val="0079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BDE"/>
    <w:rPr>
      <w:rFonts w:ascii="Calibri" w:eastAsia="Calibri" w:hAnsi="Calibri" w:cs="Times New Roman"/>
    </w:rPr>
  </w:style>
  <w:style w:type="paragraph" w:styleId="Footer">
    <w:name w:val="footer"/>
    <w:basedOn w:val="Normal"/>
    <w:link w:val="FooterChar"/>
    <w:uiPriority w:val="99"/>
    <w:unhideWhenUsed/>
    <w:qFormat/>
    <w:rsid w:val="0079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BDE"/>
    <w:rPr>
      <w:rFonts w:ascii="Calibri" w:eastAsia="Calibri" w:hAnsi="Calibri" w:cs="Times New Roman"/>
    </w:rPr>
  </w:style>
  <w:style w:type="table" w:styleId="TableGrid">
    <w:name w:val="Table Grid"/>
    <w:basedOn w:val="TableNormal"/>
    <w:uiPriority w:val="39"/>
    <w:rsid w:val="00AF3A04"/>
    <w:pPr>
      <w:spacing w:after="0" w:line="240" w:lineRule="auto"/>
      <w:ind w:left="425" w:hanging="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A04"/>
    <w:pPr>
      <w:ind w:left="720"/>
      <w:contextualSpacing/>
    </w:pPr>
  </w:style>
  <w:style w:type="character" w:styleId="Hyperlink">
    <w:name w:val="Hyperlink"/>
    <w:basedOn w:val="DefaultParagraphFont"/>
    <w:uiPriority w:val="99"/>
    <w:unhideWhenUsed/>
    <w:rsid w:val="00E85573"/>
    <w:rPr>
      <w:color w:val="3333FF"/>
      <w:u w:val="single"/>
    </w:rPr>
  </w:style>
  <w:style w:type="character" w:styleId="CommentReference">
    <w:name w:val="annotation reference"/>
    <w:basedOn w:val="DefaultParagraphFont"/>
    <w:uiPriority w:val="99"/>
    <w:semiHidden/>
    <w:unhideWhenUsed/>
    <w:rsid w:val="00534C31"/>
    <w:rPr>
      <w:sz w:val="16"/>
      <w:szCs w:val="16"/>
    </w:rPr>
  </w:style>
  <w:style w:type="paragraph" w:styleId="CommentText">
    <w:name w:val="annotation text"/>
    <w:basedOn w:val="Normal"/>
    <w:link w:val="CommentTextChar"/>
    <w:uiPriority w:val="99"/>
    <w:semiHidden/>
    <w:unhideWhenUsed/>
    <w:rsid w:val="00534C31"/>
    <w:pPr>
      <w:spacing w:after="160" w:line="240" w:lineRule="auto"/>
    </w:pPr>
    <w:rPr>
      <w:rFonts w:asciiTheme="minorHAnsi" w:eastAsiaTheme="minorEastAsia"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534C31"/>
    <w:rPr>
      <w:rFonts w:eastAsiaTheme="minorEastAsia"/>
      <w:kern w:val="2"/>
      <w:sz w:val="20"/>
      <w:szCs w:val="20"/>
      <w14:ligatures w14:val="standardContextual"/>
    </w:rPr>
  </w:style>
  <w:style w:type="paragraph" w:styleId="Revision">
    <w:name w:val="Revision"/>
    <w:hidden/>
    <w:uiPriority w:val="99"/>
    <w:semiHidden/>
    <w:rsid w:val="004E73F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313C6-014F-4A0A-807A-B113BE3F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4576</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dcterms:created xsi:type="dcterms:W3CDTF">2024-10-02T14:05:00Z</dcterms:created>
  <dcterms:modified xsi:type="dcterms:W3CDTF">2024-10-21T09:13:00Z</dcterms:modified>
</cp:coreProperties>
</file>