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EEA6"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CONVENTION SUR LES ZONES HUMIDES</w:t>
      </w:r>
    </w:p>
    <w:p w14:paraId="670E073B" w14:textId="175135BF"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64</w:t>
      </w:r>
      <w:r>
        <w:rPr>
          <w:vertAlign w:val="superscript"/>
        </w:rPr>
        <w:t>e</w:t>
      </w:r>
      <w:r>
        <w:t> réunion du Comité permanent</w:t>
      </w:r>
    </w:p>
    <w:p w14:paraId="203853BA" w14:textId="5811AA43" w:rsidR="00AA3C94" w:rsidRPr="00DC2D31"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t>Gland, Suisse, 20 au 24 janvier 2025</w:t>
      </w:r>
    </w:p>
    <w:p w14:paraId="2BF0D2A0" w14:textId="77777777" w:rsidR="00AA3C94" w:rsidRPr="00DC2D31" w:rsidRDefault="00AA3C94" w:rsidP="00AA3C94">
      <w:pPr>
        <w:tabs>
          <w:tab w:val="left" w:pos="10650"/>
          <w:tab w:val="right" w:pos="13958"/>
        </w:tabs>
        <w:jc w:val="right"/>
        <w:rPr>
          <w:rFonts w:cs="Arial"/>
          <w:b/>
          <w:sz w:val="28"/>
          <w:szCs w:val="28"/>
          <w:lang w:val="de-AT"/>
        </w:rPr>
      </w:pPr>
    </w:p>
    <w:p w14:paraId="0637A97A" w14:textId="38BDA761" w:rsidR="000944EB" w:rsidRPr="00405B89" w:rsidRDefault="00AA3C94" w:rsidP="631A6366">
      <w:pPr>
        <w:tabs>
          <w:tab w:val="left" w:pos="10650"/>
          <w:tab w:val="right" w:pos="13958"/>
        </w:tabs>
        <w:jc w:val="right"/>
        <w:rPr>
          <w:rFonts w:asciiTheme="minorHAnsi" w:hAnsiTheme="minorHAnsi" w:cstheme="minorBidi"/>
          <w:sz w:val="28"/>
          <w:szCs w:val="28"/>
        </w:rPr>
      </w:pPr>
      <w:r>
        <w:rPr>
          <w:b/>
          <w:sz w:val="28"/>
        </w:rPr>
        <w:t>SC64 Doc.</w:t>
      </w:r>
      <w:r>
        <w:rPr>
          <w:rFonts w:asciiTheme="minorHAnsi" w:hAnsiTheme="minorHAnsi"/>
          <w:b/>
          <w:sz w:val="28"/>
        </w:rPr>
        <w:t>28</w:t>
      </w:r>
    </w:p>
    <w:p w14:paraId="206D5DBA" w14:textId="77777777" w:rsidR="000944EB" w:rsidRPr="00405B89" w:rsidRDefault="000944EB" w:rsidP="000944EB">
      <w:pPr>
        <w:rPr>
          <w:rFonts w:asciiTheme="minorHAnsi" w:hAnsiTheme="minorHAnsi" w:cstheme="minorHAnsi"/>
          <w:b/>
          <w:sz w:val="28"/>
          <w:szCs w:val="28"/>
          <w:lang w:val="de-CH"/>
        </w:rPr>
      </w:pPr>
    </w:p>
    <w:p w14:paraId="666BC9E0" w14:textId="31F0E571" w:rsidR="00191207" w:rsidRPr="00A73B16" w:rsidRDefault="00191207" w:rsidP="00191207">
      <w:pPr>
        <w:spacing w:before="40" w:after="40"/>
        <w:jc w:val="center"/>
        <w:rPr>
          <w:rFonts w:asciiTheme="minorHAnsi" w:hAnsiTheme="minorHAnsi" w:cstheme="minorHAnsi"/>
          <w:bCs/>
        </w:rPr>
      </w:pPr>
      <w:r>
        <w:rPr>
          <w:rFonts w:asciiTheme="minorHAnsi" w:hAnsiTheme="minorHAnsi"/>
          <w:b/>
          <w:sz w:val="28"/>
        </w:rPr>
        <w:t>Compte rendu du Secrétariat sur la mise en œuvre de la Résolution XIV.20</w:t>
      </w:r>
      <w:r>
        <w:rPr>
          <w:rFonts w:asciiTheme="minorHAnsi" w:hAnsiTheme="minorHAnsi"/>
        </w:rPr>
        <w:t xml:space="preserve"> </w:t>
      </w:r>
    </w:p>
    <w:p w14:paraId="1EB16916" w14:textId="79B001C6" w:rsidR="000944EB" w:rsidRDefault="000944EB" w:rsidP="000944EB">
      <w:pPr>
        <w:jc w:val="center"/>
        <w:rPr>
          <w:rFonts w:asciiTheme="minorHAnsi" w:hAnsiTheme="minorHAnsi" w:cstheme="minorHAnsi"/>
          <w:b/>
          <w:sz w:val="28"/>
          <w:szCs w:val="28"/>
        </w:rPr>
      </w:pPr>
    </w:p>
    <w:p w14:paraId="3CDAA746" w14:textId="77777777" w:rsidR="000C2489" w:rsidRDefault="000C2489" w:rsidP="00014168">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54196EB4" wp14:editId="1A33020F">
                <wp:extent cx="5731510" cy="11715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71575"/>
                        </a:xfrm>
                        <a:prstGeom prst="rect">
                          <a:avLst/>
                        </a:prstGeom>
                        <a:solidFill>
                          <a:srgbClr val="FFFFFF"/>
                        </a:solidFill>
                        <a:ln w="9525">
                          <a:solidFill>
                            <a:srgbClr val="000000"/>
                          </a:solidFill>
                          <a:miter lim="800000"/>
                          <a:headEnd/>
                          <a:tailEnd/>
                        </a:ln>
                      </wps:spPr>
                      <wps:txbx>
                        <w:txbxContent>
                          <w:p w14:paraId="4CD8AD40" w14:textId="45DE89CD" w:rsidR="000C2489" w:rsidRDefault="000C2489" w:rsidP="000C2489">
                            <w:pPr>
                              <w:rPr>
                                <w:b/>
                                <w:bCs/>
                              </w:rPr>
                            </w:pPr>
                            <w:r>
                              <w:rPr>
                                <w:b/>
                              </w:rPr>
                              <w:t xml:space="preserve">Mesure requise :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Le Comité permanent est invité à prendre note du compte rendu du Secrétariat sur la mise en œuvre de la Résolution XIV.20, </w:t>
                            </w:r>
                            <w:r>
                              <w:rPr>
                                <w:i/>
                                <w:iCs/>
                              </w:rPr>
                              <w:t>La réponse de la Convention de Ramsar à l’urgence environnementale en Ukraine liée aux dommages causés aux zones humides d’importance internationale du pays (Sites Ramsar) à la suite de l’agression de la Fédération de Russie</w:t>
                            </w:r>
                            <w:r>
                              <w:t>.</w:t>
                            </w: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">
                <v:textbox>
                  <w:txbxContent>
                    <w:p w14:paraId="4CD8AD40" w14:textId="45DE89CD" w:rsidR="000C2489" w:rsidRDefault="000C2489" w:rsidP="000C2489">
                      <w:pPr>
                        <w:rPr>
                          <w:b/>
                          <w:bCs/>
                        </w:rPr>
                      </w:pPr>
                      <w:r>
                        <w:rPr>
                          <w:b/>
                        </w:rPr>
                        <w:t xml:space="preserve">Mesure requise :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Le Comité permanent est invité à prendre note du compte rendu du Secrétariat sur la mise en œuvre de la Résolution XIV.20, </w:t>
                      </w:r>
                      <w:r>
                        <w:rPr>
                          <w:i/>
                          <w:iCs/>
                        </w:rPr>
                        <w:t>La réponse de la Convention de Ramsar à l’urgence environnementale en Ukraine liée aux dommages causés aux zones humides d’importance internationale du pays (Sites Ramsar) à la suite de l’agression de la Fédération de Russie</w:t>
                      </w:r>
                      <w:r>
                        <w:t>.</w:t>
                      </w:r>
                    </w:p>
                  </w:txbxContent>
                </v:textbox>
                <w10:anchorlock/>
              </v:shape>
            </w:pict>
          </mc:Fallback>
        </mc:AlternateContent>
      </w:r>
    </w:p>
    <w:p w14:paraId="0CC37982" w14:textId="77777777" w:rsidR="00411B20" w:rsidRDefault="00411B20" w:rsidP="00E83269">
      <w:pPr>
        <w:ind w:left="0" w:firstLine="0"/>
        <w:rPr>
          <w:rFonts w:cs="Arial"/>
          <w:b/>
        </w:rPr>
      </w:pPr>
    </w:p>
    <w:p w14:paraId="5C80BF46" w14:textId="77777777" w:rsidR="00411B20" w:rsidRDefault="00411B20" w:rsidP="00014168">
      <w:pPr>
        <w:rPr>
          <w:rFonts w:cs="Arial"/>
          <w:b/>
        </w:rPr>
      </w:pPr>
    </w:p>
    <w:p w14:paraId="4F700134" w14:textId="77777777" w:rsidR="007B5F8E" w:rsidRPr="00C54BE8" w:rsidRDefault="007B5F8E" w:rsidP="00C54BE8">
      <w:pPr>
        <w:ind w:left="0" w:firstLine="0"/>
        <w:rPr>
          <w:b/>
          <w:bCs/>
        </w:rPr>
      </w:pPr>
      <w:r>
        <w:rPr>
          <w:b/>
        </w:rPr>
        <w:t xml:space="preserve">Contexte </w:t>
      </w:r>
    </w:p>
    <w:p w14:paraId="16EAF6DE" w14:textId="77777777" w:rsidR="007B5F8E" w:rsidRPr="00BB591C" w:rsidRDefault="007B5F8E" w:rsidP="007B5F8E">
      <w:pPr>
        <w:rPr>
          <w:b/>
        </w:rPr>
      </w:pPr>
    </w:p>
    <w:p w14:paraId="4F0D675B" w14:textId="4596BBB6" w:rsidR="007B5F8E" w:rsidRDefault="007B5F8E" w:rsidP="007C1816">
      <w:r>
        <w:t>1.</w:t>
      </w:r>
      <w:r>
        <w:tab/>
        <w:t xml:space="preserve">Ce rapport fait le point sur les actions menées par le Secrétariat entre mars 2024 et octobre 2024 en vertu du paragraphe 18 de la Résolution XIV.20, </w:t>
      </w:r>
      <w:r>
        <w:rPr>
          <w:i/>
          <w:iCs/>
        </w:rPr>
        <w:t>La réponse de la Convention de Ramsar à l’urgence environnementale en Ukraine liée aux dommages causés aux zones humides d’importance internationale du pays (Sites Ramsar) à la suite de l’agression de la Fédération de Russie</w:t>
      </w:r>
      <w:r>
        <w:t>, qui :</w:t>
      </w:r>
    </w:p>
    <w:p w14:paraId="5042FD8D" w14:textId="77777777" w:rsidR="007B5F8E" w:rsidRDefault="007B5F8E" w:rsidP="007C1816">
      <w:pPr>
        <w:pStyle w:val="ListParagraph"/>
        <w:ind w:left="425"/>
        <w:rPr>
          <w:i/>
        </w:rPr>
      </w:pPr>
    </w:p>
    <w:p w14:paraId="3505EEDA" w14:textId="6072BFE5" w:rsidR="007B5F8E" w:rsidRDefault="00E25F1E" w:rsidP="00DF0F52">
      <w:pPr>
        <w:pStyle w:val="ListParagraph"/>
        <w:ind w:left="851" w:firstLine="1"/>
        <w:rPr>
          <w:i/>
        </w:rPr>
      </w:pPr>
      <w:r>
        <w:t>« </w:t>
      </w:r>
      <w:r>
        <w:rPr>
          <w:i/>
          <w:iCs/>
        </w:rPr>
        <w:t>DEMANDE au Secrétariat de la Convention sur les zones humides de coordonner les actions avec les Parties contractantes et les organisations nationales et internationales compétentes afin de mener des évaluations des Sites Ramsar de l’Ukraine touchés par l’agression de la Fédération de Russie, et de donner des conseils sur des mesures d’atténuation et de restauration adaptées ; et DEMANDE ÉGALEMENT au Secrétariat de fournir un rapport sur l’évaluation des dommages et des mesures d’atténuation à la 15</w:t>
      </w:r>
      <w:r>
        <w:rPr>
          <w:i/>
          <w:iCs/>
          <w:vertAlign w:val="superscript"/>
        </w:rPr>
        <w:t>e</w:t>
      </w:r>
      <w:r>
        <w:rPr>
          <w:i/>
          <w:iCs/>
        </w:rPr>
        <w:t> Session de la Conférence des Parties contractantes, en sus d’un compte rendu sur la mise en œuvre de la présente Résolution à toutes les réunions intermédiaires du Comité permanent.</w:t>
      </w:r>
      <w:r>
        <w:t> »</w:t>
      </w:r>
    </w:p>
    <w:p w14:paraId="759C679F" w14:textId="77777777" w:rsidR="00E44047" w:rsidRPr="00852049" w:rsidRDefault="00E44047" w:rsidP="007C1816">
      <w:pPr>
        <w:pStyle w:val="ListParagraph"/>
        <w:ind w:left="425"/>
        <w:rPr>
          <w:i/>
        </w:rPr>
      </w:pPr>
    </w:p>
    <w:p w14:paraId="3F293B74" w14:textId="0FF3D13C" w:rsidR="00EC4630" w:rsidRDefault="00E44047" w:rsidP="00EC4630">
      <w:r>
        <w:t>2.</w:t>
      </w:r>
      <w:r>
        <w:tab/>
        <w:t>Le compte rendu précédent a été présenté au Comité permanent lors de sa 63</w:t>
      </w:r>
      <w:r>
        <w:rPr>
          <w:vertAlign w:val="superscript"/>
        </w:rPr>
        <w:t>e</w:t>
      </w:r>
      <w:r>
        <w:t> réunion (SC63) en juin 2024, conformément à la Résolution XIV.20.</w:t>
      </w:r>
      <w:r w:rsidR="00EC4630">
        <w:rPr>
          <w:rStyle w:val="FootnoteReference"/>
        </w:rPr>
        <w:footnoteReference w:id="2"/>
      </w:r>
    </w:p>
    <w:p w14:paraId="160060E3" w14:textId="77777777" w:rsidR="00E44047" w:rsidRDefault="00E44047" w:rsidP="007C1816">
      <w:pPr>
        <w:rPr>
          <w:b/>
        </w:rPr>
      </w:pPr>
    </w:p>
    <w:p w14:paraId="30FACBC9" w14:textId="683E8C93" w:rsidR="0090520E" w:rsidRPr="00C54BE8" w:rsidRDefault="007B5F8E" w:rsidP="00C54BE8">
      <w:pPr>
        <w:ind w:left="0" w:firstLine="0"/>
        <w:rPr>
          <w:b/>
          <w:bCs/>
        </w:rPr>
      </w:pPr>
      <w:r>
        <w:rPr>
          <w:b/>
        </w:rPr>
        <w:t xml:space="preserve">Coordination et consultation </w:t>
      </w:r>
    </w:p>
    <w:p w14:paraId="0D944D1D" w14:textId="77777777" w:rsidR="007B5F8E" w:rsidRDefault="007B5F8E" w:rsidP="007C1816"/>
    <w:p w14:paraId="3959C2A8" w14:textId="0211CB50" w:rsidR="00A0550C" w:rsidRDefault="002803AB" w:rsidP="00EB5C42">
      <w:r>
        <w:t>3.</w:t>
      </w:r>
      <w:r>
        <w:tab/>
        <w:t xml:space="preserve">Le Secrétariat a poursuivi ses efforts de coordination et de consultation en tant que membre du Groupe de coordination </w:t>
      </w:r>
      <w:proofErr w:type="spellStart"/>
      <w:r>
        <w:t>interinstitutions</w:t>
      </w:r>
      <w:proofErr w:type="spellEnd"/>
      <w:r>
        <w:t xml:space="preserve"> sur les évaluations environnementales pour l’Ukraine. À ce titre, le Secrétariat a </w:t>
      </w:r>
      <w:proofErr w:type="spellStart"/>
      <w:r>
        <w:t>co-organisé</w:t>
      </w:r>
      <w:proofErr w:type="spellEnd"/>
      <w:r>
        <w:t xml:space="preserve"> un séminaire en ligne sur l’utilisation de l’observation de la Terre et de la télédétection en vue d’évaluer les dommages causés aux écosystèmes en Ukraine, en partenariat avec la Commission économique des Nations Unies pour l’Europe (CEE-ONU) et l’Organisation pour la sécurité et la coopération en Europe (OSCE). Le séminaire a eu </w:t>
      </w:r>
      <w:r>
        <w:lastRenderedPageBreak/>
        <w:t xml:space="preserve">lieu le 22 mars 2024, avec la participation d’experts internationaux et le soutien d’autres membres du Groupe de coordination </w:t>
      </w:r>
      <w:proofErr w:type="spellStart"/>
      <w:r>
        <w:t>interinstitutions</w:t>
      </w:r>
      <w:proofErr w:type="spellEnd"/>
      <w:r>
        <w:t>. Ce séminaire a permis d’étudier les possibilités et les limites des approches, outils et produits d’observation de la Terre disponibles en vue de détecter les impacts des conflits armés sur les écosystèmes et de quantifier les impacts sur l’étendue et l’état des écosystèmes. La CEE-ONU a préparé et publié une note politique et technique résumant les informations de ce webinaire.</w:t>
      </w:r>
      <w:r w:rsidR="00B528FF">
        <w:rPr>
          <w:rStyle w:val="FootnoteReference"/>
        </w:rPr>
        <w:footnoteReference w:id="3"/>
      </w:r>
    </w:p>
    <w:p w14:paraId="3E6215E8" w14:textId="77777777" w:rsidR="00E83269" w:rsidRPr="00A0550C" w:rsidRDefault="00E83269" w:rsidP="00EB5C42"/>
    <w:p w14:paraId="4D4E8FED" w14:textId="57D2F228" w:rsidR="00411B20" w:rsidRPr="00282870" w:rsidRDefault="007B5F8E" w:rsidP="00C54BE8">
      <w:pPr>
        <w:ind w:left="0" w:firstLine="0"/>
        <w:rPr>
          <w:b/>
          <w:bCs/>
        </w:rPr>
      </w:pPr>
      <w:r>
        <w:rPr>
          <w:b/>
        </w:rPr>
        <w:t>Évaluation des dommages environnementaux causés aux zones humides d’importance internationale ukrainiennes résultant de l’invasion de l’Ukraine par la Fédération de Russie</w:t>
      </w:r>
    </w:p>
    <w:p w14:paraId="1D4D72E1" w14:textId="6B2F1FA2" w:rsidR="002803AB" w:rsidRDefault="002803AB" w:rsidP="00C325A6">
      <w:pPr>
        <w:ind w:left="0" w:firstLine="0"/>
      </w:pPr>
    </w:p>
    <w:p w14:paraId="0CAA0D41" w14:textId="3B328A17" w:rsidR="005F4E8C" w:rsidRDefault="00EC4630" w:rsidP="005F4E8C">
      <w:r>
        <w:t>4.</w:t>
      </w:r>
      <w:r>
        <w:tab/>
        <w:t>L’équipe de consultants chargée de l’évaluation des dommages environnementaux causés aux zones humides d’importance internationale ukrainiennes en vertu du paragraphe 18 de la Résolution XIV.20 a mis au point la phase de mise en œuvre entre mars et septembre 2024, conformément à la stratégie et à la méthodologie d’évaluation qui avaient été examinées et confirmées par le conseil consultatif en mars 2024. Le conseil consultatif</w:t>
      </w:r>
      <w:r w:rsidR="007B3B48">
        <w:rPr>
          <w:rStyle w:val="FootnoteReference"/>
        </w:rPr>
        <w:footnoteReference w:id="4"/>
      </w:r>
      <w:r>
        <w:t xml:space="preserve"> a été mis en place par le Secrétariat pour fournir des conseils méthodologiques, scientifiques et techniques et examiner les résultats de l’évaluation à la fin de chaque phase de la mission.</w:t>
      </w:r>
    </w:p>
    <w:p w14:paraId="01DD80C6" w14:textId="77777777" w:rsidR="005F4E8C" w:rsidRDefault="005F4E8C" w:rsidP="005F4E8C"/>
    <w:p w14:paraId="1E21E4F6" w14:textId="6D2AEE3E" w:rsidR="0022111B" w:rsidRDefault="005F4E8C" w:rsidP="005F4E8C">
      <w:r>
        <w:t xml:space="preserve">5. </w:t>
      </w:r>
      <w:r>
        <w:tab/>
        <w:t xml:space="preserve">Une mission sur le terrain a été menée avec succès du 26 mai au 5 juin 2024, avec l’appui d’un consultant national. Le rapport de la mission de terrain a été communiqué au conseil consultatif pour examen, puis finalisé en juin 2024. </w:t>
      </w:r>
    </w:p>
    <w:p w14:paraId="5E89CA5F" w14:textId="77777777" w:rsidR="0022111B" w:rsidRDefault="0022111B" w:rsidP="005F4E8C"/>
    <w:p w14:paraId="6618D7D6" w14:textId="4D06B2C8" w:rsidR="0008613C" w:rsidRDefault="0022111B" w:rsidP="008D76D7">
      <w:r>
        <w:t>6.</w:t>
      </w:r>
      <w:r>
        <w:tab/>
        <w:t xml:space="preserve">La mission sur le terrain avait comme objectif d’entreprendre des évaluations </w:t>
      </w:r>
      <w:r>
        <w:rPr>
          <w:i/>
          <w:iCs/>
        </w:rPr>
        <w:t>in situ</w:t>
      </w:r>
      <w:r>
        <w:t xml:space="preserve"> des zones humides d’importance internationale ukrainiennes affectées, ou potentiellement affectées, par la guerre. Au cours de cette mission de dix jours, les consultants ont visité six zones humides d’importance internationale : l’embouchure de </w:t>
      </w:r>
      <w:proofErr w:type="spellStart"/>
      <w:r>
        <w:t>Kyliiske</w:t>
      </w:r>
      <w:proofErr w:type="spellEnd"/>
      <w:r>
        <w:t xml:space="preserve"> (Site n</w:t>
      </w:r>
      <w:r>
        <w:rPr>
          <w:vertAlign w:val="superscript"/>
        </w:rPr>
        <w:t>o</w:t>
      </w:r>
      <w:r>
        <w:t xml:space="preserve"> 113 sur la Liste des zones humides d’importance internationale), le lac </w:t>
      </w:r>
      <w:proofErr w:type="spellStart"/>
      <w:r>
        <w:t>Sasyk</w:t>
      </w:r>
      <w:proofErr w:type="spellEnd"/>
      <w:r>
        <w:t xml:space="preserve"> (n</w:t>
      </w:r>
      <w:r>
        <w:rPr>
          <w:vertAlign w:val="superscript"/>
        </w:rPr>
        <w:t>o</w:t>
      </w:r>
      <w:r>
        <w:t> 762), la partie nord du liman du Dniestr (n</w:t>
      </w:r>
      <w:r>
        <w:rPr>
          <w:vertAlign w:val="superscript"/>
        </w:rPr>
        <w:t>o</w:t>
      </w:r>
      <w:r>
        <w:t xml:space="preserve"> 765), le système de lacs </w:t>
      </w:r>
      <w:proofErr w:type="spellStart"/>
      <w:r>
        <w:t>Shagany-Alibei-Burnas</w:t>
      </w:r>
      <w:proofErr w:type="spellEnd"/>
      <w:r>
        <w:t xml:space="preserve"> (n</w:t>
      </w:r>
      <w:r>
        <w:rPr>
          <w:vertAlign w:val="superscript"/>
        </w:rPr>
        <w:t>o</w:t>
      </w:r>
      <w:r>
        <w:t> 763), les plaines d’inondation de la rivière Pripiat (n</w:t>
      </w:r>
      <w:r>
        <w:rPr>
          <w:vertAlign w:val="superscript"/>
        </w:rPr>
        <w:t>o</w:t>
      </w:r>
      <w:r>
        <w:t xml:space="preserve"> 776) et les plaines d’inondation de la rivière </w:t>
      </w:r>
      <w:proofErr w:type="spellStart"/>
      <w:r>
        <w:t>Stokhid</w:t>
      </w:r>
      <w:proofErr w:type="spellEnd"/>
      <w:r>
        <w:t xml:space="preserve"> (n</w:t>
      </w:r>
      <w:r>
        <w:rPr>
          <w:vertAlign w:val="superscript"/>
        </w:rPr>
        <w:t>o</w:t>
      </w:r>
      <w:r>
        <w:t> 777). Sur chaque site visité, divers impacts liés au conflit ont été directement observés ; ces observations ont été étayées par des entretiens structurés avec les administrateurs de sites et les parties prenantes, ces entretiens ayant permis un échange de données et d’observations pertinentes.</w:t>
      </w:r>
    </w:p>
    <w:p w14:paraId="3AE0B16A" w14:textId="77777777" w:rsidR="001F6652" w:rsidRDefault="001F6652" w:rsidP="00647B01"/>
    <w:p w14:paraId="2A1B9CF2" w14:textId="01BB87DB" w:rsidR="00522E47" w:rsidRDefault="00227B79" w:rsidP="00522E47">
      <w:r>
        <w:t xml:space="preserve">7.  </w:t>
      </w:r>
      <w:r>
        <w:tab/>
        <w:t>Tous les sites visités par les consultants ont été décrits par le ministère ukrainien de la Protection de l’environnement et des Ressources naturelles comme étant « menacés d’une prolongation des activités militaires et de l’occupation » (voir l’annexe 1 du document SC62 Doc.24 Rev.1</w:t>
      </w:r>
      <w:r w:rsidR="004103B7">
        <w:rPr>
          <w:rStyle w:val="FootnoteReference"/>
        </w:rPr>
        <w:footnoteReference w:id="5"/>
      </w:r>
      <w:r>
        <w:t xml:space="preserve">). En raison des menaces pour la sécurité, aucun site n’a pu être visité dans les zones occupées ou à proximité de la ligne de front. Les sites visités ont également servi de « sites indicateurs » pour les sites qui n’ont pu être visités. Ces visites ont permis la collecte de données de référence appropriées et représentatives. </w:t>
      </w:r>
      <w:bookmarkStart w:id="0" w:name="_Hlk151469334"/>
      <w:r>
        <w:t>Un atelier a également été organisé à Kiev le 31 mai 2024 afin de compléter les visites sur le terrain. Plus de 100 professionnels ont participé à l’atelier (en personne ou à distance), notamment des représentants des administrations de parcs nationaux, de réserves de biosphère et de zones humides d’importance internationale, ainsi que des représentants d’autres acteurs clés.</w:t>
      </w:r>
    </w:p>
    <w:p w14:paraId="668128D9" w14:textId="77777777" w:rsidR="00522E47" w:rsidRDefault="00522E47" w:rsidP="00522E47"/>
    <w:p w14:paraId="61979418" w14:textId="5D4E91E0" w:rsidR="00522E47" w:rsidRDefault="00227B79" w:rsidP="007969C3">
      <w:r>
        <w:lastRenderedPageBreak/>
        <w:t xml:space="preserve">8. </w:t>
      </w:r>
      <w:r>
        <w:tab/>
        <w:t>Afin de garantir un degré élevé de confiance dans les données recueillies par l’équipe de consultants au cours de sa mission sur le terrain, les données de terrain ont été corroborées et triangulées avec l’observation de la Terre et les données recueillies lors de l’étude documentaire initiale.</w:t>
      </w:r>
    </w:p>
    <w:p w14:paraId="3505BF2B" w14:textId="77777777" w:rsidR="00522E47" w:rsidRDefault="00522E47" w:rsidP="007969C3"/>
    <w:p w14:paraId="514C770E" w14:textId="1AA04284" w:rsidR="009848E8" w:rsidRDefault="00227B79" w:rsidP="007969C3">
      <w:r>
        <w:t xml:space="preserve">9. </w:t>
      </w:r>
      <w:r>
        <w:tab/>
        <w:t xml:space="preserve">Trois réunions du conseil consultatif ont été organisées par le Secrétariat entre mars et octobre 2024. Le conseil consultatif a examiné le rapport de la mission sur le terrain ainsi que les résultats de l’observation de la Terre, et il examinera le rapport d’évaluation final d’ici la fin du mois d’octobre 2024. Le rapport d’évaluation sera présenté aux Parties contractantes lors de la COP15. Le rapport figurera en annexe du rapport à la COP15 sur la mise en œuvre de la Résolution XIV.20, qui résumera les résultats de l’évaluation et offrira des conseils sur les mesures d’atténuation et de restauration appropriées. </w:t>
      </w:r>
    </w:p>
    <w:p w14:paraId="5AC8C794" w14:textId="5FA6CA9E" w:rsidR="001C410B" w:rsidRDefault="001C410B" w:rsidP="007969C3">
      <w:pPr>
        <w:ind w:left="0" w:firstLine="0"/>
      </w:pPr>
    </w:p>
    <w:p w14:paraId="2459C5C9" w14:textId="565A3833" w:rsidR="00F344DE" w:rsidRPr="00E83269" w:rsidRDefault="00227B79" w:rsidP="00615EE7">
      <w:r>
        <w:t xml:space="preserve">10. </w:t>
      </w:r>
      <w:r>
        <w:tab/>
        <w:t xml:space="preserve">Conformément au paragraphe 19 de la Résolution XIV.20, les États-Unis d’Amérique et le Royaume-Uni de Grande-Bretagne et d’Irlande du Nord ont apporté des contributions financières à titre volontaire afin d’aider le Secrétariat à mettre en œuvre les actions demandées au titre de cette Résolution. Ces contributions non administratives ont fourni le financement nécessaire pour engager les consultants chargés de l’évaluation. </w:t>
      </w:r>
      <w:bookmarkEnd w:id="0"/>
    </w:p>
    <w:sectPr w:rsidR="00F344DE" w:rsidRPr="00E83269" w:rsidSect="0017028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4C717" w14:textId="77777777" w:rsidR="00513DF8" w:rsidRDefault="00513DF8" w:rsidP="00DF2386">
      <w:r>
        <w:separator/>
      </w:r>
    </w:p>
  </w:endnote>
  <w:endnote w:type="continuationSeparator" w:id="0">
    <w:p w14:paraId="403743C8" w14:textId="77777777" w:rsidR="00513DF8" w:rsidRDefault="00513DF8" w:rsidP="00DF2386">
      <w:r>
        <w:continuationSeparator/>
      </w:r>
    </w:p>
  </w:endnote>
  <w:endnote w:type="continuationNotice" w:id="1">
    <w:p w14:paraId="0719DCD1" w14:textId="77777777" w:rsidR="00513DF8" w:rsidRDefault="00513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0FB5" w14:textId="77777777" w:rsidR="0044515F" w:rsidRDefault="00445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72B2" w14:textId="6282F4CF" w:rsidR="00F73E71" w:rsidRPr="00F82FA1" w:rsidRDefault="00E07553" w:rsidP="00F82FA1">
    <w:pPr>
      <w:pStyle w:val="Header"/>
      <w:rPr>
        <w:sz w:val="20"/>
        <w:szCs w:val="20"/>
      </w:rPr>
    </w:pPr>
    <w:r>
      <w:rPr>
        <w:sz w:val="20"/>
      </w:rPr>
      <w:t>SC64 Doc.28</w:t>
    </w:r>
    <w:r>
      <w:tab/>
    </w:r>
    <w:r>
      <w:tab/>
    </w:r>
    <w:sdt>
      <w:sdtPr>
        <w:id w:val="-1790969534"/>
        <w:docPartObj>
          <w:docPartGallery w:val="Page Numbers (Top of Page)"/>
          <w:docPartUnique/>
        </w:docPartObj>
      </w:sdtPr>
      <w:sdtEndPr>
        <w:rPr>
          <w:noProof/>
        </w:rPr>
      </w:sdtEndPr>
      <w:sdtContent>
        <w:r w:rsidR="00F73E71" w:rsidRPr="00F344DE">
          <w:rPr>
            <w:sz w:val="20"/>
          </w:rPr>
          <w:fldChar w:fldCharType="begin"/>
        </w:r>
        <w:r w:rsidR="00F73E71" w:rsidRPr="00F344DE">
          <w:rPr>
            <w:sz w:val="20"/>
          </w:rPr>
          <w:instrText xml:space="preserve"> PAGE   \* MERGEFORMAT </w:instrText>
        </w:r>
        <w:r w:rsidR="00F73E71" w:rsidRPr="00F344DE">
          <w:rPr>
            <w:sz w:val="20"/>
          </w:rPr>
          <w:fldChar w:fldCharType="separate"/>
        </w:r>
        <w:r w:rsidR="007201C7">
          <w:rPr>
            <w:sz w:val="20"/>
          </w:rPr>
          <w:t>4</w:t>
        </w:r>
        <w:r w:rsidR="00F73E71"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E359" w14:textId="77777777" w:rsidR="0044515F" w:rsidRDefault="00445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4BE6E" w14:textId="77777777" w:rsidR="00513DF8" w:rsidRDefault="00513DF8" w:rsidP="00DF2386">
      <w:r>
        <w:separator/>
      </w:r>
    </w:p>
  </w:footnote>
  <w:footnote w:type="continuationSeparator" w:id="0">
    <w:p w14:paraId="78E0D534" w14:textId="77777777" w:rsidR="00513DF8" w:rsidRDefault="00513DF8" w:rsidP="00DF2386">
      <w:r>
        <w:continuationSeparator/>
      </w:r>
    </w:p>
  </w:footnote>
  <w:footnote w:type="continuationNotice" w:id="1">
    <w:p w14:paraId="5A40329A" w14:textId="77777777" w:rsidR="00513DF8" w:rsidRDefault="00513DF8"/>
  </w:footnote>
  <w:footnote w:id="2">
    <w:p w14:paraId="07757B2C" w14:textId="4BE0FE9B" w:rsidR="00EC4630" w:rsidRDefault="00EC4630" w:rsidP="00EC4630">
      <w:pPr>
        <w:pStyle w:val="FootnoteText"/>
        <w:ind w:left="0" w:firstLine="0"/>
      </w:pPr>
      <w:r>
        <w:rPr>
          <w:rStyle w:val="FootnoteReference"/>
        </w:rPr>
        <w:footnoteRef/>
      </w:r>
      <w:r>
        <w:t xml:space="preserve"> Voir le document SC63 Doc.24, </w:t>
      </w:r>
      <w:r>
        <w:rPr>
          <w:i/>
        </w:rPr>
        <w:t>Compte rendu du Secrétariat sur la mise en œuvre de la Résolution XIV.20</w:t>
      </w:r>
      <w:r>
        <w:t xml:space="preserve">, </w:t>
      </w:r>
      <w:hyperlink r:id="rId1" w:history="1">
        <w:r>
          <w:rPr>
            <w:rStyle w:val="Hyperlink"/>
          </w:rPr>
          <w:t>https://www.ramsar.org/fr/document/sc63-doc24-compte-rendu-du-secretariat-sur-la-mise-en-oeuvre-de-la-resolution-xiv20</w:t>
        </w:r>
      </w:hyperlink>
      <w:r>
        <w:t>.</w:t>
      </w:r>
    </w:p>
  </w:footnote>
  <w:footnote w:id="3">
    <w:p w14:paraId="274ACF96" w14:textId="0C254DA3" w:rsidR="00B528FF" w:rsidRDefault="00B528FF" w:rsidP="00B528FF">
      <w:pPr>
        <w:pStyle w:val="FootnoteText"/>
        <w:ind w:left="0" w:firstLine="0"/>
      </w:pPr>
      <w:r>
        <w:rPr>
          <w:rStyle w:val="FootnoteReference"/>
        </w:rPr>
        <w:footnoteRef/>
      </w:r>
      <w:r>
        <w:t xml:space="preserve"> Voir </w:t>
      </w:r>
      <w:hyperlink r:id="rId2" w:history="1">
        <w:r>
          <w:rPr>
            <w:rStyle w:val="Hyperlink"/>
          </w:rPr>
          <w:t>https://unece.org/environment/documents/2024/05/informal-documents/policy-and-technical-brief-use-earth-observations</w:t>
        </w:r>
      </w:hyperlink>
      <w:r>
        <w:t>.</w:t>
      </w:r>
    </w:p>
  </w:footnote>
  <w:footnote w:id="4">
    <w:p w14:paraId="0FEA8539" w14:textId="5E5EBC2A" w:rsidR="007B3B48" w:rsidRPr="00DF0F52" w:rsidRDefault="007B3B48" w:rsidP="007B3B48">
      <w:pPr>
        <w:pStyle w:val="FootnoteText"/>
      </w:pPr>
      <w:r>
        <w:rPr>
          <w:rStyle w:val="FootnoteReference"/>
        </w:rPr>
        <w:footnoteRef/>
      </w:r>
      <w:r>
        <w:t xml:space="preserve"> La composition du conseil consultatif est présentée au paragraphe 11 du document SC63 Doc.24.</w:t>
      </w:r>
    </w:p>
  </w:footnote>
  <w:footnote w:id="5">
    <w:p w14:paraId="29A1FAFE" w14:textId="7AEF3295" w:rsidR="004103B7" w:rsidRDefault="004103B7" w:rsidP="004103B7">
      <w:pPr>
        <w:pStyle w:val="FootnoteText"/>
        <w:ind w:left="0" w:firstLine="0"/>
      </w:pPr>
      <w:r>
        <w:rPr>
          <w:rStyle w:val="FootnoteReference"/>
        </w:rPr>
        <w:footnoteRef/>
      </w:r>
      <w:r>
        <w:t xml:space="preserve"> Voir </w:t>
      </w:r>
      <w:hyperlink r:id="rId3" w:history="1">
        <w:r>
          <w:rPr>
            <w:rStyle w:val="Hyperlink"/>
          </w:rPr>
          <w:t>https://www.ramsar.org/fr/document/sc62-doc24-rev1-compte-rendu-du-secretariat-sur-la-mise-en-oeuvre-de-la-resolution-xiv20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603A" w14:textId="77777777" w:rsidR="0044515F" w:rsidRDefault="00445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B7D2" w14:textId="77777777" w:rsidR="00F73E71" w:rsidRDefault="00F73E71">
    <w:pPr>
      <w:pStyle w:val="Header"/>
    </w:pPr>
  </w:p>
  <w:p w14:paraId="62D4BCDE" w14:textId="77777777" w:rsidR="00F73E71" w:rsidRDefault="00F7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A0EF" w14:textId="77777777" w:rsidR="0044515F" w:rsidRDefault="00445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40B61C6"/>
    <w:multiLevelType w:val="hybridMultilevel"/>
    <w:tmpl w:val="3F38B8B4"/>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449B5"/>
    <w:multiLevelType w:val="hybridMultilevel"/>
    <w:tmpl w:val="CB16B2E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455A474A"/>
    <w:multiLevelType w:val="hybridMultilevel"/>
    <w:tmpl w:val="5C02430A"/>
    <w:lvl w:ilvl="0" w:tplc="08090019">
      <w:start w:val="1"/>
      <w:numFmt w:val="lowerLetter"/>
      <w:lvlText w:val="%1."/>
      <w:lvlJc w:val="left"/>
      <w:pPr>
        <w:ind w:left="4970" w:hanging="360"/>
      </w:pPr>
    </w:lvl>
    <w:lvl w:ilvl="1" w:tplc="08090019" w:tentative="1">
      <w:start w:val="1"/>
      <w:numFmt w:val="lowerLetter"/>
      <w:lvlText w:val="%2."/>
      <w:lvlJc w:val="left"/>
      <w:pPr>
        <w:ind w:left="5690" w:hanging="360"/>
      </w:pPr>
    </w:lvl>
    <w:lvl w:ilvl="2" w:tplc="0809001B" w:tentative="1">
      <w:start w:val="1"/>
      <w:numFmt w:val="lowerRoman"/>
      <w:lvlText w:val="%3."/>
      <w:lvlJc w:val="right"/>
      <w:pPr>
        <w:ind w:left="6410" w:hanging="180"/>
      </w:pPr>
    </w:lvl>
    <w:lvl w:ilvl="3" w:tplc="0809000F" w:tentative="1">
      <w:start w:val="1"/>
      <w:numFmt w:val="decimal"/>
      <w:lvlText w:val="%4."/>
      <w:lvlJc w:val="left"/>
      <w:pPr>
        <w:ind w:left="7130" w:hanging="360"/>
      </w:pPr>
    </w:lvl>
    <w:lvl w:ilvl="4" w:tplc="08090019" w:tentative="1">
      <w:start w:val="1"/>
      <w:numFmt w:val="lowerLetter"/>
      <w:lvlText w:val="%5."/>
      <w:lvlJc w:val="left"/>
      <w:pPr>
        <w:ind w:left="7850" w:hanging="360"/>
      </w:pPr>
    </w:lvl>
    <w:lvl w:ilvl="5" w:tplc="0809001B" w:tentative="1">
      <w:start w:val="1"/>
      <w:numFmt w:val="lowerRoman"/>
      <w:lvlText w:val="%6."/>
      <w:lvlJc w:val="right"/>
      <w:pPr>
        <w:ind w:left="8570" w:hanging="180"/>
      </w:pPr>
    </w:lvl>
    <w:lvl w:ilvl="6" w:tplc="0809000F" w:tentative="1">
      <w:start w:val="1"/>
      <w:numFmt w:val="decimal"/>
      <w:lvlText w:val="%7."/>
      <w:lvlJc w:val="left"/>
      <w:pPr>
        <w:ind w:left="9290" w:hanging="360"/>
      </w:pPr>
    </w:lvl>
    <w:lvl w:ilvl="7" w:tplc="08090019" w:tentative="1">
      <w:start w:val="1"/>
      <w:numFmt w:val="lowerLetter"/>
      <w:lvlText w:val="%8."/>
      <w:lvlJc w:val="left"/>
      <w:pPr>
        <w:ind w:left="10010" w:hanging="360"/>
      </w:pPr>
    </w:lvl>
    <w:lvl w:ilvl="8" w:tplc="0809001B" w:tentative="1">
      <w:start w:val="1"/>
      <w:numFmt w:val="lowerRoman"/>
      <w:lvlText w:val="%9."/>
      <w:lvlJc w:val="right"/>
      <w:pPr>
        <w:ind w:left="1073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5FD06AC1"/>
    <w:multiLevelType w:val="hybridMultilevel"/>
    <w:tmpl w:val="97307990"/>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4075E"/>
    <w:multiLevelType w:val="hybridMultilevel"/>
    <w:tmpl w:val="67D6F5E4"/>
    <w:lvl w:ilvl="0" w:tplc="0809000F">
      <w:start w:val="1"/>
      <w:numFmt w:val="decimal"/>
      <w:lvlText w:val="%1."/>
      <w:lvlJc w:val="left"/>
      <w:pPr>
        <w:ind w:left="720" w:hanging="360"/>
      </w:pPr>
      <w:rPr>
        <w:rFonts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AC7748"/>
    <w:multiLevelType w:val="hybridMultilevel"/>
    <w:tmpl w:val="DE5C0BEA"/>
    <w:lvl w:ilvl="0" w:tplc="A3624FB6">
      <w:start w:val="1"/>
      <w:numFmt w:val="decimal"/>
      <w:lvlText w:val="%1."/>
      <w:lvlJc w:val="left"/>
      <w:pPr>
        <w:ind w:left="720" w:hanging="360"/>
      </w:pPr>
      <w:rPr>
        <w:rFonts w:ascii="Arial" w:eastAsia="Arial" w:hAnsi="Arial" w:cs="Aria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606543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585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540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388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8563">
    <w:abstractNumId w:val="16"/>
  </w:num>
  <w:num w:numId="6" w16cid:durableId="2105419454">
    <w:abstractNumId w:val="29"/>
  </w:num>
  <w:num w:numId="7" w16cid:durableId="1516924921">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65954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5681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163898">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611019">
    <w:abstractNumId w:val="29"/>
  </w:num>
  <w:num w:numId="12" w16cid:durableId="443235628">
    <w:abstractNumId w:val="4"/>
  </w:num>
  <w:num w:numId="13" w16cid:durableId="1372075150">
    <w:abstractNumId w:val="17"/>
  </w:num>
  <w:num w:numId="14" w16cid:durableId="631248955">
    <w:abstractNumId w:val="12"/>
  </w:num>
  <w:num w:numId="15" w16cid:durableId="1193573827">
    <w:abstractNumId w:val="2"/>
  </w:num>
  <w:num w:numId="16" w16cid:durableId="1478914937">
    <w:abstractNumId w:val="14"/>
  </w:num>
  <w:num w:numId="17" w16cid:durableId="1500265069">
    <w:abstractNumId w:val="21"/>
  </w:num>
  <w:num w:numId="18" w16cid:durableId="438643160">
    <w:abstractNumId w:val="32"/>
  </w:num>
  <w:num w:numId="19" w16cid:durableId="999969686">
    <w:abstractNumId w:val="31"/>
  </w:num>
  <w:num w:numId="20" w16cid:durableId="1828597136">
    <w:abstractNumId w:val="23"/>
  </w:num>
  <w:num w:numId="21" w16cid:durableId="2112430912">
    <w:abstractNumId w:val="25"/>
  </w:num>
  <w:num w:numId="22" w16cid:durableId="596059767">
    <w:abstractNumId w:val="15"/>
  </w:num>
  <w:num w:numId="23" w16cid:durableId="1934702419">
    <w:abstractNumId w:val="22"/>
  </w:num>
  <w:num w:numId="24" w16cid:durableId="64618947">
    <w:abstractNumId w:val="20"/>
  </w:num>
  <w:num w:numId="25" w16cid:durableId="1610501959">
    <w:abstractNumId w:val="30"/>
  </w:num>
  <w:num w:numId="26" w16cid:durableId="237598809">
    <w:abstractNumId w:val="8"/>
  </w:num>
  <w:num w:numId="27" w16cid:durableId="1245604323">
    <w:abstractNumId w:val="0"/>
  </w:num>
  <w:num w:numId="28" w16cid:durableId="970863901">
    <w:abstractNumId w:val="11"/>
  </w:num>
  <w:num w:numId="29" w16cid:durableId="438333567">
    <w:abstractNumId w:val="3"/>
  </w:num>
  <w:num w:numId="30" w16cid:durableId="1598098191">
    <w:abstractNumId w:val="18"/>
  </w:num>
  <w:num w:numId="31" w16cid:durableId="1700739443">
    <w:abstractNumId w:val="28"/>
  </w:num>
  <w:num w:numId="32" w16cid:durableId="2123719927">
    <w:abstractNumId w:val="10"/>
  </w:num>
  <w:num w:numId="33" w16cid:durableId="1168059659">
    <w:abstractNumId w:val="27"/>
  </w:num>
  <w:num w:numId="34" w16cid:durableId="731925769">
    <w:abstractNumId w:val="26"/>
  </w:num>
  <w:num w:numId="35" w16cid:durableId="4155143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686"/>
    <w:rsid w:val="000027D8"/>
    <w:rsid w:val="000040C0"/>
    <w:rsid w:val="00006EA8"/>
    <w:rsid w:val="00011736"/>
    <w:rsid w:val="00012176"/>
    <w:rsid w:val="00014168"/>
    <w:rsid w:val="00017A16"/>
    <w:rsid w:val="00021759"/>
    <w:rsid w:val="00025A39"/>
    <w:rsid w:val="00026E09"/>
    <w:rsid w:val="00027390"/>
    <w:rsid w:val="00034FB4"/>
    <w:rsid w:val="00035915"/>
    <w:rsid w:val="00037035"/>
    <w:rsid w:val="00037CE0"/>
    <w:rsid w:val="0004208A"/>
    <w:rsid w:val="00042CCC"/>
    <w:rsid w:val="00043452"/>
    <w:rsid w:val="00047A94"/>
    <w:rsid w:val="000520D2"/>
    <w:rsid w:val="0005310A"/>
    <w:rsid w:val="00053327"/>
    <w:rsid w:val="00053929"/>
    <w:rsid w:val="00054B0A"/>
    <w:rsid w:val="000605F9"/>
    <w:rsid w:val="00074DE8"/>
    <w:rsid w:val="0007716D"/>
    <w:rsid w:val="00083C6D"/>
    <w:rsid w:val="0008613C"/>
    <w:rsid w:val="00087A20"/>
    <w:rsid w:val="00090FC0"/>
    <w:rsid w:val="000944EB"/>
    <w:rsid w:val="00095911"/>
    <w:rsid w:val="00096EA5"/>
    <w:rsid w:val="000A0B31"/>
    <w:rsid w:val="000A0BB7"/>
    <w:rsid w:val="000A3BF2"/>
    <w:rsid w:val="000A3E3E"/>
    <w:rsid w:val="000A4D1B"/>
    <w:rsid w:val="000A6768"/>
    <w:rsid w:val="000C2489"/>
    <w:rsid w:val="000C370C"/>
    <w:rsid w:val="000C39D8"/>
    <w:rsid w:val="000C3EAA"/>
    <w:rsid w:val="000D5C76"/>
    <w:rsid w:val="000D5EFE"/>
    <w:rsid w:val="000D7F95"/>
    <w:rsid w:val="000E07E1"/>
    <w:rsid w:val="000E0D79"/>
    <w:rsid w:val="000E2FA0"/>
    <w:rsid w:val="000E47E9"/>
    <w:rsid w:val="000F56A0"/>
    <w:rsid w:val="000F6042"/>
    <w:rsid w:val="00104C52"/>
    <w:rsid w:val="001055C4"/>
    <w:rsid w:val="00105BCD"/>
    <w:rsid w:val="0010730C"/>
    <w:rsid w:val="00107614"/>
    <w:rsid w:val="001076E4"/>
    <w:rsid w:val="00110378"/>
    <w:rsid w:val="00111C9D"/>
    <w:rsid w:val="001147DF"/>
    <w:rsid w:val="001164E2"/>
    <w:rsid w:val="0012096C"/>
    <w:rsid w:val="00122974"/>
    <w:rsid w:val="0012662A"/>
    <w:rsid w:val="00127828"/>
    <w:rsid w:val="00131B31"/>
    <w:rsid w:val="001322C3"/>
    <w:rsid w:val="001404B0"/>
    <w:rsid w:val="00143070"/>
    <w:rsid w:val="001438C1"/>
    <w:rsid w:val="001473BB"/>
    <w:rsid w:val="001553D8"/>
    <w:rsid w:val="00161BDA"/>
    <w:rsid w:val="001642D7"/>
    <w:rsid w:val="001701BF"/>
    <w:rsid w:val="0017028D"/>
    <w:rsid w:val="00171618"/>
    <w:rsid w:val="00175AC8"/>
    <w:rsid w:val="001819B1"/>
    <w:rsid w:val="0018640D"/>
    <w:rsid w:val="00191207"/>
    <w:rsid w:val="0019354F"/>
    <w:rsid w:val="00193B90"/>
    <w:rsid w:val="00193C33"/>
    <w:rsid w:val="001A2D10"/>
    <w:rsid w:val="001A3AAF"/>
    <w:rsid w:val="001A7153"/>
    <w:rsid w:val="001B4C9D"/>
    <w:rsid w:val="001C0489"/>
    <w:rsid w:val="001C410B"/>
    <w:rsid w:val="001C5E41"/>
    <w:rsid w:val="001C64DA"/>
    <w:rsid w:val="001C77BC"/>
    <w:rsid w:val="001C78EE"/>
    <w:rsid w:val="001D32D0"/>
    <w:rsid w:val="001D3CE5"/>
    <w:rsid w:val="001D48BB"/>
    <w:rsid w:val="001D4BAF"/>
    <w:rsid w:val="001D4DCD"/>
    <w:rsid w:val="001D65AF"/>
    <w:rsid w:val="001E00E3"/>
    <w:rsid w:val="001E4077"/>
    <w:rsid w:val="001F0C80"/>
    <w:rsid w:val="001F2349"/>
    <w:rsid w:val="001F6652"/>
    <w:rsid w:val="001F68B7"/>
    <w:rsid w:val="001F73D3"/>
    <w:rsid w:val="002005D2"/>
    <w:rsid w:val="0020298B"/>
    <w:rsid w:val="002058C6"/>
    <w:rsid w:val="00206111"/>
    <w:rsid w:val="002072AF"/>
    <w:rsid w:val="00212072"/>
    <w:rsid w:val="002137E0"/>
    <w:rsid w:val="0022019E"/>
    <w:rsid w:val="0022111B"/>
    <w:rsid w:val="002215ED"/>
    <w:rsid w:val="00222AF5"/>
    <w:rsid w:val="0022415A"/>
    <w:rsid w:val="00224744"/>
    <w:rsid w:val="00227B79"/>
    <w:rsid w:val="00227F65"/>
    <w:rsid w:val="002307EF"/>
    <w:rsid w:val="002374BE"/>
    <w:rsid w:val="00240728"/>
    <w:rsid w:val="00240EE8"/>
    <w:rsid w:val="00245E7B"/>
    <w:rsid w:val="00252356"/>
    <w:rsid w:val="002535C4"/>
    <w:rsid w:val="0025630F"/>
    <w:rsid w:val="00261C3F"/>
    <w:rsid w:val="00264D9A"/>
    <w:rsid w:val="00272CB3"/>
    <w:rsid w:val="002741AC"/>
    <w:rsid w:val="00275F13"/>
    <w:rsid w:val="002803AB"/>
    <w:rsid w:val="0028100F"/>
    <w:rsid w:val="002819C0"/>
    <w:rsid w:val="00281FAC"/>
    <w:rsid w:val="002852B6"/>
    <w:rsid w:val="0028740C"/>
    <w:rsid w:val="00291EF5"/>
    <w:rsid w:val="00294719"/>
    <w:rsid w:val="00295556"/>
    <w:rsid w:val="00295BB5"/>
    <w:rsid w:val="002A0658"/>
    <w:rsid w:val="002A1FC3"/>
    <w:rsid w:val="002A3389"/>
    <w:rsid w:val="002A3538"/>
    <w:rsid w:val="002A5A4D"/>
    <w:rsid w:val="002B4262"/>
    <w:rsid w:val="002C5900"/>
    <w:rsid w:val="002D54F2"/>
    <w:rsid w:val="002D5A4D"/>
    <w:rsid w:val="002D7C56"/>
    <w:rsid w:val="002E22AF"/>
    <w:rsid w:val="002E4C9B"/>
    <w:rsid w:val="002E5ED6"/>
    <w:rsid w:val="002E63A9"/>
    <w:rsid w:val="002E6ACA"/>
    <w:rsid w:val="002F5683"/>
    <w:rsid w:val="002F5FA2"/>
    <w:rsid w:val="002F6155"/>
    <w:rsid w:val="002F61FA"/>
    <w:rsid w:val="002F685B"/>
    <w:rsid w:val="002F6F2D"/>
    <w:rsid w:val="003004CE"/>
    <w:rsid w:val="0030285C"/>
    <w:rsid w:val="00304D87"/>
    <w:rsid w:val="00305B46"/>
    <w:rsid w:val="00306C3D"/>
    <w:rsid w:val="0031056B"/>
    <w:rsid w:val="00312E6A"/>
    <w:rsid w:val="003134F9"/>
    <w:rsid w:val="003168A2"/>
    <w:rsid w:val="00324398"/>
    <w:rsid w:val="00325241"/>
    <w:rsid w:val="003359B4"/>
    <w:rsid w:val="00336929"/>
    <w:rsid w:val="0034004D"/>
    <w:rsid w:val="00340DFF"/>
    <w:rsid w:val="00343717"/>
    <w:rsid w:val="00355733"/>
    <w:rsid w:val="00357BA4"/>
    <w:rsid w:val="0036084F"/>
    <w:rsid w:val="003612FA"/>
    <w:rsid w:val="00363299"/>
    <w:rsid w:val="0036425D"/>
    <w:rsid w:val="003672BF"/>
    <w:rsid w:val="00372018"/>
    <w:rsid w:val="00376ED0"/>
    <w:rsid w:val="00377CE3"/>
    <w:rsid w:val="00383A26"/>
    <w:rsid w:val="00384469"/>
    <w:rsid w:val="00384FC3"/>
    <w:rsid w:val="0038581F"/>
    <w:rsid w:val="003863B1"/>
    <w:rsid w:val="003A1E23"/>
    <w:rsid w:val="003A3804"/>
    <w:rsid w:val="003A52BE"/>
    <w:rsid w:val="003A5866"/>
    <w:rsid w:val="003A6E9F"/>
    <w:rsid w:val="003B5A97"/>
    <w:rsid w:val="003B7DAD"/>
    <w:rsid w:val="003C26FD"/>
    <w:rsid w:val="003C2D9F"/>
    <w:rsid w:val="003D4CD6"/>
    <w:rsid w:val="003F0100"/>
    <w:rsid w:val="004003D4"/>
    <w:rsid w:val="0040303C"/>
    <w:rsid w:val="004044FE"/>
    <w:rsid w:val="004048E8"/>
    <w:rsid w:val="0040610A"/>
    <w:rsid w:val="004103B7"/>
    <w:rsid w:val="00411B20"/>
    <w:rsid w:val="00420DFB"/>
    <w:rsid w:val="00421952"/>
    <w:rsid w:val="00421DAC"/>
    <w:rsid w:val="004228C7"/>
    <w:rsid w:val="004228DC"/>
    <w:rsid w:val="004230C4"/>
    <w:rsid w:val="0042471E"/>
    <w:rsid w:val="0042798B"/>
    <w:rsid w:val="00434913"/>
    <w:rsid w:val="0044257A"/>
    <w:rsid w:val="00443012"/>
    <w:rsid w:val="00443705"/>
    <w:rsid w:val="0044515F"/>
    <w:rsid w:val="004459AB"/>
    <w:rsid w:val="00446588"/>
    <w:rsid w:val="004474F8"/>
    <w:rsid w:val="004504F8"/>
    <w:rsid w:val="00452DFD"/>
    <w:rsid w:val="00453A90"/>
    <w:rsid w:val="004561E5"/>
    <w:rsid w:val="00457598"/>
    <w:rsid w:val="0046206D"/>
    <w:rsid w:val="00464A29"/>
    <w:rsid w:val="00465E40"/>
    <w:rsid w:val="004662C4"/>
    <w:rsid w:val="00470AF4"/>
    <w:rsid w:val="0047122A"/>
    <w:rsid w:val="00475BB0"/>
    <w:rsid w:val="00477550"/>
    <w:rsid w:val="00477C51"/>
    <w:rsid w:val="004824CD"/>
    <w:rsid w:val="00482FF3"/>
    <w:rsid w:val="004844A8"/>
    <w:rsid w:val="00484CD5"/>
    <w:rsid w:val="004855B5"/>
    <w:rsid w:val="00485BC4"/>
    <w:rsid w:val="00487AD5"/>
    <w:rsid w:val="0049091E"/>
    <w:rsid w:val="00496803"/>
    <w:rsid w:val="004A2711"/>
    <w:rsid w:val="004A6131"/>
    <w:rsid w:val="004B4EB0"/>
    <w:rsid w:val="004B6688"/>
    <w:rsid w:val="004C4D17"/>
    <w:rsid w:val="004D0F75"/>
    <w:rsid w:val="004E11D4"/>
    <w:rsid w:val="004E3966"/>
    <w:rsid w:val="004E6525"/>
    <w:rsid w:val="004E6847"/>
    <w:rsid w:val="004F2AAB"/>
    <w:rsid w:val="004F2BC4"/>
    <w:rsid w:val="004F4E4D"/>
    <w:rsid w:val="00500871"/>
    <w:rsid w:val="005021E3"/>
    <w:rsid w:val="00505981"/>
    <w:rsid w:val="00505EF9"/>
    <w:rsid w:val="0051223E"/>
    <w:rsid w:val="00513DF8"/>
    <w:rsid w:val="00515408"/>
    <w:rsid w:val="00515447"/>
    <w:rsid w:val="00517FFB"/>
    <w:rsid w:val="0052237F"/>
    <w:rsid w:val="00522E47"/>
    <w:rsid w:val="005244A4"/>
    <w:rsid w:val="0052501D"/>
    <w:rsid w:val="00527783"/>
    <w:rsid w:val="00527A97"/>
    <w:rsid w:val="0053700F"/>
    <w:rsid w:val="005432C7"/>
    <w:rsid w:val="00543764"/>
    <w:rsid w:val="005569E7"/>
    <w:rsid w:val="00560933"/>
    <w:rsid w:val="00563681"/>
    <w:rsid w:val="00564D17"/>
    <w:rsid w:val="00566CD3"/>
    <w:rsid w:val="0057235A"/>
    <w:rsid w:val="00572849"/>
    <w:rsid w:val="005814B5"/>
    <w:rsid w:val="00582291"/>
    <w:rsid w:val="00582DDD"/>
    <w:rsid w:val="005846E9"/>
    <w:rsid w:val="00585A06"/>
    <w:rsid w:val="005A0255"/>
    <w:rsid w:val="005A269E"/>
    <w:rsid w:val="005A27B5"/>
    <w:rsid w:val="005A37DD"/>
    <w:rsid w:val="005A4DF3"/>
    <w:rsid w:val="005B09CE"/>
    <w:rsid w:val="005C0DF3"/>
    <w:rsid w:val="005C4612"/>
    <w:rsid w:val="005C49A7"/>
    <w:rsid w:val="005C537C"/>
    <w:rsid w:val="005C5ABF"/>
    <w:rsid w:val="005C6756"/>
    <w:rsid w:val="005C7016"/>
    <w:rsid w:val="005C7706"/>
    <w:rsid w:val="005D19CE"/>
    <w:rsid w:val="005D3E9D"/>
    <w:rsid w:val="005D5CE4"/>
    <w:rsid w:val="005D6538"/>
    <w:rsid w:val="005E2261"/>
    <w:rsid w:val="005E2FE0"/>
    <w:rsid w:val="005E4820"/>
    <w:rsid w:val="005E661B"/>
    <w:rsid w:val="005E7F8D"/>
    <w:rsid w:val="005F41D2"/>
    <w:rsid w:val="005F4E8C"/>
    <w:rsid w:val="005F7AB3"/>
    <w:rsid w:val="006024CC"/>
    <w:rsid w:val="00603196"/>
    <w:rsid w:val="00605FA7"/>
    <w:rsid w:val="00610D0F"/>
    <w:rsid w:val="00613671"/>
    <w:rsid w:val="00615EE7"/>
    <w:rsid w:val="006216AA"/>
    <w:rsid w:val="00622646"/>
    <w:rsid w:val="00623858"/>
    <w:rsid w:val="006256D3"/>
    <w:rsid w:val="00625BF7"/>
    <w:rsid w:val="00627BB7"/>
    <w:rsid w:val="00630CEE"/>
    <w:rsid w:val="0063160F"/>
    <w:rsid w:val="00631D08"/>
    <w:rsid w:val="00634ACD"/>
    <w:rsid w:val="00635082"/>
    <w:rsid w:val="006377EE"/>
    <w:rsid w:val="00640137"/>
    <w:rsid w:val="00641160"/>
    <w:rsid w:val="006425C2"/>
    <w:rsid w:val="00643A25"/>
    <w:rsid w:val="00644A13"/>
    <w:rsid w:val="00647B01"/>
    <w:rsid w:val="00647ECF"/>
    <w:rsid w:val="0065136E"/>
    <w:rsid w:val="006548A4"/>
    <w:rsid w:val="006557FB"/>
    <w:rsid w:val="00664185"/>
    <w:rsid w:val="00666AB6"/>
    <w:rsid w:val="00670D71"/>
    <w:rsid w:val="00671225"/>
    <w:rsid w:val="00673989"/>
    <w:rsid w:val="00691B27"/>
    <w:rsid w:val="006A4319"/>
    <w:rsid w:val="006B0B9B"/>
    <w:rsid w:val="006B2542"/>
    <w:rsid w:val="006C303A"/>
    <w:rsid w:val="006D44A5"/>
    <w:rsid w:val="006E01F4"/>
    <w:rsid w:val="006E30F3"/>
    <w:rsid w:val="006E5684"/>
    <w:rsid w:val="006E7DCE"/>
    <w:rsid w:val="006F4D65"/>
    <w:rsid w:val="007050FF"/>
    <w:rsid w:val="00710985"/>
    <w:rsid w:val="00711C1E"/>
    <w:rsid w:val="00712764"/>
    <w:rsid w:val="00713286"/>
    <w:rsid w:val="007145B9"/>
    <w:rsid w:val="007201C7"/>
    <w:rsid w:val="00721278"/>
    <w:rsid w:val="00723310"/>
    <w:rsid w:val="00724BAA"/>
    <w:rsid w:val="0072668C"/>
    <w:rsid w:val="00730B2B"/>
    <w:rsid w:val="0073315A"/>
    <w:rsid w:val="0073629E"/>
    <w:rsid w:val="0074016F"/>
    <w:rsid w:val="00743CD0"/>
    <w:rsid w:val="00745B55"/>
    <w:rsid w:val="00751520"/>
    <w:rsid w:val="00752764"/>
    <w:rsid w:val="00753DDE"/>
    <w:rsid w:val="007543B3"/>
    <w:rsid w:val="007619DF"/>
    <w:rsid w:val="00762E45"/>
    <w:rsid w:val="007652AD"/>
    <w:rsid w:val="00766962"/>
    <w:rsid w:val="00775287"/>
    <w:rsid w:val="00780FCC"/>
    <w:rsid w:val="007820AA"/>
    <w:rsid w:val="007826D2"/>
    <w:rsid w:val="00782EB3"/>
    <w:rsid w:val="00785077"/>
    <w:rsid w:val="007908EC"/>
    <w:rsid w:val="00794857"/>
    <w:rsid w:val="007948B4"/>
    <w:rsid w:val="007969C3"/>
    <w:rsid w:val="007A08DD"/>
    <w:rsid w:val="007A6406"/>
    <w:rsid w:val="007A6AA5"/>
    <w:rsid w:val="007B3B48"/>
    <w:rsid w:val="007B4018"/>
    <w:rsid w:val="007B5BF3"/>
    <w:rsid w:val="007B5F8E"/>
    <w:rsid w:val="007C1816"/>
    <w:rsid w:val="007C2DC4"/>
    <w:rsid w:val="007C3115"/>
    <w:rsid w:val="007C4DEC"/>
    <w:rsid w:val="007C50A5"/>
    <w:rsid w:val="007C58D4"/>
    <w:rsid w:val="007C5E60"/>
    <w:rsid w:val="007C7FB2"/>
    <w:rsid w:val="007D06FE"/>
    <w:rsid w:val="007D33F4"/>
    <w:rsid w:val="007D437C"/>
    <w:rsid w:val="007D5A43"/>
    <w:rsid w:val="007D616B"/>
    <w:rsid w:val="007E02DA"/>
    <w:rsid w:val="007E3608"/>
    <w:rsid w:val="007E3DF4"/>
    <w:rsid w:val="007F082F"/>
    <w:rsid w:val="007F3ABE"/>
    <w:rsid w:val="007F4503"/>
    <w:rsid w:val="007F46E9"/>
    <w:rsid w:val="007F4DDF"/>
    <w:rsid w:val="008003F3"/>
    <w:rsid w:val="00804BF5"/>
    <w:rsid w:val="0080C096"/>
    <w:rsid w:val="00811899"/>
    <w:rsid w:val="008146D0"/>
    <w:rsid w:val="00815FFF"/>
    <w:rsid w:val="00825105"/>
    <w:rsid w:val="008328E9"/>
    <w:rsid w:val="0083375D"/>
    <w:rsid w:val="00835BCB"/>
    <w:rsid w:val="00835CDC"/>
    <w:rsid w:val="0084409D"/>
    <w:rsid w:val="008460B9"/>
    <w:rsid w:val="00850B09"/>
    <w:rsid w:val="00852A46"/>
    <w:rsid w:val="00853201"/>
    <w:rsid w:val="00862375"/>
    <w:rsid w:val="0086266F"/>
    <w:rsid w:val="00863B9D"/>
    <w:rsid w:val="00863BE6"/>
    <w:rsid w:val="00864893"/>
    <w:rsid w:val="00865254"/>
    <w:rsid w:val="008775BC"/>
    <w:rsid w:val="00880EDE"/>
    <w:rsid w:val="00882EFF"/>
    <w:rsid w:val="00882F1B"/>
    <w:rsid w:val="008837D4"/>
    <w:rsid w:val="00884098"/>
    <w:rsid w:val="008927C7"/>
    <w:rsid w:val="008934BD"/>
    <w:rsid w:val="00894F0E"/>
    <w:rsid w:val="008952A5"/>
    <w:rsid w:val="008A70CE"/>
    <w:rsid w:val="008A792A"/>
    <w:rsid w:val="008B3446"/>
    <w:rsid w:val="008B6E31"/>
    <w:rsid w:val="008C25E4"/>
    <w:rsid w:val="008C2DAE"/>
    <w:rsid w:val="008D0879"/>
    <w:rsid w:val="008D2395"/>
    <w:rsid w:val="008D2690"/>
    <w:rsid w:val="008D5DF7"/>
    <w:rsid w:val="008D6483"/>
    <w:rsid w:val="008D6CDE"/>
    <w:rsid w:val="008D76D7"/>
    <w:rsid w:val="008E1942"/>
    <w:rsid w:val="008E3C9D"/>
    <w:rsid w:val="008E6428"/>
    <w:rsid w:val="008E6592"/>
    <w:rsid w:val="008F1938"/>
    <w:rsid w:val="008F75D1"/>
    <w:rsid w:val="00902225"/>
    <w:rsid w:val="0090520E"/>
    <w:rsid w:val="009059A9"/>
    <w:rsid w:val="0090644B"/>
    <w:rsid w:val="00912C45"/>
    <w:rsid w:val="00913F95"/>
    <w:rsid w:val="009171B4"/>
    <w:rsid w:val="00917BDE"/>
    <w:rsid w:val="00920157"/>
    <w:rsid w:val="00923749"/>
    <w:rsid w:val="0092515E"/>
    <w:rsid w:val="0092718A"/>
    <w:rsid w:val="009326B3"/>
    <w:rsid w:val="00934EE0"/>
    <w:rsid w:val="00935D8C"/>
    <w:rsid w:val="00942DB0"/>
    <w:rsid w:val="00942FBD"/>
    <w:rsid w:val="00943E93"/>
    <w:rsid w:val="00946BDE"/>
    <w:rsid w:val="0094770B"/>
    <w:rsid w:val="009504C6"/>
    <w:rsid w:val="00953603"/>
    <w:rsid w:val="0096228F"/>
    <w:rsid w:val="0096410D"/>
    <w:rsid w:val="00964C9E"/>
    <w:rsid w:val="0097214F"/>
    <w:rsid w:val="00972A8F"/>
    <w:rsid w:val="009732E3"/>
    <w:rsid w:val="00977644"/>
    <w:rsid w:val="00984775"/>
    <w:rsid w:val="009848E8"/>
    <w:rsid w:val="00992DC6"/>
    <w:rsid w:val="00994587"/>
    <w:rsid w:val="00995C50"/>
    <w:rsid w:val="00996121"/>
    <w:rsid w:val="009977C0"/>
    <w:rsid w:val="009B2267"/>
    <w:rsid w:val="009C1C4D"/>
    <w:rsid w:val="009C35E4"/>
    <w:rsid w:val="009C60A8"/>
    <w:rsid w:val="009C7BAA"/>
    <w:rsid w:val="009D3B74"/>
    <w:rsid w:val="009D4FFD"/>
    <w:rsid w:val="009E0AE8"/>
    <w:rsid w:val="009E1242"/>
    <w:rsid w:val="009E5374"/>
    <w:rsid w:val="009F140C"/>
    <w:rsid w:val="009F2703"/>
    <w:rsid w:val="009F345D"/>
    <w:rsid w:val="00A0504A"/>
    <w:rsid w:val="00A0550C"/>
    <w:rsid w:val="00A13218"/>
    <w:rsid w:val="00A2063E"/>
    <w:rsid w:val="00A227A3"/>
    <w:rsid w:val="00A23AB0"/>
    <w:rsid w:val="00A25F69"/>
    <w:rsid w:val="00A27010"/>
    <w:rsid w:val="00A32924"/>
    <w:rsid w:val="00A40C91"/>
    <w:rsid w:val="00A42CE7"/>
    <w:rsid w:val="00A43975"/>
    <w:rsid w:val="00A43F73"/>
    <w:rsid w:val="00A4421C"/>
    <w:rsid w:val="00A53EE0"/>
    <w:rsid w:val="00A54E54"/>
    <w:rsid w:val="00A60B73"/>
    <w:rsid w:val="00A618CD"/>
    <w:rsid w:val="00A6263F"/>
    <w:rsid w:val="00A634A5"/>
    <w:rsid w:val="00A6531B"/>
    <w:rsid w:val="00A72440"/>
    <w:rsid w:val="00A7266D"/>
    <w:rsid w:val="00A73B16"/>
    <w:rsid w:val="00A75983"/>
    <w:rsid w:val="00A80080"/>
    <w:rsid w:val="00A83B50"/>
    <w:rsid w:val="00A90949"/>
    <w:rsid w:val="00A9137C"/>
    <w:rsid w:val="00A93013"/>
    <w:rsid w:val="00A96F70"/>
    <w:rsid w:val="00AA2D09"/>
    <w:rsid w:val="00AA3C94"/>
    <w:rsid w:val="00AA78A9"/>
    <w:rsid w:val="00AA7EDD"/>
    <w:rsid w:val="00AB0878"/>
    <w:rsid w:val="00AB1EDA"/>
    <w:rsid w:val="00AB4511"/>
    <w:rsid w:val="00AB4951"/>
    <w:rsid w:val="00AC0CDC"/>
    <w:rsid w:val="00AC0DF3"/>
    <w:rsid w:val="00AC3821"/>
    <w:rsid w:val="00AC5ADF"/>
    <w:rsid w:val="00AD28A0"/>
    <w:rsid w:val="00AD3F0C"/>
    <w:rsid w:val="00AE35E9"/>
    <w:rsid w:val="00AF546D"/>
    <w:rsid w:val="00B02E04"/>
    <w:rsid w:val="00B10047"/>
    <w:rsid w:val="00B16CB5"/>
    <w:rsid w:val="00B24C07"/>
    <w:rsid w:val="00B30824"/>
    <w:rsid w:val="00B315A0"/>
    <w:rsid w:val="00B31CE2"/>
    <w:rsid w:val="00B32084"/>
    <w:rsid w:val="00B34A18"/>
    <w:rsid w:val="00B4127A"/>
    <w:rsid w:val="00B468CE"/>
    <w:rsid w:val="00B51DB6"/>
    <w:rsid w:val="00B5284B"/>
    <w:rsid w:val="00B528FF"/>
    <w:rsid w:val="00B543D3"/>
    <w:rsid w:val="00B5480F"/>
    <w:rsid w:val="00B57020"/>
    <w:rsid w:val="00B579CB"/>
    <w:rsid w:val="00B626CD"/>
    <w:rsid w:val="00B65729"/>
    <w:rsid w:val="00B70083"/>
    <w:rsid w:val="00B71954"/>
    <w:rsid w:val="00B71ED3"/>
    <w:rsid w:val="00B73441"/>
    <w:rsid w:val="00B80581"/>
    <w:rsid w:val="00B80D10"/>
    <w:rsid w:val="00B83000"/>
    <w:rsid w:val="00B83199"/>
    <w:rsid w:val="00B83EF9"/>
    <w:rsid w:val="00B85241"/>
    <w:rsid w:val="00B8713E"/>
    <w:rsid w:val="00B8760D"/>
    <w:rsid w:val="00B9143D"/>
    <w:rsid w:val="00B91B96"/>
    <w:rsid w:val="00B9629F"/>
    <w:rsid w:val="00BA285A"/>
    <w:rsid w:val="00BA2BD1"/>
    <w:rsid w:val="00BA3B05"/>
    <w:rsid w:val="00BA6C06"/>
    <w:rsid w:val="00BA7FAE"/>
    <w:rsid w:val="00BB0D7A"/>
    <w:rsid w:val="00BB230E"/>
    <w:rsid w:val="00BB28F6"/>
    <w:rsid w:val="00BB4411"/>
    <w:rsid w:val="00BB61B4"/>
    <w:rsid w:val="00BC2609"/>
    <w:rsid w:val="00BC276E"/>
    <w:rsid w:val="00BC4057"/>
    <w:rsid w:val="00BE0C48"/>
    <w:rsid w:val="00BE2F17"/>
    <w:rsid w:val="00BE361B"/>
    <w:rsid w:val="00BF6EEA"/>
    <w:rsid w:val="00C01447"/>
    <w:rsid w:val="00C01DE9"/>
    <w:rsid w:val="00C02DB6"/>
    <w:rsid w:val="00C03D6F"/>
    <w:rsid w:val="00C0528F"/>
    <w:rsid w:val="00C0560D"/>
    <w:rsid w:val="00C07524"/>
    <w:rsid w:val="00C13145"/>
    <w:rsid w:val="00C14575"/>
    <w:rsid w:val="00C16ADB"/>
    <w:rsid w:val="00C21C3B"/>
    <w:rsid w:val="00C220DD"/>
    <w:rsid w:val="00C325A6"/>
    <w:rsid w:val="00C35BCA"/>
    <w:rsid w:val="00C41FAD"/>
    <w:rsid w:val="00C44190"/>
    <w:rsid w:val="00C44434"/>
    <w:rsid w:val="00C50B0C"/>
    <w:rsid w:val="00C51808"/>
    <w:rsid w:val="00C545F3"/>
    <w:rsid w:val="00C54BE8"/>
    <w:rsid w:val="00C572D9"/>
    <w:rsid w:val="00C62089"/>
    <w:rsid w:val="00C66091"/>
    <w:rsid w:val="00C67A4C"/>
    <w:rsid w:val="00C744FE"/>
    <w:rsid w:val="00C776F7"/>
    <w:rsid w:val="00C80BDF"/>
    <w:rsid w:val="00C82F29"/>
    <w:rsid w:val="00C90AC2"/>
    <w:rsid w:val="00C92B92"/>
    <w:rsid w:val="00CA20AB"/>
    <w:rsid w:val="00CA31CD"/>
    <w:rsid w:val="00CA447D"/>
    <w:rsid w:val="00CA5DAC"/>
    <w:rsid w:val="00CB01E4"/>
    <w:rsid w:val="00CB076E"/>
    <w:rsid w:val="00CB0FBA"/>
    <w:rsid w:val="00CC2690"/>
    <w:rsid w:val="00CC2EFD"/>
    <w:rsid w:val="00CC583A"/>
    <w:rsid w:val="00CC74AD"/>
    <w:rsid w:val="00CD16AD"/>
    <w:rsid w:val="00CD2948"/>
    <w:rsid w:val="00CD2971"/>
    <w:rsid w:val="00CD3C0A"/>
    <w:rsid w:val="00CE5B31"/>
    <w:rsid w:val="00CE750F"/>
    <w:rsid w:val="00CF51F2"/>
    <w:rsid w:val="00CF7E7C"/>
    <w:rsid w:val="00D0211F"/>
    <w:rsid w:val="00D13B68"/>
    <w:rsid w:val="00D1486E"/>
    <w:rsid w:val="00D151FD"/>
    <w:rsid w:val="00D15BAA"/>
    <w:rsid w:val="00D160CB"/>
    <w:rsid w:val="00D1747C"/>
    <w:rsid w:val="00D174A1"/>
    <w:rsid w:val="00D245A1"/>
    <w:rsid w:val="00D259F6"/>
    <w:rsid w:val="00D2710F"/>
    <w:rsid w:val="00D3598C"/>
    <w:rsid w:val="00D35FFF"/>
    <w:rsid w:val="00D4092C"/>
    <w:rsid w:val="00D415E2"/>
    <w:rsid w:val="00D42055"/>
    <w:rsid w:val="00D461D0"/>
    <w:rsid w:val="00D474FD"/>
    <w:rsid w:val="00D549DE"/>
    <w:rsid w:val="00D618F8"/>
    <w:rsid w:val="00D61932"/>
    <w:rsid w:val="00D62857"/>
    <w:rsid w:val="00D647C3"/>
    <w:rsid w:val="00D65CBF"/>
    <w:rsid w:val="00D66279"/>
    <w:rsid w:val="00D70855"/>
    <w:rsid w:val="00D70A2D"/>
    <w:rsid w:val="00D7325D"/>
    <w:rsid w:val="00D82C20"/>
    <w:rsid w:val="00D82ED4"/>
    <w:rsid w:val="00D84DE1"/>
    <w:rsid w:val="00D9070B"/>
    <w:rsid w:val="00D95AD0"/>
    <w:rsid w:val="00D95CE5"/>
    <w:rsid w:val="00D9633A"/>
    <w:rsid w:val="00DA2C30"/>
    <w:rsid w:val="00DA54C7"/>
    <w:rsid w:val="00DA55B1"/>
    <w:rsid w:val="00DC0C07"/>
    <w:rsid w:val="00DC2D31"/>
    <w:rsid w:val="00DC307E"/>
    <w:rsid w:val="00DC633C"/>
    <w:rsid w:val="00DD1A5D"/>
    <w:rsid w:val="00DD27B4"/>
    <w:rsid w:val="00DD5308"/>
    <w:rsid w:val="00DE06B3"/>
    <w:rsid w:val="00DE11E6"/>
    <w:rsid w:val="00DE6660"/>
    <w:rsid w:val="00DE6F17"/>
    <w:rsid w:val="00DF0F52"/>
    <w:rsid w:val="00DF1FA9"/>
    <w:rsid w:val="00DF2386"/>
    <w:rsid w:val="00DF3AF6"/>
    <w:rsid w:val="00DF77CA"/>
    <w:rsid w:val="00DF7FE7"/>
    <w:rsid w:val="00E01A27"/>
    <w:rsid w:val="00E0298E"/>
    <w:rsid w:val="00E04909"/>
    <w:rsid w:val="00E04C84"/>
    <w:rsid w:val="00E07553"/>
    <w:rsid w:val="00E10BD9"/>
    <w:rsid w:val="00E130A2"/>
    <w:rsid w:val="00E163FC"/>
    <w:rsid w:val="00E17348"/>
    <w:rsid w:val="00E17D41"/>
    <w:rsid w:val="00E246FD"/>
    <w:rsid w:val="00E25F1E"/>
    <w:rsid w:val="00E30173"/>
    <w:rsid w:val="00E32779"/>
    <w:rsid w:val="00E32924"/>
    <w:rsid w:val="00E4013B"/>
    <w:rsid w:val="00E4141C"/>
    <w:rsid w:val="00E41DBC"/>
    <w:rsid w:val="00E42037"/>
    <w:rsid w:val="00E422E5"/>
    <w:rsid w:val="00E44047"/>
    <w:rsid w:val="00E4608F"/>
    <w:rsid w:val="00E46367"/>
    <w:rsid w:val="00E51F93"/>
    <w:rsid w:val="00E52FB2"/>
    <w:rsid w:val="00E53C25"/>
    <w:rsid w:val="00E55D24"/>
    <w:rsid w:val="00E56C9F"/>
    <w:rsid w:val="00E626CB"/>
    <w:rsid w:val="00E63F0B"/>
    <w:rsid w:val="00E66E2B"/>
    <w:rsid w:val="00E67DD0"/>
    <w:rsid w:val="00E70E03"/>
    <w:rsid w:val="00E83269"/>
    <w:rsid w:val="00E8731B"/>
    <w:rsid w:val="00E938AB"/>
    <w:rsid w:val="00E95AF2"/>
    <w:rsid w:val="00E9760C"/>
    <w:rsid w:val="00EA0B37"/>
    <w:rsid w:val="00EA1CE8"/>
    <w:rsid w:val="00EA2E5A"/>
    <w:rsid w:val="00EA32C5"/>
    <w:rsid w:val="00EA3A7F"/>
    <w:rsid w:val="00EA4D98"/>
    <w:rsid w:val="00EA6390"/>
    <w:rsid w:val="00EA6E42"/>
    <w:rsid w:val="00EB5C42"/>
    <w:rsid w:val="00EC0FB4"/>
    <w:rsid w:val="00EC2607"/>
    <w:rsid w:val="00EC4630"/>
    <w:rsid w:val="00EC6141"/>
    <w:rsid w:val="00ED05E8"/>
    <w:rsid w:val="00ED5424"/>
    <w:rsid w:val="00EE11C3"/>
    <w:rsid w:val="00EE3B46"/>
    <w:rsid w:val="00EE43D3"/>
    <w:rsid w:val="00EF14FB"/>
    <w:rsid w:val="00EF43B9"/>
    <w:rsid w:val="00EF5FB5"/>
    <w:rsid w:val="00EF70C8"/>
    <w:rsid w:val="00F00DD4"/>
    <w:rsid w:val="00F015A7"/>
    <w:rsid w:val="00F03C27"/>
    <w:rsid w:val="00F078F1"/>
    <w:rsid w:val="00F102EC"/>
    <w:rsid w:val="00F1151E"/>
    <w:rsid w:val="00F13401"/>
    <w:rsid w:val="00F15F51"/>
    <w:rsid w:val="00F23144"/>
    <w:rsid w:val="00F31499"/>
    <w:rsid w:val="00F32D03"/>
    <w:rsid w:val="00F32FE6"/>
    <w:rsid w:val="00F33C25"/>
    <w:rsid w:val="00F344DE"/>
    <w:rsid w:val="00F37732"/>
    <w:rsid w:val="00F41E35"/>
    <w:rsid w:val="00F42C24"/>
    <w:rsid w:val="00F42D30"/>
    <w:rsid w:val="00F44793"/>
    <w:rsid w:val="00F53EAA"/>
    <w:rsid w:val="00F605EA"/>
    <w:rsid w:val="00F6166E"/>
    <w:rsid w:val="00F6171B"/>
    <w:rsid w:val="00F61F24"/>
    <w:rsid w:val="00F624B1"/>
    <w:rsid w:val="00F70580"/>
    <w:rsid w:val="00F70CCC"/>
    <w:rsid w:val="00F71AFD"/>
    <w:rsid w:val="00F73E71"/>
    <w:rsid w:val="00F8023E"/>
    <w:rsid w:val="00F82FA1"/>
    <w:rsid w:val="00F84EA1"/>
    <w:rsid w:val="00F85F64"/>
    <w:rsid w:val="00F86268"/>
    <w:rsid w:val="00F9217A"/>
    <w:rsid w:val="00F942B8"/>
    <w:rsid w:val="00F95A4E"/>
    <w:rsid w:val="00FA2C80"/>
    <w:rsid w:val="00FB15D8"/>
    <w:rsid w:val="00FB50E3"/>
    <w:rsid w:val="00FB6122"/>
    <w:rsid w:val="00FC398D"/>
    <w:rsid w:val="00FD50F1"/>
    <w:rsid w:val="00FE0C45"/>
    <w:rsid w:val="00FE1469"/>
    <w:rsid w:val="00FE177A"/>
    <w:rsid w:val="00FE1D57"/>
    <w:rsid w:val="00FF5A2E"/>
    <w:rsid w:val="00FF6A9B"/>
    <w:rsid w:val="00FF77E2"/>
    <w:rsid w:val="0288763A"/>
    <w:rsid w:val="044E2CCF"/>
    <w:rsid w:val="0466614F"/>
    <w:rsid w:val="08BC719B"/>
    <w:rsid w:val="09445172"/>
    <w:rsid w:val="0979EB10"/>
    <w:rsid w:val="0F3E2183"/>
    <w:rsid w:val="0F9C2226"/>
    <w:rsid w:val="11F845A6"/>
    <w:rsid w:val="122F27F1"/>
    <w:rsid w:val="1236C609"/>
    <w:rsid w:val="138B3830"/>
    <w:rsid w:val="148ACD57"/>
    <w:rsid w:val="15A0241C"/>
    <w:rsid w:val="15EAF515"/>
    <w:rsid w:val="164BD3C3"/>
    <w:rsid w:val="17237C26"/>
    <w:rsid w:val="18D873D4"/>
    <w:rsid w:val="1B4B2A9D"/>
    <w:rsid w:val="1BF2C9FC"/>
    <w:rsid w:val="1BF47F4F"/>
    <w:rsid w:val="1CC60E84"/>
    <w:rsid w:val="1EDC5D60"/>
    <w:rsid w:val="20DE3391"/>
    <w:rsid w:val="21E4066B"/>
    <w:rsid w:val="22562BD1"/>
    <w:rsid w:val="24010A80"/>
    <w:rsid w:val="27BA0CB1"/>
    <w:rsid w:val="285640A7"/>
    <w:rsid w:val="29004109"/>
    <w:rsid w:val="2A8DFF7C"/>
    <w:rsid w:val="2BA1699A"/>
    <w:rsid w:val="2BBB95D0"/>
    <w:rsid w:val="2C05F86E"/>
    <w:rsid w:val="2CAAA881"/>
    <w:rsid w:val="318DBAA3"/>
    <w:rsid w:val="344B00C8"/>
    <w:rsid w:val="345121B9"/>
    <w:rsid w:val="34AC49AE"/>
    <w:rsid w:val="35D24A0D"/>
    <w:rsid w:val="3AA0E921"/>
    <w:rsid w:val="3B766BAF"/>
    <w:rsid w:val="3BFA0099"/>
    <w:rsid w:val="40B70BE6"/>
    <w:rsid w:val="415A46E0"/>
    <w:rsid w:val="42A3CF03"/>
    <w:rsid w:val="4314E4FC"/>
    <w:rsid w:val="4649E59E"/>
    <w:rsid w:val="4704A10A"/>
    <w:rsid w:val="48DDE076"/>
    <w:rsid w:val="4907B6CA"/>
    <w:rsid w:val="49F3018E"/>
    <w:rsid w:val="4D244F5D"/>
    <w:rsid w:val="4FF9F0AB"/>
    <w:rsid w:val="50843CEB"/>
    <w:rsid w:val="51D791FF"/>
    <w:rsid w:val="51FE61AE"/>
    <w:rsid w:val="53F33090"/>
    <w:rsid w:val="54F40A76"/>
    <w:rsid w:val="560B17F8"/>
    <w:rsid w:val="5621C426"/>
    <w:rsid w:val="58AF0FE7"/>
    <w:rsid w:val="5A909EEA"/>
    <w:rsid w:val="5C84933E"/>
    <w:rsid w:val="5EDFE3AB"/>
    <w:rsid w:val="604E51E3"/>
    <w:rsid w:val="6185E1CE"/>
    <w:rsid w:val="631A6366"/>
    <w:rsid w:val="6359F91F"/>
    <w:rsid w:val="635DABF2"/>
    <w:rsid w:val="64104909"/>
    <w:rsid w:val="649FDC15"/>
    <w:rsid w:val="64D6BC1D"/>
    <w:rsid w:val="66EF2470"/>
    <w:rsid w:val="67B4611B"/>
    <w:rsid w:val="6879964D"/>
    <w:rsid w:val="6893940E"/>
    <w:rsid w:val="68FAB39B"/>
    <w:rsid w:val="6AA1CCD7"/>
    <w:rsid w:val="6BB2240A"/>
    <w:rsid w:val="6D9F5B3F"/>
    <w:rsid w:val="7036ADE2"/>
    <w:rsid w:val="70A67744"/>
    <w:rsid w:val="70B817BD"/>
    <w:rsid w:val="713CC77F"/>
    <w:rsid w:val="71B27143"/>
    <w:rsid w:val="72250D8F"/>
    <w:rsid w:val="735ADB01"/>
    <w:rsid w:val="749ACB7B"/>
    <w:rsid w:val="754FB804"/>
    <w:rsid w:val="7A18BDF9"/>
    <w:rsid w:val="7B0F4970"/>
    <w:rsid w:val="7C53097C"/>
    <w:rsid w:val="7ED4D402"/>
    <w:rsid w:val="7F289D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56252"/>
  <w15:docId w15:val="{968ADE53-EAF1-0A41-A4D6-39D7942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UnresolvedMention">
    <w:name w:val="Unresolved Mention"/>
    <w:basedOn w:val="DefaultParagraphFont"/>
    <w:uiPriority w:val="99"/>
    <w:semiHidden/>
    <w:unhideWhenUsed/>
    <w:rsid w:val="007C4DEC"/>
    <w:rPr>
      <w:color w:val="605E5C"/>
      <w:shd w:val="clear" w:color="auto" w:fill="E1DFDD"/>
    </w:rPr>
  </w:style>
  <w:style w:type="paragraph" w:styleId="BodyText">
    <w:name w:val="Body Text"/>
    <w:basedOn w:val="Normal"/>
    <w:link w:val="BodyTextChar"/>
    <w:uiPriority w:val="1"/>
    <w:qFormat/>
    <w:rsid w:val="00096EA5"/>
    <w:pPr>
      <w:widowControl w:val="0"/>
      <w:autoSpaceDE w:val="0"/>
      <w:autoSpaceDN w:val="0"/>
      <w:ind w:left="0" w:firstLine="0"/>
    </w:pPr>
    <w:rPr>
      <w:rFonts w:ascii="Arial" w:eastAsia="Arial" w:hAnsi="Arial" w:cs="Arial"/>
      <w:sz w:val="20"/>
      <w:szCs w:val="20"/>
    </w:rPr>
  </w:style>
  <w:style w:type="character" w:customStyle="1" w:styleId="BodyTextChar">
    <w:name w:val="Body Text Char"/>
    <w:basedOn w:val="DefaultParagraphFont"/>
    <w:link w:val="BodyText"/>
    <w:uiPriority w:val="1"/>
    <w:rsid w:val="00096EA5"/>
    <w:rPr>
      <w:rFonts w:ascii="Arial" w:eastAsia="Arial" w:hAnsi="Arial" w:cs="Arial"/>
      <w:sz w:val="20"/>
      <w:szCs w:val="20"/>
      <w:lang w:val="fr-FR"/>
    </w:rPr>
  </w:style>
  <w:style w:type="character" w:styleId="FollowedHyperlink">
    <w:name w:val="FollowedHyperlink"/>
    <w:basedOn w:val="DefaultParagraphFont"/>
    <w:uiPriority w:val="99"/>
    <w:semiHidden/>
    <w:unhideWhenUsed/>
    <w:rsid w:val="00E2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33930188">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0341057">
      <w:bodyDiv w:val="1"/>
      <w:marLeft w:val="0"/>
      <w:marRight w:val="0"/>
      <w:marTop w:val="0"/>
      <w:marBottom w:val="0"/>
      <w:divBdr>
        <w:top w:val="none" w:sz="0" w:space="0" w:color="auto"/>
        <w:left w:val="none" w:sz="0" w:space="0" w:color="auto"/>
        <w:bottom w:val="none" w:sz="0" w:space="0" w:color="auto"/>
        <w:right w:val="none" w:sz="0" w:space="0" w:color="auto"/>
      </w:divBdr>
    </w:div>
    <w:div w:id="19227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sc62-doc24-rev1-compte-rendu-du-secretariat-sur-la-mise-en-oeuvre-de-la-resolution-xiv20" TargetMode="External"/><Relationship Id="rId2" Type="http://schemas.openxmlformats.org/officeDocument/2006/relationships/hyperlink" Target="https://unece.org/environment/documents/2024/05/informal-documents/policy-and-technical-brief-use-earth-observations" TargetMode="External"/><Relationship Id="rId1" Type="http://schemas.openxmlformats.org/officeDocument/2006/relationships/hyperlink" Target="https://www.ramsar.org/fr/document/sc63-doc24-compte-rendu-du-secretariat-sur-la-mise-en-oeuvre-de-la-resolution-xi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3D04E-C4F8-4B6C-8CE3-58138DE2C55B}">
  <ds:schemaRefs>
    <ds:schemaRef ds:uri="http://schemas.openxmlformats.org/officeDocument/2006/bibliography"/>
  </ds:schemaRefs>
</ds:datastoreItem>
</file>

<file path=customXml/itemProps2.xml><?xml version="1.0" encoding="utf-8"?>
<ds:datastoreItem xmlns:ds="http://schemas.openxmlformats.org/officeDocument/2006/customXml" ds:itemID="{23391B7B-400C-44D3-9E6C-CE6AF00B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6C104-9E3F-42D7-A978-021CE9F6B2E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F42D8BB8-6588-4BB8-B217-3D43AC5EF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Company>IUCN</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BRACE Poppy</cp:lastModifiedBy>
  <cp:revision>3</cp:revision>
  <cp:lastPrinted>2016-10-06T22:08:00Z</cp:lastPrinted>
  <dcterms:created xsi:type="dcterms:W3CDTF">2024-09-20T07:32:00Z</dcterms:created>
  <dcterms:modified xsi:type="dcterms:W3CDTF">2024-10-21T15:04:00Z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