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0063A" w14:textId="77777777" w:rsidR="00212216" w:rsidRPr="00E80198" w:rsidRDefault="00212216" w:rsidP="00212216">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noProof/>
        </w:rPr>
      </w:pPr>
      <w:r w:rsidRPr="00E80198">
        <w:rPr>
          <w:rFonts w:asciiTheme="minorHAnsi" w:hAnsiTheme="minorHAnsi" w:cstheme="minorHAnsi"/>
          <w:bCs/>
          <w:noProof/>
        </w:rPr>
        <w:t>LA CONVENCIÓN SOBRE LOS HUMEDALES</w:t>
      </w:r>
    </w:p>
    <w:p w14:paraId="6EEB9E02" w14:textId="77777777" w:rsidR="00212216" w:rsidRPr="00E80198" w:rsidRDefault="00212216" w:rsidP="00212216">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noProof/>
        </w:rPr>
      </w:pPr>
      <w:r w:rsidRPr="00E80198">
        <w:rPr>
          <w:rFonts w:asciiTheme="minorHAnsi" w:hAnsiTheme="minorHAnsi" w:cstheme="minorHAnsi"/>
          <w:bCs/>
          <w:noProof/>
        </w:rPr>
        <w:t>64ª reunión del Comité Permanente</w:t>
      </w:r>
    </w:p>
    <w:p w14:paraId="6019A2BE" w14:textId="77777777" w:rsidR="00212216" w:rsidRPr="00E80198" w:rsidRDefault="00212216" w:rsidP="00212216">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noProof/>
        </w:rPr>
      </w:pPr>
      <w:r w:rsidRPr="00E80198">
        <w:rPr>
          <w:rFonts w:asciiTheme="minorHAnsi" w:hAnsiTheme="minorHAnsi" w:cstheme="minorHAnsi"/>
          <w:bCs/>
          <w:noProof/>
        </w:rPr>
        <w:t xml:space="preserve">Gland, Suiza, </w:t>
      </w:r>
      <w:r w:rsidRPr="00E80198">
        <w:rPr>
          <w:rFonts w:asciiTheme="minorHAnsi" w:hAnsiTheme="minorHAnsi" w:cstheme="minorHAnsi"/>
          <w:noProof/>
        </w:rPr>
        <w:t>20 a 24 de enero de 2025</w:t>
      </w:r>
    </w:p>
    <w:p w14:paraId="39D14B48" w14:textId="77777777" w:rsidR="00DF2386" w:rsidRDefault="00DF2386" w:rsidP="00014168">
      <w:pPr>
        <w:outlineLvl w:val="0"/>
        <w:rPr>
          <w:b/>
        </w:rPr>
      </w:pPr>
    </w:p>
    <w:p w14:paraId="2D41CD0B" w14:textId="77777777" w:rsidR="00DF2386" w:rsidRPr="00D245A1" w:rsidRDefault="00A26E01" w:rsidP="00014168">
      <w:pPr>
        <w:jc w:val="right"/>
        <w:rPr>
          <w:rFonts w:cs="Arial"/>
          <w:sz w:val="28"/>
          <w:szCs w:val="28"/>
        </w:rPr>
      </w:pPr>
      <w:r>
        <w:rPr>
          <w:b/>
          <w:sz w:val="28"/>
        </w:rPr>
        <w:t xml:space="preserve">SC64 Doc.9.3 </w:t>
      </w:r>
    </w:p>
    <w:p w14:paraId="5063E833" w14:textId="77777777" w:rsidR="00DF2386" w:rsidRDefault="00DF2386" w:rsidP="00951D88">
      <w:pPr>
        <w:ind w:left="0" w:firstLine="0"/>
        <w:rPr>
          <w:rFonts w:cs="Arial"/>
          <w:b/>
          <w:sz w:val="28"/>
          <w:szCs w:val="28"/>
        </w:rPr>
      </w:pPr>
    </w:p>
    <w:p w14:paraId="1534395A" w14:textId="3D0C70FB" w:rsidR="0024413E" w:rsidRDefault="0024413E" w:rsidP="00951D88">
      <w:pPr>
        <w:ind w:left="0" w:firstLine="0"/>
        <w:jc w:val="center"/>
        <w:rPr>
          <w:b/>
          <w:sz w:val="28"/>
        </w:rPr>
      </w:pPr>
      <w:r w:rsidRPr="0024413E">
        <w:rPr>
          <w:b/>
          <w:sz w:val="28"/>
        </w:rPr>
        <w:t>Cuestiones financieras y presupuestarias:</w:t>
      </w:r>
    </w:p>
    <w:p w14:paraId="23CFD820" w14:textId="15B328E3" w:rsidR="00DF2386" w:rsidRDefault="00AA1858" w:rsidP="00951D88">
      <w:pPr>
        <w:ind w:left="0" w:firstLine="0"/>
        <w:jc w:val="center"/>
        <w:rPr>
          <w:rFonts w:cs="Arial"/>
          <w:b/>
          <w:sz w:val="28"/>
          <w:szCs w:val="28"/>
        </w:rPr>
      </w:pPr>
      <w:r>
        <w:rPr>
          <w:b/>
          <w:sz w:val="28"/>
        </w:rPr>
        <w:t>Escenarios presupuestarios para 2026</w:t>
      </w:r>
      <w:r w:rsidR="00D97C3B">
        <w:rPr>
          <w:b/>
          <w:sz w:val="28"/>
        </w:rPr>
        <w:noBreakHyphen/>
        <w:t>20</w:t>
      </w:r>
      <w:r>
        <w:rPr>
          <w:b/>
          <w:sz w:val="28"/>
        </w:rPr>
        <w:t>28 y proyecto de resolución sobre cuestiones financieras y presupuestarias</w:t>
      </w:r>
    </w:p>
    <w:p w14:paraId="77A3172B" w14:textId="77777777" w:rsidR="00DF2386" w:rsidRDefault="00DF2386" w:rsidP="00014168">
      <w:pPr>
        <w:rPr>
          <w:rFonts w:ascii="Garamond" w:hAnsi="Garamond" w:cs="Arial"/>
        </w:rPr>
      </w:pPr>
    </w:p>
    <w:p w14:paraId="46BCBAC4" w14:textId="77777777" w:rsidR="000C2489" w:rsidRDefault="000C2489" w:rsidP="00F068F0">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7936952C" wp14:editId="3E05BE0F">
                <wp:extent cx="5731510" cy="207645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76450"/>
                        </a:xfrm>
                        <a:prstGeom prst="rect">
                          <a:avLst/>
                        </a:prstGeom>
                        <a:solidFill>
                          <a:srgbClr val="FFFFFF"/>
                        </a:solidFill>
                        <a:ln w="9525">
                          <a:solidFill>
                            <a:srgbClr val="000000"/>
                          </a:solidFill>
                          <a:miter lim="800000"/>
                          <a:headEnd/>
                          <a:tailEnd/>
                        </a:ln>
                      </wps:spPr>
                      <wps:txbx>
                        <w:txbxContent>
                          <w:p w14:paraId="5AEEC907" w14:textId="77777777" w:rsidR="002F5B6F" w:rsidRDefault="002F5B6F" w:rsidP="000C2489">
                            <w:pPr>
                              <w:rPr>
                                <w:b/>
                                <w:bCs/>
                              </w:rPr>
                            </w:pPr>
                            <w:r>
                              <w:rPr>
                                <w:b/>
                              </w:rPr>
                              <w:t xml:space="preserve">Acciones solicitadas: </w:t>
                            </w:r>
                          </w:p>
                          <w:p w14:paraId="15A2EAEF" w14:textId="77777777" w:rsidR="002F5B6F" w:rsidRDefault="002F5B6F" w:rsidP="000C2489">
                            <w:pPr>
                              <w:pStyle w:val="ColorfulList-Accent11"/>
                              <w:ind w:left="0"/>
                            </w:pPr>
                          </w:p>
                          <w:p w14:paraId="261BA10D" w14:textId="77777777" w:rsidR="002F5B6F" w:rsidRDefault="002F5B6F" w:rsidP="00275F13">
                            <w:pPr>
                              <w:pStyle w:val="ColorfulList-Accent11"/>
                              <w:ind w:left="0" w:firstLine="0"/>
                              <w:rPr>
                                <w:rFonts w:cs="Calibri"/>
                              </w:rPr>
                            </w:pPr>
                            <w:r>
                              <w:t>Se invita al Comité Permanente a hacer lo siguiente:</w:t>
                            </w:r>
                          </w:p>
                          <w:p w14:paraId="0CFE3B7B" w14:textId="77777777" w:rsidR="002F5B6F" w:rsidRDefault="002F5B6F" w:rsidP="000C2489">
                            <w:pPr>
                              <w:pStyle w:val="ColorfulList-Accent11"/>
                              <w:ind w:left="0"/>
                              <w:rPr>
                                <w:rFonts w:cs="Calibri"/>
                              </w:rPr>
                            </w:pPr>
                          </w:p>
                          <w:p w14:paraId="103C834D" w14:textId="77777777" w:rsidR="002F5B6F" w:rsidRPr="00951D88" w:rsidRDefault="002F5B6F" w:rsidP="00523C54">
                            <w:pPr>
                              <w:pStyle w:val="ColorfulList-Accent11"/>
                              <w:ind w:left="426"/>
                              <w:rPr>
                                <w:rFonts w:cs="Calibri"/>
                              </w:rPr>
                            </w:pPr>
                            <w:r>
                              <w:t>i.</w:t>
                            </w:r>
                            <w:r>
                              <w:tab/>
                              <w:t xml:space="preserve">tomar nota del contenido del presente informe; </w:t>
                            </w:r>
                          </w:p>
                          <w:p w14:paraId="7C85DB7D" w14:textId="77777777" w:rsidR="002F5B6F" w:rsidRPr="00F32D03" w:rsidRDefault="002F5B6F" w:rsidP="00523C54">
                            <w:pPr>
                              <w:pStyle w:val="ColorfulList-Accent11"/>
                              <w:ind w:left="426" w:firstLine="0"/>
                            </w:pPr>
                          </w:p>
                          <w:p w14:paraId="3642454B" w14:textId="77777777" w:rsidR="002F5B6F" w:rsidRPr="00F32D03" w:rsidRDefault="002F5B6F" w:rsidP="00523C54">
                            <w:pPr>
                              <w:pStyle w:val="ColorfulList-Accent11"/>
                              <w:ind w:left="426"/>
                            </w:pPr>
                            <w:proofErr w:type="spellStart"/>
                            <w:r>
                              <w:t>ii</w:t>
                            </w:r>
                            <w:proofErr w:type="spellEnd"/>
                            <w:r>
                              <w:t>.</w:t>
                            </w:r>
                            <w:r>
                              <w:tab/>
                              <w:t>confirmar qué escenario presupuestario se presentará a la 15ª reunión de la Conferencia de las Partes Contratantes;</w:t>
                            </w:r>
                          </w:p>
                          <w:p w14:paraId="276923E4" w14:textId="77777777" w:rsidR="002F5B6F" w:rsidRPr="00F32D03" w:rsidRDefault="002F5B6F" w:rsidP="00523C54">
                            <w:pPr>
                              <w:pStyle w:val="ColorfulList-Accent11"/>
                              <w:ind w:left="426" w:firstLine="0"/>
                            </w:pPr>
                          </w:p>
                          <w:p w14:paraId="0792ACE9" w14:textId="77777777" w:rsidR="002F5B6F" w:rsidRPr="00951D88" w:rsidRDefault="002F5B6F" w:rsidP="00523C54">
                            <w:pPr>
                              <w:pStyle w:val="ColorfulList-Accent11"/>
                              <w:ind w:left="426"/>
                              <w:rPr>
                                <w:rFonts w:cs="Calibri"/>
                              </w:rPr>
                            </w:pPr>
                            <w:proofErr w:type="spellStart"/>
                            <w:r>
                              <w:t>iii</w:t>
                            </w:r>
                            <w:proofErr w:type="spellEnd"/>
                            <w:r>
                              <w:t>.</w:t>
                            </w:r>
                            <w:r>
                              <w:tab/>
                              <w:t>decidir que se remita el proyecto de resolución sobre cuestiones financieras y presupuestarias a la COP15 para su consideración.</w:t>
                            </w:r>
                          </w:p>
                        </w:txbxContent>
                      </wps:txbx>
                      <wps:bodyPr rot="0" vert="horz" wrap="square" lIns="91440" tIns="45720" rIns="91440" bIns="45720" anchor="t" anchorCtr="0" upright="1">
                        <a:noAutofit/>
                      </wps:bodyPr>
                    </wps:wsp>
                  </a:graphicData>
                </a:graphic>
              </wp:inline>
            </w:drawing>
          </mc:Choice>
          <mc:Fallback>
            <w:pict>
              <v:shapetype w14:anchorId="7936952C" id="_x0000_t202" coordsize="21600,21600" o:spt="202" path="m,l,21600r21600,l21600,xe">
                <v:stroke joinstyle="miter"/>
                <v:path gradientshapeok="t" o:connecttype="rect"/>
              </v:shapetype>
              <v:shape id="Text Box 1" o:spid="_x0000_s1026" type="#_x0000_t202" style="width:451.3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CJFwIAACwEAAAOAAAAZHJzL2Uyb0RvYy54bWysU9tu2zAMfR+wfxD0vjjOkl6MOEWXLsOA&#10;7gJ0+wBFlm1hsqhRSuzs60vJaRp028swPQiiSB2Rh4fLm6EzbK/Qa7AlzydTzpSVUGnblPz7t82b&#10;K858ELYSBqwq+UF5frN6/WrZu0LNoAVTKWQEYn3Ru5K3Ibgiy7xsVSf8BJyy5KwBOxHIxCarUPSE&#10;3plsNp1eZD1g5RCk8p5u70YnXyX8ulYyfKlrrwIzJafcQtox7du4Z6ulKBoUrtXymIb4hyw6oS19&#10;eoK6E0GwHerfoDotETzUYSKhy6CutVSpBqomn76o5qEVTqVaiBzvTjT5/wcrP+8f3FdkYXgHAzUw&#10;FeHdPcgfnllYt8I26hYR+laJij7OI2VZ73xxfBqp9oWPINv+E1TUZLELkICGGrvICtXJCJ0acDiR&#10;robAJF0uLt/mi5xcknyz6eXFfJHakoni6blDHz4o6Fg8lBypqwle7O99iOmI4ikk/ubB6GqjjUkG&#10;Ntu1QbYXpIBNWqmCF2HGsr7k14vZYmTgrxDTtP4E0elAUja6K/nVKUgUkbf3tkpCC0Kb8UwpG3sk&#10;MnI3shiG7UCBkdAtVAeiFGGULI0YHVrAX5z1JNeS+587gYoz89FSW67z+TzqOxnzxeWMDDz3bM89&#10;wkqCKnngbDyuwzgTO4e6aemnUQgWbqmVtU4kP2d1zJskmbg/jk/U/Lmdop6HfPUIAAD//wMAUEsD&#10;BBQABgAIAAAAIQDxzey33QAAAAUBAAAPAAAAZHJzL2Rvd25yZXYueG1sTI/BTsMwEETvSPyDtZW4&#10;IGqTorRN41QICQS3tiC4uvE2ibDXwXbT8PcYLuWy0mhGM2/L9WgNG9CHzpGE26kAhlQ73VEj4e31&#10;8WYBLERFWhlHKOEbA6yry4tSFdqdaIvDLjYslVAolIQ2xr7gPNQtWhWmrkdK3sF5q2KSvuHaq1Mq&#10;t4ZnQuTcqo7SQqt6fGix/twdrYTF3fPwEV5mm/c6P5hlvJ4PT19eyqvJeL8CFnGM5zD84id0qBLT&#10;3h1JB2YkpEfi303eUmQ5sL2EWTYXwKuS/6evfgAAAP//AwBQSwECLQAUAAYACAAAACEAtoM4kv4A&#10;AADhAQAAEwAAAAAAAAAAAAAAAAAAAAAAW0NvbnRlbnRfVHlwZXNdLnhtbFBLAQItABQABgAIAAAA&#10;IQA4/SH/1gAAAJQBAAALAAAAAAAAAAAAAAAAAC8BAABfcmVscy8ucmVsc1BLAQItABQABgAIAAAA&#10;IQC0yYCJFwIAACwEAAAOAAAAAAAAAAAAAAAAAC4CAABkcnMvZTJvRG9jLnhtbFBLAQItABQABgAI&#10;AAAAIQDxzey33QAAAAUBAAAPAAAAAAAAAAAAAAAAAHEEAABkcnMvZG93bnJldi54bWxQSwUGAAAA&#10;AAQABADzAAAAewUAAAAA&#10;">
                <v:textbox>
                  <w:txbxContent>
                    <w:p w14:paraId="5AEEC907" w14:textId="77777777" w:rsidR="002F5B6F" w:rsidRDefault="002F5B6F" w:rsidP="000C2489">
                      <w:pPr>
                        <w:rPr>
                          <w:b/>
                          <w:bCs/>
                        </w:rPr>
                      </w:pPr>
                      <w:r>
                        <w:rPr>
                          <w:b/>
                        </w:rPr>
                        <w:t xml:space="preserve">Acciones solicitadas: </w:t>
                      </w:r>
                    </w:p>
                    <w:p w14:paraId="15A2EAEF" w14:textId="77777777" w:rsidR="002F5B6F" w:rsidRDefault="002F5B6F" w:rsidP="000C2489">
                      <w:pPr>
                        <w:pStyle w:val="ColorfulList-Accent11"/>
                        <w:ind w:left="0"/>
                      </w:pPr>
                    </w:p>
                    <w:p w14:paraId="261BA10D" w14:textId="77777777" w:rsidR="002F5B6F" w:rsidRDefault="002F5B6F" w:rsidP="00275F13">
                      <w:pPr>
                        <w:pStyle w:val="ColorfulList-Accent11"/>
                        <w:ind w:left="0" w:firstLine="0"/>
                        <w:rPr>
                          <w:rFonts w:cs="Calibri"/>
                        </w:rPr>
                      </w:pPr>
                      <w:r>
                        <w:t>Se invita al Comité Permanente a hacer lo siguiente:</w:t>
                      </w:r>
                    </w:p>
                    <w:p w14:paraId="0CFE3B7B" w14:textId="77777777" w:rsidR="002F5B6F" w:rsidRDefault="002F5B6F" w:rsidP="000C2489">
                      <w:pPr>
                        <w:pStyle w:val="ColorfulList-Accent11"/>
                        <w:ind w:left="0"/>
                        <w:rPr>
                          <w:rFonts w:cs="Calibri"/>
                        </w:rPr>
                      </w:pPr>
                    </w:p>
                    <w:p w14:paraId="103C834D" w14:textId="77777777" w:rsidR="002F5B6F" w:rsidRPr="00951D88" w:rsidRDefault="002F5B6F" w:rsidP="00523C54">
                      <w:pPr>
                        <w:pStyle w:val="ColorfulList-Accent11"/>
                        <w:ind w:left="426"/>
                        <w:rPr>
                          <w:rFonts w:cs="Calibri"/>
                        </w:rPr>
                      </w:pPr>
                      <w:r>
                        <w:t>i.</w:t>
                      </w:r>
                      <w:r>
                        <w:tab/>
                        <w:t xml:space="preserve">tomar nota del contenido del presente informe; </w:t>
                      </w:r>
                    </w:p>
                    <w:p w14:paraId="7C85DB7D" w14:textId="77777777" w:rsidR="002F5B6F" w:rsidRPr="00F32D03" w:rsidRDefault="002F5B6F" w:rsidP="00523C54">
                      <w:pPr>
                        <w:pStyle w:val="ColorfulList-Accent11"/>
                        <w:ind w:left="426" w:firstLine="0"/>
                      </w:pPr>
                    </w:p>
                    <w:p w14:paraId="3642454B" w14:textId="77777777" w:rsidR="002F5B6F" w:rsidRPr="00F32D03" w:rsidRDefault="002F5B6F" w:rsidP="00523C54">
                      <w:pPr>
                        <w:pStyle w:val="ColorfulList-Accent11"/>
                        <w:ind w:left="426"/>
                      </w:pPr>
                      <w:r>
                        <w:t>ii.</w:t>
                      </w:r>
                      <w:r>
                        <w:tab/>
                        <w:t>confirmar qué escenario presupuestario se presentará a la 15ª reunión de la Conferencia de las Partes Contratantes;</w:t>
                      </w:r>
                    </w:p>
                    <w:p w14:paraId="276923E4" w14:textId="77777777" w:rsidR="002F5B6F" w:rsidRPr="00F32D03" w:rsidRDefault="002F5B6F" w:rsidP="00523C54">
                      <w:pPr>
                        <w:pStyle w:val="ColorfulList-Accent11"/>
                        <w:ind w:left="426" w:firstLine="0"/>
                      </w:pPr>
                    </w:p>
                    <w:p w14:paraId="0792ACE9" w14:textId="77777777" w:rsidR="002F5B6F" w:rsidRPr="00951D88" w:rsidRDefault="002F5B6F" w:rsidP="00523C54">
                      <w:pPr>
                        <w:pStyle w:val="ColorfulList-Accent11"/>
                        <w:ind w:left="426"/>
                        <w:rPr>
                          <w:rFonts w:cs="Calibri"/>
                        </w:rPr>
                      </w:pPr>
                      <w:r>
                        <w:t>iii.</w:t>
                      </w:r>
                      <w:r>
                        <w:tab/>
                        <w:t>decidir que se remita el proyecto de resolución sobre cuestiones financieras y presupuestarias a la COP15 para su consideración.</w:t>
                      </w:r>
                    </w:p>
                  </w:txbxContent>
                </v:textbox>
                <w10:anchorlock/>
              </v:shape>
            </w:pict>
          </mc:Fallback>
        </mc:AlternateContent>
      </w:r>
    </w:p>
    <w:p w14:paraId="5155CBA4" w14:textId="77777777" w:rsidR="009E0AE8" w:rsidRDefault="009E0AE8" w:rsidP="00F068F0">
      <w:pPr>
        <w:rPr>
          <w:rFonts w:cs="Arial"/>
          <w:b/>
          <w:bCs/>
        </w:rPr>
      </w:pPr>
    </w:p>
    <w:p w14:paraId="637235A2" w14:textId="77777777" w:rsidR="00951D88" w:rsidRDefault="00951D88" w:rsidP="00F068F0">
      <w:pPr>
        <w:rPr>
          <w:rFonts w:cs="Arial"/>
          <w:b/>
        </w:rPr>
      </w:pPr>
    </w:p>
    <w:p w14:paraId="2F8066A3" w14:textId="77777777" w:rsidR="00BE11BE" w:rsidRPr="00BE11BE" w:rsidRDefault="00BE11BE" w:rsidP="00F068F0">
      <w:pPr>
        <w:pStyle w:val="MGfulltext"/>
        <w:spacing w:after="0"/>
        <w:ind w:left="425" w:hanging="425"/>
        <w:rPr>
          <w:rFonts w:asciiTheme="minorHAnsi" w:eastAsia="Batang" w:hAnsiTheme="minorHAnsi" w:cstheme="minorHAnsi"/>
          <w:b/>
          <w:bCs/>
          <w:sz w:val="22"/>
          <w:szCs w:val="22"/>
        </w:rPr>
      </w:pPr>
      <w:r>
        <w:rPr>
          <w:rFonts w:asciiTheme="minorHAnsi" w:hAnsiTheme="minorHAnsi"/>
          <w:b/>
          <w:sz w:val="22"/>
        </w:rPr>
        <w:t>Introducción</w:t>
      </w:r>
    </w:p>
    <w:p w14:paraId="6BEE4C6F" w14:textId="77777777" w:rsidR="00BE11BE" w:rsidRDefault="00BE11BE" w:rsidP="00F068F0">
      <w:pPr>
        <w:pStyle w:val="MGfulltext"/>
        <w:spacing w:after="0"/>
        <w:ind w:left="425" w:hanging="425"/>
        <w:rPr>
          <w:rFonts w:asciiTheme="minorHAnsi" w:eastAsia="Batang" w:hAnsiTheme="minorHAnsi" w:cstheme="minorHAnsi"/>
          <w:sz w:val="22"/>
          <w:szCs w:val="22"/>
        </w:rPr>
      </w:pPr>
    </w:p>
    <w:p w14:paraId="2FF73AA2" w14:textId="77777777" w:rsidR="002A0268" w:rsidRPr="00F068F0" w:rsidRDefault="00951D88" w:rsidP="04342DA5">
      <w:pPr>
        <w:pStyle w:val="MGfulltext"/>
        <w:spacing w:after="0"/>
        <w:ind w:left="425" w:hanging="425"/>
        <w:rPr>
          <w:rFonts w:asciiTheme="minorHAnsi" w:eastAsia="Batang" w:hAnsiTheme="minorHAnsi" w:cstheme="minorBidi"/>
          <w:sz w:val="22"/>
          <w:szCs w:val="22"/>
        </w:rPr>
      </w:pPr>
      <w:r>
        <w:rPr>
          <w:rFonts w:asciiTheme="minorHAnsi" w:hAnsiTheme="minorHAnsi"/>
          <w:sz w:val="22"/>
        </w:rPr>
        <w:t>1.</w:t>
      </w:r>
      <w:r>
        <w:tab/>
      </w:r>
      <w:r>
        <w:rPr>
          <w:rFonts w:asciiTheme="minorHAnsi" w:hAnsiTheme="minorHAnsi"/>
          <w:sz w:val="22"/>
        </w:rPr>
        <w:t>La Secretaría ha preparado dos escenarios para el presupuesto básico a fin de que el Comité Permanente los considere y confirme qué escenario se presentará a la 15ª reunión de la Conferencia de las Partes Contratantes (COP15) en el proyecto de resolución sobre cuestiones financieras y presupuestarias. El proyecto de texto de resolución preparado por la Secretaría se incluye a continuación en el presente documento, para su aprobación por el Comité Permanente. Los dos escenarios que se presentan en este documento subrayan la necesidad crítica de aumentar el presupuesto básico de la Convención. A lo largo de los últimos 15 años, el presupuesto básico no ha variado, a pesar del creciente número y la magnitud de los resultados que las Partes Contratantes solicitan a la Secretaría, así como de las presiones inflacionistas.</w:t>
      </w:r>
    </w:p>
    <w:p w14:paraId="3A911984" w14:textId="77777777" w:rsidR="002A0268" w:rsidRPr="00F068F0" w:rsidRDefault="002A0268" w:rsidP="00F068F0">
      <w:pPr>
        <w:pStyle w:val="MGfulltext"/>
        <w:spacing w:after="0"/>
        <w:ind w:left="425" w:hanging="425"/>
        <w:rPr>
          <w:rFonts w:asciiTheme="minorHAnsi" w:eastAsia="Batang" w:hAnsiTheme="minorHAnsi" w:cstheme="minorHAnsi"/>
          <w:sz w:val="22"/>
          <w:szCs w:val="22"/>
        </w:rPr>
      </w:pPr>
    </w:p>
    <w:p w14:paraId="6B8CAD6C" w14:textId="6644CAF0" w:rsidR="00591718" w:rsidRPr="00F068F0" w:rsidRDefault="00404FB6" w:rsidP="00F068F0">
      <w:pPr>
        <w:pStyle w:val="MGfulltext"/>
        <w:spacing w:after="0"/>
        <w:ind w:left="425" w:hanging="425"/>
        <w:rPr>
          <w:rFonts w:asciiTheme="minorHAnsi" w:eastAsia="Batang" w:hAnsiTheme="minorHAnsi" w:cstheme="minorHAnsi"/>
          <w:sz w:val="22"/>
          <w:szCs w:val="22"/>
        </w:rPr>
      </w:pPr>
      <w:r>
        <w:rPr>
          <w:rFonts w:asciiTheme="minorHAnsi" w:hAnsiTheme="minorHAnsi"/>
          <w:sz w:val="22"/>
        </w:rPr>
        <w:t>2.</w:t>
      </w:r>
      <w:r>
        <w:rPr>
          <w:rFonts w:asciiTheme="minorHAnsi" w:hAnsiTheme="minorHAnsi"/>
          <w:sz w:val="22"/>
        </w:rPr>
        <w:tab/>
      </w:r>
      <w:r w:rsidR="00A47FC2">
        <w:rPr>
          <w:rFonts w:asciiTheme="minorHAnsi" w:hAnsiTheme="minorHAnsi"/>
          <w:sz w:val="22"/>
        </w:rPr>
        <w:t>La</w:t>
      </w:r>
      <w:r>
        <w:rPr>
          <w:rFonts w:asciiTheme="minorHAnsi" w:hAnsiTheme="minorHAnsi"/>
          <w:sz w:val="22"/>
        </w:rPr>
        <w:t xml:space="preserve"> resolución </w:t>
      </w:r>
      <w:r w:rsidR="00A47FC2">
        <w:rPr>
          <w:rFonts w:asciiTheme="minorHAnsi" w:hAnsiTheme="minorHAnsi"/>
          <w:sz w:val="22"/>
        </w:rPr>
        <w:t xml:space="preserve">final </w:t>
      </w:r>
      <w:r>
        <w:rPr>
          <w:rFonts w:asciiTheme="minorHAnsi" w:hAnsiTheme="minorHAnsi"/>
          <w:sz w:val="22"/>
        </w:rPr>
        <w:t>incluirá una lista de prioridades de recaudación de fondos para las actividades no financiadas con cargo al presupuesto básico</w:t>
      </w:r>
      <w:r w:rsidR="00A47FC2">
        <w:rPr>
          <w:rFonts w:asciiTheme="minorHAnsi" w:hAnsiTheme="minorHAnsi"/>
          <w:sz w:val="22"/>
        </w:rPr>
        <w:t>, que</w:t>
      </w:r>
      <w:r>
        <w:rPr>
          <w:rFonts w:asciiTheme="minorHAnsi" w:hAnsiTheme="minorHAnsi"/>
          <w:sz w:val="22"/>
        </w:rPr>
        <w:t xml:space="preserve"> se examinará y completará en la COP15.</w:t>
      </w:r>
    </w:p>
    <w:p w14:paraId="0EE60B96" w14:textId="77777777" w:rsidR="00591718" w:rsidRPr="00F068F0" w:rsidRDefault="00591718" w:rsidP="00F068F0">
      <w:pPr>
        <w:pStyle w:val="MGfulltext"/>
        <w:spacing w:after="0"/>
        <w:ind w:left="425" w:hanging="425"/>
        <w:rPr>
          <w:rFonts w:asciiTheme="minorHAnsi" w:eastAsia="Batang" w:hAnsiTheme="minorHAnsi" w:cstheme="minorHAnsi"/>
          <w:b/>
          <w:sz w:val="22"/>
          <w:szCs w:val="22"/>
        </w:rPr>
      </w:pPr>
    </w:p>
    <w:p w14:paraId="2A573D01" w14:textId="36546F08" w:rsidR="00B32E40" w:rsidRPr="00F068F0" w:rsidRDefault="00B32E40" w:rsidP="00F068F0">
      <w:pPr>
        <w:pStyle w:val="MGfulltext"/>
        <w:spacing w:after="0"/>
        <w:rPr>
          <w:rFonts w:asciiTheme="minorHAnsi" w:eastAsia="Batang" w:hAnsiTheme="minorHAnsi" w:cstheme="minorHAnsi"/>
          <w:b/>
          <w:sz w:val="22"/>
          <w:szCs w:val="22"/>
        </w:rPr>
      </w:pPr>
      <w:r>
        <w:rPr>
          <w:rFonts w:asciiTheme="minorHAnsi" w:hAnsiTheme="minorHAnsi"/>
          <w:b/>
          <w:sz w:val="22"/>
        </w:rPr>
        <w:t>Escenarios del presupuesto básico para el trienio 2026</w:t>
      </w:r>
      <w:r w:rsidR="00D97C3B">
        <w:rPr>
          <w:rFonts w:asciiTheme="minorHAnsi" w:hAnsiTheme="minorHAnsi"/>
          <w:b/>
          <w:sz w:val="22"/>
        </w:rPr>
        <w:noBreakHyphen/>
        <w:t>20</w:t>
      </w:r>
      <w:r>
        <w:rPr>
          <w:rFonts w:asciiTheme="minorHAnsi" w:hAnsiTheme="minorHAnsi"/>
          <w:b/>
          <w:sz w:val="22"/>
        </w:rPr>
        <w:t>28</w:t>
      </w:r>
    </w:p>
    <w:p w14:paraId="6FCC1C16" w14:textId="77777777" w:rsidR="00E631A8" w:rsidRPr="00F068F0" w:rsidRDefault="00E631A8" w:rsidP="00F068F0">
      <w:pPr>
        <w:pStyle w:val="MGfulltext"/>
        <w:tabs>
          <w:tab w:val="left" w:pos="5199"/>
        </w:tabs>
        <w:spacing w:after="0"/>
        <w:rPr>
          <w:rFonts w:asciiTheme="minorHAnsi" w:eastAsia="Batang" w:hAnsiTheme="minorHAnsi" w:cstheme="minorHAnsi"/>
          <w:b/>
          <w:sz w:val="22"/>
          <w:szCs w:val="22"/>
        </w:rPr>
      </w:pPr>
    </w:p>
    <w:p w14:paraId="045E7833" w14:textId="54A0472E" w:rsidR="00B32E40" w:rsidRPr="00F068F0" w:rsidRDefault="00E74F08" w:rsidP="00F068F0">
      <w:pPr>
        <w:pStyle w:val="MGfulltext"/>
        <w:spacing w:after="0"/>
        <w:ind w:left="425" w:hanging="425"/>
        <w:rPr>
          <w:rFonts w:asciiTheme="minorHAnsi" w:eastAsia="Batang" w:hAnsiTheme="minorHAnsi" w:cstheme="minorHAnsi"/>
          <w:sz w:val="22"/>
          <w:szCs w:val="22"/>
        </w:rPr>
      </w:pPr>
      <w:r>
        <w:rPr>
          <w:rFonts w:asciiTheme="minorHAnsi" w:hAnsiTheme="minorHAnsi"/>
          <w:sz w:val="22"/>
        </w:rPr>
        <w:t>3.</w:t>
      </w:r>
      <w:r>
        <w:rPr>
          <w:rFonts w:asciiTheme="minorHAnsi" w:hAnsiTheme="minorHAnsi"/>
          <w:sz w:val="22"/>
        </w:rPr>
        <w:tab/>
        <w:t>En el Anexo 1 del presente documento se proponen dos escenarios del presupuesto básico para el trienio 2026</w:t>
      </w:r>
      <w:r w:rsidR="00D97C3B">
        <w:rPr>
          <w:rFonts w:asciiTheme="minorHAnsi" w:hAnsiTheme="minorHAnsi"/>
          <w:sz w:val="22"/>
        </w:rPr>
        <w:noBreakHyphen/>
        <w:t>20</w:t>
      </w:r>
      <w:r>
        <w:rPr>
          <w:rFonts w:asciiTheme="minorHAnsi" w:hAnsiTheme="minorHAnsi"/>
          <w:sz w:val="22"/>
        </w:rPr>
        <w:t xml:space="preserve">28, que no incluyen ninguna solicitud de financiación derivada de otros proyectos de resolución presentados. Los dos escenarios son los siguientes: </w:t>
      </w:r>
    </w:p>
    <w:p w14:paraId="3735E7E9" w14:textId="77777777" w:rsidR="00951D88" w:rsidRPr="00F068F0" w:rsidRDefault="00951D88" w:rsidP="00F068F0">
      <w:pPr>
        <w:pStyle w:val="MGfulltext"/>
        <w:spacing w:after="0"/>
        <w:ind w:left="426"/>
        <w:rPr>
          <w:rFonts w:asciiTheme="minorHAnsi" w:eastAsia="Batang" w:hAnsiTheme="minorHAnsi" w:cstheme="minorHAnsi"/>
          <w:sz w:val="22"/>
          <w:szCs w:val="22"/>
        </w:rPr>
      </w:pPr>
    </w:p>
    <w:p w14:paraId="2A0EB601" w14:textId="21CFB4D9" w:rsidR="00B32E40"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a.</w:t>
      </w:r>
      <w:r>
        <w:rPr>
          <w:rFonts w:asciiTheme="minorHAnsi" w:hAnsiTheme="minorHAnsi"/>
          <w:sz w:val="22"/>
        </w:rPr>
        <w:tab/>
        <w:t xml:space="preserve">un aumento del </w:t>
      </w:r>
      <w:r>
        <w:rPr>
          <w:rFonts w:asciiTheme="minorHAnsi" w:hAnsiTheme="minorHAnsi"/>
          <w:b/>
          <w:sz w:val="22"/>
        </w:rPr>
        <w:t>9,6</w:t>
      </w:r>
      <w:r>
        <w:rPr>
          <w:rFonts w:asciiTheme="minorHAnsi" w:hAnsiTheme="minorHAnsi"/>
          <w:sz w:val="22"/>
        </w:rPr>
        <w:t> % (1 455 000 francos suizos) en comparación con el trienio 2023</w:t>
      </w:r>
      <w:r w:rsidR="00D97C3B">
        <w:rPr>
          <w:rFonts w:asciiTheme="minorHAnsi" w:hAnsiTheme="minorHAnsi"/>
          <w:sz w:val="22"/>
        </w:rPr>
        <w:noBreakHyphen/>
        <w:t>20</w:t>
      </w:r>
      <w:r>
        <w:rPr>
          <w:rFonts w:asciiTheme="minorHAnsi" w:hAnsiTheme="minorHAnsi"/>
          <w:sz w:val="22"/>
        </w:rPr>
        <w:t>25, lo que supone un aumento de las contribuciones de las Partes Contratantes del 9,4 %</w:t>
      </w:r>
      <w:r w:rsidR="00595C1A">
        <w:rPr>
          <w:rFonts w:asciiTheme="minorHAnsi" w:hAnsiTheme="minorHAnsi"/>
          <w:sz w:val="22"/>
        </w:rPr>
        <w:t xml:space="preserve"> </w:t>
      </w:r>
      <w:r w:rsidRPr="00595C1A">
        <w:rPr>
          <w:rFonts w:asciiTheme="minorHAnsi" w:hAnsiTheme="minorHAnsi"/>
          <w:bCs/>
          <w:sz w:val="22"/>
        </w:rPr>
        <w:t>(</w:t>
      </w:r>
      <w:r>
        <w:rPr>
          <w:rFonts w:asciiTheme="minorHAnsi" w:hAnsiTheme="minorHAnsi"/>
          <w:b/>
          <w:sz w:val="22"/>
        </w:rPr>
        <w:t>Escenario A</w:t>
      </w:r>
      <w:r>
        <w:rPr>
          <w:rFonts w:asciiTheme="minorHAnsi" w:hAnsiTheme="minorHAnsi"/>
          <w:sz w:val="22"/>
        </w:rPr>
        <w:t xml:space="preserve">); </w:t>
      </w:r>
    </w:p>
    <w:p w14:paraId="11690E78" w14:textId="77777777" w:rsidR="00951D88" w:rsidRPr="00F068F0" w:rsidRDefault="00951D88" w:rsidP="00F068F0">
      <w:pPr>
        <w:pStyle w:val="MGfulltext"/>
        <w:spacing w:after="0"/>
        <w:ind w:left="850" w:hanging="425"/>
        <w:rPr>
          <w:rFonts w:asciiTheme="minorHAnsi" w:eastAsia="Batang" w:hAnsiTheme="minorHAnsi" w:cstheme="minorHAnsi"/>
          <w:sz w:val="22"/>
          <w:szCs w:val="22"/>
        </w:rPr>
      </w:pPr>
    </w:p>
    <w:p w14:paraId="065CDDBA" w14:textId="65D8FA4D" w:rsidR="00B32E40"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b.</w:t>
      </w:r>
      <w:r>
        <w:rPr>
          <w:rFonts w:asciiTheme="minorHAnsi" w:hAnsiTheme="minorHAnsi"/>
          <w:sz w:val="22"/>
        </w:rPr>
        <w:tab/>
        <w:t xml:space="preserve">un aumento del </w:t>
      </w:r>
      <w:r>
        <w:rPr>
          <w:rFonts w:asciiTheme="minorHAnsi" w:hAnsiTheme="minorHAnsi"/>
          <w:b/>
          <w:sz w:val="22"/>
        </w:rPr>
        <w:t>11,3</w:t>
      </w:r>
      <w:r>
        <w:rPr>
          <w:rFonts w:asciiTheme="minorHAnsi" w:hAnsiTheme="minorHAnsi"/>
          <w:sz w:val="22"/>
        </w:rPr>
        <w:t> % (1 724 000 francos suizos) en comparación con el trienio 2023</w:t>
      </w:r>
      <w:r w:rsidR="00D97C3B">
        <w:rPr>
          <w:rFonts w:asciiTheme="minorHAnsi" w:hAnsiTheme="minorHAnsi"/>
          <w:sz w:val="22"/>
        </w:rPr>
        <w:noBreakHyphen/>
        <w:t>20</w:t>
      </w:r>
      <w:r>
        <w:rPr>
          <w:rFonts w:asciiTheme="minorHAnsi" w:hAnsiTheme="minorHAnsi"/>
          <w:sz w:val="22"/>
        </w:rPr>
        <w:t>25, lo que supone un aumento de las contribuciones de las Partes Contratantes del 11,2 %</w:t>
      </w:r>
      <w:r w:rsidR="00595C1A">
        <w:rPr>
          <w:rFonts w:asciiTheme="minorHAnsi" w:hAnsiTheme="minorHAnsi"/>
          <w:sz w:val="22"/>
        </w:rPr>
        <w:t xml:space="preserve"> </w:t>
      </w:r>
      <w:r w:rsidRPr="00595C1A">
        <w:rPr>
          <w:rFonts w:asciiTheme="minorHAnsi" w:hAnsiTheme="minorHAnsi"/>
          <w:bCs/>
          <w:sz w:val="22"/>
        </w:rPr>
        <w:t>(</w:t>
      </w:r>
      <w:r>
        <w:rPr>
          <w:rFonts w:asciiTheme="minorHAnsi" w:hAnsiTheme="minorHAnsi"/>
          <w:b/>
          <w:sz w:val="22"/>
        </w:rPr>
        <w:t>Escenario B</w:t>
      </w:r>
      <w:r>
        <w:rPr>
          <w:rFonts w:asciiTheme="minorHAnsi" w:hAnsiTheme="minorHAnsi"/>
          <w:sz w:val="22"/>
        </w:rPr>
        <w:t>);</w:t>
      </w:r>
    </w:p>
    <w:p w14:paraId="33B2CAAA" w14:textId="77777777" w:rsidR="00951D88" w:rsidRPr="00F068F0" w:rsidRDefault="00951D88" w:rsidP="00F068F0">
      <w:pPr>
        <w:pStyle w:val="MGfulltext"/>
        <w:spacing w:after="0"/>
        <w:ind w:left="850" w:hanging="425"/>
        <w:rPr>
          <w:rFonts w:asciiTheme="minorHAnsi" w:eastAsia="Batang" w:hAnsiTheme="minorHAnsi" w:cstheme="minorHAnsi"/>
          <w:sz w:val="22"/>
          <w:szCs w:val="22"/>
        </w:rPr>
      </w:pPr>
    </w:p>
    <w:p w14:paraId="6D15A808" w14:textId="77777777" w:rsidR="00D60B3D" w:rsidRPr="00F068F0" w:rsidRDefault="00D60B3D" w:rsidP="00F068F0">
      <w:pPr>
        <w:pStyle w:val="MGfulltext"/>
        <w:spacing w:after="0"/>
        <w:ind w:left="426"/>
        <w:rPr>
          <w:rFonts w:asciiTheme="minorHAnsi" w:eastAsia="Batang" w:hAnsiTheme="minorHAnsi" w:cstheme="minorHAnsi"/>
          <w:sz w:val="22"/>
          <w:szCs w:val="22"/>
        </w:rPr>
      </w:pPr>
      <w:r>
        <w:rPr>
          <w:rFonts w:asciiTheme="minorHAnsi" w:hAnsiTheme="minorHAnsi"/>
          <w:sz w:val="22"/>
        </w:rPr>
        <w:t>Se han incluido las cifras propuestas para cada categoría y partida presupuestaria en cada uno de los escenarios, a fin de que las Partes Contratantes puedan en detalle cómo se gastarán sus contribuciones.</w:t>
      </w:r>
    </w:p>
    <w:p w14:paraId="72DC37A9" w14:textId="77777777" w:rsidR="00B32E40" w:rsidRPr="00F068F0" w:rsidRDefault="00B32E40" w:rsidP="00F068F0">
      <w:pPr>
        <w:pStyle w:val="MGfulltext"/>
        <w:spacing w:after="0"/>
        <w:ind w:left="2160"/>
        <w:rPr>
          <w:rFonts w:asciiTheme="minorHAnsi" w:eastAsia="Batang" w:hAnsiTheme="minorHAnsi" w:cstheme="minorHAnsi"/>
          <w:sz w:val="22"/>
          <w:szCs w:val="22"/>
        </w:rPr>
      </w:pPr>
    </w:p>
    <w:p w14:paraId="055038DF" w14:textId="77777777" w:rsidR="00B32E40" w:rsidRPr="00F068F0" w:rsidRDefault="00E74F08" w:rsidP="00F068F0">
      <w:pPr>
        <w:pStyle w:val="MGfulltext"/>
        <w:spacing w:after="0"/>
        <w:ind w:left="425" w:hanging="425"/>
        <w:rPr>
          <w:rFonts w:asciiTheme="minorHAnsi" w:eastAsia="Batang" w:hAnsiTheme="minorHAnsi" w:cstheme="minorHAnsi"/>
          <w:sz w:val="22"/>
          <w:szCs w:val="22"/>
        </w:rPr>
      </w:pPr>
      <w:r>
        <w:rPr>
          <w:rFonts w:asciiTheme="minorHAnsi" w:hAnsiTheme="minorHAnsi"/>
          <w:sz w:val="22"/>
        </w:rPr>
        <w:t>4.</w:t>
      </w:r>
      <w:r>
        <w:rPr>
          <w:rFonts w:asciiTheme="minorHAnsi" w:hAnsiTheme="minorHAnsi"/>
          <w:sz w:val="22"/>
        </w:rPr>
        <w:tab/>
        <w:t xml:space="preserve">En el </w:t>
      </w:r>
      <w:r>
        <w:rPr>
          <w:rFonts w:asciiTheme="minorHAnsi" w:hAnsiTheme="minorHAnsi"/>
          <w:b/>
          <w:sz w:val="22"/>
        </w:rPr>
        <w:t>Escenario A</w:t>
      </w:r>
      <w:r>
        <w:rPr>
          <w:rFonts w:asciiTheme="minorHAnsi" w:hAnsiTheme="minorHAnsi"/>
          <w:sz w:val="22"/>
        </w:rPr>
        <w:t xml:space="preserve">, el aumento total del presupuesto básico de 2026 a 2028 sería de 1 455 000 francos suizos más que en el trienio anterior, lo que supone un nuevo presupuesto total de 16 698 000 francos suizos. Este escenario incluye los siguientes elementos, que también se aplican al </w:t>
      </w:r>
      <w:r>
        <w:rPr>
          <w:rFonts w:asciiTheme="minorHAnsi" w:hAnsiTheme="minorHAnsi"/>
          <w:b/>
          <w:sz w:val="22"/>
        </w:rPr>
        <w:t>Escenario B</w:t>
      </w:r>
      <w:r>
        <w:rPr>
          <w:rFonts w:asciiTheme="minorHAnsi" w:hAnsiTheme="minorHAnsi"/>
          <w:sz w:val="22"/>
        </w:rPr>
        <w:t xml:space="preserve"> a menos que se indique lo contrario:</w:t>
      </w:r>
    </w:p>
    <w:p w14:paraId="71A27AD5" w14:textId="77777777" w:rsidR="00951D88" w:rsidRPr="00F068F0" w:rsidRDefault="00951D88" w:rsidP="00F068F0">
      <w:pPr>
        <w:pStyle w:val="MGfulltext"/>
        <w:spacing w:after="0"/>
        <w:ind w:left="425" w:hanging="425"/>
        <w:rPr>
          <w:rFonts w:asciiTheme="minorHAnsi" w:eastAsia="Batang" w:hAnsiTheme="minorHAnsi" w:cstheme="minorHAnsi"/>
          <w:sz w:val="22"/>
          <w:szCs w:val="22"/>
        </w:rPr>
      </w:pPr>
    </w:p>
    <w:p w14:paraId="014F2396" w14:textId="4400AC2F" w:rsidR="00B32E40"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a.</w:t>
      </w:r>
      <w:r>
        <w:rPr>
          <w:rFonts w:asciiTheme="minorHAnsi" w:hAnsiTheme="minorHAnsi"/>
          <w:sz w:val="22"/>
        </w:rPr>
        <w:tab/>
        <w:t>Se supone que se reciben contribuciones completas en francos suizos de todas las Partes Contratantes, sobre la base de la escala de cuotas de las Naciones Unidas, incluida una contribución voluntaria del 22 % del presupuesto básico total de Estados Unidos de América. En el Anexo 2 del presente documento se muestra el cálculo actual de la contribución de cada una de las Partes Contratantes hasta el final del trienio 2026</w:t>
      </w:r>
      <w:r w:rsidR="00D97C3B">
        <w:rPr>
          <w:rFonts w:asciiTheme="minorHAnsi" w:hAnsiTheme="minorHAnsi"/>
          <w:sz w:val="22"/>
        </w:rPr>
        <w:noBreakHyphen/>
        <w:t>20</w:t>
      </w:r>
      <w:r>
        <w:rPr>
          <w:rFonts w:asciiTheme="minorHAnsi" w:hAnsiTheme="minorHAnsi"/>
          <w:sz w:val="22"/>
        </w:rPr>
        <w:t>28 en cada uno de los dos escenarios.</w:t>
      </w:r>
    </w:p>
    <w:p w14:paraId="5414DBAD"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3F3C5FCE" w14:textId="1F290723" w:rsidR="00B32E40"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b.</w:t>
      </w:r>
      <w:r>
        <w:rPr>
          <w:rFonts w:asciiTheme="minorHAnsi" w:hAnsiTheme="minorHAnsi"/>
          <w:sz w:val="22"/>
        </w:rPr>
        <w:tab/>
        <w:t>Aumenta el nivel de financiación con cargo al presupuesto básico para la plantilla, incluidos dos puestos nuevos. En el Anexo 3 del presente documento se indica el personal de la Secretaría con cargo al presupuesto básico para 2026</w:t>
      </w:r>
      <w:r w:rsidR="00D97C3B">
        <w:rPr>
          <w:rFonts w:asciiTheme="minorHAnsi" w:hAnsiTheme="minorHAnsi"/>
          <w:sz w:val="22"/>
        </w:rPr>
        <w:noBreakHyphen/>
        <w:t>20</w:t>
      </w:r>
      <w:r>
        <w:rPr>
          <w:rFonts w:asciiTheme="minorHAnsi" w:hAnsiTheme="minorHAnsi"/>
          <w:sz w:val="22"/>
        </w:rPr>
        <w:t>28, por función y categoría, en cada escenario. Los dos nuevos puestos son Oficial de Comunicaciones, P2, y Analista de Datos, P1. Estos puestos son esenciales para que la Secretaría pueda hacer frente a la creciente demanda de comunicaciones y gestión de datos para los Humedales de Importancia Internacional nuevos y actualizados, ya que la dotación de personal actual no permite ofrecer la cobertura y capacidad de respuesta deseadas por las Partes Contratantes.</w:t>
      </w:r>
    </w:p>
    <w:p w14:paraId="0A342C9E"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0EA06784" w14:textId="77777777" w:rsidR="00674248"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c.</w:t>
      </w:r>
      <w:r>
        <w:rPr>
          <w:rFonts w:asciiTheme="minorHAnsi" w:hAnsiTheme="minorHAnsi"/>
          <w:sz w:val="22"/>
        </w:rPr>
        <w:tab/>
        <w:t>Los gastos de personal se han presupuestado sobre la base de los costos reales actuales, de conformidad con la política de la UICN, e incluyen los ajustes necesarios para garantizar la equidad dentro del marco de remuneraciones de la UICN y la competitividad con las organizaciones de las Naciones Unidas y las convenciones administradas por las Naciones Unidas, así como para garantizar que se cuente con los conjuntos de aptitudes y la experiencia requeridas para satisfacer las solicitudes de apoyo de las Partes Contratantes.</w:t>
      </w:r>
    </w:p>
    <w:p w14:paraId="3AAFFCAF" w14:textId="77777777" w:rsidR="00674248" w:rsidRPr="00F068F0" w:rsidRDefault="00674248" w:rsidP="00F068F0">
      <w:pPr>
        <w:pStyle w:val="MGfulltext"/>
        <w:spacing w:after="0"/>
        <w:ind w:left="850" w:hanging="425"/>
        <w:rPr>
          <w:rFonts w:asciiTheme="minorHAnsi" w:eastAsia="Batang" w:hAnsiTheme="minorHAnsi" w:cstheme="minorHAnsi"/>
          <w:sz w:val="22"/>
          <w:szCs w:val="22"/>
        </w:rPr>
      </w:pPr>
    </w:p>
    <w:p w14:paraId="0C7D953A" w14:textId="1584AB5D" w:rsidR="00C527AA"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d.</w:t>
      </w:r>
      <w:r>
        <w:rPr>
          <w:rFonts w:asciiTheme="minorHAnsi" w:hAnsiTheme="minorHAnsi"/>
          <w:sz w:val="22"/>
        </w:rPr>
        <w:tab/>
        <w:t xml:space="preserve">Los salarios del </w:t>
      </w:r>
      <w:proofErr w:type="spellStart"/>
      <w:r>
        <w:rPr>
          <w:rFonts w:asciiTheme="minorHAnsi" w:hAnsiTheme="minorHAnsi"/>
          <w:sz w:val="22"/>
        </w:rPr>
        <w:t>personal</w:t>
      </w:r>
      <w:proofErr w:type="spellEnd"/>
      <w:r>
        <w:rPr>
          <w:rFonts w:asciiTheme="minorHAnsi" w:hAnsiTheme="minorHAnsi"/>
          <w:sz w:val="22"/>
        </w:rPr>
        <w:t xml:space="preserve"> también incluyen un aumento anual para cubrir los ajustes del costo de la mano de obra y por rendimiento y ascensos, de conformidad con las políticas de recursos humanos de la UICN en materia de remuneraciones, rendimiento y desarrollo a nivel mundial. El presupuesto aprobado por la COP13 para 2019</w:t>
      </w:r>
      <w:r w:rsidR="00D97C3B">
        <w:rPr>
          <w:rFonts w:asciiTheme="minorHAnsi" w:hAnsiTheme="minorHAnsi"/>
          <w:sz w:val="22"/>
        </w:rPr>
        <w:noBreakHyphen/>
        <w:t>20</w:t>
      </w:r>
      <w:r>
        <w:rPr>
          <w:rFonts w:asciiTheme="minorHAnsi" w:hAnsiTheme="minorHAnsi"/>
          <w:sz w:val="22"/>
        </w:rPr>
        <w:t>21 incluía una provisión para aplicar estos ajustes. En opinión de la Secretaría, es importante incorporar estos ajustes para responder a la aplicación de las políticas de recursos humanos de la UICN, así como para ofrecer los incentivos necesarios para contratar y retener personal.</w:t>
      </w:r>
    </w:p>
    <w:p w14:paraId="48D288C5" w14:textId="77777777" w:rsidR="00191794" w:rsidRPr="00F068F0" w:rsidRDefault="00191794" w:rsidP="00F068F0">
      <w:pPr>
        <w:pStyle w:val="MGfulltext"/>
        <w:spacing w:after="0"/>
        <w:ind w:left="850" w:hanging="425"/>
        <w:rPr>
          <w:rFonts w:asciiTheme="minorHAnsi" w:eastAsia="Batang" w:hAnsiTheme="minorHAnsi" w:cstheme="minorHAnsi"/>
          <w:sz w:val="22"/>
          <w:szCs w:val="22"/>
        </w:rPr>
      </w:pPr>
    </w:p>
    <w:p w14:paraId="4FD5B7F8" w14:textId="54D530B5" w:rsidR="0053257A"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e.</w:t>
      </w:r>
      <w:r>
        <w:rPr>
          <w:rFonts w:asciiTheme="minorHAnsi" w:hAnsiTheme="minorHAnsi"/>
          <w:sz w:val="22"/>
        </w:rPr>
        <w:tab/>
        <w:t>El total de salarios y gastos conexos representa el 75 % del presupuesto básico total, lo que supone un aumento de 1 688 000 francos suizos en comparación con los gastos de personal del trienio 2023</w:t>
      </w:r>
      <w:r w:rsidR="00D97C3B">
        <w:rPr>
          <w:rFonts w:asciiTheme="minorHAnsi" w:hAnsiTheme="minorHAnsi"/>
          <w:sz w:val="22"/>
        </w:rPr>
        <w:noBreakHyphen/>
        <w:t>20</w:t>
      </w:r>
      <w:r>
        <w:rPr>
          <w:rFonts w:asciiTheme="minorHAnsi" w:hAnsiTheme="minorHAnsi"/>
          <w:sz w:val="22"/>
        </w:rPr>
        <w:t xml:space="preserve">25, cuando el total de salarios y gastos conexos representaba el 71 % del presupuesto básico total. </w:t>
      </w:r>
    </w:p>
    <w:p w14:paraId="54FF8D18"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6AD4B00D" w14:textId="53B9B832" w:rsidR="009D6108"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lastRenderedPageBreak/>
        <w:t>f.</w:t>
      </w:r>
      <w:r>
        <w:rPr>
          <w:rFonts w:asciiTheme="minorHAnsi" w:hAnsiTheme="minorHAnsi"/>
          <w:sz w:val="22"/>
        </w:rPr>
        <w:tab/>
        <w:t xml:space="preserve">La Secretaría ha realizado otros ajustes en el presupuesto sobre la base de las necesidades </w:t>
      </w:r>
      <w:r w:rsidR="00595C1A">
        <w:rPr>
          <w:rFonts w:asciiTheme="minorHAnsi" w:hAnsiTheme="minorHAnsi"/>
          <w:sz w:val="22"/>
        </w:rPr>
        <w:t>previstas por la</w:t>
      </w:r>
      <w:r>
        <w:rPr>
          <w:rFonts w:asciiTheme="minorHAnsi" w:hAnsiTheme="minorHAnsi"/>
          <w:sz w:val="22"/>
        </w:rPr>
        <w:t xml:space="preserve"> Secretaría para 2026</w:t>
      </w:r>
      <w:r w:rsidR="00D97C3B">
        <w:rPr>
          <w:rFonts w:asciiTheme="minorHAnsi" w:hAnsiTheme="minorHAnsi"/>
          <w:sz w:val="22"/>
        </w:rPr>
        <w:noBreakHyphen/>
        <w:t>20</w:t>
      </w:r>
      <w:r>
        <w:rPr>
          <w:rFonts w:asciiTheme="minorHAnsi" w:hAnsiTheme="minorHAnsi"/>
          <w:sz w:val="22"/>
        </w:rPr>
        <w:t>28, así como de los gastos reales en el trienio 2023</w:t>
      </w:r>
      <w:r w:rsidR="00D97C3B">
        <w:rPr>
          <w:rFonts w:asciiTheme="minorHAnsi" w:hAnsiTheme="minorHAnsi"/>
          <w:sz w:val="22"/>
        </w:rPr>
        <w:noBreakHyphen/>
        <w:t>20</w:t>
      </w:r>
      <w:r>
        <w:rPr>
          <w:rFonts w:asciiTheme="minorHAnsi" w:hAnsiTheme="minorHAnsi"/>
          <w:sz w:val="22"/>
        </w:rPr>
        <w:t>25:</w:t>
      </w:r>
    </w:p>
    <w:p w14:paraId="7C72D6DC" w14:textId="77777777" w:rsidR="009D6108" w:rsidRPr="00F068F0" w:rsidRDefault="009D6108" w:rsidP="00F068F0">
      <w:pPr>
        <w:pStyle w:val="MGfulltext"/>
        <w:spacing w:after="0"/>
        <w:ind w:left="850" w:hanging="425"/>
        <w:rPr>
          <w:rFonts w:asciiTheme="minorHAnsi" w:eastAsia="Batang" w:hAnsiTheme="minorHAnsi" w:cstheme="minorHAnsi"/>
          <w:sz w:val="22"/>
          <w:szCs w:val="22"/>
        </w:rPr>
      </w:pPr>
    </w:p>
    <w:p w14:paraId="5CA9A4BD" w14:textId="77777777" w:rsidR="009D6108"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hAnsiTheme="minorHAnsi"/>
          <w:sz w:val="22"/>
        </w:rPr>
        <w:t>i.</w:t>
      </w:r>
      <w:r>
        <w:rPr>
          <w:rFonts w:asciiTheme="minorHAnsi" w:hAnsiTheme="minorHAnsi"/>
          <w:sz w:val="22"/>
        </w:rPr>
        <w:tab/>
        <w:t xml:space="preserve">La partida presupuestaria “Programa de </w:t>
      </w:r>
      <w:proofErr w:type="spellStart"/>
      <w:r>
        <w:rPr>
          <w:rFonts w:asciiTheme="minorHAnsi" w:hAnsiTheme="minorHAnsi"/>
          <w:sz w:val="22"/>
        </w:rPr>
        <w:t>CECoP</w:t>
      </w:r>
      <w:proofErr w:type="spellEnd"/>
      <w:r>
        <w:rPr>
          <w:rFonts w:asciiTheme="minorHAnsi" w:hAnsiTheme="minorHAnsi"/>
          <w:sz w:val="22"/>
        </w:rPr>
        <w:t>” se ha reducido en 45 000 francos suizos debido a que el presupuesto asignado anteriormente generó ahorros que se arrastrarán al nuevo trienio.</w:t>
      </w:r>
    </w:p>
    <w:p w14:paraId="7321D95F" w14:textId="77777777" w:rsidR="009D6108" w:rsidRPr="00F068F0" w:rsidRDefault="009D6108" w:rsidP="002E32A2">
      <w:pPr>
        <w:pStyle w:val="MGfulltext"/>
        <w:spacing w:after="0"/>
        <w:ind w:left="1276" w:hanging="425"/>
        <w:rPr>
          <w:rFonts w:asciiTheme="minorHAnsi" w:eastAsia="Batang" w:hAnsiTheme="minorHAnsi" w:cstheme="minorHAnsi"/>
          <w:sz w:val="22"/>
          <w:szCs w:val="22"/>
        </w:rPr>
      </w:pPr>
    </w:p>
    <w:p w14:paraId="749D153C" w14:textId="77777777" w:rsidR="00AA26DF" w:rsidRDefault="002E32A2" w:rsidP="002E32A2">
      <w:pPr>
        <w:pStyle w:val="MGfulltext"/>
        <w:spacing w:after="0"/>
        <w:ind w:left="1276" w:hanging="425"/>
        <w:rPr>
          <w:rFonts w:asciiTheme="minorHAnsi" w:eastAsia="Batang" w:hAnsiTheme="minorHAnsi" w:cstheme="minorHAnsi"/>
          <w:sz w:val="22"/>
          <w:szCs w:val="22"/>
        </w:rPr>
      </w:pPr>
      <w:proofErr w:type="spellStart"/>
      <w:r>
        <w:rPr>
          <w:rFonts w:asciiTheme="minorHAnsi" w:hAnsiTheme="minorHAnsi"/>
          <w:sz w:val="22"/>
        </w:rPr>
        <w:t>ii</w:t>
      </w:r>
      <w:proofErr w:type="spellEnd"/>
      <w:r>
        <w:rPr>
          <w:rFonts w:asciiTheme="minorHAnsi" w:hAnsiTheme="minorHAnsi"/>
          <w:sz w:val="22"/>
        </w:rPr>
        <w:t>.</w:t>
      </w:r>
      <w:r>
        <w:rPr>
          <w:rFonts w:asciiTheme="minorHAnsi" w:hAnsiTheme="minorHAnsi"/>
          <w:sz w:val="22"/>
        </w:rPr>
        <w:tab/>
        <w:t xml:space="preserve"> La partida “Apoyo y desarrollo del sitio web/servicios informáticos” se ha reducido en 58 000 francos suizos debido a la reducción de costos tras la remodelación del sitio web en 2023. </w:t>
      </w:r>
    </w:p>
    <w:p w14:paraId="49448539" w14:textId="77777777" w:rsidR="00AA26DF" w:rsidRDefault="00AA26DF" w:rsidP="002E32A2">
      <w:pPr>
        <w:pStyle w:val="MGfulltext"/>
        <w:spacing w:after="0"/>
        <w:ind w:left="1276" w:hanging="425"/>
        <w:rPr>
          <w:rFonts w:asciiTheme="minorHAnsi" w:eastAsia="Batang" w:hAnsiTheme="minorHAnsi" w:cstheme="minorHAnsi"/>
          <w:sz w:val="22"/>
          <w:szCs w:val="22"/>
        </w:rPr>
      </w:pPr>
    </w:p>
    <w:p w14:paraId="64B7C13C" w14:textId="710948A4" w:rsidR="009D6108" w:rsidRPr="00F068F0" w:rsidRDefault="002E32A2" w:rsidP="002E32A2">
      <w:pPr>
        <w:pStyle w:val="MGfulltext"/>
        <w:spacing w:after="0"/>
        <w:ind w:left="1276" w:hanging="425"/>
        <w:rPr>
          <w:rFonts w:asciiTheme="minorHAnsi" w:eastAsia="Batang" w:hAnsiTheme="minorHAnsi" w:cstheme="minorHAnsi"/>
          <w:sz w:val="22"/>
          <w:szCs w:val="22"/>
        </w:rPr>
      </w:pPr>
      <w:proofErr w:type="spellStart"/>
      <w:r>
        <w:rPr>
          <w:rFonts w:asciiTheme="minorHAnsi" w:hAnsiTheme="minorHAnsi"/>
          <w:sz w:val="22"/>
        </w:rPr>
        <w:t>iii</w:t>
      </w:r>
      <w:proofErr w:type="spellEnd"/>
      <w:r>
        <w:rPr>
          <w:rFonts w:asciiTheme="minorHAnsi" w:hAnsiTheme="minorHAnsi"/>
          <w:sz w:val="22"/>
        </w:rPr>
        <w:t>.</w:t>
      </w:r>
      <w:r>
        <w:rPr>
          <w:rFonts w:asciiTheme="minorHAnsi" w:hAnsiTheme="minorHAnsi"/>
          <w:sz w:val="22"/>
        </w:rPr>
        <w:tab/>
        <w:t xml:space="preserve">La partida “Servicio de Información sobre Sitios Ramsar y Sistema de datos de los informes nacionales (Mantenimiento y desarrollo)” se ha reducido en 100 000 francos suizos dado que la Secretaría prevé que los costos del sistema sean menores después de que se implementen mejoras en 2024 y 2025.  </w:t>
      </w:r>
    </w:p>
    <w:p w14:paraId="787CF95A" w14:textId="77777777" w:rsidR="009D6108" w:rsidRPr="00F068F0" w:rsidRDefault="009D6108" w:rsidP="002E32A2">
      <w:pPr>
        <w:pStyle w:val="MGfulltext"/>
        <w:spacing w:after="0"/>
        <w:ind w:left="1276" w:hanging="425"/>
        <w:rPr>
          <w:rFonts w:asciiTheme="minorHAnsi" w:eastAsia="Batang" w:hAnsiTheme="minorHAnsi" w:cstheme="minorHAnsi"/>
          <w:sz w:val="22"/>
          <w:szCs w:val="22"/>
        </w:rPr>
      </w:pPr>
    </w:p>
    <w:p w14:paraId="6D76FABD" w14:textId="77777777" w:rsidR="00EE7537" w:rsidRPr="00F068F0" w:rsidRDefault="002E32A2" w:rsidP="002E32A2">
      <w:pPr>
        <w:pStyle w:val="MGfulltext"/>
        <w:spacing w:after="0"/>
        <w:ind w:left="1276" w:hanging="425"/>
        <w:rPr>
          <w:rFonts w:asciiTheme="minorHAnsi" w:eastAsia="Batang" w:hAnsiTheme="minorHAnsi" w:cstheme="minorHAnsi"/>
          <w:sz w:val="22"/>
          <w:szCs w:val="22"/>
        </w:rPr>
      </w:pPr>
      <w:proofErr w:type="spellStart"/>
      <w:r>
        <w:rPr>
          <w:rFonts w:asciiTheme="minorHAnsi" w:hAnsiTheme="minorHAnsi"/>
          <w:sz w:val="22"/>
        </w:rPr>
        <w:t>iv</w:t>
      </w:r>
      <w:proofErr w:type="spellEnd"/>
      <w:r>
        <w:rPr>
          <w:rFonts w:asciiTheme="minorHAnsi" w:hAnsiTheme="minorHAnsi"/>
          <w:sz w:val="22"/>
        </w:rPr>
        <w:t>.</w:t>
      </w:r>
      <w:r>
        <w:rPr>
          <w:rFonts w:asciiTheme="minorHAnsi" w:hAnsiTheme="minorHAnsi"/>
          <w:sz w:val="22"/>
        </w:rPr>
        <w:tab/>
        <w:t xml:space="preserve">La partida “Costos de contratación y separación del personal” se ha reducido en 20 000 francos suizos sobre la base del costo real en el último trienio. </w:t>
      </w:r>
    </w:p>
    <w:p w14:paraId="087E070B" w14:textId="77777777" w:rsidR="00EE7537" w:rsidRPr="00C51843" w:rsidRDefault="00EE7537" w:rsidP="002E32A2">
      <w:pPr>
        <w:pStyle w:val="MGfulltext"/>
        <w:spacing w:after="0"/>
        <w:ind w:left="1276" w:hanging="425"/>
        <w:rPr>
          <w:rFonts w:asciiTheme="minorHAnsi" w:eastAsia="Batang" w:hAnsiTheme="minorHAnsi" w:cstheme="minorHAnsi"/>
          <w:sz w:val="22"/>
          <w:szCs w:val="22"/>
        </w:rPr>
      </w:pPr>
    </w:p>
    <w:p w14:paraId="65E0F780" w14:textId="77777777" w:rsidR="009233BB"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hAnsiTheme="minorHAnsi"/>
          <w:sz w:val="22"/>
        </w:rPr>
        <w:t>v.</w:t>
      </w:r>
      <w:r>
        <w:rPr>
          <w:rFonts w:asciiTheme="minorHAnsi" w:hAnsiTheme="minorHAnsi"/>
          <w:sz w:val="22"/>
        </w:rPr>
        <w:tab/>
        <w:t>La partida “Equipo/material de oficina” se ha reducido en 145 000 francos suizos sobre la base del costo real en el último trienio.</w:t>
      </w:r>
    </w:p>
    <w:p w14:paraId="0283E6C9" w14:textId="77777777" w:rsidR="009233BB" w:rsidRPr="00F068F0" w:rsidRDefault="009233BB" w:rsidP="002E32A2">
      <w:pPr>
        <w:pStyle w:val="MGfulltext"/>
        <w:spacing w:after="0"/>
        <w:ind w:left="1276" w:hanging="425"/>
        <w:rPr>
          <w:rFonts w:asciiTheme="minorHAnsi" w:eastAsia="Batang" w:hAnsiTheme="minorHAnsi" w:cstheme="minorHAnsi"/>
          <w:sz w:val="22"/>
          <w:szCs w:val="22"/>
        </w:rPr>
      </w:pPr>
    </w:p>
    <w:p w14:paraId="1939551C" w14:textId="193E5B9F" w:rsidR="00FD27EB" w:rsidRPr="00F068F0" w:rsidRDefault="002E32A2" w:rsidP="04342DA5">
      <w:pPr>
        <w:pStyle w:val="MGfulltext"/>
        <w:spacing w:after="0"/>
        <w:ind w:left="1276" w:hanging="425"/>
        <w:rPr>
          <w:rFonts w:asciiTheme="minorHAnsi" w:eastAsia="Batang" w:hAnsiTheme="minorHAnsi" w:cstheme="minorBidi"/>
          <w:sz w:val="22"/>
          <w:szCs w:val="22"/>
        </w:rPr>
      </w:pPr>
      <w:r>
        <w:rPr>
          <w:rFonts w:asciiTheme="minorHAnsi" w:hAnsiTheme="minorHAnsi"/>
          <w:sz w:val="22"/>
        </w:rPr>
        <w:t>vi.</w:t>
      </w:r>
      <w:r>
        <w:tab/>
      </w:r>
      <w:r>
        <w:rPr>
          <w:rFonts w:asciiTheme="minorHAnsi" w:hAnsiTheme="minorHAnsi"/>
          <w:sz w:val="22"/>
        </w:rPr>
        <w:t xml:space="preserve">En la sección H del presupuesto, la partida “Gastos por servicios administrativos de la UICN” se ha incrementado en 27 000 francos suizos en comparación con el trienio anterior para reflejar la cantidad de personal y también un aumento en los costos de administración de la oficina y energía. Con este aumento, el cargo por servicios de la UICN representa el 10 % del presupuesto total, y por lo tanto está por debajo del máximo permitido del 13 % del presupuesto total, como se indica en la Resolución XIV.1 sobre </w:t>
      </w:r>
      <w:r>
        <w:rPr>
          <w:rFonts w:asciiTheme="minorHAnsi" w:hAnsiTheme="minorHAnsi"/>
          <w:i/>
          <w:sz w:val="22"/>
        </w:rPr>
        <w:t>Cuestiones financieras y presupuestarias</w:t>
      </w:r>
      <w:r>
        <w:rPr>
          <w:rFonts w:asciiTheme="minorHAnsi" w:hAnsiTheme="minorHAnsi"/>
          <w:sz w:val="22"/>
        </w:rPr>
        <w:t xml:space="preserve"> y en el proyecto de resolución propuesto para el trienio 2026</w:t>
      </w:r>
      <w:r w:rsidR="00D97C3B">
        <w:rPr>
          <w:rFonts w:asciiTheme="minorHAnsi" w:hAnsiTheme="minorHAnsi"/>
          <w:sz w:val="22"/>
        </w:rPr>
        <w:noBreakHyphen/>
        <w:t>20</w:t>
      </w:r>
      <w:r>
        <w:rPr>
          <w:rFonts w:asciiTheme="minorHAnsi" w:hAnsiTheme="minorHAnsi"/>
          <w:sz w:val="22"/>
        </w:rPr>
        <w:t>28 (véase el párrafo 20 del texto del proyecto de resolución más adelante).</w:t>
      </w:r>
    </w:p>
    <w:p w14:paraId="4782CD78" w14:textId="77777777" w:rsidR="005C118B" w:rsidRPr="00F068F0" w:rsidRDefault="005C118B" w:rsidP="002E32A2">
      <w:pPr>
        <w:pStyle w:val="MGfulltext"/>
        <w:spacing w:after="0"/>
        <w:ind w:left="1276"/>
        <w:rPr>
          <w:rFonts w:asciiTheme="minorHAnsi" w:eastAsia="Batang" w:hAnsiTheme="minorHAnsi" w:cstheme="minorHAnsi"/>
          <w:sz w:val="22"/>
          <w:szCs w:val="22"/>
        </w:rPr>
      </w:pPr>
    </w:p>
    <w:p w14:paraId="00114B37" w14:textId="276C0716" w:rsidR="00C13E62" w:rsidRPr="00F068F0" w:rsidRDefault="002E32A2" w:rsidP="002E32A2">
      <w:pPr>
        <w:pStyle w:val="MGfulltext"/>
        <w:spacing w:after="0"/>
        <w:ind w:left="1276" w:hanging="425"/>
        <w:rPr>
          <w:rFonts w:asciiTheme="minorHAnsi" w:eastAsia="Batang" w:hAnsiTheme="minorHAnsi" w:cstheme="minorHAnsi"/>
          <w:sz w:val="22"/>
          <w:szCs w:val="22"/>
        </w:rPr>
      </w:pPr>
      <w:proofErr w:type="spellStart"/>
      <w:r>
        <w:rPr>
          <w:rFonts w:asciiTheme="minorHAnsi" w:hAnsiTheme="minorHAnsi"/>
          <w:sz w:val="22"/>
        </w:rPr>
        <w:t>vii</w:t>
      </w:r>
      <w:proofErr w:type="spellEnd"/>
      <w:r>
        <w:rPr>
          <w:rFonts w:asciiTheme="minorHAnsi" w:hAnsiTheme="minorHAnsi"/>
          <w:sz w:val="22"/>
        </w:rPr>
        <w:t>.</w:t>
      </w:r>
      <w:r>
        <w:rPr>
          <w:rFonts w:asciiTheme="minorHAnsi" w:hAnsiTheme="minorHAnsi"/>
          <w:sz w:val="22"/>
        </w:rPr>
        <w:tab/>
        <w:t>La partida presupuestaria “Viajes” de la sección A del presupuesto, “Personal directivo de la Secretaría y Gobernanza”, se ha incrementado en 33 000 francos suizos. Además, se ha ajustado también con una reasignación de 36 000 francos suizos de la sección C del presupuesto, “Asesoramiento y apoyo regionales”, y una reasignación de 15 000 francos suizos de la sección B del presupuesto, “Movilización de recursos y divulgación”, a la sección A del presupuesto. Estos ajustes se realizan en consonancia con los requisitos del plan de trabajo de la Secretaría, mientras que el presupuesto global para viajes representa el 3 % del presupuesto básico total, el mismo que en el trienio 2023</w:t>
      </w:r>
      <w:r w:rsidR="00D97C3B">
        <w:rPr>
          <w:rFonts w:asciiTheme="minorHAnsi" w:hAnsiTheme="minorHAnsi"/>
          <w:sz w:val="22"/>
        </w:rPr>
        <w:noBreakHyphen/>
        <w:t>20</w:t>
      </w:r>
      <w:r>
        <w:rPr>
          <w:rFonts w:asciiTheme="minorHAnsi" w:hAnsiTheme="minorHAnsi"/>
          <w:sz w:val="22"/>
        </w:rPr>
        <w:t>25.</w:t>
      </w:r>
    </w:p>
    <w:p w14:paraId="327F2F8F" w14:textId="77777777" w:rsidR="002F7900" w:rsidRPr="00F068F0" w:rsidRDefault="002F7900" w:rsidP="002E32A2">
      <w:pPr>
        <w:pStyle w:val="MGfulltext"/>
        <w:spacing w:after="0"/>
        <w:ind w:left="1276" w:hanging="425"/>
        <w:rPr>
          <w:rFonts w:asciiTheme="minorHAnsi" w:eastAsia="Batang" w:hAnsiTheme="minorHAnsi" w:cstheme="minorHAnsi"/>
          <w:sz w:val="22"/>
          <w:szCs w:val="22"/>
        </w:rPr>
      </w:pPr>
    </w:p>
    <w:p w14:paraId="54504BBA" w14:textId="77777777" w:rsidR="00B33A19" w:rsidRPr="00F068F0" w:rsidRDefault="002E32A2" w:rsidP="002E32A2">
      <w:pPr>
        <w:pStyle w:val="MGfulltext"/>
        <w:spacing w:after="0"/>
        <w:ind w:left="1276" w:hanging="425"/>
        <w:rPr>
          <w:rFonts w:asciiTheme="minorHAnsi" w:eastAsia="Batang" w:hAnsiTheme="minorHAnsi" w:cstheme="minorHAnsi"/>
          <w:sz w:val="22"/>
          <w:szCs w:val="22"/>
        </w:rPr>
      </w:pPr>
      <w:proofErr w:type="spellStart"/>
      <w:r>
        <w:rPr>
          <w:rFonts w:asciiTheme="minorHAnsi" w:hAnsiTheme="minorHAnsi"/>
          <w:sz w:val="22"/>
        </w:rPr>
        <w:t>vii</w:t>
      </w:r>
      <w:proofErr w:type="spellEnd"/>
      <w:r>
        <w:rPr>
          <w:rFonts w:asciiTheme="minorHAnsi" w:hAnsiTheme="minorHAnsi"/>
          <w:sz w:val="22"/>
        </w:rPr>
        <w:t>.</w:t>
      </w:r>
      <w:r>
        <w:rPr>
          <w:rFonts w:asciiTheme="minorHAnsi" w:hAnsiTheme="minorHAnsi"/>
          <w:sz w:val="22"/>
        </w:rPr>
        <w:tab/>
        <w:t>La partida presupuestaria “Reuniones del Comité Permanente” se ha incrementado en 75.000 francos suizos en función del costo real del último trienio, como consecuencia del aumento de los gastos relacionados con el incremento de la asistencia y la transmisión en directo.</w:t>
      </w:r>
    </w:p>
    <w:p w14:paraId="277610B0" w14:textId="77777777" w:rsidR="00B33A19" w:rsidRPr="00F068F0" w:rsidRDefault="00B33A19" w:rsidP="00F068F0">
      <w:pPr>
        <w:pStyle w:val="MGfulltext"/>
        <w:spacing w:after="0"/>
        <w:ind w:left="850" w:hanging="425"/>
        <w:rPr>
          <w:rFonts w:asciiTheme="minorHAnsi" w:eastAsia="Batang" w:hAnsiTheme="minorHAnsi" w:cstheme="minorHAnsi"/>
          <w:sz w:val="22"/>
          <w:szCs w:val="22"/>
        </w:rPr>
      </w:pPr>
    </w:p>
    <w:p w14:paraId="776AFBE9" w14:textId="77777777" w:rsidR="00B32E40"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g.</w:t>
      </w:r>
      <w:r>
        <w:rPr>
          <w:rFonts w:asciiTheme="minorHAnsi" w:hAnsiTheme="minorHAnsi"/>
          <w:sz w:val="22"/>
        </w:rPr>
        <w:tab/>
        <w:t xml:space="preserve">Al igual que en el trienio anterior, se presupuestan 100 000 francos suizos por año para la financiación inicial de las iniciativas regionales de Ramsar. </w:t>
      </w:r>
    </w:p>
    <w:p w14:paraId="5E4F20E3"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1CAD9F6D" w14:textId="427C38F3" w:rsidR="00B32E40"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lastRenderedPageBreak/>
        <w:t>h.</w:t>
      </w:r>
      <w:r>
        <w:rPr>
          <w:rFonts w:asciiTheme="minorHAnsi" w:hAnsiTheme="minorHAnsi"/>
          <w:sz w:val="22"/>
        </w:rPr>
        <w:tab/>
        <w:t>No se asignan fondos del presupuesto básico para las Misiones Ramsar de Asesoramiento o para las reuniones de la Conferencia de las Partes Contratantes, como en el trienio 2023</w:t>
      </w:r>
      <w:r w:rsidR="00D97C3B">
        <w:rPr>
          <w:rFonts w:asciiTheme="minorHAnsi" w:hAnsiTheme="minorHAnsi"/>
          <w:sz w:val="22"/>
        </w:rPr>
        <w:noBreakHyphen/>
        <w:t>20</w:t>
      </w:r>
      <w:r>
        <w:rPr>
          <w:rFonts w:asciiTheme="minorHAnsi" w:hAnsiTheme="minorHAnsi"/>
          <w:sz w:val="22"/>
        </w:rPr>
        <w:t>25 (teniendo en cuenta la inclusión de los costos de las reuniones de la COP en el escenario presupuestario B, descrito más adelante en el párrafo 6.a).</w:t>
      </w:r>
    </w:p>
    <w:p w14:paraId="4BC9CED8" w14:textId="77777777" w:rsidR="00701C8A" w:rsidRPr="00F068F0" w:rsidRDefault="00701C8A" w:rsidP="00F068F0">
      <w:pPr>
        <w:pStyle w:val="MGfulltext"/>
        <w:spacing w:after="0"/>
        <w:ind w:left="850" w:hanging="425"/>
        <w:rPr>
          <w:rFonts w:asciiTheme="minorHAnsi" w:eastAsia="Batang" w:hAnsiTheme="minorHAnsi" w:cstheme="minorHAnsi"/>
          <w:sz w:val="22"/>
          <w:szCs w:val="22"/>
        </w:rPr>
      </w:pPr>
    </w:p>
    <w:p w14:paraId="181121CB" w14:textId="77777777" w:rsidR="00701C8A"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i.</w:t>
      </w:r>
      <w:r>
        <w:rPr>
          <w:rFonts w:asciiTheme="minorHAnsi" w:hAnsiTheme="minorHAnsi"/>
          <w:sz w:val="22"/>
        </w:rPr>
        <w:tab/>
        <w:t xml:space="preserve">En comparación con el último trienio, se ha mantenido la misma cuantía asignada a las provisiones. </w:t>
      </w:r>
    </w:p>
    <w:p w14:paraId="644A1CBF" w14:textId="77777777" w:rsidR="000A192A" w:rsidRPr="00F068F0" w:rsidRDefault="000A192A" w:rsidP="00F068F0">
      <w:pPr>
        <w:pStyle w:val="MGfulltext"/>
        <w:spacing w:after="0"/>
        <w:ind w:left="850" w:hanging="425"/>
        <w:rPr>
          <w:rFonts w:asciiTheme="minorHAnsi" w:eastAsia="Batang" w:hAnsiTheme="minorHAnsi" w:cstheme="minorHAnsi"/>
          <w:sz w:val="22"/>
          <w:szCs w:val="22"/>
        </w:rPr>
      </w:pPr>
    </w:p>
    <w:p w14:paraId="0A3DA77A" w14:textId="56F2AB48" w:rsidR="00BC294C" w:rsidRPr="00F068F0" w:rsidRDefault="00585A93" w:rsidP="00585A93">
      <w:pPr>
        <w:pStyle w:val="MGfulltext"/>
        <w:spacing w:after="0"/>
        <w:ind w:left="426" w:hanging="425"/>
        <w:rPr>
          <w:rFonts w:asciiTheme="minorHAnsi" w:eastAsia="Batang" w:hAnsiTheme="minorHAnsi" w:cstheme="minorHAnsi"/>
          <w:sz w:val="22"/>
          <w:szCs w:val="22"/>
        </w:rPr>
      </w:pPr>
      <w:r>
        <w:rPr>
          <w:rFonts w:asciiTheme="minorHAnsi" w:hAnsiTheme="minorHAnsi"/>
          <w:sz w:val="22"/>
        </w:rPr>
        <w:t>5.</w:t>
      </w:r>
      <w:r>
        <w:rPr>
          <w:rFonts w:asciiTheme="minorHAnsi" w:hAnsiTheme="minorHAnsi"/>
          <w:sz w:val="22"/>
        </w:rPr>
        <w:tab/>
        <w:t>El importe asignado a provisiones correspondientes al personal se ha calculado sobre la base del costo real en el último trienio. Sin embargo, el importe de las provisiones correspondientes a las contribuciones pendientes no resultará suficiente, por lo que habrá que destinar cada año ahorros del presupuesto básico, como en el trienio 2023</w:t>
      </w:r>
      <w:r w:rsidR="00D97C3B">
        <w:rPr>
          <w:rFonts w:asciiTheme="minorHAnsi" w:hAnsiTheme="minorHAnsi"/>
          <w:sz w:val="22"/>
        </w:rPr>
        <w:noBreakHyphen/>
        <w:t>20</w:t>
      </w:r>
      <w:r>
        <w:rPr>
          <w:rFonts w:asciiTheme="minorHAnsi" w:hAnsiTheme="minorHAnsi"/>
          <w:sz w:val="22"/>
        </w:rPr>
        <w:t>25. La Secretaría estima una provisión total para contribuciones pendientes de hasta 450 000 francos suizos (hasta un máximo de 150 000 francos suizos al año). Dado que el importe de 90 000 francos suizos ya está incluido en el presupuesto (30 000 francos suizos al año), se requerirá una asignación adicional de hasta 360 000 francos suizos (120 000 francos suizos al año) para cubrirlo en el trienio 2026</w:t>
      </w:r>
      <w:r w:rsidR="00D97C3B">
        <w:rPr>
          <w:rFonts w:asciiTheme="minorHAnsi" w:hAnsiTheme="minorHAnsi"/>
          <w:sz w:val="22"/>
        </w:rPr>
        <w:noBreakHyphen/>
        <w:t>20</w:t>
      </w:r>
      <w:r>
        <w:rPr>
          <w:rFonts w:asciiTheme="minorHAnsi" w:hAnsiTheme="minorHAnsi"/>
          <w:sz w:val="22"/>
        </w:rPr>
        <w:t xml:space="preserve">28. La Secretaría sugiere cubrirlo con el superávit del trienio anterior notificado en el documento SC64 </w:t>
      </w:r>
      <w:proofErr w:type="spellStart"/>
      <w:r>
        <w:rPr>
          <w:rFonts w:asciiTheme="minorHAnsi" w:hAnsiTheme="minorHAnsi"/>
          <w:sz w:val="22"/>
        </w:rPr>
        <w:t>Doc</w:t>
      </w:r>
      <w:proofErr w:type="spellEnd"/>
      <w:r>
        <w:rPr>
          <w:rFonts w:asciiTheme="minorHAnsi" w:hAnsiTheme="minorHAnsi"/>
          <w:sz w:val="22"/>
        </w:rPr>
        <w:t xml:space="preserve"> 9.1, </w:t>
      </w:r>
      <w:r>
        <w:rPr>
          <w:rFonts w:asciiTheme="minorHAnsi" w:hAnsiTheme="minorHAnsi"/>
          <w:i/>
          <w:sz w:val="22"/>
        </w:rPr>
        <w:t>Informe sobre cuestiones financieras para 2024 y 2025</w:t>
      </w:r>
      <w:r>
        <w:rPr>
          <w:rFonts w:asciiTheme="minorHAnsi" w:hAnsiTheme="minorHAnsi"/>
          <w:sz w:val="22"/>
        </w:rPr>
        <w:t xml:space="preserve">. Por ende, tanto el </w:t>
      </w:r>
      <w:r>
        <w:rPr>
          <w:rFonts w:asciiTheme="minorHAnsi" w:hAnsiTheme="minorHAnsi"/>
          <w:b/>
          <w:sz w:val="22"/>
        </w:rPr>
        <w:t>Escenario A</w:t>
      </w:r>
      <w:r>
        <w:rPr>
          <w:rFonts w:asciiTheme="minorHAnsi" w:hAnsiTheme="minorHAnsi"/>
          <w:sz w:val="22"/>
        </w:rPr>
        <w:t xml:space="preserve"> como el </w:t>
      </w:r>
      <w:r>
        <w:rPr>
          <w:rFonts w:asciiTheme="minorHAnsi" w:hAnsiTheme="minorHAnsi"/>
          <w:b/>
          <w:sz w:val="22"/>
        </w:rPr>
        <w:t>Escenario B</w:t>
      </w:r>
      <w:r>
        <w:rPr>
          <w:rFonts w:asciiTheme="minorHAnsi" w:hAnsiTheme="minorHAnsi"/>
          <w:sz w:val="22"/>
        </w:rPr>
        <w:t xml:space="preserve"> suponen la aprobación del uso del superávit de 2024 para este fin. </w:t>
      </w:r>
    </w:p>
    <w:p w14:paraId="7A4EAFDC" w14:textId="77777777" w:rsidR="004A172D" w:rsidRPr="00F068F0" w:rsidRDefault="004A172D" w:rsidP="00F068F0">
      <w:pPr>
        <w:pStyle w:val="ListParagraph"/>
        <w:rPr>
          <w:rFonts w:asciiTheme="minorHAnsi" w:hAnsiTheme="minorHAnsi" w:cstheme="minorHAnsi"/>
        </w:rPr>
      </w:pPr>
    </w:p>
    <w:p w14:paraId="37BD8222" w14:textId="77777777" w:rsidR="00363957" w:rsidRPr="00F068F0" w:rsidRDefault="00585A93" w:rsidP="00F068F0">
      <w:pPr>
        <w:pStyle w:val="MGfulltext"/>
        <w:spacing w:after="0"/>
        <w:ind w:left="425" w:hanging="425"/>
        <w:rPr>
          <w:rFonts w:asciiTheme="minorHAnsi" w:eastAsia="Batang" w:hAnsiTheme="minorHAnsi" w:cstheme="minorHAnsi"/>
          <w:sz w:val="22"/>
          <w:szCs w:val="22"/>
        </w:rPr>
      </w:pPr>
      <w:r>
        <w:rPr>
          <w:rFonts w:asciiTheme="minorHAnsi" w:hAnsiTheme="minorHAnsi"/>
          <w:sz w:val="22"/>
        </w:rPr>
        <w:t>6.</w:t>
      </w:r>
      <w:r>
        <w:rPr>
          <w:rFonts w:asciiTheme="minorHAnsi" w:hAnsiTheme="minorHAnsi"/>
          <w:sz w:val="22"/>
        </w:rPr>
        <w:tab/>
        <w:t xml:space="preserve">En el </w:t>
      </w:r>
      <w:r>
        <w:rPr>
          <w:rFonts w:asciiTheme="minorHAnsi" w:hAnsiTheme="minorHAnsi"/>
          <w:b/>
          <w:sz w:val="22"/>
        </w:rPr>
        <w:t>escenario de 11,3 % (B)</w:t>
      </w:r>
      <w:r>
        <w:rPr>
          <w:rFonts w:asciiTheme="minorHAnsi" w:hAnsiTheme="minorHAnsi"/>
          <w:sz w:val="22"/>
        </w:rPr>
        <w:t xml:space="preserve">, el aumento total del presupuesto sería de 1 724 000 francos suizos a lo largo del trienio, lo que supondría un nuevo presupuesto total de 16 967 000 francos suizos, con las siguientes adiciones al Escenario A: </w:t>
      </w:r>
    </w:p>
    <w:p w14:paraId="7C362BE3"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453EA5FD" w14:textId="77777777" w:rsidR="00241822" w:rsidRPr="00F068F0" w:rsidRDefault="00241822" w:rsidP="04342DA5">
      <w:pPr>
        <w:pStyle w:val="MGfulltext"/>
        <w:spacing w:after="0"/>
        <w:ind w:left="850" w:hanging="425"/>
        <w:rPr>
          <w:rFonts w:asciiTheme="minorHAnsi" w:eastAsia="Batang" w:hAnsiTheme="minorHAnsi" w:cstheme="minorBidi"/>
          <w:sz w:val="22"/>
          <w:szCs w:val="22"/>
        </w:rPr>
      </w:pPr>
      <w:r>
        <w:rPr>
          <w:rFonts w:asciiTheme="minorHAnsi" w:hAnsiTheme="minorHAnsi"/>
          <w:sz w:val="22"/>
        </w:rPr>
        <w:t>a.</w:t>
      </w:r>
      <w:r>
        <w:tab/>
      </w:r>
      <w:r>
        <w:rPr>
          <w:rFonts w:asciiTheme="minorHAnsi" w:hAnsiTheme="minorHAnsi"/>
          <w:sz w:val="22"/>
        </w:rPr>
        <w:t>El Escenario B incluye los ajustes indicados en el Escenario A, y también incluye una asignación de 236 000 francos suizos en el año 2028 para costos asociados a la prestación de servicios relacionados con una COP (interpretación, traducción, redacción de informes y otros servicios de apoyo). Estos ajustes se incluyen habitualmente en los presupuestos de convenciones comparables, como la Convención sobre las Especies Migratorias y la Convención sobre el Comercio Internacional de Especies Amenazadas de Fauna y Flora Silvestres. Los costos asociados a la acogida de una COP (lugar de celebración, comunicaciones, recepción de bienvenida, servicios audiovisuales o viajes y alojamiento para la Secretaría) corren a cargo del país anfitrión.  Sin esta asignación presupuestaria, los costos adicionales de servicio también deben ser sufragados por el país anfitrión.</w:t>
      </w:r>
    </w:p>
    <w:p w14:paraId="0F72C4F0" w14:textId="77777777" w:rsidR="00483217" w:rsidRPr="00F068F0" w:rsidRDefault="00483217" w:rsidP="00F068F0">
      <w:pPr>
        <w:pStyle w:val="MGfulltext"/>
        <w:spacing w:after="0"/>
        <w:ind w:left="850" w:hanging="425"/>
        <w:rPr>
          <w:rFonts w:asciiTheme="minorHAnsi" w:eastAsia="Batang" w:hAnsiTheme="minorHAnsi" w:cstheme="minorHAnsi"/>
          <w:sz w:val="22"/>
          <w:szCs w:val="22"/>
        </w:rPr>
      </w:pPr>
    </w:p>
    <w:p w14:paraId="40F9DF7D" w14:textId="7AB934A7" w:rsidR="004B2272"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b.</w:t>
      </w:r>
      <w:r>
        <w:rPr>
          <w:rFonts w:asciiTheme="minorHAnsi" w:hAnsiTheme="minorHAnsi"/>
          <w:sz w:val="22"/>
        </w:rPr>
        <w:tab/>
        <w:t>El Escenario B también incluye una asignación de 33 000 francos suizos para la partida “Planificación y creación de capacidad” dentro del trienio 2026</w:t>
      </w:r>
      <w:r w:rsidR="00D97C3B">
        <w:rPr>
          <w:rFonts w:asciiTheme="minorHAnsi" w:hAnsiTheme="minorHAnsi"/>
          <w:sz w:val="22"/>
        </w:rPr>
        <w:noBreakHyphen/>
        <w:t>20</w:t>
      </w:r>
      <w:r>
        <w:rPr>
          <w:rFonts w:asciiTheme="minorHAnsi" w:hAnsiTheme="minorHAnsi"/>
          <w:sz w:val="22"/>
        </w:rPr>
        <w:t>28. Esta asignación permitirá que el personal de la Secretaría mejore sus competencias y desarrolle su capacidad para llevar a cabo de manera eficiente las actividades solicitadas por las Partes Contratantes, y promoverá el bienestar general del personal de la Secretaría.</w:t>
      </w:r>
    </w:p>
    <w:p w14:paraId="4CFF9002"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03446F27" w14:textId="77777777" w:rsidR="0045022B" w:rsidRPr="00F068F0" w:rsidRDefault="00737F84"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c.</w:t>
      </w:r>
      <w:r>
        <w:rPr>
          <w:rFonts w:asciiTheme="minorHAnsi" w:hAnsiTheme="minorHAnsi"/>
          <w:sz w:val="22"/>
        </w:rPr>
        <w:tab/>
        <w:t>Al igual que en el Escenario A, se necesitará un importe adicional de 360 000 francos suizos para las provisiones correspondientes a las contribuciones pendientes. La Secretaría sugiere que esto se cubra con el superávit del presupuesto básico del trienio anterior, como se menciona en el párrafo 5 anterior.</w:t>
      </w:r>
    </w:p>
    <w:p w14:paraId="7368D726" w14:textId="77777777" w:rsidR="0045022B" w:rsidRPr="00F068F0" w:rsidRDefault="0045022B" w:rsidP="00F068F0">
      <w:pPr>
        <w:pStyle w:val="MGfulltext"/>
        <w:spacing w:after="0"/>
        <w:rPr>
          <w:rFonts w:asciiTheme="minorHAnsi" w:hAnsiTheme="minorHAnsi" w:cstheme="minorHAnsi"/>
          <w:sz w:val="22"/>
          <w:szCs w:val="22"/>
        </w:rPr>
      </w:pPr>
    </w:p>
    <w:p w14:paraId="1812BE8D" w14:textId="333C8233" w:rsidR="005E4BF4" w:rsidRPr="00F068F0" w:rsidRDefault="0023550A" w:rsidP="00595C1A">
      <w:pPr>
        <w:pStyle w:val="MGfulltext"/>
        <w:keepNext/>
        <w:spacing w:after="0"/>
        <w:ind w:left="425" w:hanging="425"/>
        <w:rPr>
          <w:rFonts w:asciiTheme="minorHAnsi" w:eastAsia="Batang" w:hAnsiTheme="minorHAnsi" w:cstheme="minorHAnsi"/>
          <w:b/>
          <w:sz w:val="22"/>
          <w:szCs w:val="22"/>
        </w:rPr>
      </w:pPr>
      <w:r>
        <w:rPr>
          <w:rFonts w:asciiTheme="minorHAnsi" w:hAnsiTheme="minorHAnsi"/>
          <w:b/>
          <w:sz w:val="22"/>
        </w:rPr>
        <w:lastRenderedPageBreak/>
        <w:t>Estructura de los escenarios del presupuesto básico</w:t>
      </w:r>
    </w:p>
    <w:p w14:paraId="2224E770" w14:textId="77777777" w:rsidR="005E4BF4" w:rsidRPr="00F068F0" w:rsidRDefault="005E4BF4" w:rsidP="00595C1A">
      <w:pPr>
        <w:pStyle w:val="MGfulltext"/>
        <w:keepNext/>
        <w:spacing w:after="0"/>
        <w:rPr>
          <w:rFonts w:asciiTheme="minorHAnsi" w:eastAsia="Batang" w:hAnsiTheme="minorHAnsi" w:cstheme="minorHAnsi"/>
          <w:b/>
          <w:sz w:val="22"/>
          <w:szCs w:val="22"/>
        </w:rPr>
      </w:pPr>
    </w:p>
    <w:p w14:paraId="7CCF80B6" w14:textId="77777777" w:rsidR="00E57D9D" w:rsidRPr="00F068F0" w:rsidRDefault="00585A93" w:rsidP="00F068F0">
      <w:pPr>
        <w:pStyle w:val="MGfulltext"/>
        <w:spacing w:after="0"/>
        <w:ind w:left="425" w:hanging="425"/>
        <w:rPr>
          <w:rFonts w:asciiTheme="minorHAnsi" w:hAnsiTheme="minorHAnsi" w:cstheme="minorHAnsi"/>
          <w:sz w:val="22"/>
          <w:szCs w:val="22"/>
        </w:rPr>
      </w:pPr>
      <w:r>
        <w:rPr>
          <w:rFonts w:asciiTheme="minorHAnsi" w:hAnsiTheme="minorHAnsi"/>
          <w:sz w:val="22"/>
        </w:rPr>
        <w:t>7.</w:t>
      </w:r>
      <w:r>
        <w:rPr>
          <w:rFonts w:asciiTheme="minorHAnsi" w:hAnsiTheme="minorHAnsi"/>
          <w:sz w:val="22"/>
        </w:rPr>
        <w:tab/>
        <w:t>A fin de mantener el enfoque actual, en el que se indican los gastos por departamento/categoría, la Secretaría propone mantener la misma estructura general del presupuesto que en del trienio anterior.</w:t>
      </w:r>
    </w:p>
    <w:p w14:paraId="3F89BBD4" w14:textId="77777777" w:rsidR="00E57D9D" w:rsidRPr="00F068F0" w:rsidRDefault="00E57D9D" w:rsidP="00F068F0">
      <w:pPr>
        <w:pStyle w:val="MGfulltext"/>
        <w:spacing w:after="0"/>
        <w:ind w:left="851" w:hanging="425"/>
        <w:rPr>
          <w:rFonts w:asciiTheme="minorHAnsi" w:hAnsiTheme="minorHAnsi" w:cstheme="minorHAnsi"/>
          <w:sz w:val="22"/>
          <w:szCs w:val="22"/>
        </w:rPr>
      </w:pPr>
    </w:p>
    <w:p w14:paraId="21F79BA5" w14:textId="77777777" w:rsidR="00B32E40" w:rsidRPr="00F068F0" w:rsidRDefault="00B32E40" w:rsidP="00F068F0">
      <w:pPr>
        <w:pStyle w:val="MGfulltext"/>
        <w:spacing w:after="0"/>
        <w:ind w:left="567" w:hanging="567"/>
        <w:rPr>
          <w:rFonts w:asciiTheme="minorHAnsi" w:eastAsia="Batang" w:hAnsiTheme="minorHAnsi" w:cstheme="minorHAnsi"/>
          <w:b/>
          <w:sz w:val="22"/>
          <w:szCs w:val="22"/>
        </w:rPr>
      </w:pPr>
      <w:r>
        <w:rPr>
          <w:rFonts w:asciiTheme="minorHAnsi" w:hAnsiTheme="minorHAnsi"/>
          <w:b/>
          <w:sz w:val="22"/>
        </w:rPr>
        <w:t>Fondos complementarios que han de recaudarse</w:t>
      </w:r>
    </w:p>
    <w:p w14:paraId="331AC470" w14:textId="77777777" w:rsidR="00B32E40" w:rsidRPr="00F068F0" w:rsidRDefault="00B32E40" w:rsidP="00F068F0">
      <w:pPr>
        <w:pStyle w:val="MGfulltext"/>
        <w:spacing w:after="0"/>
        <w:rPr>
          <w:rFonts w:asciiTheme="minorHAnsi" w:eastAsia="Batang" w:hAnsiTheme="minorHAnsi" w:cstheme="minorHAnsi"/>
          <w:sz w:val="22"/>
          <w:szCs w:val="22"/>
        </w:rPr>
      </w:pPr>
    </w:p>
    <w:p w14:paraId="24EEB8B5" w14:textId="77777777" w:rsidR="00E76632" w:rsidRPr="003D2FFA" w:rsidRDefault="00585A93" w:rsidP="04342DA5">
      <w:pPr>
        <w:pStyle w:val="MGfulltext"/>
        <w:spacing w:after="0"/>
        <w:ind w:left="425" w:hanging="425"/>
        <w:rPr>
          <w:rFonts w:asciiTheme="minorHAnsi" w:eastAsia="Batang" w:hAnsiTheme="minorHAnsi" w:cstheme="minorBidi"/>
          <w:sz w:val="22"/>
          <w:szCs w:val="22"/>
        </w:rPr>
      </w:pPr>
      <w:r>
        <w:rPr>
          <w:rFonts w:asciiTheme="minorHAnsi" w:hAnsiTheme="minorHAnsi"/>
          <w:sz w:val="22"/>
        </w:rPr>
        <w:t>8.</w:t>
      </w:r>
      <w:r>
        <w:tab/>
      </w:r>
      <w:r>
        <w:rPr>
          <w:rFonts w:asciiTheme="minorHAnsi" w:hAnsiTheme="minorHAnsi"/>
          <w:sz w:val="22"/>
        </w:rPr>
        <w:t>Además del presupuesto básico, la Conferencia de las Partes Contratantes decide acerca de las prioridades de financiación con cargo a fondos complementarios para la Secretaría, que se presentan en una lista que se anexa a la resolución final sobre</w:t>
      </w:r>
      <w:r>
        <w:t xml:space="preserve"> </w:t>
      </w:r>
      <w:r>
        <w:rPr>
          <w:rFonts w:asciiTheme="minorHAnsi" w:hAnsiTheme="minorHAnsi"/>
          <w:sz w:val="22"/>
        </w:rPr>
        <w:t>cuestiones financieras y presupuestarias. Entre ellas se incluyen las esferas de trabajo establecidas de la Secretaría y las prioridades señaladas en las resoluciones adoptadas por la Conferencia de las Partes. La Secretaría ha incluido el Anexo 4 del presente documento como un marcador de espacio reservado para su inclusión en el proyecto de resolución que se presentará a la COP15.</w:t>
      </w:r>
      <w:r>
        <w:rPr>
          <w:rFonts w:asciiTheme="minorHAnsi" w:hAnsiTheme="minorHAnsi"/>
          <w:sz w:val="22"/>
        </w:rPr>
        <w:br w:type="page"/>
      </w:r>
      <w:bookmarkStart w:id="0" w:name="OLE_LINK3"/>
    </w:p>
    <w:p w14:paraId="7530BE2F" w14:textId="5C2B23E3" w:rsidR="00B32E40" w:rsidRPr="00210BFE" w:rsidRDefault="00B32E40" w:rsidP="00F068F0">
      <w:pPr>
        <w:ind w:left="540" w:hanging="540"/>
        <w:rPr>
          <w:rFonts w:asciiTheme="minorHAnsi" w:hAnsiTheme="minorHAnsi" w:cstheme="minorHAnsi"/>
          <w:b/>
          <w:sz w:val="24"/>
          <w:szCs w:val="24"/>
        </w:rPr>
      </w:pPr>
      <w:r>
        <w:rPr>
          <w:rFonts w:asciiTheme="minorHAnsi" w:hAnsiTheme="minorHAnsi"/>
          <w:b/>
          <w:sz w:val="24"/>
        </w:rPr>
        <w:lastRenderedPageBreak/>
        <w:t xml:space="preserve">Proyecto de resolución </w:t>
      </w:r>
      <w:proofErr w:type="spellStart"/>
      <w:r w:rsidR="00A47FC2">
        <w:rPr>
          <w:rFonts w:asciiTheme="minorHAnsi" w:hAnsiTheme="minorHAnsi"/>
          <w:b/>
          <w:sz w:val="24"/>
        </w:rPr>
        <w:t>XV</w:t>
      </w:r>
      <w:r>
        <w:rPr>
          <w:rFonts w:asciiTheme="minorHAnsi" w:hAnsiTheme="minorHAnsi"/>
          <w:b/>
          <w:sz w:val="24"/>
        </w:rPr>
        <w:t>.xx</w:t>
      </w:r>
      <w:proofErr w:type="spellEnd"/>
    </w:p>
    <w:bookmarkEnd w:id="0"/>
    <w:p w14:paraId="69FD0762" w14:textId="77777777" w:rsidR="00B32E40" w:rsidRPr="00210BFE" w:rsidRDefault="00B32E40" w:rsidP="00F068F0">
      <w:pPr>
        <w:ind w:left="0" w:firstLine="0"/>
        <w:rPr>
          <w:rFonts w:asciiTheme="minorHAnsi" w:hAnsiTheme="minorHAnsi" w:cstheme="minorHAnsi"/>
          <w:b/>
          <w:sz w:val="24"/>
          <w:szCs w:val="24"/>
        </w:rPr>
      </w:pPr>
      <w:r>
        <w:rPr>
          <w:rFonts w:asciiTheme="minorHAnsi" w:hAnsiTheme="minorHAnsi"/>
          <w:b/>
          <w:sz w:val="24"/>
        </w:rPr>
        <w:t>Cuestiones financieras y presupuestarias</w:t>
      </w:r>
    </w:p>
    <w:p w14:paraId="2B11339D" w14:textId="77777777" w:rsidR="00A81CC0" w:rsidRPr="00F068F0" w:rsidRDefault="00A81CC0" w:rsidP="00F068F0">
      <w:pPr>
        <w:rPr>
          <w:rFonts w:asciiTheme="minorHAnsi" w:hAnsiTheme="minorHAnsi" w:cstheme="minorHAnsi"/>
          <w:b/>
        </w:rPr>
      </w:pPr>
    </w:p>
    <w:p w14:paraId="4DF5CEEC" w14:textId="77777777" w:rsidR="00A81CC0" w:rsidRPr="00F068F0" w:rsidRDefault="00A81CC0" w:rsidP="00F068F0">
      <w:pPr>
        <w:pStyle w:val="ListParagraph"/>
        <w:numPr>
          <w:ilvl w:val="0"/>
          <w:numId w:val="37"/>
        </w:numPr>
        <w:ind w:left="425" w:hanging="425"/>
        <w:rPr>
          <w:rFonts w:asciiTheme="minorHAnsi" w:hAnsiTheme="minorHAnsi" w:cstheme="minorHAnsi"/>
        </w:rPr>
      </w:pPr>
      <w:r>
        <w:rPr>
          <w:rFonts w:asciiTheme="minorHAnsi" w:hAnsiTheme="minorHAnsi"/>
        </w:rPr>
        <w:t>RECORDANDO las disposiciones presupuestarias establecidas en los párrafos 5 y 6 del Artículo 6 de la Convención;</w:t>
      </w:r>
    </w:p>
    <w:p w14:paraId="6A10191C" w14:textId="77777777" w:rsidR="00A81CC0" w:rsidRPr="00F068F0" w:rsidRDefault="00A81CC0" w:rsidP="00F068F0">
      <w:pPr>
        <w:pStyle w:val="ListParagraph"/>
        <w:ind w:left="425"/>
        <w:rPr>
          <w:rFonts w:asciiTheme="minorHAnsi" w:hAnsiTheme="minorHAnsi" w:cstheme="minorHAnsi"/>
        </w:rPr>
      </w:pPr>
    </w:p>
    <w:p w14:paraId="06A03E29" w14:textId="77777777" w:rsidR="00A81CC0" w:rsidRPr="00F068F0" w:rsidRDefault="00A81CC0" w:rsidP="00F068F0">
      <w:pPr>
        <w:rPr>
          <w:rFonts w:asciiTheme="minorHAnsi" w:hAnsiTheme="minorHAnsi" w:cstheme="minorHAnsi"/>
        </w:rPr>
      </w:pPr>
      <w:r>
        <w:rPr>
          <w:rFonts w:asciiTheme="minorHAnsi" w:hAnsiTheme="minorHAnsi"/>
        </w:rPr>
        <w:t>2.</w:t>
      </w:r>
      <w:r>
        <w:rPr>
          <w:rFonts w:asciiTheme="minorHAnsi" w:hAnsiTheme="minorHAnsi"/>
        </w:rPr>
        <w:tab/>
        <w:t xml:space="preserve">RECORDANDO la Resolución XII.7 sobre el </w:t>
      </w:r>
      <w:r>
        <w:rPr>
          <w:rFonts w:asciiTheme="minorHAnsi" w:hAnsiTheme="minorHAnsi"/>
          <w:i/>
        </w:rPr>
        <w:t>Marco de la Convención de Ramsar para la movilización de recursos y las asociaciones de colaboración</w:t>
      </w:r>
      <w:r>
        <w:rPr>
          <w:rFonts w:asciiTheme="minorHAnsi" w:hAnsiTheme="minorHAnsi"/>
        </w:rPr>
        <w:t xml:space="preserve"> y las disposiciones conexas de la Resolución XIV.1 sobre </w:t>
      </w:r>
      <w:r>
        <w:rPr>
          <w:rFonts w:asciiTheme="minorHAnsi" w:hAnsiTheme="minorHAnsi"/>
          <w:i/>
          <w:iCs/>
        </w:rPr>
        <w:t>Cuestiones financieras y presupuestarias</w:t>
      </w:r>
      <w:r>
        <w:rPr>
          <w:rFonts w:asciiTheme="minorHAnsi" w:hAnsiTheme="minorHAnsi"/>
        </w:rPr>
        <w:t xml:space="preserve">; </w:t>
      </w:r>
    </w:p>
    <w:p w14:paraId="4C7D6F74" w14:textId="77777777" w:rsidR="005C2ADF" w:rsidRPr="00F068F0" w:rsidRDefault="005C2ADF" w:rsidP="00F068F0">
      <w:pPr>
        <w:rPr>
          <w:rFonts w:asciiTheme="minorHAnsi" w:hAnsiTheme="minorHAnsi" w:cstheme="minorHAnsi"/>
        </w:rPr>
      </w:pPr>
    </w:p>
    <w:p w14:paraId="032996B4" w14:textId="77777777" w:rsidR="00A81CC0" w:rsidRPr="00F068F0" w:rsidRDefault="00A81CC0" w:rsidP="04342DA5">
      <w:pPr>
        <w:rPr>
          <w:rFonts w:asciiTheme="minorHAnsi" w:hAnsiTheme="minorHAnsi" w:cstheme="minorBidi"/>
        </w:rPr>
      </w:pPr>
      <w:r>
        <w:rPr>
          <w:rFonts w:asciiTheme="minorHAnsi" w:hAnsiTheme="minorHAnsi"/>
        </w:rPr>
        <w:t>3.</w:t>
      </w:r>
      <w:r>
        <w:tab/>
      </w:r>
      <w:r>
        <w:rPr>
          <w:rFonts w:asciiTheme="minorHAnsi" w:hAnsiTheme="minorHAnsi"/>
        </w:rPr>
        <w:t>RECONOCIENDO CON APRECIO el pronto pago realizado por la mayoría de las Partes Contratantes de las contribuciones al presupuesto básico de la Convención, pero OBSERVANDO CON PREOCUPACIÓN que varias Partes aún tienen importantes contribuciones pendientes de pago;</w:t>
      </w:r>
    </w:p>
    <w:p w14:paraId="6D871788" w14:textId="77777777" w:rsidR="00A81CC0" w:rsidRPr="00F068F0" w:rsidRDefault="00A81CC0" w:rsidP="00F068F0">
      <w:pPr>
        <w:rPr>
          <w:rFonts w:asciiTheme="minorHAnsi" w:hAnsiTheme="minorHAnsi" w:cstheme="minorHAnsi"/>
        </w:rPr>
      </w:pPr>
    </w:p>
    <w:p w14:paraId="729EB9B0" w14:textId="77777777" w:rsidR="00A81CC0" w:rsidRPr="00F068F0" w:rsidRDefault="00A81CC0" w:rsidP="00F068F0">
      <w:pPr>
        <w:rPr>
          <w:rFonts w:asciiTheme="minorHAnsi" w:hAnsiTheme="minorHAnsi" w:cstheme="minorHAnsi"/>
        </w:rPr>
      </w:pPr>
      <w:r>
        <w:rPr>
          <w:rFonts w:asciiTheme="minorHAnsi" w:hAnsiTheme="minorHAnsi"/>
        </w:rPr>
        <w:t>4.</w:t>
      </w:r>
      <w:r>
        <w:rPr>
          <w:rFonts w:asciiTheme="minorHAnsi" w:hAnsiTheme="minorHAnsi"/>
        </w:rPr>
        <w:tab/>
        <w:t xml:space="preserve">OBSERVANDO CON AGRADECIMIENTO las contribuciones financieras adicionales de carácter voluntario realizadas por muchas Partes Contratantes, incluidas las de las Partes Contratantes de África destinadas específicamente a iniciativas regionales africanas (de conformidad con el párrafo 23 de la Resolución X.2 sobre </w:t>
      </w:r>
      <w:r>
        <w:rPr>
          <w:rFonts w:asciiTheme="minorHAnsi" w:hAnsiTheme="minorHAnsi"/>
          <w:i/>
        </w:rPr>
        <w:t>Asuntos financieros y presupuestarios</w:t>
      </w:r>
      <w:r>
        <w:rPr>
          <w:rFonts w:asciiTheme="minorHAnsi" w:hAnsiTheme="minorHAnsi"/>
        </w:rPr>
        <w:t>), así como las contribuciones realizadas por organizaciones no gubernamentales y empresas privadas para actividades llevadas a cabo por la Secretaría;</w:t>
      </w:r>
    </w:p>
    <w:p w14:paraId="4E467A77" w14:textId="77777777" w:rsidR="00A81CC0" w:rsidRPr="00F068F0" w:rsidRDefault="00A81CC0" w:rsidP="00F068F0">
      <w:pPr>
        <w:rPr>
          <w:rFonts w:asciiTheme="minorHAnsi" w:hAnsiTheme="minorHAnsi" w:cstheme="minorHAnsi"/>
        </w:rPr>
      </w:pPr>
    </w:p>
    <w:p w14:paraId="00D505DE" w14:textId="77777777" w:rsidR="00A81CC0" w:rsidRPr="00F068F0" w:rsidRDefault="00A81CC0" w:rsidP="00F068F0">
      <w:pPr>
        <w:rPr>
          <w:rFonts w:asciiTheme="minorHAnsi" w:hAnsiTheme="minorHAnsi" w:cstheme="minorHAnsi"/>
        </w:rPr>
      </w:pPr>
      <w:r>
        <w:rPr>
          <w:rFonts w:asciiTheme="minorHAnsi" w:hAnsiTheme="minorHAnsi"/>
        </w:rPr>
        <w:t>5.</w:t>
      </w:r>
      <w:r>
        <w:rPr>
          <w:rFonts w:asciiTheme="minorHAnsi" w:hAnsiTheme="minorHAnsi"/>
        </w:rPr>
        <w:tab/>
        <w:t xml:space="preserve">RECORDANDO la </w:t>
      </w:r>
      <w:r>
        <w:rPr>
          <w:rFonts w:asciiTheme="minorHAnsi" w:hAnsiTheme="minorHAnsi"/>
          <w:i/>
        </w:rPr>
        <w:t>Delegación de Autoridad al Secretario General de la Convención sobre los Humedales</w:t>
      </w:r>
      <w:r>
        <w:rPr>
          <w:rFonts w:asciiTheme="minorHAnsi" w:hAnsiTheme="minorHAnsi"/>
        </w:rPr>
        <w:t xml:space="preserve">, firmada por el Director General de la Unión Internacional para la Conservación de la Naturaleza (UICN) y la Presidencia del Comité Permanente de la Convención con fecha 29 de enero de 1993, y la </w:t>
      </w:r>
      <w:r>
        <w:rPr>
          <w:rFonts w:asciiTheme="minorHAnsi" w:hAnsiTheme="minorHAnsi"/>
          <w:i/>
        </w:rPr>
        <w:t>Nota Complementaria a la Delegación de Autoridad</w:t>
      </w:r>
      <w:r>
        <w:rPr>
          <w:rFonts w:asciiTheme="minorHAnsi" w:hAnsiTheme="minorHAnsi"/>
        </w:rPr>
        <w:t>, firmada en la misma fecha;</w:t>
      </w:r>
    </w:p>
    <w:p w14:paraId="074ED8F0" w14:textId="77777777" w:rsidR="00A81CC0" w:rsidRPr="00F068F0" w:rsidRDefault="00A81CC0" w:rsidP="00F068F0">
      <w:pPr>
        <w:rPr>
          <w:rFonts w:asciiTheme="minorHAnsi" w:hAnsiTheme="minorHAnsi" w:cstheme="minorHAnsi"/>
        </w:rPr>
      </w:pPr>
    </w:p>
    <w:p w14:paraId="76E52702" w14:textId="77777777" w:rsidR="00A81CC0" w:rsidRPr="00F068F0" w:rsidRDefault="00A81CC0" w:rsidP="00F068F0">
      <w:pPr>
        <w:rPr>
          <w:rFonts w:asciiTheme="minorHAnsi" w:hAnsiTheme="minorHAnsi" w:cstheme="minorHAnsi"/>
        </w:rPr>
      </w:pPr>
      <w:r>
        <w:rPr>
          <w:rFonts w:asciiTheme="minorHAnsi" w:hAnsiTheme="minorHAnsi"/>
        </w:rPr>
        <w:t>6.</w:t>
      </w:r>
      <w:r>
        <w:rPr>
          <w:rFonts w:asciiTheme="minorHAnsi" w:hAnsiTheme="minorHAnsi"/>
        </w:rPr>
        <w:tab/>
        <w:t>RECONOCIENDO CON APRECIO los servicios financieros y administrativos prestados a la Secretaría de la Convención por la UICN, respaldados por el Acuerdo de Servicios entre la Convención y la UICN revisado en 2009;</w:t>
      </w:r>
    </w:p>
    <w:p w14:paraId="5016696E" w14:textId="77777777" w:rsidR="00A81CC0" w:rsidRPr="00F068F0" w:rsidRDefault="00A81CC0" w:rsidP="00F068F0">
      <w:pPr>
        <w:pStyle w:val="ListParagraph"/>
        <w:ind w:left="425"/>
        <w:rPr>
          <w:rFonts w:asciiTheme="minorHAnsi" w:hAnsiTheme="minorHAnsi" w:cstheme="minorHAnsi"/>
        </w:rPr>
      </w:pPr>
    </w:p>
    <w:p w14:paraId="06D78033" w14:textId="4577CF9C" w:rsidR="00A81CC0" w:rsidRPr="00F068F0" w:rsidRDefault="00A81CC0" w:rsidP="04342DA5">
      <w:pPr>
        <w:rPr>
          <w:rFonts w:asciiTheme="minorHAnsi" w:hAnsiTheme="minorHAnsi" w:cstheme="minorBidi"/>
        </w:rPr>
      </w:pPr>
      <w:r>
        <w:rPr>
          <w:rFonts w:asciiTheme="minorHAnsi" w:hAnsiTheme="minorHAnsi"/>
        </w:rPr>
        <w:t>7.</w:t>
      </w:r>
      <w:r>
        <w:tab/>
      </w:r>
      <w:r>
        <w:rPr>
          <w:rFonts w:asciiTheme="minorHAnsi" w:hAnsiTheme="minorHAnsi"/>
        </w:rPr>
        <w:t>OBSERVANDO que se ha mantenido informadas a las Partes Contratantes sobre la situación financiera de la Secretaría mediante los estados financieros anuales auditados correspondientes a los ejercicios transcurridos desde 2022 hasta 202</w:t>
      </w:r>
      <w:r w:rsidR="00A47FC2">
        <w:rPr>
          <w:rFonts w:asciiTheme="minorHAnsi" w:hAnsiTheme="minorHAnsi"/>
        </w:rPr>
        <w:t>4</w:t>
      </w:r>
      <w:r>
        <w:rPr>
          <w:rFonts w:asciiTheme="minorHAnsi" w:hAnsiTheme="minorHAnsi"/>
        </w:rPr>
        <w:t xml:space="preserve"> y los informes presentados a las reuniones del Comité Permanente celebradas de 2023 a 2025; y</w:t>
      </w:r>
    </w:p>
    <w:p w14:paraId="145DD2D6" w14:textId="77777777" w:rsidR="00A81CC0" w:rsidRPr="00F068F0" w:rsidRDefault="00A81CC0" w:rsidP="00F068F0">
      <w:pPr>
        <w:rPr>
          <w:rFonts w:asciiTheme="minorHAnsi" w:hAnsiTheme="minorHAnsi" w:cstheme="minorHAnsi"/>
        </w:rPr>
      </w:pPr>
    </w:p>
    <w:p w14:paraId="6E6E18F5" w14:textId="77777777" w:rsidR="00A81CC0" w:rsidRPr="00F068F0" w:rsidRDefault="00A81CC0" w:rsidP="00F068F0">
      <w:pPr>
        <w:rPr>
          <w:rFonts w:asciiTheme="minorHAnsi" w:hAnsiTheme="minorHAnsi" w:cstheme="minorHAnsi"/>
        </w:rPr>
      </w:pPr>
      <w:r>
        <w:rPr>
          <w:rFonts w:asciiTheme="minorHAnsi" w:hAnsiTheme="minorHAnsi"/>
        </w:rPr>
        <w:t>8.</w:t>
      </w:r>
      <w:r>
        <w:rPr>
          <w:rFonts w:asciiTheme="minorHAnsi" w:hAnsiTheme="minorHAnsi"/>
        </w:rPr>
        <w:tab/>
        <w:t>RECONOCIENDO la necesidad de continuar fortaleciendo las alianzas financieras con las organizaciones internacionales pertinentes y otras entidades, y de estudiar oportunidades de financiación adicionales mediante los mecanismos financieros existentes;</w:t>
      </w:r>
    </w:p>
    <w:p w14:paraId="10C05835" w14:textId="77777777" w:rsidR="00A81CC0" w:rsidRPr="00F068F0" w:rsidRDefault="00A81CC0" w:rsidP="00F068F0">
      <w:pPr>
        <w:ind w:left="426" w:hanging="426"/>
        <w:rPr>
          <w:rFonts w:asciiTheme="minorHAnsi" w:hAnsiTheme="minorHAnsi" w:cstheme="minorHAnsi"/>
        </w:rPr>
      </w:pPr>
    </w:p>
    <w:p w14:paraId="3E049DA1" w14:textId="77777777" w:rsidR="00A81CC0" w:rsidRPr="00F068F0" w:rsidRDefault="00A81CC0" w:rsidP="00F068F0">
      <w:pPr>
        <w:keepNext/>
        <w:ind w:left="426" w:hanging="426"/>
        <w:jc w:val="center"/>
        <w:rPr>
          <w:rFonts w:asciiTheme="minorHAnsi" w:hAnsiTheme="minorHAnsi" w:cstheme="minorHAnsi"/>
        </w:rPr>
      </w:pPr>
      <w:r>
        <w:rPr>
          <w:rFonts w:asciiTheme="minorHAnsi" w:hAnsiTheme="minorHAnsi"/>
        </w:rPr>
        <w:t>LA CONFERENCIA DE LAS PARTES CONTRATANTES</w:t>
      </w:r>
    </w:p>
    <w:p w14:paraId="5220020E" w14:textId="77777777" w:rsidR="00A81CC0" w:rsidRPr="00F068F0" w:rsidRDefault="00A81CC0" w:rsidP="00F068F0">
      <w:pPr>
        <w:keepNext/>
        <w:ind w:left="567" w:hanging="567"/>
        <w:rPr>
          <w:rFonts w:asciiTheme="minorHAnsi" w:hAnsiTheme="minorHAnsi" w:cstheme="minorHAnsi"/>
        </w:rPr>
      </w:pPr>
    </w:p>
    <w:p w14:paraId="30FBA163" w14:textId="77777777" w:rsidR="00A81CC0" w:rsidRPr="00F068F0" w:rsidRDefault="00A81CC0" w:rsidP="00F068F0">
      <w:pPr>
        <w:rPr>
          <w:rFonts w:asciiTheme="minorHAnsi" w:hAnsiTheme="minorHAnsi" w:cstheme="minorHAnsi"/>
        </w:rPr>
      </w:pPr>
      <w:r>
        <w:rPr>
          <w:rFonts w:asciiTheme="minorHAnsi" w:hAnsiTheme="minorHAnsi"/>
        </w:rPr>
        <w:t>9.</w:t>
      </w:r>
      <w:r>
        <w:rPr>
          <w:rFonts w:asciiTheme="minorHAnsi" w:hAnsiTheme="minorHAnsi"/>
        </w:rPr>
        <w:tab/>
        <w:t>VALORA que, desde la 14ª reunión de la Conferencia de las Partes Contratantes (COP14), en 2022, la Secretaría haya seguido gestionando los recursos de la Convención de manera prudente, eficiente y abierta;</w:t>
      </w:r>
    </w:p>
    <w:p w14:paraId="406B25B0" w14:textId="77777777" w:rsidR="00A81CC0" w:rsidRPr="00F068F0" w:rsidRDefault="00A81CC0" w:rsidP="00F068F0">
      <w:pPr>
        <w:rPr>
          <w:rFonts w:asciiTheme="minorHAnsi" w:hAnsiTheme="minorHAnsi" w:cstheme="minorHAnsi"/>
        </w:rPr>
      </w:pPr>
    </w:p>
    <w:p w14:paraId="699198CB" w14:textId="0014DA50" w:rsidR="00A81CC0" w:rsidRPr="00F068F0" w:rsidRDefault="00A81CC0" w:rsidP="00F068F0">
      <w:pPr>
        <w:rPr>
          <w:rFonts w:asciiTheme="minorHAnsi" w:hAnsiTheme="minorHAnsi" w:cstheme="minorHAnsi"/>
        </w:rPr>
      </w:pPr>
      <w:r>
        <w:rPr>
          <w:rFonts w:asciiTheme="minorHAnsi" w:hAnsiTheme="minorHAnsi"/>
        </w:rPr>
        <w:t>10.</w:t>
      </w:r>
      <w:r>
        <w:rPr>
          <w:rFonts w:asciiTheme="minorHAnsi" w:hAnsiTheme="minorHAnsi"/>
        </w:rPr>
        <w:tab/>
        <w:t>EXPRESA SU AGRADECIMIENTO a las Partes Contratantes que han formado parte del Subgrupo de Finanzas del Comité Permanente durante el trienio 2023</w:t>
      </w:r>
      <w:r w:rsidR="00D97C3B">
        <w:rPr>
          <w:rFonts w:asciiTheme="minorHAnsi" w:hAnsiTheme="minorHAnsi"/>
        </w:rPr>
        <w:noBreakHyphen/>
        <w:t>20</w:t>
      </w:r>
      <w:r>
        <w:rPr>
          <w:rFonts w:asciiTheme="minorHAnsi" w:hAnsiTheme="minorHAnsi"/>
        </w:rPr>
        <w:t>25 y, en particular, a Estados Unidos de América, que ha ocupado la Presidencia de ese Subgrupo;</w:t>
      </w:r>
    </w:p>
    <w:p w14:paraId="119F8502" w14:textId="77777777" w:rsidR="00A81CC0" w:rsidRPr="00F068F0" w:rsidRDefault="00A81CC0" w:rsidP="00F068F0">
      <w:pPr>
        <w:rPr>
          <w:rFonts w:asciiTheme="minorHAnsi" w:hAnsiTheme="minorHAnsi" w:cstheme="minorHAnsi"/>
        </w:rPr>
      </w:pPr>
    </w:p>
    <w:p w14:paraId="2FBE485D" w14:textId="3631D4D6" w:rsidR="00A81CC0" w:rsidRPr="00F068F0" w:rsidRDefault="00A81CC0" w:rsidP="00F068F0">
      <w:pPr>
        <w:rPr>
          <w:rFonts w:asciiTheme="minorHAnsi" w:hAnsiTheme="minorHAnsi" w:cstheme="minorHAnsi"/>
        </w:rPr>
      </w:pPr>
      <w:r>
        <w:rPr>
          <w:rFonts w:asciiTheme="minorHAnsi" w:hAnsiTheme="minorHAnsi"/>
        </w:rPr>
        <w:lastRenderedPageBreak/>
        <w:t>11.</w:t>
      </w:r>
      <w:r>
        <w:rPr>
          <w:rFonts w:asciiTheme="minorHAnsi" w:hAnsiTheme="minorHAnsi"/>
        </w:rPr>
        <w:tab/>
        <w:t xml:space="preserve">DECIDE que el mandato relativo a la administración financiera de la Convención que figura en el Anexo 3 de la Resolución 5.2 sobre </w:t>
      </w:r>
      <w:r>
        <w:rPr>
          <w:rFonts w:asciiTheme="minorHAnsi" w:hAnsiTheme="minorHAnsi"/>
          <w:i/>
        </w:rPr>
        <w:t>Asuntos financieros y presupuestarios</w:t>
      </w:r>
      <w:r>
        <w:rPr>
          <w:rFonts w:asciiTheme="minorHAnsi" w:hAnsiTheme="minorHAnsi"/>
        </w:rPr>
        <w:t xml:space="preserve"> se aplicará en su totalidad al trienio 2026</w:t>
      </w:r>
      <w:r w:rsidR="00D97C3B">
        <w:rPr>
          <w:rFonts w:asciiTheme="minorHAnsi" w:hAnsiTheme="minorHAnsi"/>
        </w:rPr>
        <w:noBreakHyphen/>
        <w:t>20</w:t>
      </w:r>
      <w:r>
        <w:rPr>
          <w:rFonts w:asciiTheme="minorHAnsi" w:hAnsiTheme="minorHAnsi"/>
        </w:rPr>
        <w:t>28;</w:t>
      </w:r>
    </w:p>
    <w:p w14:paraId="31EAD8D3" w14:textId="77777777" w:rsidR="00A81CC0" w:rsidRPr="00F068F0" w:rsidRDefault="00A81CC0" w:rsidP="00F068F0">
      <w:pPr>
        <w:rPr>
          <w:rFonts w:asciiTheme="minorHAnsi" w:hAnsiTheme="minorHAnsi" w:cstheme="minorHAnsi"/>
        </w:rPr>
      </w:pPr>
    </w:p>
    <w:p w14:paraId="198CE39B" w14:textId="77777777" w:rsidR="00A81CC0" w:rsidRPr="00F068F0" w:rsidRDefault="00A81CC0" w:rsidP="04342DA5">
      <w:pPr>
        <w:rPr>
          <w:rFonts w:asciiTheme="minorHAnsi" w:hAnsiTheme="minorHAnsi" w:cstheme="minorBidi"/>
        </w:rPr>
      </w:pPr>
      <w:r>
        <w:rPr>
          <w:rFonts w:asciiTheme="minorHAnsi" w:hAnsiTheme="minorHAnsi"/>
        </w:rPr>
        <w:t>12.</w:t>
      </w:r>
      <w:r>
        <w:tab/>
      </w:r>
      <w:r>
        <w:rPr>
          <w:rFonts w:asciiTheme="minorHAnsi" w:hAnsiTheme="minorHAnsi"/>
        </w:rPr>
        <w:t xml:space="preserve">DECIDE ADEMÁS que se establecerá un Subgrupo de Finanzas para el trienio, que funcionará bajo la égida del Comité Permanente y con las funciones y responsabilidades especificadas en la Resolución VI.17, sobre </w:t>
      </w:r>
      <w:r>
        <w:rPr>
          <w:rFonts w:asciiTheme="minorHAnsi" w:hAnsiTheme="minorHAnsi"/>
          <w:i/>
        </w:rPr>
        <w:t>Asuntos financieros y presupuestarios</w:t>
      </w:r>
      <w:r>
        <w:rPr>
          <w:rFonts w:asciiTheme="minorHAnsi" w:hAnsiTheme="minorHAnsi"/>
        </w:rPr>
        <w:t>, incluirá a un representante del Comité Permanente de cada una de las regiones de la Convención más la Presidencia inmediatamente anterior del Subgrupo de Finanzas, así como a cualquier otra Parte Contratante interesada, teniendo en cuenta la conveniencia de una participación regional equitativa y la necesidad de que el grupo siga teniendo un tamaño manejable, y designará a uno de sus miembros como Presidencia; y OBSERVA que el apoyo a los viajes para asistir a las reuniones del Subgrupo en el caso de las Partes Contratantes que reúnan los requisitos para ello estará limitado a los representantes regionales del Comité Permanente;</w:t>
      </w:r>
    </w:p>
    <w:p w14:paraId="4D0479B0" w14:textId="77777777" w:rsidR="00A81CC0" w:rsidRPr="00F068F0" w:rsidRDefault="00A81CC0" w:rsidP="00F068F0">
      <w:pPr>
        <w:pStyle w:val="ListParagraph"/>
        <w:ind w:left="425"/>
        <w:rPr>
          <w:rFonts w:asciiTheme="minorHAnsi" w:hAnsiTheme="minorHAnsi" w:cstheme="minorHAnsi"/>
        </w:rPr>
      </w:pPr>
    </w:p>
    <w:p w14:paraId="3FBD409C" w14:textId="0E966C39" w:rsidR="00A81CC0" w:rsidRPr="00F068F0" w:rsidRDefault="00A81CC0" w:rsidP="00F068F0">
      <w:pPr>
        <w:rPr>
          <w:rFonts w:asciiTheme="minorHAnsi" w:hAnsiTheme="minorHAnsi" w:cstheme="minorHAnsi"/>
        </w:rPr>
      </w:pPr>
      <w:r>
        <w:rPr>
          <w:rFonts w:asciiTheme="minorHAnsi" w:hAnsiTheme="minorHAnsi"/>
        </w:rPr>
        <w:t>13.</w:t>
      </w:r>
      <w:r>
        <w:rPr>
          <w:rFonts w:asciiTheme="minorHAnsi" w:hAnsiTheme="minorHAnsi"/>
        </w:rPr>
        <w:tab/>
        <w:t>OBSERVA que el presupuesto para 2026</w:t>
      </w:r>
      <w:r w:rsidR="00D97C3B">
        <w:rPr>
          <w:rFonts w:asciiTheme="minorHAnsi" w:hAnsiTheme="minorHAnsi"/>
        </w:rPr>
        <w:noBreakHyphen/>
        <w:t>20</w:t>
      </w:r>
      <w:r>
        <w:rPr>
          <w:rFonts w:asciiTheme="minorHAnsi" w:hAnsiTheme="minorHAnsi"/>
        </w:rPr>
        <w:t>28 incluye un componente básico que se financia a través de las contribuciones de las Partes Contratantes, y APRUEBA el presupuesto básico para el trienio 2026</w:t>
      </w:r>
      <w:r w:rsidR="00D97C3B">
        <w:rPr>
          <w:rFonts w:asciiTheme="minorHAnsi" w:hAnsiTheme="minorHAnsi"/>
        </w:rPr>
        <w:noBreakHyphen/>
        <w:t>20</w:t>
      </w:r>
      <w:r>
        <w:rPr>
          <w:rFonts w:asciiTheme="minorHAnsi" w:hAnsiTheme="minorHAnsi"/>
        </w:rPr>
        <w:t>28 que se presenta en el Anexo 1 de la presente resolución, con objeto de permitir la ejecución del Quinto Plan Estratégico de la Convención;</w:t>
      </w:r>
    </w:p>
    <w:p w14:paraId="5A647B2F" w14:textId="77777777" w:rsidR="00A81CC0" w:rsidRPr="00F068F0" w:rsidRDefault="00A81CC0" w:rsidP="00F068F0">
      <w:pPr>
        <w:rPr>
          <w:rFonts w:asciiTheme="minorHAnsi" w:hAnsiTheme="minorHAnsi" w:cstheme="minorHAnsi"/>
        </w:rPr>
      </w:pPr>
    </w:p>
    <w:p w14:paraId="5BD6A419" w14:textId="77777777" w:rsidR="00A81CC0" w:rsidRPr="00F068F0" w:rsidRDefault="00143495" w:rsidP="00F068F0">
      <w:pPr>
        <w:rPr>
          <w:rFonts w:asciiTheme="minorHAnsi" w:hAnsiTheme="minorHAnsi" w:cstheme="minorHAnsi"/>
        </w:rPr>
      </w:pPr>
      <w:r>
        <w:rPr>
          <w:rFonts w:asciiTheme="minorHAnsi" w:hAnsiTheme="minorHAnsi"/>
        </w:rPr>
        <w:t>14.</w:t>
      </w:r>
      <w:r>
        <w:rPr>
          <w:rFonts w:asciiTheme="minorHAnsi" w:hAnsiTheme="minorHAnsi"/>
        </w:rPr>
        <w:tab/>
        <w:t>DECIDE que la contribución de cada Parte Contratante al presupuesto básico debería calcularse sobre la base de la última escala de cuotas aprobada por la Asamblea General de las Naciones Unidas para determinar la contribución de los Estados Miembros al presupuesto de las Naciones Unidas, salvo en el caso de aquellas Partes Contratantes cuya contribución anual al presupuesto básico de la Convención, según esa escala de cuotas, resultase inferior a 1 000 francos suizos, en cuyo caso la contribución anual será por esa cuantía</w:t>
      </w:r>
      <w:r w:rsidR="004A6D98">
        <w:rPr>
          <w:rStyle w:val="FootnoteReference"/>
          <w:rFonts w:asciiTheme="minorHAnsi" w:hAnsiTheme="minorHAnsi" w:cstheme="minorHAnsi"/>
        </w:rPr>
        <w:footnoteReference w:id="2"/>
      </w:r>
      <w:r>
        <w:rPr>
          <w:rFonts w:asciiTheme="minorHAnsi" w:hAnsiTheme="minorHAnsi"/>
        </w:rPr>
        <w:t>;</w:t>
      </w:r>
    </w:p>
    <w:p w14:paraId="54622DBF" w14:textId="77777777" w:rsidR="00A81CC0" w:rsidRPr="00F068F0" w:rsidRDefault="00A81CC0" w:rsidP="00F068F0">
      <w:pPr>
        <w:tabs>
          <w:tab w:val="left" w:pos="3665"/>
        </w:tabs>
        <w:rPr>
          <w:rFonts w:asciiTheme="minorHAnsi" w:hAnsiTheme="minorHAnsi" w:cstheme="minorHAnsi"/>
        </w:rPr>
      </w:pPr>
      <w:r>
        <w:rPr>
          <w:rFonts w:asciiTheme="minorHAnsi" w:hAnsiTheme="minorHAnsi"/>
        </w:rPr>
        <w:tab/>
      </w:r>
    </w:p>
    <w:p w14:paraId="5581C9FC" w14:textId="77777777" w:rsidR="00A81CC0" w:rsidRDefault="00A81CC0" w:rsidP="00F068F0">
      <w:pPr>
        <w:rPr>
          <w:rFonts w:asciiTheme="minorHAnsi" w:hAnsiTheme="minorHAnsi" w:cstheme="minorHAnsi"/>
        </w:rPr>
      </w:pPr>
      <w:r>
        <w:rPr>
          <w:rFonts w:asciiTheme="minorHAnsi" w:hAnsiTheme="minorHAnsi"/>
        </w:rPr>
        <w:t>15.</w:t>
      </w:r>
      <w:r>
        <w:rPr>
          <w:rFonts w:asciiTheme="minorHAnsi" w:hAnsiTheme="minorHAnsi"/>
        </w:rPr>
        <w:tab/>
        <w:t>INSTA a todas las Partes Contratantes a que abonen sus contribuciones con puntualidad antes del 1 de enero de cada año o, después de esa fecha, tan pronto como lo permita el ciclo presupuestario del país;</w:t>
      </w:r>
    </w:p>
    <w:p w14:paraId="6F2E9AF7" w14:textId="77777777" w:rsidR="00EE45DC" w:rsidRDefault="00EE45DC" w:rsidP="00F068F0">
      <w:pPr>
        <w:rPr>
          <w:rFonts w:asciiTheme="minorHAnsi" w:hAnsiTheme="minorHAnsi" w:cstheme="minorHAnsi"/>
        </w:rPr>
      </w:pPr>
    </w:p>
    <w:p w14:paraId="69FBEE70" w14:textId="77777777" w:rsidR="004A6D98" w:rsidRPr="00F068F0" w:rsidRDefault="00EE45DC" w:rsidP="004A6D98">
      <w:pPr>
        <w:rPr>
          <w:rFonts w:asciiTheme="minorHAnsi" w:hAnsiTheme="minorHAnsi" w:cstheme="minorHAnsi"/>
        </w:rPr>
      </w:pPr>
      <w:r>
        <w:rPr>
          <w:rFonts w:asciiTheme="minorHAnsi" w:hAnsiTheme="minorHAnsi"/>
        </w:rPr>
        <w:t>16.</w:t>
      </w:r>
      <w:r>
        <w:rPr>
          <w:rFonts w:asciiTheme="minorHAnsi" w:hAnsiTheme="minorHAnsi"/>
        </w:rPr>
        <w:tab/>
        <w:t xml:space="preserve">INSTA ADEMÁS a las Partes Contratantes que tienen contribuciones pendientes de pago a que redoblen sus esfuerzos para abonarlas a la mayor brevedad posible a fin de mejorar la sostenibilidad financiera de la Convención mediante las contribuciones de todas las Partes Contratantes; </w:t>
      </w:r>
    </w:p>
    <w:p w14:paraId="00F73082" w14:textId="77777777" w:rsidR="00EE45DC" w:rsidRPr="00F068F0" w:rsidRDefault="00EE45DC" w:rsidP="00EE45DC">
      <w:pPr>
        <w:rPr>
          <w:rFonts w:asciiTheme="minorHAnsi" w:hAnsiTheme="minorHAnsi" w:cstheme="minorHAnsi"/>
        </w:rPr>
      </w:pPr>
    </w:p>
    <w:p w14:paraId="260C9B55" w14:textId="3BA2DC91" w:rsidR="00A81CC0" w:rsidRPr="00F068F0" w:rsidRDefault="00A81CC0" w:rsidP="04342DA5">
      <w:pPr>
        <w:rPr>
          <w:rFonts w:asciiTheme="minorHAnsi" w:hAnsiTheme="minorHAnsi" w:cstheme="minorBidi"/>
        </w:rPr>
      </w:pPr>
      <w:r>
        <w:rPr>
          <w:rFonts w:asciiTheme="minorHAnsi" w:hAnsiTheme="minorHAnsi"/>
        </w:rPr>
        <w:t>17.</w:t>
      </w:r>
      <w:r>
        <w:tab/>
        <w:t xml:space="preserve">ENCARGA a la Secretaría que siga informando periódicamente a las Partes Contratantes acerca del estado de las contribuciones, entre otras cosas mediante la publicación mensual de resúmenes actualizados en el sitio web de la Convención y el envío de informes de estado trimestrales a todas las Partes; y ENCARGA ADEMÁS a la Secretaría que notifique a las Partes Contratantes que tienen contribuciones pendientes de pago y les preste ayuda para determinar las medidas adecuadas para remediar la situación y </w:t>
      </w:r>
      <w:r w:rsidR="0019656D">
        <w:t>acuerde</w:t>
      </w:r>
      <w:r>
        <w:t xml:space="preserve"> un plan de pagos con las Partes que tienen contribuciones pendientes de pago desde hace mucho tiempo, y que presente un informe en todas las reuniones del Comité Permanente y de la Conferencia de las Partes sobre las medidas adoptadas al respecto y los resultados logrados, así como que identifique buenas prácticas e iniciativas sobre las que podría informarse; y CONVIENE en que el Comité Permanente continúe examinando las posibles medidas que se puedan adoptar respecto de las Partes que no hayan pagado sus contribuciones pendientes y tampoco hayan presentado un plan de pagos con este fin;</w:t>
      </w:r>
    </w:p>
    <w:p w14:paraId="4CAFD6E2" w14:textId="77777777" w:rsidR="00A81CC0" w:rsidRPr="00F068F0" w:rsidRDefault="00A81CC0" w:rsidP="00F068F0">
      <w:pPr>
        <w:rPr>
          <w:rFonts w:asciiTheme="minorHAnsi" w:hAnsiTheme="minorHAnsi" w:cstheme="minorHAnsi"/>
        </w:rPr>
      </w:pPr>
    </w:p>
    <w:p w14:paraId="10D37AA0" w14:textId="77777777" w:rsidR="00A81CC0" w:rsidRDefault="00143495" w:rsidP="00F068F0">
      <w:pPr>
        <w:rPr>
          <w:rFonts w:asciiTheme="minorHAnsi" w:hAnsiTheme="minorHAnsi" w:cstheme="minorHAnsi"/>
        </w:rPr>
      </w:pPr>
      <w:r>
        <w:rPr>
          <w:rFonts w:asciiTheme="minorHAnsi" w:hAnsiTheme="minorHAnsi"/>
        </w:rPr>
        <w:t>18.</w:t>
      </w:r>
      <w:r>
        <w:rPr>
          <w:rFonts w:asciiTheme="minorHAnsi" w:hAnsiTheme="minorHAnsi"/>
        </w:rPr>
        <w:tab/>
      </w:r>
      <w:r>
        <w:t>ENCARGA a la Secretaría que comunique a los representantes regionales en el Comité Permanente el estado de las contribuciones pendientes, y PIDE a los representantes regionales que se comuniquen con las Partes correspondientes de sus respectivas regiones a fin de alentarlas a hallar posibles soluciones para remediar la situación;</w:t>
      </w:r>
    </w:p>
    <w:p w14:paraId="1C14181B" w14:textId="77777777" w:rsidR="004A6D98" w:rsidRDefault="004A6D98" w:rsidP="00F068F0">
      <w:pPr>
        <w:rPr>
          <w:rFonts w:asciiTheme="minorHAnsi" w:hAnsiTheme="minorHAnsi" w:cstheme="minorHAnsi"/>
        </w:rPr>
      </w:pPr>
    </w:p>
    <w:p w14:paraId="2B7A8CE5" w14:textId="2BF28BF3" w:rsidR="00A81CC0" w:rsidRPr="00F068F0" w:rsidRDefault="00B618D8" w:rsidP="00F068F0">
      <w:pPr>
        <w:rPr>
          <w:rFonts w:asciiTheme="minorHAnsi" w:hAnsiTheme="minorHAnsi" w:cstheme="minorHAnsi"/>
        </w:rPr>
      </w:pPr>
      <w:r>
        <w:rPr>
          <w:rFonts w:asciiTheme="minorHAnsi" w:hAnsiTheme="minorHAnsi"/>
        </w:rPr>
        <w:t>19</w:t>
      </w:r>
      <w:r w:rsidR="00EE45DC">
        <w:rPr>
          <w:rFonts w:asciiTheme="minorHAnsi" w:hAnsiTheme="minorHAnsi"/>
        </w:rPr>
        <w:t>.</w:t>
      </w:r>
      <w:r w:rsidR="00EE45DC">
        <w:rPr>
          <w:rFonts w:asciiTheme="minorHAnsi" w:hAnsiTheme="minorHAnsi"/>
        </w:rPr>
        <w:tab/>
        <w:t xml:space="preserve">REAFIRMA la decisión </w:t>
      </w:r>
      <w:r w:rsidR="00DE63AC">
        <w:rPr>
          <w:rFonts w:asciiTheme="minorHAnsi" w:hAnsiTheme="minorHAnsi"/>
        </w:rPr>
        <w:t>aprobada</w:t>
      </w:r>
      <w:r w:rsidR="00EE45DC">
        <w:rPr>
          <w:rFonts w:asciiTheme="minorHAnsi" w:hAnsiTheme="minorHAnsi"/>
        </w:rPr>
        <w:t xml:space="preserve"> en la COP11 (en la Resolución XI.2 sobre </w:t>
      </w:r>
      <w:r w:rsidR="00EE45DC">
        <w:rPr>
          <w:rFonts w:asciiTheme="minorHAnsi" w:hAnsiTheme="minorHAnsi"/>
          <w:i/>
        </w:rPr>
        <w:t>Cuestiones financieras y presupuestarias</w:t>
      </w:r>
      <w:r w:rsidR="00EE45DC">
        <w:rPr>
          <w:rFonts w:asciiTheme="minorHAnsi" w:hAnsiTheme="minorHAnsi"/>
        </w:rPr>
        <w:t>) de que el Fondo de Reserva:</w:t>
      </w:r>
    </w:p>
    <w:p w14:paraId="177BFC2B" w14:textId="77777777" w:rsidR="00A81CC0" w:rsidRPr="00F068F0" w:rsidRDefault="00A81CC0" w:rsidP="00F068F0">
      <w:pPr>
        <w:pStyle w:val="MGfulltext"/>
        <w:numPr>
          <w:ilvl w:val="1"/>
          <w:numId w:val="30"/>
        </w:numPr>
        <w:spacing w:after="0"/>
        <w:ind w:left="850" w:hanging="425"/>
        <w:rPr>
          <w:rFonts w:asciiTheme="minorHAnsi" w:eastAsia="Batang" w:hAnsiTheme="minorHAnsi" w:cstheme="minorHAnsi"/>
          <w:sz w:val="22"/>
          <w:szCs w:val="22"/>
        </w:rPr>
      </w:pPr>
      <w:r>
        <w:rPr>
          <w:rFonts w:asciiTheme="minorHAnsi" w:hAnsiTheme="minorHAnsi"/>
          <w:sz w:val="22"/>
        </w:rPr>
        <w:t>es una provisión que se utiliza para cubrir gastos imprevistos e inevitables;</w:t>
      </w:r>
    </w:p>
    <w:p w14:paraId="0A85C255" w14:textId="77777777" w:rsidR="00A81CC0" w:rsidRPr="00F068F0" w:rsidRDefault="00A81CC0" w:rsidP="00F068F0">
      <w:pPr>
        <w:pStyle w:val="MGfulltext"/>
        <w:numPr>
          <w:ilvl w:val="1"/>
          <w:numId w:val="30"/>
        </w:numPr>
        <w:spacing w:after="0"/>
        <w:ind w:left="850" w:hanging="425"/>
        <w:rPr>
          <w:rFonts w:asciiTheme="minorHAnsi" w:eastAsia="Batang" w:hAnsiTheme="minorHAnsi" w:cstheme="minorHAnsi"/>
          <w:sz w:val="22"/>
          <w:szCs w:val="22"/>
        </w:rPr>
      </w:pPr>
      <w:r>
        <w:rPr>
          <w:rFonts w:asciiTheme="minorHAnsi" w:hAnsiTheme="minorHAnsi"/>
          <w:sz w:val="22"/>
        </w:rPr>
        <w:t>recibe los excedentes (o déficits) del presupuesto básico trienal;</w:t>
      </w:r>
    </w:p>
    <w:p w14:paraId="487D0002" w14:textId="77777777" w:rsidR="00A81CC0" w:rsidRPr="00F068F0" w:rsidRDefault="00A81CC0" w:rsidP="00F068F0">
      <w:pPr>
        <w:pStyle w:val="MGfulltext"/>
        <w:numPr>
          <w:ilvl w:val="1"/>
          <w:numId w:val="30"/>
        </w:numPr>
        <w:spacing w:after="0"/>
        <w:ind w:left="850" w:hanging="425"/>
        <w:rPr>
          <w:rFonts w:asciiTheme="minorHAnsi" w:eastAsia="Batang" w:hAnsiTheme="minorHAnsi" w:cstheme="minorHAnsi"/>
          <w:sz w:val="22"/>
          <w:szCs w:val="22"/>
        </w:rPr>
      </w:pPr>
      <w:r>
        <w:rPr>
          <w:rFonts w:asciiTheme="minorHAnsi" w:hAnsiTheme="minorHAnsi"/>
          <w:sz w:val="22"/>
        </w:rPr>
        <w:t>no debe ser inferior al 6 % ni superior al 15 % del presupuesto básico anual de la Convención; y</w:t>
      </w:r>
    </w:p>
    <w:p w14:paraId="7E76315A" w14:textId="77777777" w:rsidR="00A81CC0" w:rsidRPr="00F068F0" w:rsidRDefault="00A81CC0" w:rsidP="00F068F0">
      <w:pPr>
        <w:pStyle w:val="MGfulltext"/>
        <w:numPr>
          <w:ilvl w:val="1"/>
          <w:numId w:val="30"/>
        </w:numPr>
        <w:spacing w:after="0"/>
        <w:ind w:left="850" w:hanging="425"/>
        <w:rPr>
          <w:rFonts w:asciiTheme="minorHAnsi" w:eastAsia="Batang" w:hAnsiTheme="minorHAnsi" w:cstheme="minorHAnsi"/>
          <w:sz w:val="22"/>
          <w:szCs w:val="22"/>
        </w:rPr>
      </w:pPr>
      <w:r>
        <w:rPr>
          <w:rFonts w:asciiTheme="minorHAnsi" w:hAnsiTheme="minorHAnsi"/>
          <w:sz w:val="22"/>
        </w:rPr>
        <w:t>debería ser administrado por el Secretario o la Secretaria General con la aprobación del Subgrupo de Finanzas establecido por el Comité Permanente;</w:t>
      </w:r>
    </w:p>
    <w:p w14:paraId="175047BA" w14:textId="77777777" w:rsidR="00A81CC0" w:rsidRPr="00F068F0" w:rsidRDefault="00A81CC0" w:rsidP="00F068F0">
      <w:pPr>
        <w:ind w:left="426" w:hanging="426"/>
        <w:rPr>
          <w:rFonts w:asciiTheme="minorHAnsi" w:hAnsiTheme="minorHAnsi" w:cstheme="minorHAnsi"/>
        </w:rPr>
      </w:pPr>
    </w:p>
    <w:p w14:paraId="7DDC7220" w14:textId="29FB2A28" w:rsidR="00A81CC0" w:rsidRPr="00F068F0" w:rsidRDefault="00143495" w:rsidP="00F068F0">
      <w:pPr>
        <w:rPr>
          <w:rFonts w:asciiTheme="minorHAnsi" w:hAnsiTheme="minorHAnsi" w:cstheme="minorHAnsi"/>
        </w:rPr>
      </w:pPr>
      <w:r>
        <w:rPr>
          <w:rFonts w:asciiTheme="minorHAnsi" w:hAnsiTheme="minorHAnsi"/>
        </w:rPr>
        <w:t>2</w:t>
      </w:r>
      <w:r w:rsidR="00B618D8">
        <w:rPr>
          <w:rFonts w:asciiTheme="minorHAnsi" w:hAnsiTheme="minorHAnsi"/>
        </w:rPr>
        <w:t>0</w:t>
      </w:r>
      <w:r>
        <w:rPr>
          <w:rFonts w:asciiTheme="minorHAnsi" w:hAnsiTheme="minorHAnsi"/>
        </w:rPr>
        <w:t>.</w:t>
      </w:r>
      <w:r>
        <w:rPr>
          <w:rFonts w:asciiTheme="minorHAnsi" w:hAnsiTheme="minorHAnsi"/>
        </w:rPr>
        <w:tab/>
        <w:t>PIDE a la Secretaría que trate de mantener el Fondo de Reserva durante el trienio 2026</w:t>
      </w:r>
      <w:r w:rsidR="00D97C3B">
        <w:rPr>
          <w:rFonts w:asciiTheme="minorHAnsi" w:hAnsiTheme="minorHAnsi"/>
        </w:rPr>
        <w:noBreakHyphen/>
        <w:t>20</w:t>
      </w:r>
      <w:r>
        <w:rPr>
          <w:rFonts w:asciiTheme="minorHAnsi" w:hAnsiTheme="minorHAnsi"/>
        </w:rPr>
        <w:t>28 y presente un informe anual al Comité Permanente sobre la situación de este, y solicite la aprobación previa del Subgrupo de Finanzas para cualquier utilización del Fondo;</w:t>
      </w:r>
    </w:p>
    <w:p w14:paraId="3FBA6849" w14:textId="77777777" w:rsidR="00B618D8" w:rsidRDefault="00B618D8" w:rsidP="00B618D8">
      <w:pPr>
        <w:rPr>
          <w:rFonts w:asciiTheme="minorHAnsi" w:hAnsiTheme="minorHAnsi"/>
        </w:rPr>
      </w:pPr>
    </w:p>
    <w:p w14:paraId="573437B6" w14:textId="1A0E32DD" w:rsidR="00B618D8" w:rsidRPr="00F068F0" w:rsidRDefault="00B618D8" w:rsidP="00B618D8">
      <w:pPr>
        <w:rPr>
          <w:rFonts w:asciiTheme="minorHAnsi" w:hAnsiTheme="minorHAnsi" w:cstheme="minorHAnsi"/>
        </w:rPr>
      </w:pPr>
      <w:r>
        <w:rPr>
          <w:rFonts w:asciiTheme="minorHAnsi" w:hAnsiTheme="minorHAnsi"/>
        </w:rPr>
        <w:t>21.</w:t>
      </w:r>
      <w:r>
        <w:rPr>
          <w:rFonts w:asciiTheme="minorHAnsi" w:hAnsiTheme="minorHAnsi"/>
        </w:rPr>
        <w:tab/>
        <w:t>APRUEBA el empleo de 360 000 francos suizos del excedente de fondos del trienio 2023</w:t>
      </w:r>
      <w:r>
        <w:rPr>
          <w:rFonts w:asciiTheme="minorHAnsi" w:hAnsiTheme="minorHAnsi"/>
        </w:rPr>
        <w:noBreakHyphen/>
        <w:t>2025 para incrementar la provisión para contribuciones pendientes en el trienio 2026</w:t>
      </w:r>
      <w:r>
        <w:rPr>
          <w:rFonts w:asciiTheme="minorHAnsi" w:hAnsiTheme="minorHAnsi"/>
        </w:rPr>
        <w:noBreakHyphen/>
        <w:t>2028;</w:t>
      </w:r>
    </w:p>
    <w:p w14:paraId="094A1F4E" w14:textId="77777777" w:rsidR="00B618D8" w:rsidRPr="00F068F0" w:rsidRDefault="00B618D8" w:rsidP="00B618D8">
      <w:pPr>
        <w:rPr>
          <w:rFonts w:asciiTheme="minorHAnsi" w:hAnsiTheme="minorHAnsi" w:cstheme="minorHAnsi"/>
        </w:rPr>
      </w:pPr>
    </w:p>
    <w:p w14:paraId="7B9FB32C" w14:textId="34103BEC" w:rsidR="00B618D8" w:rsidRPr="00F068F0" w:rsidRDefault="00B618D8" w:rsidP="00B618D8">
      <w:pPr>
        <w:rPr>
          <w:rFonts w:asciiTheme="minorHAnsi" w:hAnsiTheme="minorHAnsi" w:cstheme="minorHAnsi"/>
        </w:rPr>
      </w:pPr>
      <w:r>
        <w:rPr>
          <w:rFonts w:asciiTheme="minorHAnsi" w:hAnsiTheme="minorHAnsi"/>
        </w:rPr>
        <w:t>22.</w:t>
      </w:r>
      <w:r>
        <w:rPr>
          <w:rFonts w:asciiTheme="minorHAnsi" w:hAnsiTheme="minorHAnsi"/>
        </w:rPr>
        <w:tab/>
        <w:t>AUTORIZA al Comité Permanente a que, con el asesoramiento de su Subgrupo de Finanzas, transfiera las asignaciones entre partidas del presupuesto básico según sea necesario, teniendo en cuenta las variaciones significativas, positivas o negativas, durante el trienio, de los costos, las tasas de inflación y los ingresos por intereses y por impuestos previstos en el presupuesto, sin incrementar las contribuciones de las Partes y sin aumentar los montos pagados a la UICN por encima del nivel máximo del 13 % del presupuesto;</w:t>
      </w:r>
    </w:p>
    <w:p w14:paraId="38A995E5" w14:textId="77777777" w:rsidR="00B618D8" w:rsidRPr="00F068F0" w:rsidRDefault="00B618D8" w:rsidP="00B618D8">
      <w:pPr>
        <w:rPr>
          <w:rFonts w:asciiTheme="minorHAnsi" w:hAnsiTheme="minorHAnsi" w:cstheme="minorHAnsi"/>
        </w:rPr>
      </w:pPr>
    </w:p>
    <w:p w14:paraId="5CE85638" w14:textId="0609DC79" w:rsidR="00B618D8" w:rsidRPr="00F068F0" w:rsidRDefault="00B618D8" w:rsidP="00B618D8">
      <w:pPr>
        <w:rPr>
          <w:rFonts w:asciiTheme="minorHAnsi" w:hAnsiTheme="minorHAnsi" w:cstheme="minorHAnsi"/>
        </w:rPr>
      </w:pPr>
      <w:r>
        <w:rPr>
          <w:rFonts w:asciiTheme="minorHAnsi" w:hAnsiTheme="minorHAnsi"/>
        </w:rPr>
        <w:t>23.</w:t>
      </w:r>
      <w:r>
        <w:rPr>
          <w:rFonts w:asciiTheme="minorHAnsi" w:hAnsiTheme="minorHAnsi"/>
        </w:rPr>
        <w:tab/>
        <w:t>RECONOCE las ventajas de que haya flexibilidad en las partidas presupuestarias para viajes a fin de cumplir el plan de trabajo de la Secretaría para el trienio y REAFIRMA la decisión aprobada en la COP14 en la que se autoriza al Secretario o la Secretaria General a transferir recursos entre partidas presupuestarias para viajes, asegurándose de que se informe al Subgrupo de Finanzas y de que se presente un informe al respecto al Comité Permanente en su siguiente reunión;</w:t>
      </w:r>
    </w:p>
    <w:p w14:paraId="0D132160" w14:textId="77777777" w:rsidR="00A81CC0" w:rsidRPr="00F068F0" w:rsidRDefault="00A81CC0" w:rsidP="00F068F0">
      <w:pPr>
        <w:rPr>
          <w:rFonts w:asciiTheme="minorHAnsi" w:hAnsiTheme="minorHAnsi" w:cstheme="minorHAnsi"/>
        </w:rPr>
      </w:pPr>
    </w:p>
    <w:p w14:paraId="31F41B25" w14:textId="6650AD92" w:rsidR="00A81CC0" w:rsidRPr="00F068F0" w:rsidRDefault="00143495" w:rsidP="00F068F0">
      <w:pPr>
        <w:rPr>
          <w:rFonts w:asciiTheme="minorHAnsi" w:hAnsiTheme="minorHAnsi" w:cstheme="minorHAnsi"/>
        </w:rPr>
      </w:pPr>
      <w:r>
        <w:rPr>
          <w:rFonts w:asciiTheme="minorHAnsi" w:hAnsiTheme="minorHAnsi"/>
        </w:rPr>
        <w:t>24.</w:t>
      </w:r>
      <w:r>
        <w:rPr>
          <w:rFonts w:asciiTheme="minorHAnsi" w:hAnsiTheme="minorHAnsi"/>
        </w:rPr>
        <w:tab/>
        <w:t xml:space="preserve">REAFIRMA las decisiones aprobadas </w:t>
      </w:r>
      <w:r w:rsidR="00DE63AC">
        <w:rPr>
          <w:rFonts w:asciiTheme="minorHAnsi" w:hAnsiTheme="minorHAnsi"/>
        </w:rPr>
        <w:t>en</w:t>
      </w:r>
      <w:r>
        <w:rPr>
          <w:rFonts w:asciiTheme="minorHAnsi" w:hAnsiTheme="minorHAnsi"/>
        </w:rPr>
        <w:t xml:space="preserve"> la COP14 (en la </w:t>
      </w:r>
      <w:r w:rsidR="00E64901">
        <w:rPr>
          <w:rFonts w:asciiTheme="minorHAnsi" w:hAnsiTheme="minorHAnsi"/>
        </w:rPr>
        <w:t xml:space="preserve">Resolución  </w:t>
      </w:r>
      <w:r>
        <w:rPr>
          <w:rFonts w:asciiTheme="minorHAnsi" w:hAnsiTheme="minorHAnsi"/>
        </w:rPr>
        <w:t xml:space="preserve">XIV.1 sobre </w:t>
      </w:r>
      <w:r>
        <w:rPr>
          <w:rFonts w:asciiTheme="minorHAnsi" w:hAnsiTheme="minorHAnsi"/>
          <w:i/>
        </w:rPr>
        <w:t>Cuestiones financieras y presupuestarias</w:t>
      </w:r>
      <w:r>
        <w:rPr>
          <w:rFonts w:asciiTheme="minorHAnsi" w:hAnsiTheme="minorHAnsi"/>
        </w:rPr>
        <w:t xml:space="preserve">) en las que se autoriza al Secretario o la Secretaria General a que, de conformidad con las normas de la UICN, ajuste los niveles y la cantidad de personal, así como la estructura de la Secretaría, según figura en el Anexo 3 de la presente resolución, siempre que los ajustes no excedan los costos indicados y se realicen de conformidad con la </w:t>
      </w:r>
      <w:r>
        <w:rPr>
          <w:rFonts w:asciiTheme="minorHAnsi" w:hAnsiTheme="minorHAnsi"/>
          <w:i/>
        </w:rPr>
        <w:t xml:space="preserve">Delegación de Autoridad al Secretario General de la Convención sobre los Humedales </w:t>
      </w:r>
      <w:r>
        <w:rPr>
          <w:rFonts w:asciiTheme="minorHAnsi" w:hAnsiTheme="minorHAnsi"/>
        </w:rPr>
        <w:t>y su</w:t>
      </w:r>
      <w:r>
        <w:rPr>
          <w:rFonts w:asciiTheme="minorHAnsi" w:hAnsiTheme="minorHAnsi"/>
          <w:i/>
        </w:rPr>
        <w:t xml:space="preserve"> Nota Complementaria</w:t>
      </w:r>
      <w:r>
        <w:rPr>
          <w:rFonts w:asciiTheme="minorHAnsi" w:hAnsiTheme="minorHAnsi"/>
        </w:rPr>
        <w:t>, ambas de 1993;</w:t>
      </w:r>
    </w:p>
    <w:p w14:paraId="7CC227EA" w14:textId="77777777" w:rsidR="00A81CC0" w:rsidRPr="00F068F0" w:rsidRDefault="00A81CC0" w:rsidP="00F068F0">
      <w:pPr>
        <w:rPr>
          <w:rFonts w:asciiTheme="minorHAnsi" w:hAnsiTheme="minorHAnsi" w:cstheme="minorHAnsi"/>
        </w:rPr>
      </w:pPr>
    </w:p>
    <w:p w14:paraId="3F82352B" w14:textId="77777777" w:rsidR="00C20051" w:rsidRDefault="00143495" w:rsidP="00F068F0">
      <w:pPr>
        <w:rPr>
          <w:rFonts w:asciiTheme="minorHAnsi" w:hAnsiTheme="minorHAnsi" w:cstheme="minorHAnsi"/>
        </w:rPr>
      </w:pPr>
      <w:r>
        <w:rPr>
          <w:rFonts w:asciiTheme="minorHAnsi" w:hAnsiTheme="minorHAnsi"/>
        </w:rPr>
        <w:t xml:space="preserve">25. </w:t>
      </w:r>
      <w:r>
        <w:rPr>
          <w:rFonts w:asciiTheme="minorHAnsi" w:hAnsiTheme="minorHAnsi"/>
        </w:rPr>
        <w:tab/>
        <w:t>REAFIRMA que los saldos no comprometidos o no gastados para las partidas presupuestarias pueden traspasarse al año siguiente dentro del trienio y presentarse en la siguiente reunión del Subgrupo de Finanzas;</w:t>
      </w:r>
    </w:p>
    <w:p w14:paraId="013E8186" w14:textId="77777777" w:rsidR="00C358FE" w:rsidRDefault="00C358FE" w:rsidP="00F068F0">
      <w:pPr>
        <w:rPr>
          <w:rFonts w:asciiTheme="minorHAnsi" w:hAnsiTheme="minorHAnsi" w:cstheme="minorHAnsi"/>
        </w:rPr>
      </w:pPr>
    </w:p>
    <w:p w14:paraId="25DE77C4" w14:textId="41F1B5DB" w:rsidR="00C358FE" w:rsidRPr="00F068F0" w:rsidRDefault="00C358FE" w:rsidP="00C358FE">
      <w:pPr>
        <w:rPr>
          <w:rFonts w:asciiTheme="minorHAnsi" w:hAnsiTheme="minorHAnsi" w:cstheme="minorHAnsi"/>
        </w:rPr>
      </w:pPr>
      <w:r>
        <w:rPr>
          <w:rFonts w:asciiTheme="minorHAnsi" w:hAnsiTheme="minorHAnsi"/>
        </w:rPr>
        <w:t>2</w:t>
      </w:r>
      <w:r w:rsidR="00B618D8">
        <w:rPr>
          <w:rFonts w:asciiTheme="minorHAnsi" w:hAnsiTheme="minorHAnsi"/>
        </w:rPr>
        <w:t>6</w:t>
      </w:r>
      <w:r>
        <w:rPr>
          <w:rFonts w:asciiTheme="minorHAnsi" w:hAnsiTheme="minorHAnsi"/>
        </w:rPr>
        <w:t>.</w:t>
      </w:r>
      <w:r>
        <w:rPr>
          <w:rFonts w:asciiTheme="minorHAnsi" w:hAnsiTheme="minorHAnsi"/>
        </w:rPr>
        <w:tab/>
        <w:t>ALIENTA a las Partes Contratantes e INVITA a otros gobiernos, instituciones financieras, Organizaciones Internacionales Asociadas y otros asociados en materia de ejecución a proporcionar fondos complementarios para apoyar la aplicación de la Convención;</w:t>
      </w:r>
    </w:p>
    <w:p w14:paraId="62A56D5F" w14:textId="77777777" w:rsidR="00C358FE" w:rsidRDefault="00C358FE" w:rsidP="00C358FE">
      <w:pPr>
        <w:rPr>
          <w:rFonts w:asciiTheme="minorHAnsi" w:hAnsiTheme="minorHAnsi" w:cstheme="minorHAnsi"/>
        </w:rPr>
      </w:pPr>
    </w:p>
    <w:p w14:paraId="7F61C72D" w14:textId="07468DAD" w:rsidR="00C358FE" w:rsidRPr="00F068F0" w:rsidRDefault="2741C3B1" w:rsidP="127E0841">
      <w:pPr>
        <w:rPr>
          <w:rFonts w:asciiTheme="minorHAnsi" w:hAnsiTheme="minorHAnsi" w:cstheme="minorBidi"/>
        </w:rPr>
      </w:pPr>
      <w:r>
        <w:rPr>
          <w:rFonts w:asciiTheme="minorHAnsi" w:hAnsiTheme="minorHAnsi"/>
        </w:rPr>
        <w:t>2</w:t>
      </w:r>
      <w:r w:rsidR="00B618D8">
        <w:rPr>
          <w:rFonts w:asciiTheme="minorHAnsi" w:hAnsiTheme="minorHAnsi"/>
        </w:rPr>
        <w:t>7</w:t>
      </w:r>
      <w:r>
        <w:rPr>
          <w:rFonts w:asciiTheme="minorHAnsi" w:hAnsiTheme="minorHAnsi"/>
        </w:rPr>
        <w:t>.</w:t>
      </w:r>
      <w:r>
        <w:tab/>
      </w:r>
      <w:r>
        <w:rPr>
          <w:rFonts w:asciiTheme="minorHAnsi" w:hAnsiTheme="minorHAnsi"/>
        </w:rPr>
        <w:t xml:space="preserve">AGRADECE a los Gobiernos de Alemania, Australia, Austria, Bélgica, el Canadá, China, los Estados Unidos de América, Finlandia, Noruega, el Reino Unido de Gran Bretaña e Irlanda del Norte, la República de Corea, Suiza y </w:t>
      </w:r>
      <w:proofErr w:type="spellStart"/>
      <w:r>
        <w:rPr>
          <w:rFonts w:asciiTheme="minorHAnsi" w:hAnsiTheme="minorHAnsi"/>
        </w:rPr>
        <w:t>Zimbabwe</w:t>
      </w:r>
      <w:proofErr w:type="spellEnd"/>
      <w:r>
        <w:rPr>
          <w:rFonts w:asciiTheme="minorHAnsi" w:hAnsiTheme="minorHAnsi"/>
        </w:rPr>
        <w:t xml:space="preserve">, así como a Danone y la </w:t>
      </w:r>
      <w:proofErr w:type="spellStart"/>
      <w:r>
        <w:rPr>
          <w:rFonts w:asciiTheme="minorHAnsi" w:hAnsiTheme="minorHAnsi"/>
        </w:rPr>
        <w:t>Nagao</w:t>
      </w:r>
      <w:proofErr w:type="spellEnd"/>
      <w:r>
        <w:rPr>
          <w:rFonts w:asciiTheme="minorHAnsi" w:hAnsiTheme="minorHAnsi"/>
        </w:rPr>
        <w:t xml:space="preserve"> Natural </w:t>
      </w:r>
      <w:proofErr w:type="spellStart"/>
      <w:r>
        <w:rPr>
          <w:rFonts w:asciiTheme="minorHAnsi" w:hAnsiTheme="minorHAnsi"/>
        </w:rPr>
        <w:t>Environment</w:t>
      </w:r>
      <w:proofErr w:type="spellEnd"/>
      <w:r>
        <w:rPr>
          <w:rFonts w:asciiTheme="minorHAnsi" w:hAnsiTheme="minorHAnsi"/>
        </w:rPr>
        <w:t xml:space="preserve"> </w:t>
      </w:r>
      <w:proofErr w:type="spellStart"/>
      <w:r>
        <w:rPr>
          <w:rFonts w:asciiTheme="minorHAnsi" w:hAnsiTheme="minorHAnsi"/>
        </w:rPr>
        <w:t>Foundation</w:t>
      </w:r>
      <w:proofErr w:type="spellEnd"/>
      <w:r>
        <w:rPr>
          <w:rFonts w:asciiTheme="minorHAnsi" w:hAnsiTheme="minorHAnsi"/>
        </w:rPr>
        <w:t>, sus contribuciones voluntarias a las actividades no financiadas con cargo al presupuesto básico durante los años 2022</w:t>
      </w:r>
      <w:r w:rsidR="00D97C3B">
        <w:rPr>
          <w:rFonts w:asciiTheme="minorHAnsi" w:hAnsiTheme="minorHAnsi"/>
        </w:rPr>
        <w:noBreakHyphen/>
        <w:t>20</w:t>
      </w:r>
      <w:r>
        <w:rPr>
          <w:rFonts w:asciiTheme="minorHAnsi" w:hAnsiTheme="minorHAnsi"/>
        </w:rPr>
        <w:t>24;</w:t>
      </w:r>
    </w:p>
    <w:p w14:paraId="318D178E" w14:textId="77777777" w:rsidR="00B618D8" w:rsidRDefault="00B618D8" w:rsidP="00B618D8">
      <w:pPr>
        <w:rPr>
          <w:rFonts w:asciiTheme="minorHAnsi" w:hAnsiTheme="minorHAnsi"/>
        </w:rPr>
      </w:pPr>
    </w:p>
    <w:p w14:paraId="2E3D8D98" w14:textId="3610F7C9" w:rsidR="00B618D8" w:rsidRDefault="00B618D8" w:rsidP="00B618D8">
      <w:pPr>
        <w:rPr>
          <w:rFonts w:asciiTheme="minorHAnsi" w:hAnsiTheme="minorHAnsi" w:cstheme="minorHAnsi"/>
        </w:rPr>
      </w:pPr>
      <w:r>
        <w:rPr>
          <w:rFonts w:asciiTheme="minorHAnsi" w:hAnsiTheme="minorHAnsi"/>
        </w:rPr>
        <w:t>28.</w:t>
      </w:r>
      <w:r>
        <w:rPr>
          <w:rFonts w:asciiTheme="minorHAnsi" w:hAnsiTheme="minorHAnsi"/>
        </w:rPr>
        <w:tab/>
        <w:t>OBSERVA que la Secretaría buscará recursos no complementarios adicionales en consonancia con las prioridades determinadas por la Conferencia de las Partes, que se enumeran en el Anexo 4 de la presente resolución; y PIDE a la Secretaría que continúe elaborando nuevos enfoques e instrumentos para obtener apoyo financiero voluntario;</w:t>
      </w:r>
    </w:p>
    <w:p w14:paraId="6522F83D" w14:textId="77777777" w:rsidR="00C358FE" w:rsidRPr="00F068F0" w:rsidRDefault="00C358FE" w:rsidP="00C358FE">
      <w:pPr>
        <w:rPr>
          <w:rFonts w:asciiTheme="minorHAnsi" w:hAnsiTheme="minorHAnsi" w:cstheme="minorHAnsi"/>
        </w:rPr>
      </w:pPr>
    </w:p>
    <w:p w14:paraId="099A35C6" w14:textId="77777777" w:rsidR="00C358FE" w:rsidRPr="00F068F0" w:rsidRDefault="00C358FE" w:rsidP="00C358FE">
      <w:pPr>
        <w:rPr>
          <w:rFonts w:asciiTheme="minorHAnsi" w:hAnsiTheme="minorHAnsi" w:cstheme="minorHAnsi"/>
        </w:rPr>
      </w:pPr>
      <w:r>
        <w:rPr>
          <w:rFonts w:asciiTheme="minorHAnsi" w:hAnsiTheme="minorHAnsi"/>
        </w:rPr>
        <w:t>29.</w:t>
      </w:r>
      <w:r>
        <w:rPr>
          <w:rFonts w:asciiTheme="minorHAnsi" w:hAnsiTheme="minorHAnsi"/>
        </w:rPr>
        <w:tab/>
        <w:t>TOMA NOTA del plan de trabajo para la movilización de recursos para la Convención aprobado por el Comité Permanente y ENCARGA a la Secretaría que lo actualice a fin de que refleje las prioridades identificadas por las Partes Contratantes en la COP15 y que lo presente al Comité Permanente en su 67ª reunión para su examen;</w:t>
      </w:r>
    </w:p>
    <w:p w14:paraId="7C0D98D6" w14:textId="77777777" w:rsidR="00C358FE" w:rsidRPr="00F068F0" w:rsidRDefault="00C358FE" w:rsidP="00C358FE">
      <w:pPr>
        <w:pStyle w:val="ListParagraph"/>
        <w:ind w:left="425"/>
        <w:rPr>
          <w:rFonts w:asciiTheme="minorHAnsi" w:hAnsiTheme="minorHAnsi" w:cstheme="minorHAnsi"/>
        </w:rPr>
      </w:pPr>
    </w:p>
    <w:p w14:paraId="30AD3484" w14:textId="77777777" w:rsidR="00C358FE" w:rsidRPr="00F068F0" w:rsidRDefault="2C9F0299" w:rsidP="127E0841">
      <w:pPr>
        <w:rPr>
          <w:rFonts w:asciiTheme="minorHAnsi" w:hAnsiTheme="minorHAnsi" w:cstheme="minorBidi"/>
        </w:rPr>
      </w:pPr>
      <w:r>
        <w:rPr>
          <w:rFonts w:asciiTheme="minorHAnsi" w:hAnsiTheme="minorHAnsi"/>
        </w:rPr>
        <w:t>30.</w:t>
      </w:r>
      <w:r>
        <w:tab/>
      </w:r>
      <w:r>
        <w:rPr>
          <w:rFonts w:asciiTheme="minorHAnsi" w:hAnsiTheme="minorHAnsi"/>
        </w:rPr>
        <w:t xml:space="preserve">PIDE a la Secretaría que proporcione anualmente a las iniciativas regionales de Ramsar (IRR) de África el saldo disponible del Fondo Africano de Contribuciones Voluntarias; e INVITA a dichas IRR a que, en sus informes, presenten a la Secretaría solicitudes para tener acceso a los fondos disponibles de conformidad con las disposiciones de la Resolución XIV.7 sobre </w:t>
      </w:r>
      <w:r>
        <w:rPr>
          <w:rFonts w:asciiTheme="minorHAnsi" w:hAnsiTheme="minorHAnsi"/>
          <w:i/>
        </w:rPr>
        <w:t>Iniciativas regionales de Ramsar</w:t>
      </w:r>
      <w:r>
        <w:rPr>
          <w:rFonts w:asciiTheme="minorHAnsi" w:hAnsiTheme="minorHAnsi"/>
        </w:rPr>
        <w:t>;</w:t>
      </w:r>
    </w:p>
    <w:p w14:paraId="7FC47FA5" w14:textId="77777777" w:rsidR="00C358FE" w:rsidRPr="00F068F0" w:rsidRDefault="00C358FE" w:rsidP="00C358FE">
      <w:pPr>
        <w:rPr>
          <w:rFonts w:asciiTheme="minorHAnsi" w:hAnsiTheme="minorHAnsi" w:cstheme="minorHAnsi"/>
        </w:rPr>
      </w:pPr>
    </w:p>
    <w:p w14:paraId="3061D906" w14:textId="77777777" w:rsidR="00C358FE" w:rsidRPr="00F068F0" w:rsidRDefault="00143495" w:rsidP="00C358FE">
      <w:pPr>
        <w:rPr>
          <w:rFonts w:asciiTheme="minorHAnsi" w:hAnsiTheme="minorHAnsi" w:cstheme="minorHAnsi"/>
        </w:rPr>
      </w:pPr>
      <w:r>
        <w:rPr>
          <w:rFonts w:asciiTheme="minorHAnsi" w:hAnsiTheme="minorHAnsi"/>
        </w:rPr>
        <w:t>31.</w:t>
      </w:r>
      <w:r>
        <w:rPr>
          <w:rFonts w:asciiTheme="minorHAnsi" w:hAnsiTheme="minorHAnsi"/>
        </w:rPr>
        <w:tab/>
        <w:t>PIDE a los representantes regionales de África en el Comité Permanente que decidan sobre la utilización de esos fondos, mencionados en el párrafo 30 de la presente resolución, basándose en las solicitudes presentadas por las IRR, y que informen debidamente a la Secretaría;</w:t>
      </w:r>
    </w:p>
    <w:p w14:paraId="34CF8D3A" w14:textId="77777777" w:rsidR="00C358FE" w:rsidRPr="00F068F0" w:rsidRDefault="00C358FE" w:rsidP="00C358FE">
      <w:pPr>
        <w:rPr>
          <w:rFonts w:asciiTheme="minorHAnsi" w:hAnsiTheme="minorHAnsi" w:cstheme="minorHAnsi"/>
        </w:rPr>
      </w:pPr>
    </w:p>
    <w:p w14:paraId="1969BFF1" w14:textId="4DF06729" w:rsidR="00C358FE" w:rsidRPr="00F068F0" w:rsidRDefault="2C9F0299" w:rsidP="127E0841">
      <w:pPr>
        <w:rPr>
          <w:rFonts w:asciiTheme="minorHAnsi" w:hAnsiTheme="minorHAnsi" w:cstheme="minorBidi"/>
        </w:rPr>
      </w:pPr>
      <w:r>
        <w:rPr>
          <w:rFonts w:asciiTheme="minorHAnsi" w:hAnsiTheme="minorHAnsi"/>
          <w:color w:val="000000" w:themeColor="text1"/>
        </w:rPr>
        <w:t>32.</w:t>
      </w:r>
      <w:r>
        <w:tab/>
      </w:r>
      <w:r>
        <w:rPr>
          <w:rFonts w:asciiTheme="minorHAnsi" w:hAnsiTheme="minorHAnsi"/>
        </w:rPr>
        <w:t xml:space="preserve">TOMA NOTA CON RECONOCIMIENTO de la armonización de la gestión de los fondos complementarios por la Secretaría con las políticas y procedimientos de la Unión Internacional para la Conservación de la Naturaleza (UICN) al respecto; y REAFIRMA la decisión aprobada </w:t>
      </w:r>
      <w:r w:rsidR="00DE63AC">
        <w:rPr>
          <w:rFonts w:asciiTheme="minorHAnsi" w:hAnsiTheme="minorHAnsi"/>
        </w:rPr>
        <w:t>en</w:t>
      </w:r>
      <w:r>
        <w:rPr>
          <w:rFonts w:asciiTheme="minorHAnsi" w:hAnsiTheme="minorHAnsi"/>
        </w:rPr>
        <w:t xml:space="preserve"> la COP14, en la que se pidió a la Secretaría que, en el contexto del marco jurídico y el mandato vigentes, preste asistencia, según proceda, a las Partes Contratantes en la administración de los proyectos financiados con cargo a recursos complementarios, incluyendo la recaudación eficaz de fondos para iniciativas regionales, entre otros; y REAFIRMA ADEMÁS que el personal de la Secretaría que ocupa puestos con cargo al presupuesto básico supervisará la ejecución de los proyectos para los que se envían fondos complementarios a la Secretaría, mientras que se contratará a personal con cargo a los fondos complementarios para la ejecución de los proyectos, según se requiera;</w:t>
      </w:r>
    </w:p>
    <w:p w14:paraId="08F53A2D" w14:textId="77777777" w:rsidR="00C358FE" w:rsidRPr="00F068F0" w:rsidRDefault="00C358FE" w:rsidP="00F068F0">
      <w:pPr>
        <w:rPr>
          <w:rFonts w:asciiTheme="minorHAnsi" w:hAnsiTheme="minorHAnsi" w:cstheme="minorHAnsi"/>
        </w:rPr>
      </w:pPr>
    </w:p>
    <w:p w14:paraId="42C5779C" w14:textId="77777777" w:rsidR="00A81CC0" w:rsidRPr="00F068F0" w:rsidRDefault="00A81CC0" w:rsidP="04342DA5">
      <w:pPr>
        <w:rPr>
          <w:rFonts w:asciiTheme="minorHAnsi" w:hAnsiTheme="minorHAnsi" w:cstheme="minorBidi"/>
        </w:rPr>
      </w:pPr>
      <w:r>
        <w:rPr>
          <w:rFonts w:asciiTheme="minorHAnsi" w:hAnsiTheme="minorHAnsi"/>
        </w:rPr>
        <w:t>33.</w:t>
      </w:r>
      <w:r>
        <w:tab/>
      </w:r>
      <w:r>
        <w:rPr>
          <w:rFonts w:asciiTheme="minorHAnsi" w:hAnsiTheme="minorHAnsi"/>
        </w:rPr>
        <w:t>OBSERVA con reconocimiento la transparencia y la rendición de cuentas de la Secretaría con relación a las cuestiones financieras, y PIDE a la Secretaría siga poniendo a disposición información que garantice la transparencia y la rendición de cuentas, incluidos, entre otras cosas, los informes de auditoría finalizados y aceptados, las normas y los reglamentos financieros, los informes anuales del Secretario o la Secretaria General al Comité Permanente, los procedimientos para establecer acuerdos con el sector privado, los materiales relacionados con los códigos de conducta y la ética profesional del personal, la delegación de autoridad de 1993 y su nota complementaria, las políticas de lucha contra el fraude, las políticas de lucha contra el acoso, las reglas y medidas de protección con relación a los denunciantes, las políticas en materia de conflicto de intereses, las políticas de equidad e igualdad de género, así como cualquier otra información pertinente;</w:t>
      </w:r>
    </w:p>
    <w:p w14:paraId="2C8A7C68" w14:textId="77777777" w:rsidR="00A81CC0" w:rsidRPr="00F068F0" w:rsidRDefault="00A81CC0" w:rsidP="00F068F0">
      <w:pPr>
        <w:rPr>
          <w:rFonts w:asciiTheme="minorHAnsi" w:hAnsiTheme="minorHAnsi" w:cstheme="minorHAnsi"/>
        </w:rPr>
      </w:pPr>
    </w:p>
    <w:p w14:paraId="57D3685D" w14:textId="77777777" w:rsidR="00A81CC0" w:rsidRPr="00F068F0" w:rsidRDefault="00A81CC0" w:rsidP="00F068F0">
      <w:pPr>
        <w:rPr>
          <w:rFonts w:asciiTheme="minorHAnsi" w:hAnsiTheme="minorHAnsi" w:cstheme="minorHAnsi"/>
        </w:rPr>
      </w:pPr>
      <w:r>
        <w:rPr>
          <w:rFonts w:asciiTheme="minorHAnsi" w:hAnsiTheme="minorHAnsi"/>
        </w:rPr>
        <w:lastRenderedPageBreak/>
        <w:t>34.</w:t>
      </w:r>
      <w:r>
        <w:rPr>
          <w:rFonts w:asciiTheme="minorHAnsi" w:hAnsiTheme="minorHAnsi"/>
        </w:rPr>
        <w:tab/>
        <w:t>PIDE a la Secretaría que considere a las Partes Contratantes que figuren en la lista de Pequeños Estados insulares en desarrollo (PEID) de la Conferencia de las Naciones Unidas sobre Comercio y Desarrollo como candidatos para que el desplazamiento de sus delegados sea patrocinado, sin tener en cuenta si están clasificados formalmente como tales, por razones económicas, en la lista del Comité de Ayuda al Desarrollo (CAD) de la OCDE; y</w:t>
      </w:r>
    </w:p>
    <w:p w14:paraId="645795AB" w14:textId="77777777" w:rsidR="00A81CC0" w:rsidRPr="00F068F0" w:rsidRDefault="00A81CC0" w:rsidP="00F068F0">
      <w:pPr>
        <w:rPr>
          <w:rFonts w:asciiTheme="minorHAnsi" w:hAnsiTheme="minorHAnsi" w:cstheme="minorHAnsi"/>
        </w:rPr>
      </w:pPr>
    </w:p>
    <w:p w14:paraId="0F15B1D1" w14:textId="77777777" w:rsidR="00A81CC0" w:rsidRPr="00F068F0" w:rsidRDefault="00A81CC0" w:rsidP="00F068F0">
      <w:pPr>
        <w:rPr>
          <w:rFonts w:asciiTheme="minorHAnsi" w:hAnsiTheme="minorHAnsi" w:cstheme="minorHAnsi"/>
        </w:rPr>
      </w:pPr>
      <w:r>
        <w:rPr>
          <w:rFonts w:asciiTheme="minorHAnsi" w:hAnsiTheme="minorHAnsi"/>
        </w:rPr>
        <w:t>35.</w:t>
      </w:r>
      <w:r>
        <w:rPr>
          <w:rFonts w:asciiTheme="minorHAnsi" w:hAnsiTheme="minorHAnsi"/>
        </w:rPr>
        <w:tab/>
        <w:t xml:space="preserve">CONFIRMA que la presente resolución y sus anexos reemplazan a la Resolución XIV.1 sobre </w:t>
      </w:r>
      <w:r>
        <w:rPr>
          <w:rFonts w:asciiTheme="minorHAnsi" w:hAnsiTheme="minorHAnsi"/>
          <w:i/>
          <w:iCs/>
        </w:rPr>
        <w:t>Cuestiones financieras y presupuestarias</w:t>
      </w:r>
      <w:r>
        <w:rPr>
          <w:rFonts w:asciiTheme="minorHAnsi" w:hAnsiTheme="minorHAnsi"/>
        </w:rPr>
        <w:t xml:space="preserve">, que queda retirada, y al párrafo 11.a de la Resolución VI.17 sobre </w:t>
      </w:r>
      <w:r>
        <w:rPr>
          <w:rFonts w:asciiTheme="minorHAnsi" w:hAnsiTheme="minorHAnsi"/>
          <w:i/>
          <w:iCs/>
        </w:rPr>
        <w:t>Asuntos financieros y presupuestarios</w:t>
      </w:r>
      <w:r>
        <w:rPr>
          <w:rFonts w:asciiTheme="minorHAnsi" w:hAnsiTheme="minorHAnsi"/>
        </w:rPr>
        <w:t>.</w:t>
      </w:r>
    </w:p>
    <w:p w14:paraId="4E535998" w14:textId="77777777" w:rsidR="007D61FD" w:rsidRPr="00F068F0" w:rsidRDefault="007D61FD" w:rsidP="00F068F0">
      <w:pPr>
        <w:rPr>
          <w:rFonts w:asciiTheme="minorHAnsi" w:hAnsiTheme="minorHAnsi" w:cstheme="minorHAnsi"/>
          <w:b/>
        </w:rPr>
      </w:pPr>
      <w:r>
        <w:br w:type="page"/>
      </w:r>
    </w:p>
    <w:p w14:paraId="6EA0FEAC" w14:textId="77777777" w:rsidR="00ED2630" w:rsidRDefault="0049707C" w:rsidP="00A217FF">
      <w:pPr>
        <w:pStyle w:val="ListParagraph"/>
        <w:ind w:left="0" w:firstLine="0"/>
        <w:contextualSpacing w:val="0"/>
        <w:rPr>
          <w:rFonts w:cs="Arial"/>
          <w:b/>
          <w:sz w:val="24"/>
          <w:szCs w:val="24"/>
        </w:rPr>
      </w:pPr>
      <w:r>
        <w:rPr>
          <w:b/>
          <w:sz w:val="24"/>
        </w:rPr>
        <w:lastRenderedPageBreak/>
        <w:t>Anexo 1</w:t>
      </w:r>
    </w:p>
    <w:p w14:paraId="31570040" w14:textId="2BC4DC57" w:rsidR="00416121" w:rsidRDefault="0049707C" w:rsidP="00416121">
      <w:pPr>
        <w:pStyle w:val="ListParagraph"/>
        <w:ind w:left="0" w:firstLine="0"/>
        <w:contextualSpacing w:val="0"/>
        <w:rPr>
          <w:rFonts w:cs="Arial"/>
          <w:b/>
          <w:sz w:val="24"/>
          <w:szCs w:val="24"/>
        </w:rPr>
      </w:pPr>
      <w:r>
        <w:rPr>
          <w:b/>
          <w:sz w:val="24"/>
        </w:rPr>
        <w:t>Escenarios presupuestarios propuestos para 2026</w:t>
      </w:r>
      <w:r w:rsidR="00D97C3B">
        <w:rPr>
          <w:b/>
          <w:sz w:val="24"/>
        </w:rPr>
        <w:noBreakHyphen/>
        <w:t>20</w:t>
      </w:r>
      <w:r>
        <w:rPr>
          <w:b/>
          <w:sz w:val="24"/>
        </w:rPr>
        <w:t>28</w:t>
      </w:r>
      <w:r w:rsidR="00416121">
        <w:rPr>
          <w:rStyle w:val="FootnoteReference"/>
          <w:rFonts w:cs="Arial"/>
          <w:b/>
          <w:sz w:val="24"/>
          <w:szCs w:val="24"/>
        </w:rPr>
        <w:footnoteReference w:id="3"/>
      </w:r>
    </w:p>
    <w:p w14:paraId="71B16326" w14:textId="77777777" w:rsidR="00396932" w:rsidRDefault="00396932" w:rsidP="00A217FF">
      <w:pPr>
        <w:pStyle w:val="ListParagraph"/>
        <w:ind w:left="0" w:firstLine="0"/>
        <w:contextualSpacing w:val="0"/>
        <w:rPr>
          <w:rFonts w:cs="Arial"/>
          <w:b/>
        </w:rPr>
      </w:pPr>
    </w:p>
    <w:p w14:paraId="3D35A915" w14:textId="20A4B793" w:rsidR="000A027C" w:rsidRDefault="0049707C" w:rsidP="00A217FF">
      <w:pPr>
        <w:pStyle w:val="ListParagraph"/>
        <w:ind w:left="0" w:firstLine="0"/>
        <w:contextualSpacing w:val="0"/>
        <w:rPr>
          <w:rFonts w:cs="Arial"/>
          <w:b/>
        </w:rPr>
      </w:pPr>
      <w:r>
        <w:rPr>
          <w:b/>
        </w:rPr>
        <w:t>Escenario A, aumento del 9,6 % en comparación con el trienio 2023</w:t>
      </w:r>
      <w:r w:rsidR="00D97C3B">
        <w:rPr>
          <w:b/>
        </w:rPr>
        <w:noBreakHyphen/>
        <w:t>20</w:t>
      </w:r>
      <w:r>
        <w:rPr>
          <w:b/>
        </w:rPr>
        <w:t>25</w:t>
      </w:r>
    </w:p>
    <w:tbl>
      <w:tblPr>
        <w:tblW w:w="9214" w:type="dxa"/>
        <w:tblInd w:w="-147" w:type="dxa"/>
        <w:tblLayout w:type="fixed"/>
        <w:tblLook w:val="04A0" w:firstRow="1" w:lastRow="0" w:firstColumn="1" w:lastColumn="0" w:noHBand="0" w:noVBand="1"/>
      </w:tblPr>
      <w:tblGrid>
        <w:gridCol w:w="3970"/>
        <w:gridCol w:w="1311"/>
        <w:gridCol w:w="1311"/>
        <w:gridCol w:w="1311"/>
        <w:gridCol w:w="1311"/>
      </w:tblGrid>
      <w:tr w:rsidR="00375D6A" w:rsidRPr="00A217FF" w14:paraId="0C8E557F" w14:textId="77777777" w:rsidTr="00DB3F26">
        <w:trPr>
          <w:tblHeader/>
        </w:trPr>
        <w:tc>
          <w:tcPr>
            <w:tcW w:w="3970" w:type="dxa"/>
            <w:tcBorders>
              <w:top w:val="single" w:sz="4" w:space="0" w:color="auto"/>
              <w:left w:val="single" w:sz="4" w:space="0" w:color="auto"/>
              <w:bottom w:val="single" w:sz="4" w:space="0" w:color="auto"/>
              <w:right w:val="single" w:sz="4" w:space="0" w:color="auto"/>
            </w:tcBorders>
            <w:shd w:val="clear" w:color="000000" w:fill="EBF1DE"/>
            <w:vAlign w:val="center"/>
          </w:tcPr>
          <w:p w14:paraId="13812356" w14:textId="2FDFFB88" w:rsidR="00FA2EB9" w:rsidRPr="002D28C5" w:rsidRDefault="00C26985" w:rsidP="0097325E">
            <w:pPr>
              <w:ind w:left="0" w:firstLine="0"/>
              <w:rPr>
                <w:rFonts w:asciiTheme="minorHAnsi" w:eastAsia="Times New Roman" w:hAnsiTheme="minorHAnsi" w:cs="Arial"/>
                <w:b/>
                <w:bCs/>
                <w:color w:val="1F497D"/>
                <w:sz w:val="24"/>
                <w:szCs w:val="24"/>
              </w:rPr>
            </w:pPr>
            <w:r>
              <w:rPr>
                <w:rFonts w:asciiTheme="minorHAnsi" w:hAnsiTheme="minorHAnsi"/>
                <w:b/>
                <w:color w:val="1F497D"/>
                <w:sz w:val="20"/>
              </w:rPr>
              <w:t>Aumento del 9,6 %, Presupuesto propuesto para la Convención sobre los Humedales para 2026</w:t>
            </w:r>
            <w:r w:rsidR="00D97C3B">
              <w:rPr>
                <w:rFonts w:asciiTheme="minorHAnsi" w:hAnsiTheme="minorHAnsi"/>
                <w:b/>
                <w:color w:val="1F497D"/>
                <w:sz w:val="20"/>
              </w:rPr>
              <w:noBreakHyphen/>
              <w:t>20</w:t>
            </w:r>
            <w:r>
              <w:rPr>
                <w:rFonts w:asciiTheme="minorHAnsi" w:hAnsiTheme="minorHAnsi"/>
                <w:b/>
                <w:color w:val="1F497D"/>
                <w:sz w:val="20"/>
              </w:rPr>
              <w:t>28</w:t>
            </w:r>
            <w:r w:rsidR="0097325E">
              <w:rPr>
                <w:rFonts w:asciiTheme="minorHAnsi" w:hAnsiTheme="minorHAnsi"/>
                <w:b/>
                <w:color w:val="1F497D"/>
                <w:sz w:val="20"/>
              </w:rPr>
              <w:t xml:space="preserve"> (</w:t>
            </w:r>
            <w:r w:rsidR="00FA2EB9">
              <w:rPr>
                <w:rFonts w:asciiTheme="minorHAnsi" w:hAnsiTheme="minorHAnsi"/>
                <w:b/>
                <w:color w:val="1F497D"/>
                <w:sz w:val="20"/>
              </w:rPr>
              <w:t>En miles de francos suizos</w:t>
            </w:r>
            <w:r w:rsidR="0097325E">
              <w:rPr>
                <w:rFonts w:asciiTheme="minorHAnsi" w:hAnsiTheme="minorHAnsi"/>
                <w:b/>
                <w:color w:val="1F497D"/>
                <w:sz w:val="20"/>
              </w:rPr>
              <w:t>)</w:t>
            </w:r>
          </w:p>
        </w:tc>
        <w:tc>
          <w:tcPr>
            <w:tcW w:w="1311" w:type="dxa"/>
            <w:tcBorders>
              <w:top w:val="single" w:sz="4" w:space="0" w:color="auto"/>
              <w:left w:val="nil"/>
              <w:bottom w:val="single" w:sz="4" w:space="0" w:color="auto"/>
              <w:right w:val="single" w:sz="4" w:space="0" w:color="auto"/>
            </w:tcBorders>
            <w:shd w:val="clear" w:color="000000" w:fill="EBF1DE"/>
            <w:vAlign w:val="center"/>
          </w:tcPr>
          <w:p w14:paraId="5C3568D7" w14:textId="77777777" w:rsidR="00C03DD1" w:rsidRPr="00A217FF" w:rsidRDefault="00C03DD1" w:rsidP="008023CD">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2026</w:t>
            </w:r>
          </w:p>
        </w:tc>
        <w:tc>
          <w:tcPr>
            <w:tcW w:w="1311" w:type="dxa"/>
            <w:tcBorders>
              <w:top w:val="single" w:sz="4" w:space="0" w:color="auto"/>
              <w:left w:val="nil"/>
              <w:bottom w:val="single" w:sz="4" w:space="0" w:color="auto"/>
              <w:right w:val="single" w:sz="4" w:space="0" w:color="auto"/>
            </w:tcBorders>
            <w:shd w:val="clear" w:color="000000" w:fill="EBF1DE"/>
            <w:vAlign w:val="center"/>
          </w:tcPr>
          <w:p w14:paraId="0803EEB4" w14:textId="77777777" w:rsidR="00C03DD1" w:rsidRPr="00A217FF" w:rsidRDefault="00C03DD1" w:rsidP="008023CD">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2027</w:t>
            </w:r>
          </w:p>
        </w:tc>
        <w:tc>
          <w:tcPr>
            <w:tcW w:w="1311" w:type="dxa"/>
            <w:tcBorders>
              <w:top w:val="single" w:sz="4" w:space="0" w:color="auto"/>
              <w:left w:val="nil"/>
              <w:bottom w:val="single" w:sz="4" w:space="0" w:color="auto"/>
              <w:right w:val="single" w:sz="4" w:space="0" w:color="auto"/>
            </w:tcBorders>
            <w:shd w:val="clear" w:color="000000" w:fill="EBF1DE"/>
            <w:vAlign w:val="center"/>
          </w:tcPr>
          <w:p w14:paraId="19E926C4" w14:textId="77777777" w:rsidR="00C03DD1" w:rsidRPr="00A217FF" w:rsidRDefault="00C03DD1" w:rsidP="008023CD">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2028</w:t>
            </w:r>
          </w:p>
        </w:tc>
        <w:tc>
          <w:tcPr>
            <w:tcW w:w="1311" w:type="dxa"/>
            <w:tcBorders>
              <w:top w:val="single" w:sz="4" w:space="0" w:color="auto"/>
              <w:left w:val="nil"/>
              <w:bottom w:val="single" w:sz="4" w:space="0" w:color="auto"/>
              <w:right w:val="single" w:sz="4" w:space="0" w:color="auto"/>
            </w:tcBorders>
            <w:shd w:val="clear" w:color="000000" w:fill="EBF1DE"/>
            <w:vAlign w:val="center"/>
          </w:tcPr>
          <w:p w14:paraId="2080E999" w14:textId="0ABD22E1" w:rsidR="00C03DD1" w:rsidRPr="00A217FF" w:rsidRDefault="00C03DD1" w:rsidP="008023CD">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Total Presupuesto 2026</w:t>
            </w:r>
            <w:r w:rsidR="00D97C3B">
              <w:rPr>
                <w:rFonts w:asciiTheme="minorHAnsi" w:hAnsiTheme="minorHAnsi"/>
                <w:b/>
                <w:color w:val="1F497D"/>
                <w:sz w:val="20"/>
              </w:rPr>
              <w:noBreakHyphen/>
              <w:t>20</w:t>
            </w:r>
            <w:r>
              <w:rPr>
                <w:rFonts w:asciiTheme="minorHAnsi" w:hAnsiTheme="minorHAnsi"/>
                <w:b/>
                <w:color w:val="1F497D"/>
                <w:sz w:val="20"/>
              </w:rPr>
              <w:t>28</w:t>
            </w:r>
          </w:p>
        </w:tc>
      </w:tr>
      <w:tr w:rsidR="00C03DD1" w:rsidRPr="00A217FF" w14:paraId="6321AF87" w14:textId="77777777" w:rsidTr="00595C1A">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2A47B" w14:textId="77777777" w:rsidR="00C03DD1" w:rsidRPr="00A217FF" w:rsidRDefault="00C03DD1" w:rsidP="00A217FF">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INGRESOS</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81CD722" w14:textId="77777777" w:rsidR="00C03DD1" w:rsidRPr="00A217FF" w:rsidRDefault="00C03DD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575DBA9" w14:textId="77777777" w:rsidR="00C03DD1" w:rsidRPr="00A217FF" w:rsidRDefault="00C03DD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2578D7F5" w14:textId="77777777" w:rsidR="00C03DD1" w:rsidRPr="00A217FF" w:rsidRDefault="00C03DD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2801AB9F"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 </w:t>
            </w:r>
          </w:p>
        </w:tc>
      </w:tr>
      <w:tr w:rsidR="00CF55B1" w:rsidRPr="00A217FF" w14:paraId="48EBE78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E57B3CC"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Contribuciones de las Partes</w:t>
            </w:r>
          </w:p>
        </w:tc>
        <w:tc>
          <w:tcPr>
            <w:tcW w:w="1311" w:type="dxa"/>
            <w:tcBorders>
              <w:top w:val="nil"/>
              <w:left w:val="nil"/>
              <w:bottom w:val="single" w:sz="4" w:space="0" w:color="auto"/>
              <w:right w:val="single" w:sz="4" w:space="0" w:color="auto"/>
            </w:tcBorders>
            <w:shd w:val="clear" w:color="auto" w:fill="auto"/>
            <w:noWrap/>
            <w:vAlign w:val="center"/>
          </w:tcPr>
          <w:p w14:paraId="25996636" w14:textId="77777777" w:rsidR="00C03DD1" w:rsidRPr="00A217FF" w:rsidRDefault="009618C5" w:rsidP="00A217FF">
            <w:pPr>
              <w:ind w:left="0" w:firstLine="0"/>
              <w:jc w:val="right"/>
              <w:rPr>
                <w:rFonts w:asciiTheme="minorHAnsi" w:eastAsia="Times New Roman" w:hAnsiTheme="minorHAnsi" w:cs="Arial"/>
                <w:sz w:val="20"/>
                <w:szCs w:val="20"/>
              </w:rPr>
            </w:pPr>
            <w:r>
              <w:rPr>
                <w:rFonts w:asciiTheme="minorHAnsi" w:hAnsiTheme="minorHAnsi"/>
                <w:sz w:val="20"/>
              </w:rPr>
              <w:t>4 133</w:t>
            </w:r>
          </w:p>
        </w:tc>
        <w:tc>
          <w:tcPr>
            <w:tcW w:w="1311" w:type="dxa"/>
            <w:tcBorders>
              <w:top w:val="nil"/>
              <w:left w:val="nil"/>
              <w:bottom w:val="single" w:sz="4" w:space="0" w:color="auto"/>
              <w:right w:val="single" w:sz="4" w:space="0" w:color="auto"/>
            </w:tcBorders>
            <w:shd w:val="clear" w:color="auto" w:fill="auto"/>
            <w:noWrap/>
            <w:vAlign w:val="center"/>
          </w:tcPr>
          <w:p w14:paraId="08F2FBF0"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4 133</w:t>
            </w:r>
          </w:p>
        </w:tc>
        <w:tc>
          <w:tcPr>
            <w:tcW w:w="1311" w:type="dxa"/>
            <w:tcBorders>
              <w:top w:val="nil"/>
              <w:left w:val="nil"/>
              <w:bottom w:val="single" w:sz="4" w:space="0" w:color="auto"/>
              <w:right w:val="single" w:sz="4" w:space="0" w:color="auto"/>
            </w:tcBorders>
            <w:shd w:val="clear" w:color="auto" w:fill="auto"/>
            <w:noWrap/>
            <w:vAlign w:val="center"/>
          </w:tcPr>
          <w:p w14:paraId="6CB7E340" w14:textId="77777777" w:rsidR="00C03DD1" w:rsidRPr="00A217FF" w:rsidRDefault="0061586F"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4 133</w:t>
            </w:r>
          </w:p>
        </w:tc>
        <w:tc>
          <w:tcPr>
            <w:tcW w:w="1311" w:type="dxa"/>
            <w:tcBorders>
              <w:top w:val="nil"/>
              <w:left w:val="nil"/>
              <w:bottom w:val="single" w:sz="4" w:space="0" w:color="auto"/>
              <w:right w:val="single" w:sz="4" w:space="0" w:color="auto"/>
            </w:tcBorders>
            <w:shd w:val="clear" w:color="auto" w:fill="auto"/>
            <w:noWrap/>
            <w:vAlign w:val="center"/>
          </w:tcPr>
          <w:p w14:paraId="65960FE0"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12 399</w:t>
            </w:r>
          </w:p>
        </w:tc>
      </w:tr>
      <w:tr w:rsidR="00CF55B1" w:rsidRPr="00A217FF" w14:paraId="577AF71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D1D259E"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Contribuciones voluntarias</w:t>
            </w:r>
          </w:p>
        </w:tc>
        <w:tc>
          <w:tcPr>
            <w:tcW w:w="1311" w:type="dxa"/>
            <w:tcBorders>
              <w:top w:val="nil"/>
              <w:left w:val="nil"/>
              <w:bottom w:val="single" w:sz="4" w:space="0" w:color="auto"/>
              <w:right w:val="single" w:sz="4" w:space="0" w:color="auto"/>
            </w:tcBorders>
            <w:shd w:val="clear" w:color="auto" w:fill="auto"/>
            <w:noWrap/>
            <w:vAlign w:val="center"/>
          </w:tcPr>
          <w:p w14:paraId="0238EB81"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1 166</w:t>
            </w:r>
          </w:p>
        </w:tc>
        <w:tc>
          <w:tcPr>
            <w:tcW w:w="1311" w:type="dxa"/>
            <w:tcBorders>
              <w:top w:val="nil"/>
              <w:left w:val="nil"/>
              <w:bottom w:val="single" w:sz="4" w:space="0" w:color="auto"/>
              <w:right w:val="single" w:sz="4" w:space="0" w:color="auto"/>
            </w:tcBorders>
            <w:shd w:val="clear" w:color="auto" w:fill="auto"/>
            <w:noWrap/>
            <w:vAlign w:val="center"/>
          </w:tcPr>
          <w:p w14:paraId="5CAF63D1"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1 166</w:t>
            </w:r>
          </w:p>
        </w:tc>
        <w:tc>
          <w:tcPr>
            <w:tcW w:w="1311" w:type="dxa"/>
            <w:tcBorders>
              <w:top w:val="nil"/>
              <w:left w:val="nil"/>
              <w:bottom w:val="single" w:sz="4" w:space="0" w:color="auto"/>
              <w:right w:val="single" w:sz="4" w:space="0" w:color="auto"/>
            </w:tcBorders>
            <w:shd w:val="clear" w:color="auto" w:fill="auto"/>
            <w:noWrap/>
            <w:vAlign w:val="center"/>
          </w:tcPr>
          <w:p w14:paraId="4F952C5B"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1 166</w:t>
            </w:r>
          </w:p>
        </w:tc>
        <w:tc>
          <w:tcPr>
            <w:tcW w:w="1311" w:type="dxa"/>
            <w:tcBorders>
              <w:top w:val="nil"/>
              <w:left w:val="nil"/>
              <w:bottom w:val="single" w:sz="4" w:space="0" w:color="auto"/>
              <w:right w:val="single" w:sz="4" w:space="0" w:color="auto"/>
            </w:tcBorders>
            <w:shd w:val="clear" w:color="auto" w:fill="auto"/>
            <w:noWrap/>
            <w:vAlign w:val="center"/>
          </w:tcPr>
          <w:p w14:paraId="28D39153"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3 498</w:t>
            </w:r>
          </w:p>
        </w:tc>
      </w:tr>
      <w:tr w:rsidR="00CF55B1" w:rsidRPr="00A217FF" w14:paraId="42D4B118"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3651FD1"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Impuesto sobre la renta</w:t>
            </w:r>
          </w:p>
        </w:tc>
        <w:tc>
          <w:tcPr>
            <w:tcW w:w="1311" w:type="dxa"/>
            <w:tcBorders>
              <w:top w:val="nil"/>
              <w:left w:val="nil"/>
              <w:bottom w:val="single" w:sz="4" w:space="0" w:color="auto"/>
              <w:right w:val="single" w:sz="4" w:space="0" w:color="auto"/>
            </w:tcBorders>
            <w:shd w:val="clear" w:color="auto" w:fill="auto"/>
            <w:noWrap/>
            <w:vAlign w:val="center"/>
          </w:tcPr>
          <w:p w14:paraId="79826A31"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249</w:t>
            </w:r>
          </w:p>
        </w:tc>
        <w:tc>
          <w:tcPr>
            <w:tcW w:w="1311" w:type="dxa"/>
            <w:tcBorders>
              <w:top w:val="nil"/>
              <w:left w:val="nil"/>
              <w:bottom w:val="single" w:sz="4" w:space="0" w:color="auto"/>
              <w:right w:val="single" w:sz="4" w:space="0" w:color="auto"/>
            </w:tcBorders>
            <w:shd w:val="clear" w:color="auto" w:fill="auto"/>
            <w:noWrap/>
            <w:vAlign w:val="center"/>
          </w:tcPr>
          <w:p w14:paraId="1B30CEC4"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249</w:t>
            </w:r>
          </w:p>
        </w:tc>
        <w:tc>
          <w:tcPr>
            <w:tcW w:w="1311" w:type="dxa"/>
            <w:tcBorders>
              <w:top w:val="nil"/>
              <w:left w:val="nil"/>
              <w:bottom w:val="single" w:sz="4" w:space="0" w:color="auto"/>
              <w:right w:val="single" w:sz="4" w:space="0" w:color="auto"/>
            </w:tcBorders>
            <w:shd w:val="clear" w:color="auto" w:fill="auto"/>
            <w:noWrap/>
            <w:vAlign w:val="center"/>
          </w:tcPr>
          <w:p w14:paraId="3A78FD82" w14:textId="77777777" w:rsidR="00C03DD1" w:rsidRPr="00A217FF" w:rsidRDefault="0061586F"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249</w:t>
            </w:r>
          </w:p>
        </w:tc>
        <w:tc>
          <w:tcPr>
            <w:tcW w:w="1311" w:type="dxa"/>
            <w:tcBorders>
              <w:top w:val="nil"/>
              <w:left w:val="nil"/>
              <w:bottom w:val="single" w:sz="4" w:space="0" w:color="auto"/>
              <w:right w:val="single" w:sz="4" w:space="0" w:color="auto"/>
            </w:tcBorders>
            <w:shd w:val="clear" w:color="auto" w:fill="auto"/>
            <w:noWrap/>
            <w:vAlign w:val="center"/>
          </w:tcPr>
          <w:p w14:paraId="4EA248EE"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747</w:t>
            </w:r>
          </w:p>
        </w:tc>
      </w:tr>
      <w:tr w:rsidR="00CF55B1" w:rsidRPr="00A217FF" w14:paraId="155A2FBF" w14:textId="77777777" w:rsidTr="00595C1A">
        <w:tc>
          <w:tcPr>
            <w:tcW w:w="3970" w:type="dxa"/>
            <w:tcBorders>
              <w:top w:val="nil"/>
              <w:left w:val="single" w:sz="4" w:space="0" w:color="auto"/>
              <w:bottom w:val="nil"/>
              <w:right w:val="single" w:sz="4" w:space="0" w:color="auto"/>
            </w:tcBorders>
            <w:shd w:val="clear" w:color="auto" w:fill="auto"/>
            <w:noWrap/>
            <w:vAlign w:val="center"/>
          </w:tcPr>
          <w:p w14:paraId="749ACF5D"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Ingresos por intereses</w:t>
            </w:r>
          </w:p>
        </w:tc>
        <w:tc>
          <w:tcPr>
            <w:tcW w:w="1311" w:type="dxa"/>
            <w:tcBorders>
              <w:top w:val="nil"/>
              <w:left w:val="nil"/>
              <w:bottom w:val="single" w:sz="4" w:space="0" w:color="auto"/>
              <w:right w:val="single" w:sz="4" w:space="0" w:color="auto"/>
            </w:tcBorders>
            <w:shd w:val="clear" w:color="auto" w:fill="auto"/>
            <w:noWrap/>
            <w:vAlign w:val="center"/>
          </w:tcPr>
          <w:p w14:paraId="72122755"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3D7BCE28"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51A0AC1F" w14:textId="77777777" w:rsidR="00C03DD1" w:rsidRPr="00A217FF" w:rsidRDefault="0061586F"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BF80811" w14:textId="77777777" w:rsidR="00C03DD1" w:rsidRPr="00A217FF" w:rsidRDefault="00817909" w:rsidP="00A217FF">
            <w:pPr>
              <w:ind w:left="0" w:firstLine="0"/>
              <w:jc w:val="right"/>
              <w:rPr>
                <w:rFonts w:asciiTheme="minorHAnsi" w:eastAsia="Times New Roman" w:hAnsiTheme="minorHAnsi" w:cs="Arial"/>
                <w:sz w:val="20"/>
                <w:szCs w:val="20"/>
              </w:rPr>
            </w:pPr>
            <w:r>
              <w:rPr>
                <w:rFonts w:asciiTheme="minorHAnsi" w:hAnsiTheme="minorHAnsi"/>
                <w:sz w:val="20"/>
              </w:rPr>
              <w:t>54</w:t>
            </w:r>
          </w:p>
        </w:tc>
      </w:tr>
      <w:tr w:rsidR="00375D6A" w:rsidRPr="00A217FF" w14:paraId="1C5CA83D"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FE6755F" w14:textId="77777777" w:rsidR="00C03DD1" w:rsidRPr="00A217FF" w:rsidRDefault="00C03DD1" w:rsidP="00A217FF">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TOTAL DE INGRESOS</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0731A631"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16C14FC3"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111DBAE4"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3C978882" w14:textId="77777777" w:rsidR="00C03DD1" w:rsidRPr="00586541" w:rsidRDefault="00817909" w:rsidP="00A217FF">
            <w:pPr>
              <w:ind w:left="0" w:firstLine="0"/>
              <w:jc w:val="right"/>
              <w:rPr>
                <w:rFonts w:asciiTheme="minorHAnsi" w:eastAsia="Times New Roman" w:hAnsiTheme="minorHAnsi" w:cs="Arial"/>
                <w:b/>
                <w:bCs/>
                <w:color w:val="000000"/>
              </w:rPr>
            </w:pPr>
            <w:r>
              <w:rPr>
                <w:rFonts w:asciiTheme="minorHAnsi" w:hAnsiTheme="minorHAnsi"/>
                <w:b/>
                <w:color w:val="000000"/>
              </w:rPr>
              <w:t>16 698</w:t>
            </w:r>
          </w:p>
        </w:tc>
      </w:tr>
      <w:tr w:rsidR="00CF55B1" w:rsidRPr="00A217FF" w14:paraId="67CBA3F7" w14:textId="77777777" w:rsidTr="00595C1A">
        <w:trPr>
          <w:trHeight w:val="397"/>
        </w:trPr>
        <w:tc>
          <w:tcPr>
            <w:tcW w:w="3970" w:type="dxa"/>
            <w:tcBorders>
              <w:top w:val="nil"/>
              <w:left w:val="single" w:sz="4" w:space="0" w:color="auto"/>
              <w:bottom w:val="single" w:sz="4" w:space="0" w:color="auto"/>
              <w:right w:val="single" w:sz="4" w:space="0" w:color="auto"/>
            </w:tcBorders>
            <w:shd w:val="clear" w:color="auto" w:fill="auto"/>
            <w:noWrap/>
            <w:vAlign w:val="bottom"/>
          </w:tcPr>
          <w:p w14:paraId="29AEEACD" w14:textId="77777777" w:rsidR="00C03DD1" w:rsidRPr="00A217FF" w:rsidRDefault="00C03DD1" w:rsidP="00A217FF">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GASTOS</w:t>
            </w:r>
          </w:p>
        </w:tc>
        <w:tc>
          <w:tcPr>
            <w:tcW w:w="1311" w:type="dxa"/>
            <w:tcBorders>
              <w:top w:val="nil"/>
              <w:left w:val="nil"/>
              <w:bottom w:val="single" w:sz="4" w:space="0" w:color="auto"/>
              <w:right w:val="single" w:sz="4" w:space="0" w:color="auto"/>
            </w:tcBorders>
            <w:shd w:val="clear" w:color="auto" w:fill="auto"/>
            <w:noWrap/>
            <w:vAlign w:val="bottom"/>
          </w:tcPr>
          <w:p w14:paraId="36728E9E"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tcPr>
          <w:p w14:paraId="63D61C90"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tcPr>
          <w:p w14:paraId="28129FFF"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tcPr>
          <w:p w14:paraId="6D90D1C0" w14:textId="77777777" w:rsidR="00C03DD1" w:rsidRPr="00A217FF" w:rsidRDefault="00C03DD1" w:rsidP="00A217FF">
            <w:pPr>
              <w:ind w:left="0" w:firstLine="0"/>
              <w:rPr>
                <w:rFonts w:asciiTheme="minorHAnsi" w:eastAsia="Times New Roman" w:hAnsiTheme="minorHAnsi" w:cs="Arial"/>
                <w:b/>
                <w:bCs/>
                <w:sz w:val="20"/>
                <w:szCs w:val="20"/>
              </w:rPr>
            </w:pPr>
            <w:r>
              <w:rPr>
                <w:rFonts w:asciiTheme="minorHAnsi" w:hAnsiTheme="minorHAnsi"/>
                <w:b/>
                <w:sz w:val="20"/>
              </w:rPr>
              <w:t> </w:t>
            </w:r>
          </w:p>
        </w:tc>
      </w:tr>
      <w:tr w:rsidR="00375D6A" w:rsidRPr="00A217FF" w14:paraId="5911E616"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0A5E2642" w14:textId="77777777" w:rsidR="00C03DD1" w:rsidRPr="00A217FF" w:rsidRDefault="00A217FF" w:rsidP="00A217FF">
            <w:pPr>
              <w:ind w:left="0" w:firstLine="0"/>
              <w:rPr>
                <w:rFonts w:asciiTheme="minorHAnsi" w:eastAsia="Times New Roman" w:hAnsiTheme="minorHAnsi" w:cs="Arial"/>
                <w:b/>
                <w:bCs/>
                <w:color w:val="000000"/>
                <w:sz w:val="20"/>
                <w:szCs w:val="20"/>
              </w:rPr>
            </w:pPr>
            <w:r>
              <w:rPr>
                <w:rFonts w:asciiTheme="minorHAnsi" w:hAnsiTheme="minorHAnsi"/>
                <w:b/>
                <w:color w:val="000000"/>
                <w:sz w:val="20"/>
              </w:rPr>
              <w:t>A. Personal directivo de la Secretaría y Gobernanza</w:t>
            </w:r>
          </w:p>
        </w:tc>
        <w:tc>
          <w:tcPr>
            <w:tcW w:w="1311" w:type="dxa"/>
            <w:tcBorders>
              <w:top w:val="nil"/>
              <w:left w:val="nil"/>
              <w:bottom w:val="single" w:sz="4" w:space="0" w:color="auto"/>
              <w:right w:val="single" w:sz="4" w:space="0" w:color="auto"/>
            </w:tcBorders>
            <w:shd w:val="clear" w:color="000000" w:fill="C4D79B"/>
            <w:noWrap/>
            <w:vAlign w:val="center"/>
          </w:tcPr>
          <w:p w14:paraId="58EE5830" w14:textId="77777777" w:rsidR="00C03DD1" w:rsidRPr="00A217FF" w:rsidRDefault="00F776A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1 238</w:t>
            </w:r>
          </w:p>
        </w:tc>
        <w:tc>
          <w:tcPr>
            <w:tcW w:w="1311" w:type="dxa"/>
            <w:tcBorders>
              <w:top w:val="nil"/>
              <w:left w:val="nil"/>
              <w:bottom w:val="single" w:sz="4" w:space="0" w:color="auto"/>
              <w:right w:val="single" w:sz="4" w:space="0" w:color="auto"/>
            </w:tcBorders>
            <w:shd w:val="clear" w:color="000000" w:fill="C4D79B"/>
            <w:noWrap/>
            <w:vAlign w:val="center"/>
          </w:tcPr>
          <w:p w14:paraId="4ABA1BB4" w14:textId="2025AF34" w:rsidR="00C03DD1" w:rsidRPr="00A217FF" w:rsidRDefault="00F776A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w:t>
            </w:r>
            <w:r w:rsidR="00E64901">
              <w:rPr>
                <w:rFonts w:asciiTheme="minorHAnsi" w:hAnsiTheme="minorHAnsi"/>
                <w:b/>
                <w:color w:val="000000"/>
                <w:sz w:val="20"/>
              </w:rPr>
              <w:t>40</w:t>
            </w:r>
          </w:p>
        </w:tc>
        <w:tc>
          <w:tcPr>
            <w:tcW w:w="1311" w:type="dxa"/>
            <w:tcBorders>
              <w:top w:val="nil"/>
              <w:left w:val="nil"/>
              <w:bottom w:val="single" w:sz="4" w:space="0" w:color="auto"/>
              <w:right w:val="single" w:sz="4" w:space="0" w:color="auto"/>
            </w:tcBorders>
            <w:shd w:val="clear" w:color="000000" w:fill="C4D79B"/>
            <w:noWrap/>
            <w:vAlign w:val="center"/>
          </w:tcPr>
          <w:p w14:paraId="60C5A24E" w14:textId="22E0B072" w:rsidR="00C03DD1" w:rsidRPr="00A217FF" w:rsidRDefault="00F776A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w:t>
            </w:r>
            <w:r w:rsidR="00E64901">
              <w:rPr>
                <w:rFonts w:asciiTheme="minorHAnsi" w:hAnsiTheme="minorHAnsi"/>
                <w:b/>
                <w:color w:val="000000"/>
                <w:sz w:val="20"/>
              </w:rPr>
              <w:t>60</w:t>
            </w:r>
          </w:p>
        </w:tc>
        <w:tc>
          <w:tcPr>
            <w:tcW w:w="1311" w:type="dxa"/>
            <w:tcBorders>
              <w:top w:val="nil"/>
              <w:left w:val="nil"/>
              <w:bottom w:val="single" w:sz="4" w:space="0" w:color="auto"/>
              <w:right w:val="single" w:sz="4" w:space="0" w:color="auto"/>
            </w:tcBorders>
            <w:shd w:val="clear" w:color="000000" w:fill="C4D79B"/>
            <w:noWrap/>
            <w:vAlign w:val="center"/>
          </w:tcPr>
          <w:p w14:paraId="18F062FB" w14:textId="77777777" w:rsidR="00C03DD1" w:rsidRPr="00A217FF" w:rsidRDefault="00F776A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3 738</w:t>
            </w:r>
          </w:p>
        </w:tc>
      </w:tr>
      <w:tr w:rsidR="00CF55B1" w:rsidRPr="00A217FF" w14:paraId="2F177967"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EB4CEF5"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1974553D" w14:textId="77777777" w:rsidR="00C03DD1" w:rsidRPr="00A217FF" w:rsidRDefault="0024521E" w:rsidP="00A217FF">
            <w:pPr>
              <w:ind w:left="0" w:firstLine="0"/>
              <w:jc w:val="right"/>
              <w:rPr>
                <w:rFonts w:asciiTheme="minorHAnsi" w:eastAsia="Times New Roman" w:hAnsiTheme="minorHAnsi" w:cs="Arial"/>
                <w:sz w:val="20"/>
                <w:szCs w:val="20"/>
              </w:rPr>
            </w:pPr>
            <w:r>
              <w:rPr>
                <w:rFonts w:asciiTheme="minorHAnsi" w:hAnsiTheme="minorHAnsi"/>
                <w:sz w:val="20"/>
              </w:rPr>
              <w:t>1 170</w:t>
            </w:r>
          </w:p>
        </w:tc>
        <w:tc>
          <w:tcPr>
            <w:tcW w:w="1311" w:type="dxa"/>
            <w:tcBorders>
              <w:top w:val="nil"/>
              <w:left w:val="nil"/>
              <w:bottom w:val="single" w:sz="4" w:space="0" w:color="auto"/>
              <w:right w:val="single" w:sz="4" w:space="0" w:color="auto"/>
            </w:tcBorders>
            <w:shd w:val="clear" w:color="auto" w:fill="auto"/>
            <w:noWrap/>
            <w:vAlign w:val="center"/>
          </w:tcPr>
          <w:p w14:paraId="1EF6BC89" w14:textId="78A86ADB" w:rsidR="00C03DD1" w:rsidRPr="00A217FF" w:rsidRDefault="0024521E" w:rsidP="00A217FF">
            <w:pPr>
              <w:ind w:left="0" w:firstLine="0"/>
              <w:jc w:val="right"/>
              <w:rPr>
                <w:rFonts w:asciiTheme="minorHAnsi" w:eastAsia="Times New Roman" w:hAnsiTheme="minorHAnsi" w:cs="Arial"/>
                <w:sz w:val="20"/>
                <w:szCs w:val="20"/>
              </w:rPr>
            </w:pPr>
            <w:r>
              <w:rPr>
                <w:rFonts w:asciiTheme="minorHAnsi" w:hAnsiTheme="minorHAnsi"/>
                <w:sz w:val="20"/>
              </w:rPr>
              <w:t>1 17</w:t>
            </w:r>
            <w:r w:rsidR="00E64901">
              <w:rPr>
                <w:rFonts w:asciiTheme="minorHAnsi" w:hAnsiTheme="minorHAnsi"/>
                <w:sz w:val="20"/>
              </w:rPr>
              <w:t>2</w:t>
            </w:r>
          </w:p>
        </w:tc>
        <w:tc>
          <w:tcPr>
            <w:tcW w:w="1311" w:type="dxa"/>
            <w:tcBorders>
              <w:top w:val="nil"/>
              <w:left w:val="nil"/>
              <w:bottom w:val="single" w:sz="4" w:space="0" w:color="auto"/>
              <w:right w:val="single" w:sz="4" w:space="0" w:color="auto"/>
            </w:tcBorders>
            <w:shd w:val="clear" w:color="auto" w:fill="auto"/>
            <w:noWrap/>
            <w:vAlign w:val="center"/>
          </w:tcPr>
          <w:p w14:paraId="7AAB9029" w14:textId="6F8DC199" w:rsidR="00C03DD1" w:rsidRPr="00A217FF" w:rsidRDefault="00A22E7B"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1 1</w:t>
            </w:r>
            <w:r w:rsidR="00E64901">
              <w:rPr>
                <w:rFonts w:asciiTheme="minorHAnsi" w:hAnsiTheme="minorHAnsi"/>
                <w:color w:val="000000"/>
                <w:sz w:val="20"/>
              </w:rPr>
              <w:t>92</w:t>
            </w:r>
          </w:p>
        </w:tc>
        <w:tc>
          <w:tcPr>
            <w:tcW w:w="1311" w:type="dxa"/>
            <w:tcBorders>
              <w:top w:val="nil"/>
              <w:left w:val="nil"/>
              <w:bottom w:val="single" w:sz="4" w:space="0" w:color="auto"/>
              <w:right w:val="single" w:sz="4" w:space="0" w:color="auto"/>
            </w:tcBorders>
            <w:shd w:val="clear" w:color="auto" w:fill="auto"/>
            <w:noWrap/>
            <w:vAlign w:val="center"/>
          </w:tcPr>
          <w:p w14:paraId="22C65E2C" w14:textId="77777777" w:rsidR="00C03DD1" w:rsidRPr="00A217FF" w:rsidRDefault="00A22E7B" w:rsidP="00A217FF">
            <w:pPr>
              <w:ind w:left="0" w:firstLine="0"/>
              <w:jc w:val="right"/>
              <w:rPr>
                <w:rFonts w:asciiTheme="minorHAnsi" w:eastAsia="Times New Roman" w:hAnsiTheme="minorHAnsi" w:cs="Arial"/>
                <w:sz w:val="20"/>
                <w:szCs w:val="20"/>
              </w:rPr>
            </w:pPr>
            <w:r>
              <w:rPr>
                <w:rFonts w:asciiTheme="minorHAnsi" w:hAnsiTheme="minorHAnsi"/>
                <w:sz w:val="20"/>
              </w:rPr>
              <w:t>3 534</w:t>
            </w:r>
          </w:p>
        </w:tc>
      </w:tr>
      <w:tr w:rsidR="00CF55B1" w:rsidRPr="00A217FF" w14:paraId="42356D0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2993FD5" w14:textId="77777777" w:rsidR="00C03DD1" w:rsidRPr="00A217FF" w:rsidRDefault="00F776A9" w:rsidP="00A217FF">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3C3298EF" w14:textId="77777777" w:rsidR="00C03DD1" w:rsidRPr="00A217FF" w:rsidRDefault="00D55080" w:rsidP="00A217FF">
            <w:pPr>
              <w:ind w:left="0" w:firstLine="0"/>
              <w:jc w:val="right"/>
              <w:rPr>
                <w:rFonts w:asciiTheme="minorHAnsi" w:eastAsia="Times New Roman" w:hAnsiTheme="minorHAnsi" w:cs="Arial"/>
                <w:sz w:val="20"/>
                <w:szCs w:val="20"/>
              </w:rPr>
            </w:pPr>
            <w:r>
              <w:rPr>
                <w:rFonts w:asciiTheme="minorHAnsi" w:hAnsiTheme="minorHAnsi"/>
                <w:sz w:val="20"/>
              </w:rPr>
              <w:t>68</w:t>
            </w:r>
          </w:p>
        </w:tc>
        <w:tc>
          <w:tcPr>
            <w:tcW w:w="1311" w:type="dxa"/>
            <w:tcBorders>
              <w:top w:val="nil"/>
              <w:left w:val="nil"/>
              <w:bottom w:val="single" w:sz="4" w:space="0" w:color="auto"/>
              <w:right w:val="single" w:sz="4" w:space="0" w:color="auto"/>
            </w:tcBorders>
            <w:shd w:val="clear" w:color="auto" w:fill="auto"/>
            <w:noWrap/>
            <w:vAlign w:val="center"/>
          </w:tcPr>
          <w:p w14:paraId="7C21D865" w14:textId="77777777" w:rsidR="00C03DD1" w:rsidRPr="00A217FF" w:rsidRDefault="00D55080" w:rsidP="00A217FF">
            <w:pPr>
              <w:ind w:left="0" w:firstLine="0"/>
              <w:jc w:val="right"/>
              <w:rPr>
                <w:rFonts w:asciiTheme="minorHAnsi" w:eastAsia="Times New Roman" w:hAnsiTheme="minorHAnsi" w:cs="Arial"/>
                <w:sz w:val="20"/>
                <w:szCs w:val="20"/>
              </w:rPr>
            </w:pPr>
            <w:r>
              <w:rPr>
                <w:rFonts w:asciiTheme="minorHAnsi" w:hAnsiTheme="minorHAnsi"/>
                <w:sz w:val="20"/>
              </w:rPr>
              <w:t>68</w:t>
            </w:r>
          </w:p>
        </w:tc>
        <w:tc>
          <w:tcPr>
            <w:tcW w:w="1311" w:type="dxa"/>
            <w:tcBorders>
              <w:top w:val="nil"/>
              <w:left w:val="nil"/>
              <w:bottom w:val="single" w:sz="4" w:space="0" w:color="auto"/>
              <w:right w:val="single" w:sz="4" w:space="0" w:color="auto"/>
            </w:tcBorders>
            <w:shd w:val="clear" w:color="auto" w:fill="auto"/>
            <w:noWrap/>
            <w:vAlign w:val="center"/>
          </w:tcPr>
          <w:p w14:paraId="39779726" w14:textId="77777777" w:rsidR="00C03DD1" w:rsidRPr="00A217FF" w:rsidRDefault="00D55080"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68</w:t>
            </w:r>
          </w:p>
        </w:tc>
        <w:tc>
          <w:tcPr>
            <w:tcW w:w="1311" w:type="dxa"/>
            <w:tcBorders>
              <w:top w:val="nil"/>
              <w:left w:val="nil"/>
              <w:bottom w:val="single" w:sz="4" w:space="0" w:color="auto"/>
              <w:right w:val="single" w:sz="4" w:space="0" w:color="auto"/>
            </w:tcBorders>
            <w:shd w:val="clear" w:color="auto" w:fill="auto"/>
            <w:noWrap/>
            <w:vAlign w:val="center"/>
          </w:tcPr>
          <w:p w14:paraId="3BEE5B68" w14:textId="77777777" w:rsidR="00C03DD1" w:rsidRPr="00A217FF" w:rsidRDefault="00D55080" w:rsidP="00A217FF">
            <w:pPr>
              <w:ind w:left="0" w:firstLine="0"/>
              <w:jc w:val="right"/>
              <w:rPr>
                <w:rFonts w:asciiTheme="minorHAnsi" w:eastAsia="Times New Roman" w:hAnsiTheme="minorHAnsi" w:cs="Arial"/>
                <w:sz w:val="20"/>
                <w:szCs w:val="20"/>
              </w:rPr>
            </w:pPr>
            <w:r>
              <w:rPr>
                <w:rFonts w:asciiTheme="minorHAnsi" w:hAnsiTheme="minorHAnsi"/>
                <w:sz w:val="20"/>
              </w:rPr>
              <w:t>204</w:t>
            </w:r>
          </w:p>
        </w:tc>
      </w:tr>
      <w:tr w:rsidR="00375D6A" w:rsidRPr="00A217FF" w14:paraId="1A7C317A"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16A3E9D4" w14:textId="77777777" w:rsidR="00C03DD1" w:rsidRPr="00A217FF" w:rsidRDefault="00A217FF" w:rsidP="00A217FF">
            <w:pPr>
              <w:ind w:left="0" w:firstLine="0"/>
              <w:rPr>
                <w:rFonts w:asciiTheme="minorHAnsi" w:eastAsia="Times New Roman" w:hAnsiTheme="minorHAnsi" w:cs="Arial"/>
                <w:b/>
                <w:bCs/>
                <w:sz w:val="20"/>
                <w:szCs w:val="20"/>
              </w:rPr>
            </w:pPr>
            <w:r>
              <w:rPr>
                <w:rFonts w:asciiTheme="minorHAnsi" w:hAnsiTheme="minorHAnsi"/>
                <w:b/>
                <w:sz w:val="20"/>
              </w:rPr>
              <w:t>B. Movilización de recursos y Promoción</w:t>
            </w:r>
          </w:p>
        </w:tc>
        <w:tc>
          <w:tcPr>
            <w:tcW w:w="1311" w:type="dxa"/>
            <w:tcBorders>
              <w:top w:val="nil"/>
              <w:left w:val="nil"/>
              <w:bottom w:val="single" w:sz="4" w:space="0" w:color="auto"/>
              <w:right w:val="single" w:sz="4" w:space="0" w:color="auto"/>
            </w:tcBorders>
            <w:shd w:val="clear" w:color="000000" w:fill="C4D79B"/>
            <w:noWrap/>
            <w:vAlign w:val="center"/>
          </w:tcPr>
          <w:p w14:paraId="294E2669" w14:textId="77777777" w:rsidR="00C03DD1" w:rsidRPr="00A217FF" w:rsidRDefault="00822F8D"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672</w:t>
            </w:r>
          </w:p>
        </w:tc>
        <w:tc>
          <w:tcPr>
            <w:tcW w:w="1311" w:type="dxa"/>
            <w:tcBorders>
              <w:top w:val="nil"/>
              <w:left w:val="nil"/>
              <w:bottom w:val="single" w:sz="4" w:space="0" w:color="auto"/>
              <w:right w:val="single" w:sz="4" w:space="0" w:color="auto"/>
            </w:tcBorders>
            <w:shd w:val="clear" w:color="000000" w:fill="C4D79B"/>
            <w:noWrap/>
            <w:vAlign w:val="center"/>
          </w:tcPr>
          <w:p w14:paraId="36244D0E" w14:textId="07D6A24A" w:rsidR="00C03DD1" w:rsidRPr="00A217FF" w:rsidRDefault="00822F8D"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w:t>
            </w:r>
            <w:r w:rsidR="00E64901">
              <w:rPr>
                <w:rFonts w:asciiTheme="minorHAnsi" w:hAnsiTheme="minorHAnsi"/>
                <w:b/>
                <w:color w:val="000000"/>
                <w:sz w:val="20"/>
              </w:rPr>
              <w:t>5</w:t>
            </w:r>
          </w:p>
        </w:tc>
        <w:tc>
          <w:tcPr>
            <w:tcW w:w="1311" w:type="dxa"/>
            <w:tcBorders>
              <w:top w:val="nil"/>
              <w:left w:val="nil"/>
              <w:bottom w:val="single" w:sz="4" w:space="0" w:color="auto"/>
              <w:right w:val="single" w:sz="4" w:space="0" w:color="auto"/>
            </w:tcBorders>
            <w:shd w:val="clear" w:color="000000" w:fill="C4D79B"/>
            <w:noWrap/>
            <w:vAlign w:val="center"/>
          </w:tcPr>
          <w:p w14:paraId="29ACF3CB" w14:textId="76334B15" w:rsidR="00C03DD1" w:rsidRPr="00A217FF" w:rsidRDefault="00822F8D" w:rsidP="008F481B">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w:t>
            </w:r>
            <w:r w:rsidR="00E64901">
              <w:rPr>
                <w:rFonts w:asciiTheme="minorHAnsi" w:hAnsiTheme="minorHAnsi"/>
                <w:b/>
                <w:color w:val="000000"/>
                <w:sz w:val="20"/>
              </w:rPr>
              <w:t>3</w:t>
            </w:r>
          </w:p>
        </w:tc>
        <w:tc>
          <w:tcPr>
            <w:tcW w:w="1311" w:type="dxa"/>
            <w:tcBorders>
              <w:top w:val="nil"/>
              <w:left w:val="nil"/>
              <w:bottom w:val="single" w:sz="4" w:space="0" w:color="auto"/>
              <w:right w:val="single" w:sz="4" w:space="0" w:color="auto"/>
            </w:tcBorders>
            <w:shd w:val="clear" w:color="000000" w:fill="C4D79B"/>
            <w:noWrap/>
            <w:vAlign w:val="center"/>
          </w:tcPr>
          <w:p w14:paraId="6B118730" w14:textId="77777777" w:rsidR="00C03DD1" w:rsidRPr="00A217FF" w:rsidRDefault="00822F8D"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2 020</w:t>
            </w:r>
          </w:p>
        </w:tc>
      </w:tr>
      <w:tr w:rsidR="00CF55B1" w:rsidRPr="00A217FF" w14:paraId="5226E30F"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982E4AC"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1D8B5BAD" w14:textId="77777777" w:rsidR="00C03DD1" w:rsidRPr="00A217FF" w:rsidRDefault="00822F8D" w:rsidP="008F481B">
            <w:pPr>
              <w:ind w:left="0" w:firstLine="0"/>
              <w:jc w:val="right"/>
              <w:rPr>
                <w:rFonts w:asciiTheme="minorHAnsi" w:eastAsia="Times New Roman" w:hAnsiTheme="minorHAnsi" w:cs="Arial"/>
                <w:sz w:val="20"/>
                <w:szCs w:val="20"/>
              </w:rPr>
            </w:pPr>
            <w:r>
              <w:rPr>
                <w:rFonts w:asciiTheme="minorHAnsi" w:hAnsiTheme="minorHAnsi"/>
                <w:sz w:val="20"/>
              </w:rPr>
              <w:t>552</w:t>
            </w:r>
          </w:p>
        </w:tc>
        <w:tc>
          <w:tcPr>
            <w:tcW w:w="1311" w:type="dxa"/>
            <w:tcBorders>
              <w:top w:val="nil"/>
              <w:left w:val="nil"/>
              <w:bottom w:val="single" w:sz="4" w:space="0" w:color="auto"/>
              <w:right w:val="single" w:sz="4" w:space="0" w:color="auto"/>
            </w:tcBorders>
            <w:shd w:val="clear" w:color="auto" w:fill="auto"/>
            <w:noWrap/>
            <w:vAlign w:val="center"/>
          </w:tcPr>
          <w:p w14:paraId="0648B060" w14:textId="677DC86D" w:rsidR="00C03DD1" w:rsidRPr="00A217FF" w:rsidRDefault="00822F8D" w:rsidP="00A217FF">
            <w:pPr>
              <w:ind w:left="0" w:firstLine="0"/>
              <w:jc w:val="right"/>
              <w:rPr>
                <w:rFonts w:asciiTheme="minorHAnsi" w:eastAsia="Times New Roman" w:hAnsiTheme="minorHAnsi" w:cs="Arial"/>
                <w:sz w:val="20"/>
                <w:szCs w:val="20"/>
              </w:rPr>
            </w:pPr>
            <w:r>
              <w:rPr>
                <w:rFonts w:asciiTheme="minorHAnsi" w:hAnsiTheme="minorHAnsi"/>
                <w:sz w:val="20"/>
              </w:rPr>
              <w:t>55</w:t>
            </w:r>
            <w:r w:rsidR="00E64901">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2DA31304" w14:textId="3C90366C" w:rsidR="00C03DD1" w:rsidRPr="00A217FF" w:rsidRDefault="00822F8D"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w:t>
            </w:r>
            <w:r w:rsidR="00E64901">
              <w:rPr>
                <w:rFonts w:asciiTheme="minorHAnsi" w:hAnsiTheme="minorHAnsi"/>
                <w:color w:val="000000"/>
                <w:sz w:val="20"/>
              </w:rPr>
              <w:t>63</w:t>
            </w:r>
          </w:p>
        </w:tc>
        <w:tc>
          <w:tcPr>
            <w:tcW w:w="1311" w:type="dxa"/>
            <w:tcBorders>
              <w:top w:val="nil"/>
              <w:left w:val="nil"/>
              <w:bottom w:val="single" w:sz="4" w:space="0" w:color="auto"/>
              <w:right w:val="single" w:sz="4" w:space="0" w:color="auto"/>
            </w:tcBorders>
            <w:shd w:val="clear" w:color="auto" w:fill="auto"/>
            <w:noWrap/>
            <w:vAlign w:val="center"/>
          </w:tcPr>
          <w:p w14:paraId="641D4682" w14:textId="77777777" w:rsidR="00C03DD1" w:rsidRPr="00A217FF" w:rsidRDefault="00F776A9" w:rsidP="008F481B">
            <w:pPr>
              <w:ind w:left="0" w:firstLine="0"/>
              <w:jc w:val="right"/>
              <w:rPr>
                <w:rFonts w:asciiTheme="minorHAnsi" w:eastAsia="Times New Roman" w:hAnsiTheme="minorHAnsi" w:cs="Arial"/>
                <w:sz w:val="20"/>
                <w:szCs w:val="20"/>
              </w:rPr>
            </w:pPr>
            <w:r>
              <w:rPr>
                <w:rFonts w:asciiTheme="minorHAnsi" w:hAnsiTheme="minorHAnsi"/>
                <w:sz w:val="20"/>
              </w:rPr>
              <w:t>1 670</w:t>
            </w:r>
          </w:p>
        </w:tc>
      </w:tr>
      <w:tr w:rsidR="00CF55B1" w:rsidRPr="00A217FF" w14:paraId="5F8B66D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8E19DA0"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 xml:space="preserve">Programa de </w:t>
            </w:r>
            <w:proofErr w:type="spellStart"/>
            <w:r>
              <w:rPr>
                <w:rFonts w:asciiTheme="minorHAnsi" w:hAnsiTheme="minorHAnsi"/>
                <w:sz w:val="20"/>
              </w:rPr>
              <w:t>CECoP</w:t>
            </w:r>
            <w:proofErr w:type="spellEnd"/>
          </w:p>
        </w:tc>
        <w:tc>
          <w:tcPr>
            <w:tcW w:w="1311" w:type="dxa"/>
            <w:tcBorders>
              <w:top w:val="nil"/>
              <w:left w:val="nil"/>
              <w:bottom w:val="single" w:sz="4" w:space="0" w:color="auto"/>
              <w:right w:val="single" w:sz="4" w:space="0" w:color="auto"/>
            </w:tcBorders>
            <w:shd w:val="clear" w:color="auto" w:fill="auto"/>
            <w:noWrap/>
            <w:vAlign w:val="center"/>
          </w:tcPr>
          <w:p w14:paraId="4268E189"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15</w:t>
            </w:r>
          </w:p>
        </w:tc>
        <w:tc>
          <w:tcPr>
            <w:tcW w:w="1311" w:type="dxa"/>
            <w:tcBorders>
              <w:top w:val="nil"/>
              <w:left w:val="nil"/>
              <w:bottom w:val="single" w:sz="4" w:space="0" w:color="auto"/>
              <w:right w:val="single" w:sz="4" w:space="0" w:color="auto"/>
            </w:tcBorders>
            <w:shd w:val="clear" w:color="auto" w:fill="auto"/>
            <w:noWrap/>
            <w:vAlign w:val="center"/>
          </w:tcPr>
          <w:p w14:paraId="4CA11983"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15</w:t>
            </w:r>
          </w:p>
        </w:tc>
        <w:tc>
          <w:tcPr>
            <w:tcW w:w="1311" w:type="dxa"/>
            <w:tcBorders>
              <w:top w:val="nil"/>
              <w:left w:val="nil"/>
              <w:bottom w:val="single" w:sz="4" w:space="0" w:color="auto"/>
              <w:right w:val="single" w:sz="4" w:space="0" w:color="auto"/>
            </w:tcBorders>
            <w:shd w:val="clear" w:color="auto" w:fill="auto"/>
            <w:noWrap/>
            <w:vAlign w:val="center"/>
          </w:tcPr>
          <w:p w14:paraId="5B5CA123" w14:textId="77777777" w:rsidR="00C03DD1" w:rsidRPr="00A217FF" w:rsidRDefault="00BF198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15</w:t>
            </w:r>
          </w:p>
        </w:tc>
        <w:tc>
          <w:tcPr>
            <w:tcW w:w="1311" w:type="dxa"/>
            <w:tcBorders>
              <w:top w:val="nil"/>
              <w:left w:val="nil"/>
              <w:bottom w:val="single" w:sz="4" w:space="0" w:color="auto"/>
              <w:right w:val="single" w:sz="4" w:space="0" w:color="auto"/>
            </w:tcBorders>
            <w:shd w:val="clear" w:color="auto" w:fill="auto"/>
            <w:noWrap/>
            <w:vAlign w:val="center"/>
          </w:tcPr>
          <w:p w14:paraId="0B9EA0CC"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45</w:t>
            </w:r>
          </w:p>
        </w:tc>
      </w:tr>
      <w:tr w:rsidR="00CF55B1" w:rsidRPr="00A217FF" w14:paraId="7CB992F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01F5DAF8"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Comunicaciones, traducciones, publicaciones e informes sobre la aplicación</w:t>
            </w:r>
          </w:p>
        </w:tc>
        <w:tc>
          <w:tcPr>
            <w:tcW w:w="1311" w:type="dxa"/>
            <w:tcBorders>
              <w:top w:val="nil"/>
              <w:left w:val="nil"/>
              <w:bottom w:val="single" w:sz="4" w:space="0" w:color="auto"/>
              <w:right w:val="single" w:sz="4" w:space="0" w:color="auto"/>
            </w:tcBorders>
            <w:shd w:val="clear" w:color="auto" w:fill="auto"/>
            <w:noWrap/>
            <w:vAlign w:val="center"/>
          </w:tcPr>
          <w:p w14:paraId="4FDE15CA"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15F6BAFB"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356FFC70" w14:textId="77777777" w:rsidR="00C03DD1" w:rsidRPr="00A217FF"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24341295"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180</w:t>
            </w:r>
          </w:p>
        </w:tc>
      </w:tr>
      <w:tr w:rsidR="00CF55B1" w:rsidRPr="00A217FF" w14:paraId="7489035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764776A6"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Apoyo y desarrollo del sitio web/servicios informáticos</w:t>
            </w:r>
          </w:p>
        </w:tc>
        <w:tc>
          <w:tcPr>
            <w:tcW w:w="1311" w:type="dxa"/>
            <w:tcBorders>
              <w:top w:val="nil"/>
              <w:left w:val="nil"/>
              <w:bottom w:val="single" w:sz="4" w:space="0" w:color="auto"/>
              <w:right w:val="single" w:sz="4" w:space="0" w:color="auto"/>
            </w:tcBorders>
            <w:shd w:val="clear" w:color="auto" w:fill="auto"/>
            <w:noWrap/>
            <w:vAlign w:val="center"/>
          </w:tcPr>
          <w:p w14:paraId="2E9FC09B"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tcPr>
          <w:p w14:paraId="41ACCF5A"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tcPr>
          <w:p w14:paraId="1D9B8FC1" w14:textId="77777777" w:rsidR="00C03DD1" w:rsidRPr="00A217FF" w:rsidRDefault="00BF198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73E6B3B4" w14:textId="77777777" w:rsidR="00C03DD1" w:rsidRPr="00A217FF" w:rsidRDefault="00BF198E" w:rsidP="008F481B">
            <w:pPr>
              <w:ind w:left="0" w:firstLine="0"/>
              <w:jc w:val="right"/>
              <w:rPr>
                <w:rFonts w:asciiTheme="minorHAnsi" w:eastAsia="Times New Roman" w:hAnsiTheme="minorHAnsi" w:cs="Arial"/>
                <w:sz w:val="20"/>
                <w:szCs w:val="20"/>
              </w:rPr>
            </w:pPr>
            <w:r>
              <w:rPr>
                <w:rFonts w:asciiTheme="minorHAnsi" w:hAnsiTheme="minorHAnsi"/>
                <w:sz w:val="20"/>
              </w:rPr>
              <w:t>110</w:t>
            </w:r>
          </w:p>
        </w:tc>
      </w:tr>
      <w:tr w:rsidR="00CF55B1" w:rsidRPr="00A217FF" w14:paraId="1D48342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752F41B" w14:textId="77777777" w:rsidR="00A6664E" w:rsidRPr="00A217FF" w:rsidRDefault="00A6664E" w:rsidP="00A217FF">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546B8A3F" w14:textId="77777777" w:rsidR="00A6664E" w:rsidRPr="00A217FF" w:rsidDel="00A6664E" w:rsidRDefault="00562968" w:rsidP="00A217FF">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3CA375F1" w14:textId="77777777" w:rsidR="00A6664E" w:rsidRPr="00A217FF" w:rsidDel="00A6664E" w:rsidRDefault="00562968" w:rsidP="00A217FF">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65F07D55" w14:textId="77777777" w:rsidR="00A6664E" w:rsidRPr="00A217FF" w:rsidDel="00A6664E" w:rsidRDefault="00562968"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w:t>
            </w:r>
          </w:p>
        </w:tc>
        <w:tc>
          <w:tcPr>
            <w:tcW w:w="1311" w:type="dxa"/>
            <w:tcBorders>
              <w:top w:val="nil"/>
              <w:left w:val="nil"/>
              <w:bottom w:val="single" w:sz="4" w:space="0" w:color="auto"/>
              <w:right w:val="single" w:sz="4" w:space="0" w:color="auto"/>
            </w:tcBorders>
            <w:shd w:val="clear" w:color="auto" w:fill="auto"/>
            <w:noWrap/>
            <w:vAlign w:val="center"/>
          </w:tcPr>
          <w:p w14:paraId="56051D77" w14:textId="77777777" w:rsidR="00A6664E" w:rsidRPr="00A217FF" w:rsidDel="00A6664E" w:rsidRDefault="00562968" w:rsidP="00A217FF">
            <w:pPr>
              <w:ind w:left="0" w:firstLine="0"/>
              <w:jc w:val="right"/>
              <w:rPr>
                <w:rFonts w:asciiTheme="minorHAnsi" w:eastAsia="Times New Roman" w:hAnsiTheme="minorHAnsi" w:cs="Arial"/>
                <w:sz w:val="20"/>
                <w:szCs w:val="20"/>
              </w:rPr>
            </w:pPr>
            <w:r>
              <w:rPr>
                <w:rFonts w:asciiTheme="minorHAnsi" w:hAnsiTheme="minorHAnsi"/>
                <w:sz w:val="20"/>
              </w:rPr>
              <w:t>15</w:t>
            </w:r>
          </w:p>
        </w:tc>
      </w:tr>
      <w:tr w:rsidR="00375D6A" w:rsidRPr="00A217FF" w14:paraId="2024D411"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760662EF" w14:textId="77777777" w:rsidR="00C03DD1" w:rsidRPr="00A217FF" w:rsidRDefault="00A217FF" w:rsidP="00A217FF">
            <w:pPr>
              <w:ind w:left="0" w:firstLine="0"/>
              <w:rPr>
                <w:rFonts w:asciiTheme="minorHAnsi" w:eastAsia="Times New Roman" w:hAnsiTheme="minorHAnsi" w:cs="Arial"/>
                <w:b/>
                <w:bCs/>
                <w:sz w:val="20"/>
                <w:szCs w:val="20"/>
              </w:rPr>
            </w:pPr>
            <w:r>
              <w:rPr>
                <w:rFonts w:asciiTheme="minorHAnsi" w:hAnsiTheme="minorHAnsi"/>
                <w:b/>
                <w:sz w:val="20"/>
              </w:rPr>
              <w:t>C. Asesoramiento y apoyo regionales</w:t>
            </w:r>
          </w:p>
        </w:tc>
        <w:tc>
          <w:tcPr>
            <w:tcW w:w="1311" w:type="dxa"/>
            <w:tcBorders>
              <w:top w:val="nil"/>
              <w:left w:val="nil"/>
              <w:bottom w:val="single" w:sz="4" w:space="0" w:color="auto"/>
              <w:right w:val="single" w:sz="4" w:space="0" w:color="auto"/>
            </w:tcBorders>
            <w:shd w:val="clear" w:color="000000" w:fill="C4D79B"/>
            <w:noWrap/>
            <w:vAlign w:val="center"/>
          </w:tcPr>
          <w:p w14:paraId="6E0E5AB1" w14:textId="77777777" w:rsidR="00C03DD1" w:rsidRPr="00A217FF" w:rsidRDefault="00562968"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1 243</w:t>
            </w:r>
          </w:p>
        </w:tc>
        <w:tc>
          <w:tcPr>
            <w:tcW w:w="1311" w:type="dxa"/>
            <w:tcBorders>
              <w:top w:val="nil"/>
              <w:left w:val="nil"/>
              <w:bottom w:val="single" w:sz="4" w:space="0" w:color="auto"/>
              <w:right w:val="single" w:sz="4" w:space="0" w:color="auto"/>
            </w:tcBorders>
            <w:shd w:val="clear" w:color="000000" w:fill="C4D79B"/>
            <w:noWrap/>
            <w:vAlign w:val="center"/>
          </w:tcPr>
          <w:p w14:paraId="37BA197C" w14:textId="77777777" w:rsidR="00C03DD1" w:rsidRPr="00A217FF" w:rsidRDefault="00562968" w:rsidP="00A6664E">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1 264</w:t>
            </w:r>
          </w:p>
        </w:tc>
        <w:tc>
          <w:tcPr>
            <w:tcW w:w="1311" w:type="dxa"/>
            <w:tcBorders>
              <w:top w:val="nil"/>
              <w:left w:val="nil"/>
              <w:bottom w:val="single" w:sz="4" w:space="0" w:color="auto"/>
              <w:right w:val="single" w:sz="4" w:space="0" w:color="auto"/>
            </w:tcBorders>
            <w:shd w:val="clear" w:color="000000" w:fill="C4D79B"/>
            <w:noWrap/>
            <w:vAlign w:val="center"/>
          </w:tcPr>
          <w:p w14:paraId="79707426" w14:textId="77777777" w:rsidR="00C03DD1" w:rsidRPr="00A217FF" w:rsidRDefault="00030282"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1 266</w:t>
            </w:r>
          </w:p>
        </w:tc>
        <w:tc>
          <w:tcPr>
            <w:tcW w:w="1311" w:type="dxa"/>
            <w:tcBorders>
              <w:top w:val="nil"/>
              <w:left w:val="nil"/>
              <w:bottom w:val="single" w:sz="4" w:space="0" w:color="auto"/>
              <w:right w:val="single" w:sz="4" w:space="0" w:color="auto"/>
            </w:tcBorders>
            <w:shd w:val="clear" w:color="000000" w:fill="C4D79B"/>
            <w:noWrap/>
            <w:vAlign w:val="center"/>
          </w:tcPr>
          <w:p w14:paraId="6A24C84B" w14:textId="77777777" w:rsidR="00C03DD1" w:rsidRPr="00A217FF" w:rsidRDefault="00030282"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3 773</w:t>
            </w:r>
          </w:p>
        </w:tc>
      </w:tr>
      <w:tr w:rsidR="00CF55B1" w:rsidRPr="00A217FF" w14:paraId="17CBBCA5"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FE85C74"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502FA488" w14:textId="77777777" w:rsidR="00C03DD1" w:rsidRPr="00A217FF" w:rsidRDefault="00030282" w:rsidP="00A217FF">
            <w:pPr>
              <w:ind w:left="0" w:firstLine="0"/>
              <w:jc w:val="right"/>
              <w:rPr>
                <w:rFonts w:asciiTheme="minorHAnsi" w:eastAsia="Times New Roman" w:hAnsiTheme="minorHAnsi" w:cs="Arial"/>
                <w:sz w:val="20"/>
                <w:szCs w:val="20"/>
              </w:rPr>
            </w:pPr>
            <w:r>
              <w:rPr>
                <w:rFonts w:asciiTheme="minorHAnsi" w:hAnsiTheme="minorHAnsi"/>
                <w:sz w:val="20"/>
              </w:rPr>
              <w:t>1 188</w:t>
            </w:r>
          </w:p>
        </w:tc>
        <w:tc>
          <w:tcPr>
            <w:tcW w:w="1311" w:type="dxa"/>
            <w:tcBorders>
              <w:top w:val="nil"/>
              <w:left w:val="nil"/>
              <w:bottom w:val="single" w:sz="4" w:space="0" w:color="auto"/>
              <w:right w:val="single" w:sz="4" w:space="0" w:color="auto"/>
            </w:tcBorders>
            <w:shd w:val="clear" w:color="auto" w:fill="auto"/>
            <w:noWrap/>
            <w:vAlign w:val="center"/>
          </w:tcPr>
          <w:p w14:paraId="4EC7DFCE" w14:textId="77777777" w:rsidR="00C03DD1" w:rsidRPr="00A217FF" w:rsidRDefault="00030282" w:rsidP="00A217FF">
            <w:pPr>
              <w:ind w:left="0" w:firstLine="0"/>
              <w:jc w:val="right"/>
              <w:rPr>
                <w:rFonts w:asciiTheme="minorHAnsi" w:eastAsia="Times New Roman" w:hAnsiTheme="minorHAnsi" w:cs="Arial"/>
                <w:sz w:val="20"/>
                <w:szCs w:val="20"/>
              </w:rPr>
            </w:pPr>
            <w:r>
              <w:rPr>
                <w:rFonts w:asciiTheme="minorHAnsi" w:hAnsiTheme="minorHAnsi"/>
                <w:sz w:val="20"/>
              </w:rPr>
              <w:t>1 209</w:t>
            </w:r>
          </w:p>
        </w:tc>
        <w:tc>
          <w:tcPr>
            <w:tcW w:w="1311" w:type="dxa"/>
            <w:tcBorders>
              <w:top w:val="nil"/>
              <w:left w:val="nil"/>
              <w:bottom w:val="single" w:sz="4" w:space="0" w:color="auto"/>
              <w:right w:val="single" w:sz="4" w:space="0" w:color="auto"/>
            </w:tcBorders>
            <w:shd w:val="clear" w:color="auto" w:fill="auto"/>
            <w:noWrap/>
            <w:vAlign w:val="center"/>
          </w:tcPr>
          <w:p w14:paraId="64E1B8FA" w14:textId="77777777" w:rsidR="00C03DD1" w:rsidRPr="00A217FF" w:rsidRDefault="00030282"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1 211</w:t>
            </w:r>
          </w:p>
        </w:tc>
        <w:tc>
          <w:tcPr>
            <w:tcW w:w="1311" w:type="dxa"/>
            <w:tcBorders>
              <w:top w:val="nil"/>
              <w:left w:val="nil"/>
              <w:bottom w:val="single" w:sz="4" w:space="0" w:color="auto"/>
              <w:right w:val="single" w:sz="4" w:space="0" w:color="auto"/>
            </w:tcBorders>
            <w:shd w:val="clear" w:color="auto" w:fill="auto"/>
            <w:noWrap/>
            <w:vAlign w:val="center"/>
          </w:tcPr>
          <w:p w14:paraId="4282322D" w14:textId="77777777" w:rsidR="00C03DD1" w:rsidRPr="00A217FF" w:rsidRDefault="00030282" w:rsidP="00A217FF">
            <w:pPr>
              <w:ind w:left="0" w:firstLine="0"/>
              <w:jc w:val="right"/>
              <w:rPr>
                <w:rFonts w:asciiTheme="minorHAnsi" w:eastAsia="Times New Roman" w:hAnsiTheme="minorHAnsi" w:cs="Arial"/>
                <w:sz w:val="20"/>
                <w:szCs w:val="20"/>
              </w:rPr>
            </w:pPr>
            <w:r>
              <w:rPr>
                <w:rFonts w:asciiTheme="minorHAnsi" w:hAnsiTheme="minorHAnsi"/>
                <w:sz w:val="20"/>
              </w:rPr>
              <w:t>3 608</w:t>
            </w:r>
          </w:p>
        </w:tc>
      </w:tr>
      <w:tr w:rsidR="00CF55B1" w:rsidRPr="00A217FF" w14:paraId="1EBCC3C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7E10C6AD" w14:textId="77777777" w:rsidR="00C03DD1" w:rsidRPr="00A217FF" w:rsidRDefault="00A6664E" w:rsidP="00A217FF">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64A2D8A6" w14:textId="77777777" w:rsidR="00C03DD1" w:rsidRPr="00A217FF" w:rsidRDefault="003236AF" w:rsidP="00A217FF">
            <w:pPr>
              <w:ind w:left="0" w:firstLine="0"/>
              <w:jc w:val="right"/>
              <w:rPr>
                <w:rFonts w:asciiTheme="minorHAnsi" w:eastAsia="Times New Roman" w:hAnsiTheme="minorHAnsi" w:cs="Arial"/>
                <w:sz w:val="20"/>
                <w:szCs w:val="20"/>
              </w:rPr>
            </w:pPr>
            <w:r>
              <w:rPr>
                <w:rFonts w:asciiTheme="minorHAnsi" w:hAnsiTheme="minorHAnsi"/>
                <w:sz w:val="20"/>
              </w:rPr>
              <w:t>55</w:t>
            </w:r>
          </w:p>
        </w:tc>
        <w:tc>
          <w:tcPr>
            <w:tcW w:w="1311" w:type="dxa"/>
            <w:tcBorders>
              <w:top w:val="nil"/>
              <w:left w:val="nil"/>
              <w:bottom w:val="single" w:sz="4" w:space="0" w:color="auto"/>
              <w:right w:val="single" w:sz="4" w:space="0" w:color="auto"/>
            </w:tcBorders>
            <w:shd w:val="clear" w:color="auto" w:fill="auto"/>
            <w:noWrap/>
            <w:vAlign w:val="center"/>
          </w:tcPr>
          <w:p w14:paraId="565E579B" w14:textId="77777777" w:rsidR="00C03DD1" w:rsidRPr="00A217FF" w:rsidRDefault="003236AF" w:rsidP="00A217FF">
            <w:pPr>
              <w:ind w:left="0" w:firstLine="0"/>
              <w:jc w:val="right"/>
              <w:rPr>
                <w:rFonts w:asciiTheme="minorHAnsi" w:eastAsia="Times New Roman" w:hAnsiTheme="minorHAnsi" w:cs="Arial"/>
                <w:sz w:val="20"/>
                <w:szCs w:val="20"/>
              </w:rPr>
            </w:pPr>
            <w:r>
              <w:rPr>
                <w:rFonts w:asciiTheme="minorHAnsi" w:hAnsiTheme="minorHAnsi"/>
                <w:sz w:val="20"/>
              </w:rPr>
              <w:t>55</w:t>
            </w:r>
          </w:p>
        </w:tc>
        <w:tc>
          <w:tcPr>
            <w:tcW w:w="1311" w:type="dxa"/>
            <w:tcBorders>
              <w:top w:val="nil"/>
              <w:left w:val="nil"/>
              <w:bottom w:val="single" w:sz="4" w:space="0" w:color="auto"/>
              <w:right w:val="single" w:sz="4" w:space="0" w:color="auto"/>
            </w:tcBorders>
            <w:shd w:val="clear" w:color="auto" w:fill="auto"/>
            <w:noWrap/>
            <w:vAlign w:val="center"/>
          </w:tcPr>
          <w:p w14:paraId="7C53C672" w14:textId="77777777" w:rsidR="00C03DD1" w:rsidRPr="00A217FF" w:rsidRDefault="003236AF"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55</w:t>
            </w:r>
          </w:p>
        </w:tc>
        <w:tc>
          <w:tcPr>
            <w:tcW w:w="1311" w:type="dxa"/>
            <w:tcBorders>
              <w:top w:val="nil"/>
              <w:left w:val="nil"/>
              <w:bottom w:val="single" w:sz="4" w:space="0" w:color="auto"/>
              <w:right w:val="single" w:sz="4" w:space="0" w:color="auto"/>
            </w:tcBorders>
            <w:shd w:val="clear" w:color="auto" w:fill="auto"/>
            <w:noWrap/>
            <w:vAlign w:val="center"/>
          </w:tcPr>
          <w:p w14:paraId="34F10E42" w14:textId="77777777" w:rsidR="00C03DD1" w:rsidRPr="00A217FF" w:rsidRDefault="003236AF" w:rsidP="00A217FF">
            <w:pPr>
              <w:ind w:left="0" w:firstLine="0"/>
              <w:jc w:val="right"/>
              <w:rPr>
                <w:rFonts w:asciiTheme="minorHAnsi" w:eastAsia="Times New Roman" w:hAnsiTheme="minorHAnsi" w:cs="Arial"/>
                <w:sz w:val="20"/>
                <w:szCs w:val="20"/>
              </w:rPr>
            </w:pPr>
            <w:r>
              <w:rPr>
                <w:rFonts w:asciiTheme="minorHAnsi" w:hAnsiTheme="minorHAnsi"/>
                <w:sz w:val="20"/>
              </w:rPr>
              <w:t>165</w:t>
            </w:r>
          </w:p>
        </w:tc>
      </w:tr>
      <w:tr w:rsidR="00375D6A" w:rsidRPr="00A217FF" w14:paraId="4C99E69A"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4AAFA646" w14:textId="77777777" w:rsidR="00C03DD1" w:rsidRPr="00A217FF" w:rsidRDefault="00A217FF" w:rsidP="00A217FF">
            <w:pPr>
              <w:ind w:left="0" w:firstLine="0"/>
              <w:rPr>
                <w:rFonts w:asciiTheme="minorHAnsi" w:eastAsia="Times New Roman" w:hAnsiTheme="minorHAnsi" w:cs="Arial"/>
                <w:b/>
                <w:bCs/>
                <w:sz w:val="20"/>
                <w:szCs w:val="20"/>
              </w:rPr>
            </w:pPr>
            <w:r>
              <w:rPr>
                <w:rFonts w:asciiTheme="minorHAnsi" w:hAnsiTheme="minorHAnsi"/>
                <w:b/>
                <w:sz w:val="20"/>
              </w:rPr>
              <w:t>D. Apoyo a las iniciativas regionales</w:t>
            </w:r>
          </w:p>
        </w:tc>
        <w:tc>
          <w:tcPr>
            <w:tcW w:w="1311" w:type="dxa"/>
            <w:tcBorders>
              <w:top w:val="nil"/>
              <w:left w:val="nil"/>
              <w:bottom w:val="single" w:sz="4" w:space="0" w:color="auto"/>
              <w:right w:val="single" w:sz="4" w:space="0" w:color="auto"/>
            </w:tcBorders>
            <w:shd w:val="clear" w:color="000000" w:fill="C4D79B"/>
            <w:noWrap/>
            <w:vAlign w:val="center"/>
          </w:tcPr>
          <w:p w14:paraId="4F8AA45E" w14:textId="77777777" w:rsidR="00C03DD1" w:rsidRPr="00A217FF" w:rsidRDefault="00A6664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tcPr>
          <w:p w14:paraId="14D09B4B" w14:textId="77777777" w:rsidR="00C03DD1" w:rsidRPr="00A217FF" w:rsidRDefault="00A6664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tcPr>
          <w:p w14:paraId="21E24A5D" w14:textId="77777777" w:rsidR="00C03DD1" w:rsidRPr="00A217FF" w:rsidRDefault="00A6664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tcPr>
          <w:p w14:paraId="014B9B85" w14:textId="77777777" w:rsidR="00C03DD1" w:rsidRPr="00A217FF" w:rsidRDefault="00A6664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300</w:t>
            </w:r>
          </w:p>
        </w:tc>
      </w:tr>
      <w:tr w:rsidR="00CF55B1" w:rsidRPr="00A217FF" w14:paraId="2B121E86"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7307F02" w14:textId="77777777" w:rsidR="00C03DD1" w:rsidRPr="00A217FF" w:rsidRDefault="00C03DD1" w:rsidP="00EB3CA7">
            <w:pPr>
              <w:ind w:left="0" w:firstLine="0"/>
              <w:rPr>
                <w:rFonts w:asciiTheme="minorHAnsi" w:eastAsia="Times New Roman" w:hAnsiTheme="minorHAnsi" w:cs="Arial"/>
                <w:sz w:val="20"/>
                <w:szCs w:val="20"/>
              </w:rPr>
            </w:pPr>
            <w:r>
              <w:rPr>
                <w:rFonts w:asciiTheme="minorHAnsi" w:hAnsiTheme="minorHAnsi"/>
                <w:sz w:val="20"/>
              </w:rPr>
              <w:t>Redes y centros regionales</w:t>
            </w:r>
          </w:p>
        </w:tc>
        <w:tc>
          <w:tcPr>
            <w:tcW w:w="1311" w:type="dxa"/>
            <w:tcBorders>
              <w:top w:val="nil"/>
              <w:left w:val="nil"/>
              <w:bottom w:val="single" w:sz="4" w:space="0" w:color="auto"/>
              <w:right w:val="single" w:sz="4" w:space="0" w:color="auto"/>
            </w:tcBorders>
            <w:shd w:val="clear" w:color="auto" w:fill="auto"/>
            <w:noWrap/>
            <w:vAlign w:val="center"/>
          </w:tcPr>
          <w:p w14:paraId="2A854599"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100</w:t>
            </w:r>
          </w:p>
        </w:tc>
        <w:tc>
          <w:tcPr>
            <w:tcW w:w="1311" w:type="dxa"/>
            <w:tcBorders>
              <w:top w:val="nil"/>
              <w:left w:val="nil"/>
              <w:bottom w:val="single" w:sz="4" w:space="0" w:color="auto"/>
              <w:right w:val="single" w:sz="4" w:space="0" w:color="auto"/>
            </w:tcBorders>
            <w:shd w:val="clear" w:color="auto" w:fill="auto"/>
            <w:noWrap/>
            <w:vAlign w:val="center"/>
          </w:tcPr>
          <w:p w14:paraId="55CBB833"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100</w:t>
            </w:r>
          </w:p>
        </w:tc>
        <w:tc>
          <w:tcPr>
            <w:tcW w:w="1311" w:type="dxa"/>
            <w:tcBorders>
              <w:top w:val="nil"/>
              <w:left w:val="nil"/>
              <w:bottom w:val="single" w:sz="4" w:space="0" w:color="auto"/>
              <w:right w:val="single" w:sz="4" w:space="0" w:color="auto"/>
            </w:tcBorders>
            <w:shd w:val="clear" w:color="auto" w:fill="auto"/>
            <w:noWrap/>
            <w:vAlign w:val="center"/>
          </w:tcPr>
          <w:p w14:paraId="03667085" w14:textId="77777777" w:rsidR="00C03DD1" w:rsidRPr="00A217FF"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100</w:t>
            </w:r>
          </w:p>
        </w:tc>
        <w:tc>
          <w:tcPr>
            <w:tcW w:w="1311" w:type="dxa"/>
            <w:tcBorders>
              <w:top w:val="nil"/>
              <w:left w:val="nil"/>
              <w:bottom w:val="single" w:sz="4" w:space="0" w:color="auto"/>
              <w:right w:val="single" w:sz="4" w:space="0" w:color="auto"/>
            </w:tcBorders>
            <w:shd w:val="clear" w:color="auto" w:fill="auto"/>
            <w:noWrap/>
            <w:vAlign w:val="center"/>
          </w:tcPr>
          <w:p w14:paraId="0BF758B0"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300</w:t>
            </w:r>
          </w:p>
        </w:tc>
      </w:tr>
      <w:tr w:rsidR="00375D6A" w:rsidRPr="00A217FF" w14:paraId="099F6CBB"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7129B233" w14:textId="77777777" w:rsidR="00C03DD1" w:rsidRPr="00A217FF" w:rsidRDefault="00A217FF" w:rsidP="00A217FF">
            <w:pPr>
              <w:ind w:left="0" w:firstLine="0"/>
              <w:rPr>
                <w:rFonts w:asciiTheme="minorHAnsi" w:eastAsia="Times New Roman" w:hAnsiTheme="minorHAnsi" w:cs="Arial"/>
                <w:b/>
                <w:bCs/>
                <w:sz w:val="20"/>
                <w:szCs w:val="20"/>
              </w:rPr>
            </w:pPr>
            <w:r>
              <w:rPr>
                <w:rFonts w:asciiTheme="minorHAnsi" w:hAnsiTheme="minorHAnsi"/>
                <w:b/>
                <w:sz w:val="20"/>
              </w:rPr>
              <w:t>E. Ciencia y Políticas</w:t>
            </w:r>
          </w:p>
        </w:tc>
        <w:tc>
          <w:tcPr>
            <w:tcW w:w="1311" w:type="dxa"/>
            <w:tcBorders>
              <w:top w:val="nil"/>
              <w:left w:val="nil"/>
              <w:bottom w:val="single" w:sz="4" w:space="0" w:color="auto"/>
              <w:right w:val="single" w:sz="4" w:space="0" w:color="auto"/>
            </w:tcBorders>
            <w:shd w:val="clear" w:color="000000" w:fill="C4D79B"/>
            <w:noWrap/>
            <w:vAlign w:val="center"/>
          </w:tcPr>
          <w:p w14:paraId="67A63F38" w14:textId="77777777" w:rsidR="00C03DD1" w:rsidRPr="00A217FF" w:rsidRDefault="003236AF"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987</w:t>
            </w:r>
          </w:p>
        </w:tc>
        <w:tc>
          <w:tcPr>
            <w:tcW w:w="1311" w:type="dxa"/>
            <w:tcBorders>
              <w:top w:val="nil"/>
              <w:left w:val="nil"/>
              <w:bottom w:val="single" w:sz="4" w:space="0" w:color="auto"/>
              <w:right w:val="single" w:sz="4" w:space="0" w:color="auto"/>
            </w:tcBorders>
            <w:shd w:val="clear" w:color="000000" w:fill="C4D79B"/>
            <w:noWrap/>
            <w:vAlign w:val="center"/>
          </w:tcPr>
          <w:p w14:paraId="6FD42860" w14:textId="77777777" w:rsidR="00C03DD1" w:rsidRPr="00A217FF" w:rsidRDefault="007F6C5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986</w:t>
            </w:r>
          </w:p>
        </w:tc>
        <w:tc>
          <w:tcPr>
            <w:tcW w:w="1311" w:type="dxa"/>
            <w:tcBorders>
              <w:top w:val="nil"/>
              <w:left w:val="nil"/>
              <w:bottom w:val="single" w:sz="4" w:space="0" w:color="auto"/>
              <w:right w:val="single" w:sz="4" w:space="0" w:color="auto"/>
            </w:tcBorders>
            <w:shd w:val="clear" w:color="000000" w:fill="C4D79B"/>
            <w:noWrap/>
            <w:vAlign w:val="center"/>
          </w:tcPr>
          <w:p w14:paraId="391DCD55" w14:textId="77777777" w:rsidR="00C03DD1" w:rsidRPr="00A217FF" w:rsidRDefault="007F6C5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994</w:t>
            </w:r>
          </w:p>
        </w:tc>
        <w:tc>
          <w:tcPr>
            <w:tcW w:w="1311" w:type="dxa"/>
            <w:tcBorders>
              <w:top w:val="nil"/>
              <w:left w:val="nil"/>
              <w:bottom w:val="single" w:sz="4" w:space="0" w:color="auto"/>
              <w:right w:val="single" w:sz="4" w:space="0" w:color="auto"/>
            </w:tcBorders>
            <w:shd w:val="clear" w:color="000000" w:fill="C4D79B"/>
            <w:noWrap/>
            <w:vAlign w:val="center"/>
          </w:tcPr>
          <w:p w14:paraId="475B036E" w14:textId="77777777" w:rsidR="00C03DD1" w:rsidRPr="00A217FF" w:rsidRDefault="00A6664E" w:rsidP="008F481B">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2 967</w:t>
            </w:r>
          </w:p>
        </w:tc>
      </w:tr>
      <w:tr w:rsidR="00CF55B1" w:rsidRPr="00A217FF" w14:paraId="0C37781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41AE646"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5700E8F0" w14:textId="77777777" w:rsidR="00C03DD1" w:rsidRPr="00A217FF" w:rsidRDefault="007F6C51" w:rsidP="00A217FF">
            <w:pPr>
              <w:ind w:left="0" w:firstLine="0"/>
              <w:jc w:val="right"/>
              <w:rPr>
                <w:rFonts w:asciiTheme="minorHAnsi" w:eastAsia="Times New Roman" w:hAnsiTheme="minorHAnsi" w:cs="Arial"/>
                <w:sz w:val="20"/>
                <w:szCs w:val="20"/>
              </w:rPr>
            </w:pPr>
            <w:r>
              <w:rPr>
                <w:rFonts w:asciiTheme="minorHAnsi" w:hAnsiTheme="minorHAnsi"/>
                <w:sz w:val="20"/>
              </w:rPr>
              <w:t>839</w:t>
            </w:r>
          </w:p>
        </w:tc>
        <w:tc>
          <w:tcPr>
            <w:tcW w:w="1311" w:type="dxa"/>
            <w:tcBorders>
              <w:top w:val="nil"/>
              <w:left w:val="nil"/>
              <w:bottom w:val="single" w:sz="4" w:space="0" w:color="auto"/>
              <w:right w:val="single" w:sz="4" w:space="0" w:color="auto"/>
            </w:tcBorders>
            <w:shd w:val="clear" w:color="auto" w:fill="auto"/>
            <w:noWrap/>
            <w:vAlign w:val="center"/>
          </w:tcPr>
          <w:p w14:paraId="58F53366" w14:textId="77777777" w:rsidR="00C03DD1" w:rsidRPr="00A217FF" w:rsidRDefault="007F6C51" w:rsidP="00A217FF">
            <w:pPr>
              <w:ind w:left="0" w:firstLine="0"/>
              <w:jc w:val="right"/>
              <w:rPr>
                <w:rFonts w:asciiTheme="minorHAnsi" w:eastAsia="Times New Roman" w:hAnsiTheme="minorHAnsi" w:cs="Arial"/>
                <w:sz w:val="20"/>
                <w:szCs w:val="20"/>
              </w:rPr>
            </w:pPr>
            <w:r>
              <w:rPr>
                <w:rFonts w:asciiTheme="minorHAnsi" w:hAnsiTheme="minorHAnsi"/>
                <w:sz w:val="20"/>
              </w:rPr>
              <w:t>848</w:t>
            </w:r>
          </w:p>
        </w:tc>
        <w:tc>
          <w:tcPr>
            <w:tcW w:w="1311" w:type="dxa"/>
            <w:tcBorders>
              <w:top w:val="nil"/>
              <w:left w:val="nil"/>
              <w:bottom w:val="single" w:sz="4" w:space="0" w:color="auto"/>
              <w:right w:val="single" w:sz="4" w:space="0" w:color="auto"/>
            </w:tcBorders>
            <w:shd w:val="clear" w:color="auto" w:fill="auto"/>
            <w:noWrap/>
            <w:vAlign w:val="center"/>
          </w:tcPr>
          <w:p w14:paraId="51C1C5B1" w14:textId="77777777" w:rsidR="00C03DD1" w:rsidRPr="00A217FF" w:rsidRDefault="007F6C5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856</w:t>
            </w:r>
          </w:p>
        </w:tc>
        <w:tc>
          <w:tcPr>
            <w:tcW w:w="1311" w:type="dxa"/>
            <w:tcBorders>
              <w:top w:val="nil"/>
              <w:left w:val="nil"/>
              <w:bottom w:val="single" w:sz="4" w:space="0" w:color="auto"/>
              <w:right w:val="single" w:sz="4" w:space="0" w:color="auto"/>
            </w:tcBorders>
            <w:shd w:val="clear" w:color="auto" w:fill="auto"/>
            <w:noWrap/>
            <w:vAlign w:val="center"/>
          </w:tcPr>
          <w:p w14:paraId="11C9F7E3" w14:textId="77777777" w:rsidR="00C03DD1" w:rsidRPr="00A217FF" w:rsidRDefault="007F6C51" w:rsidP="008F481B">
            <w:pPr>
              <w:ind w:left="0" w:firstLine="0"/>
              <w:jc w:val="right"/>
              <w:rPr>
                <w:rFonts w:asciiTheme="minorHAnsi" w:eastAsia="Times New Roman" w:hAnsiTheme="minorHAnsi" w:cs="Arial"/>
                <w:sz w:val="20"/>
                <w:szCs w:val="20"/>
              </w:rPr>
            </w:pPr>
            <w:r>
              <w:rPr>
                <w:rFonts w:asciiTheme="minorHAnsi" w:hAnsiTheme="minorHAnsi"/>
                <w:sz w:val="20"/>
              </w:rPr>
              <w:t>2 543</w:t>
            </w:r>
          </w:p>
        </w:tc>
      </w:tr>
      <w:tr w:rsidR="00CF55B1" w:rsidRPr="00A217FF" w14:paraId="5A6DDC70"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707B04D"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Trabajo del GECT</w:t>
            </w:r>
          </w:p>
        </w:tc>
        <w:tc>
          <w:tcPr>
            <w:tcW w:w="1311" w:type="dxa"/>
            <w:tcBorders>
              <w:top w:val="nil"/>
              <w:left w:val="nil"/>
              <w:bottom w:val="single" w:sz="4" w:space="0" w:color="auto"/>
              <w:right w:val="single" w:sz="4" w:space="0" w:color="auto"/>
            </w:tcBorders>
            <w:shd w:val="clear" w:color="auto" w:fill="auto"/>
            <w:noWrap/>
            <w:vAlign w:val="center"/>
          </w:tcPr>
          <w:p w14:paraId="0D03438E"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5143604C"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20D228EA" w14:textId="77777777" w:rsidR="00C03DD1" w:rsidRPr="00A217FF"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397862AA"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105</w:t>
            </w:r>
          </w:p>
        </w:tc>
      </w:tr>
      <w:tr w:rsidR="00CF55B1" w:rsidRPr="00A217FF" w14:paraId="1488A8D2"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3AE95DF" w14:textId="77777777" w:rsidR="00A6664E" w:rsidRPr="00A217FF" w:rsidRDefault="00A6664E" w:rsidP="00A217FF">
            <w:pPr>
              <w:ind w:left="0" w:firstLine="0"/>
              <w:rPr>
                <w:rFonts w:asciiTheme="minorHAnsi" w:eastAsia="Times New Roman" w:hAnsiTheme="minorHAnsi" w:cs="Arial"/>
                <w:sz w:val="20"/>
                <w:szCs w:val="20"/>
              </w:rPr>
            </w:pPr>
            <w:r>
              <w:rPr>
                <w:rFonts w:asciiTheme="minorHAnsi" w:hAnsiTheme="minorHAnsi"/>
                <w:sz w:val="20"/>
              </w:rPr>
              <w:t>Viajes de la Presidencia del GECT</w:t>
            </w:r>
          </w:p>
        </w:tc>
        <w:tc>
          <w:tcPr>
            <w:tcW w:w="1311" w:type="dxa"/>
            <w:tcBorders>
              <w:top w:val="nil"/>
              <w:left w:val="nil"/>
              <w:bottom w:val="single" w:sz="4" w:space="0" w:color="auto"/>
              <w:right w:val="single" w:sz="4" w:space="0" w:color="auto"/>
            </w:tcBorders>
            <w:shd w:val="clear" w:color="auto" w:fill="auto"/>
            <w:noWrap/>
            <w:vAlign w:val="center"/>
          </w:tcPr>
          <w:p w14:paraId="1BB8560B"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09C9A929"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186B301C" w14:textId="77777777" w:rsidR="00A6664E" w:rsidRPr="00A217FF" w:rsidDel="00A6664E"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w:t>
            </w:r>
          </w:p>
        </w:tc>
        <w:tc>
          <w:tcPr>
            <w:tcW w:w="1311" w:type="dxa"/>
            <w:tcBorders>
              <w:top w:val="nil"/>
              <w:left w:val="nil"/>
              <w:bottom w:val="single" w:sz="4" w:space="0" w:color="auto"/>
              <w:right w:val="single" w:sz="4" w:space="0" w:color="auto"/>
            </w:tcBorders>
            <w:shd w:val="clear" w:color="auto" w:fill="auto"/>
            <w:noWrap/>
            <w:vAlign w:val="center"/>
          </w:tcPr>
          <w:p w14:paraId="63216E13"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15</w:t>
            </w:r>
          </w:p>
        </w:tc>
      </w:tr>
      <w:tr w:rsidR="00CF55B1" w:rsidRPr="00A217FF" w14:paraId="4410AE75"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59C13291"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Reuniones del GECT</w:t>
            </w:r>
          </w:p>
        </w:tc>
        <w:tc>
          <w:tcPr>
            <w:tcW w:w="1311" w:type="dxa"/>
            <w:tcBorders>
              <w:top w:val="nil"/>
              <w:left w:val="nil"/>
              <w:bottom w:val="single" w:sz="4" w:space="0" w:color="auto"/>
              <w:right w:val="single" w:sz="4" w:space="0" w:color="auto"/>
            </w:tcBorders>
            <w:shd w:val="clear" w:color="auto" w:fill="auto"/>
            <w:noWrap/>
            <w:vAlign w:val="center"/>
          </w:tcPr>
          <w:p w14:paraId="63BDB9F1"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50</w:t>
            </w:r>
          </w:p>
        </w:tc>
        <w:tc>
          <w:tcPr>
            <w:tcW w:w="1311" w:type="dxa"/>
            <w:tcBorders>
              <w:top w:val="nil"/>
              <w:left w:val="nil"/>
              <w:bottom w:val="single" w:sz="4" w:space="0" w:color="auto"/>
              <w:right w:val="single" w:sz="4" w:space="0" w:color="auto"/>
            </w:tcBorders>
            <w:shd w:val="clear" w:color="auto" w:fill="auto"/>
            <w:noWrap/>
            <w:vAlign w:val="center"/>
          </w:tcPr>
          <w:p w14:paraId="00934785"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50</w:t>
            </w:r>
          </w:p>
        </w:tc>
        <w:tc>
          <w:tcPr>
            <w:tcW w:w="1311" w:type="dxa"/>
            <w:tcBorders>
              <w:top w:val="nil"/>
              <w:left w:val="nil"/>
              <w:bottom w:val="single" w:sz="4" w:space="0" w:color="auto"/>
              <w:right w:val="single" w:sz="4" w:space="0" w:color="auto"/>
            </w:tcBorders>
            <w:shd w:val="clear" w:color="auto" w:fill="auto"/>
            <w:noWrap/>
            <w:vAlign w:val="center"/>
          </w:tcPr>
          <w:p w14:paraId="2D2B5B2F"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50</w:t>
            </w:r>
          </w:p>
        </w:tc>
        <w:tc>
          <w:tcPr>
            <w:tcW w:w="1311" w:type="dxa"/>
            <w:tcBorders>
              <w:top w:val="nil"/>
              <w:left w:val="nil"/>
              <w:bottom w:val="single" w:sz="4" w:space="0" w:color="auto"/>
              <w:right w:val="single" w:sz="4" w:space="0" w:color="auto"/>
            </w:tcBorders>
            <w:shd w:val="clear" w:color="auto" w:fill="auto"/>
            <w:noWrap/>
            <w:vAlign w:val="center"/>
          </w:tcPr>
          <w:p w14:paraId="7355F7CF"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150</w:t>
            </w:r>
          </w:p>
        </w:tc>
      </w:tr>
      <w:tr w:rsidR="00CF55B1" w:rsidRPr="00A217FF" w14:paraId="7595DEC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F01901A"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Servicio de Información sobre Sitios Ramsar y Sistema de datos de los informes nacionales (Mantenimiento y desarrollo)</w:t>
            </w:r>
          </w:p>
        </w:tc>
        <w:tc>
          <w:tcPr>
            <w:tcW w:w="1311" w:type="dxa"/>
            <w:tcBorders>
              <w:top w:val="nil"/>
              <w:left w:val="nil"/>
              <w:bottom w:val="single" w:sz="4" w:space="0" w:color="auto"/>
              <w:right w:val="single" w:sz="4" w:space="0" w:color="auto"/>
            </w:tcBorders>
            <w:shd w:val="clear" w:color="auto" w:fill="auto"/>
            <w:noWrap/>
            <w:vAlign w:val="center"/>
          </w:tcPr>
          <w:p w14:paraId="0A0207DF" w14:textId="77777777" w:rsidR="00C03DD1" w:rsidRPr="00A217FF" w:rsidRDefault="00E73C90" w:rsidP="00A217FF">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tcPr>
          <w:p w14:paraId="0AF4A200" w14:textId="77777777" w:rsidR="00C03DD1" w:rsidRPr="00A217FF" w:rsidRDefault="00E73C90" w:rsidP="00A217FF">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65F77F03" w14:textId="77777777" w:rsidR="00C03DD1" w:rsidRPr="00A217FF" w:rsidRDefault="00E73C90"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62D08BF3" w14:textId="77777777" w:rsidR="00C03DD1" w:rsidRPr="00A217FF" w:rsidRDefault="00E73C90" w:rsidP="00A217FF">
            <w:pPr>
              <w:ind w:left="0" w:firstLine="0"/>
              <w:jc w:val="right"/>
              <w:rPr>
                <w:rFonts w:asciiTheme="minorHAnsi" w:eastAsia="Times New Roman" w:hAnsiTheme="minorHAnsi" w:cs="Arial"/>
                <w:sz w:val="20"/>
                <w:szCs w:val="20"/>
              </w:rPr>
            </w:pPr>
            <w:r>
              <w:rPr>
                <w:rFonts w:asciiTheme="minorHAnsi" w:hAnsiTheme="minorHAnsi"/>
                <w:sz w:val="20"/>
              </w:rPr>
              <w:t>100</w:t>
            </w:r>
          </w:p>
        </w:tc>
      </w:tr>
      <w:tr w:rsidR="00CF55B1" w:rsidRPr="00A217FF" w14:paraId="0C1B468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18FD7DA" w14:textId="77777777" w:rsidR="00A6664E" w:rsidRPr="00A217FF" w:rsidRDefault="00A6664E" w:rsidP="00A217FF">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56588728"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D45F5E1"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FF6853E" w14:textId="77777777" w:rsidR="00A6664E" w:rsidRPr="00A217FF" w:rsidDel="00A6664E"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4F626075"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54</w:t>
            </w:r>
          </w:p>
        </w:tc>
      </w:tr>
      <w:tr w:rsidR="00375D6A" w:rsidRPr="00A217FF" w14:paraId="04A60B7E"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0D6DF467" w14:textId="77777777" w:rsidR="00C03DD1" w:rsidRPr="00A217FF" w:rsidRDefault="000A027C" w:rsidP="00A217FF">
            <w:pPr>
              <w:ind w:left="0" w:firstLine="0"/>
              <w:rPr>
                <w:rFonts w:asciiTheme="minorHAnsi" w:eastAsia="Times New Roman" w:hAnsiTheme="minorHAnsi" w:cs="Arial"/>
                <w:b/>
                <w:bCs/>
                <w:sz w:val="20"/>
                <w:szCs w:val="20"/>
              </w:rPr>
            </w:pPr>
            <w:r>
              <w:rPr>
                <w:rFonts w:asciiTheme="minorHAnsi" w:hAnsiTheme="minorHAnsi"/>
                <w:b/>
                <w:sz w:val="20"/>
              </w:rPr>
              <w:t>F. Administración</w:t>
            </w:r>
          </w:p>
        </w:tc>
        <w:tc>
          <w:tcPr>
            <w:tcW w:w="1311" w:type="dxa"/>
            <w:tcBorders>
              <w:top w:val="nil"/>
              <w:left w:val="nil"/>
              <w:bottom w:val="single" w:sz="4" w:space="0" w:color="auto"/>
              <w:right w:val="single" w:sz="4" w:space="0" w:color="auto"/>
            </w:tcBorders>
            <w:shd w:val="clear" w:color="000000" w:fill="C4D79B"/>
            <w:noWrap/>
            <w:vAlign w:val="center"/>
          </w:tcPr>
          <w:p w14:paraId="4E45C5D8" w14:textId="77777777" w:rsidR="00C03DD1" w:rsidRPr="00A217FF" w:rsidRDefault="00D53D8D"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492</w:t>
            </w:r>
          </w:p>
        </w:tc>
        <w:tc>
          <w:tcPr>
            <w:tcW w:w="1311" w:type="dxa"/>
            <w:tcBorders>
              <w:top w:val="nil"/>
              <w:left w:val="nil"/>
              <w:bottom w:val="single" w:sz="4" w:space="0" w:color="auto"/>
              <w:right w:val="single" w:sz="4" w:space="0" w:color="auto"/>
            </w:tcBorders>
            <w:shd w:val="clear" w:color="000000" w:fill="C4D79B"/>
            <w:noWrap/>
            <w:vAlign w:val="center"/>
          </w:tcPr>
          <w:p w14:paraId="65C3D2AC" w14:textId="77777777" w:rsidR="00C03DD1" w:rsidRPr="00A217FF" w:rsidRDefault="001133D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467</w:t>
            </w:r>
          </w:p>
        </w:tc>
        <w:tc>
          <w:tcPr>
            <w:tcW w:w="1311" w:type="dxa"/>
            <w:tcBorders>
              <w:top w:val="nil"/>
              <w:left w:val="nil"/>
              <w:bottom w:val="single" w:sz="4" w:space="0" w:color="auto"/>
              <w:right w:val="single" w:sz="4" w:space="0" w:color="auto"/>
            </w:tcBorders>
            <w:shd w:val="clear" w:color="000000" w:fill="C4D79B"/>
            <w:noWrap/>
            <w:vAlign w:val="center"/>
          </w:tcPr>
          <w:p w14:paraId="2475FD35" w14:textId="77777777" w:rsidR="00C03DD1" w:rsidRPr="00A217FF" w:rsidRDefault="001133D9" w:rsidP="008F481B">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439</w:t>
            </w:r>
          </w:p>
        </w:tc>
        <w:tc>
          <w:tcPr>
            <w:tcW w:w="1311" w:type="dxa"/>
            <w:tcBorders>
              <w:top w:val="nil"/>
              <w:left w:val="nil"/>
              <w:bottom w:val="single" w:sz="4" w:space="0" w:color="auto"/>
              <w:right w:val="single" w:sz="4" w:space="0" w:color="auto"/>
            </w:tcBorders>
            <w:shd w:val="clear" w:color="000000" w:fill="C4D79B"/>
            <w:noWrap/>
            <w:vAlign w:val="center"/>
          </w:tcPr>
          <w:p w14:paraId="5D7FA33C" w14:textId="77777777" w:rsidR="00C03DD1" w:rsidRPr="00A217FF" w:rsidRDefault="001133D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1 398</w:t>
            </w:r>
          </w:p>
        </w:tc>
      </w:tr>
      <w:tr w:rsidR="00CF55B1" w:rsidRPr="00A217FF" w14:paraId="5C82AFE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71139A51"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18140273"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372</w:t>
            </w:r>
          </w:p>
        </w:tc>
        <w:tc>
          <w:tcPr>
            <w:tcW w:w="1311" w:type="dxa"/>
            <w:tcBorders>
              <w:top w:val="nil"/>
              <w:left w:val="nil"/>
              <w:bottom w:val="single" w:sz="4" w:space="0" w:color="auto"/>
              <w:right w:val="single" w:sz="4" w:space="0" w:color="auto"/>
            </w:tcBorders>
            <w:shd w:val="clear" w:color="auto" w:fill="auto"/>
            <w:noWrap/>
            <w:vAlign w:val="center"/>
          </w:tcPr>
          <w:p w14:paraId="52AEB457"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375</w:t>
            </w:r>
          </w:p>
        </w:tc>
        <w:tc>
          <w:tcPr>
            <w:tcW w:w="1311" w:type="dxa"/>
            <w:tcBorders>
              <w:top w:val="nil"/>
              <w:left w:val="nil"/>
              <w:bottom w:val="single" w:sz="4" w:space="0" w:color="auto"/>
              <w:right w:val="single" w:sz="4" w:space="0" w:color="auto"/>
            </w:tcBorders>
            <w:shd w:val="clear" w:color="auto" w:fill="auto"/>
            <w:noWrap/>
            <w:vAlign w:val="center"/>
          </w:tcPr>
          <w:p w14:paraId="13496126" w14:textId="77777777" w:rsidR="00C03DD1" w:rsidRPr="00A217FF" w:rsidRDefault="001133D9"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379</w:t>
            </w:r>
          </w:p>
        </w:tc>
        <w:tc>
          <w:tcPr>
            <w:tcW w:w="1311" w:type="dxa"/>
            <w:tcBorders>
              <w:top w:val="nil"/>
              <w:left w:val="nil"/>
              <w:bottom w:val="single" w:sz="4" w:space="0" w:color="auto"/>
              <w:right w:val="single" w:sz="4" w:space="0" w:color="auto"/>
            </w:tcBorders>
            <w:shd w:val="clear" w:color="auto" w:fill="auto"/>
            <w:noWrap/>
            <w:vAlign w:val="center"/>
          </w:tcPr>
          <w:p w14:paraId="0120A5BB"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1 126</w:t>
            </w:r>
          </w:p>
        </w:tc>
      </w:tr>
      <w:tr w:rsidR="00CF55B1" w:rsidRPr="00A217FF" w14:paraId="22A37F3C"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CA22661" w14:textId="77777777" w:rsidR="00C03DD1" w:rsidRPr="00A217FF" w:rsidRDefault="00EB3CA7" w:rsidP="00A217FF">
            <w:pPr>
              <w:ind w:left="0" w:firstLine="0"/>
              <w:rPr>
                <w:rFonts w:asciiTheme="minorHAnsi" w:eastAsia="Times New Roman" w:hAnsiTheme="minorHAnsi" w:cs="Arial"/>
                <w:sz w:val="20"/>
                <w:szCs w:val="20"/>
              </w:rPr>
            </w:pPr>
            <w:r>
              <w:rPr>
                <w:rFonts w:asciiTheme="minorHAnsi" w:hAnsiTheme="minorHAnsi"/>
                <w:sz w:val="20"/>
              </w:rPr>
              <w:t>Costos de contratación y separación del personal</w:t>
            </w:r>
          </w:p>
        </w:tc>
        <w:tc>
          <w:tcPr>
            <w:tcW w:w="1311" w:type="dxa"/>
            <w:tcBorders>
              <w:top w:val="nil"/>
              <w:left w:val="nil"/>
              <w:bottom w:val="single" w:sz="4" w:space="0" w:color="auto"/>
              <w:right w:val="single" w:sz="4" w:space="0" w:color="auto"/>
            </w:tcBorders>
            <w:shd w:val="clear" w:color="auto" w:fill="auto"/>
            <w:noWrap/>
            <w:vAlign w:val="center"/>
          </w:tcPr>
          <w:p w14:paraId="13A71BCD"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0CE242AB"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42</w:t>
            </w:r>
          </w:p>
        </w:tc>
        <w:tc>
          <w:tcPr>
            <w:tcW w:w="1311" w:type="dxa"/>
            <w:tcBorders>
              <w:top w:val="nil"/>
              <w:left w:val="nil"/>
              <w:bottom w:val="single" w:sz="4" w:space="0" w:color="auto"/>
              <w:right w:val="single" w:sz="4" w:space="0" w:color="auto"/>
            </w:tcBorders>
            <w:shd w:val="clear" w:color="auto" w:fill="auto"/>
            <w:noWrap/>
            <w:vAlign w:val="center"/>
          </w:tcPr>
          <w:p w14:paraId="5F2460A1" w14:textId="77777777" w:rsidR="00C03DD1" w:rsidRPr="00A217FF" w:rsidRDefault="001133D9"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119BD769" w14:textId="77777777" w:rsidR="00C03DD1" w:rsidRPr="00A217FF" w:rsidRDefault="00E94E50" w:rsidP="00A217FF">
            <w:pPr>
              <w:ind w:left="0" w:firstLine="0"/>
              <w:jc w:val="right"/>
              <w:rPr>
                <w:rFonts w:asciiTheme="minorHAnsi" w:eastAsia="Times New Roman" w:hAnsiTheme="minorHAnsi" w:cs="Arial"/>
                <w:sz w:val="20"/>
                <w:szCs w:val="20"/>
              </w:rPr>
            </w:pPr>
            <w:r>
              <w:rPr>
                <w:rFonts w:asciiTheme="minorHAnsi" w:hAnsiTheme="minorHAnsi"/>
                <w:sz w:val="20"/>
              </w:rPr>
              <w:t>132</w:t>
            </w:r>
          </w:p>
        </w:tc>
      </w:tr>
      <w:tr w:rsidR="00CF55B1" w:rsidRPr="00A217FF" w14:paraId="1601FA80" w14:textId="77777777" w:rsidTr="0097325E">
        <w:tc>
          <w:tcPr>
            <w:tcW w:w="3970" w:type="dxa"/>
            <w:tcBorders>
              <w:top w:val="nil"/>
              <w:left w:val="single" w:sz="4" w:space="0" w:color="auto"/>
              <w:bottom w:val="single" w:sz="4" w:space="0" w:color="auto"/>
              <w:right w:val="single" w:sz="4" w:space="0" w:color="auto"/>
            </w:tcBorders>
            <w:shd w:val="clear" w:color="auto" w:fill="auto"/>
            <w:noWrap/>
            <w:vAlign w:val="center"/>
          </w:tcPr>
          <w:p w14:paraId="7554DB17" w14:textId="77777777" w:rsidR="00C03DD1" w:rsidRPr="00A217FF" w:rsidRDefault="00EB3CA7" w:rsidP="00A217FF">
            <w:pPr>
              <w:ind w:left="0" w:firstLine="0"/>
              <w:rPr>
                <w:rFonts w:asciiTheme="minorHAnsi" w:eastAsia="Times New Roman" w:hAnsiTheme="minorHAnsi" w:cs="Arial"/>
                <w:sz w:val="20"/>
                <w:szCs w:val="20"/>
              </w:rPr>
            </w:pPr>
            <w:r>
              <w:rPr>
                <w:rFonts w:asciiTheme="minorHAnsi" w:hAnsiTheme="minorHAnsi"/>
                <w:sz w:val="20"/>
              </w:rPr>
              <w:t>Equipo/material de oficina</w:t>
            </w:r>
          </w:p>
        </w:tc>
        <w:tc>
          <w:tcPr>
            <w:tcW w:w="1311" w:type="dxa"/>
            <w:tcBorders>
              <w:top w:val="nil"/>
              <w:left w:val="nil"/>
              <w:bottom w:val="single" w:sz="4" w:space="0" w:color="auto"/>
              <w:right w:val="single" w:sz="4" w:space="0" w:color="auto"/>
            </w:tcBorders>
            <w:shd w:val="clear" w:color="auto" w:fill="auto"/>
            <w:noWrap/>
            <w:vAlign w:val="center"/>
          </w:tcPr>
          <w:p w14:paraId="5365E755" w14:textId="77777777" w:rsidR="00C03DD1" w:rsidRPr="00A217FF" w:rsidRDefault="00E94E50"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076889F7" w14:textId="77777777" w:rsidR="00C03DD1" w:rsidRPr="00A217FF" w:rsidRDefault="00E94E50" w:rsidP="00A217FF">
            <w:pPr>
              <w:ind w:left="0" w:firstLine="0"/>
              <w:jc w:val="right"/>
              <w:rPr>
                <w:rFonts w:asciiTheme="minorHAnsi" w:eastAsia="Times New Roman" w:hAnsiTheme="minorHAnsi" w:cs="Arial"/>
                <w:sz w:val="20"/>
                <w:szCs w:val="20"/>
              </w:rPr>
            </w:pPr>
            <w:r>
              <w:rPr>
                <w:rFonts w:asciiTheme="minorHAnsi" w:hAnsiTheme="minorHAnsi"/>
                <w:sz w:val="20"/>
              </w:rPr>
              <w:t>50</w:t>
            </w:r>
          </w:p>
        </w:tc>
        <w:tc>
          <w:tcPr>
            <w:tcW w:w="1311" w:type="dxa"/>
            <w:tcBorders>
              <w:top w:val="nil"/>
              <w:left w:val="nil"/>
              <w:bottom w:val="single" w:sz="4" w:space="0" w:color="auto"/>
              <w:right w:val="single" w:sz="4" w:space="0" w:color="auto"/>
            </w:tcBorders>
            <w:shd w:val="clear" w:color="auto" w:fill="auto"/>
            <w:noWrap/>
            <w:vAlign w:val="center"/>
          </w:tcPr>
          <w:p w14:paraId="5081734A" w14:textId="77777777" w:rsidR="00C03DD1" w:rsidRPr="00A217FF" w:rsidRDefault="00E94E50" w:rsidP="00E44F1E">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1130BE52" w14:textId="77777777" w:rsidR="00C03DD1" w:rsidRPr="00A217FF" w:rsidRDefault="00E94E50" w:rsidP="00E44F1E">
            <w:pPr>
              <w:ind w:left="0" w:firstLine="0"/>
              <w:jc w:val="right"/>
              <w:rPr>
                <w:rFonts w:asciiTheme="minorHAnsi" w:eastAsia="Times New Roman" w:hAnsiTheme="minorHAnsi" w:cs="Arial"/>
                <w:sz w:val="20"/>
                <w:szCs w:val="20"/>
              </w:rPr>
            </w:pPr>
            <w:r>
              <w:rPr>
                <w:rFonts w:asciiTheme="minorHAnsi" w:hAnsiTheme="minorHAnsi"/>
                <w:sz w:val="20"/>
              </w:rPr>
              <w:t>140</w:t>
            </w:r>
          </w:p>
        </w:tc>
      </w:tr>
      <w:tr w:rsidR="00CF55B1" w:rsidRPr="00A217FF" w14:paraId="04CB31B6" w14:textId="77777777" w:rsidTr="0097325E">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3C881" w14:textId="77777777" w:rsidR="00C03DD1" w:rsidRPr="00A217FF" w:rsidRDefault="00EB3CA7" w:rsidP="00A217FF">
            <w:pPr>
              <w:ind w:left="0" w:firstLine="0"/>
              <w:rPr>
                <w:rFonts w:asciiTheme="minorHAnsi" w:eastAsia="Times New Roman" w:hAnsiTheme="minorHAnsi" w:cs="Arial"/>
                <w:sz w:val="20"/>
                <w:szCs w:val="20"/>
              </w:rPr>
            </w:pPr>
            <w:r>
              <w:rPr>
                <w:rFonts w:asciiTheme="minorHAnsi" w:hAnsiTheme="minorHAnsi"/>
                <w:sz w:val="20"/>
              </w:rPr>
              <w:t>Planificación y creación de capacidad</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775FEC0E"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35EFC435" w14:textId="77777777" w:rsidR="00C03DD1" w:rsidRPr="00A217FF" w:rsidRDefault="00C03DD1" w:rsidP="00DA6C88">
            <w:pPr>
              <w:ind w:left="0" w:firstLine="0"/>
              <w:jc w:val="right"/>
              <w:rPr>
                <w:rFonts w:asciiTheme="minorHAnsi" w:eastAsia="Times New Roman" w:hAnsiTheme="minorHAnsi" w:cs="Arial"/>
                <w:sz w:val="20"/>
                <w:szCs w:val="20"/>
              </w:rPr>
            </w:pPr>
            <w:r>
              <w:rPr>
                <w:rFonts w:asciiTheme="minorHAnsi" w:hAnsiTheme="minorHAnsi"/>
                <w:sz w:val="20"/>
              </w:rPr>
              <w:t> 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4A46E71E" w14:textId="77777777" w:rsidR="00C03DD1" w:rsidRPr="00A217FF" w:rsidRDefault="00E44F1E" w:rsidP="00DA6C88">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D1D36C7"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0</w:t>
            </w:r>
          </w:p>
        </w:tc>
      </w:tr>
      <w:tr w:rsidR="00375D6A" w:rsidRPr="00A217FF" w14:paraId="6D972FA5" w14:textId="77777777" w:rsidTr="0097325E">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023EB630" w14:textId="77777777" w:rsidR="00C03DD1" w:rsidRPr="00A217FF" w:rsidRDefault="000A027C" w:rsidP="00A217FF">
            <w:pPr>
              <w:ind w:left="0" w:firstLine="0"/>
              <w:rPr>
                <w:rFonts w:asciiTheme="minorHAnsi" w:eastAsia="Times New Roman" w:hAnsiTheme="minorHAnsi" w:cs="Arial"/>
                <w:b/>
                <w:bCs/>
                <w:sz w:val="20"/>
                <w:szCs w:val="20"/>
              </w:rPr>
            </w:pPr>
            <w:r>
              <w:rPr>
                <w:rFonts w:asciiTheme="minorHAnsi" w:hAnsiTheme="minorHAnsi"/>
                <w:b/>
                <w:sz w:val="20"/>
              </w:rPr>
              <w:lastRenderedPageBreak/>
              <w:t>G. Servicios del Comité Permanente</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3AE00337" w14:textId="77777777" w:rsidR="00C03DD1" w:rsidRPr="00A217FF" w:rsidRDefault="00E94E50"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3EE81C2A" w14:textId="77777777" w:rsidR="00C03DD1" w:rsidRPr="00A217FF" w:rsidRDefault="00E94E50"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698D572A" w14:textId="77777777" w:rsidR="00C03DD1" w:rsidRPr="00A217FF" w:rsidRDefault="00E94E50"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6E55D347" w14:textId="77777777" w:rsidR="00C03DD1" w:rsidRPr="00A217FF" w:rsidRDefault="00E94E50"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525</w:t>
            </w:r>
          </w:p>
        </w:tc>
      </w:tr>
      <w:tr w:rsidR="00CF55B1" w:rsidRPr="00A217FF" w14:paraId="11DAEFF5"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5C0BB9A9"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Apoyo a los delegados del Comité Permanente</w:t>
            </w:r>
          </w:p>
        </w:tc>
        <w:tc>
          <w:tcPr>
            <w:tcW w:w="1311" w:type="dxa"/>
            <w:tcBorders>
              <w:top w:val="nil"/>
              <w:left w:val="nil"/>
              <w:bottom w:val="single" w:sz="4" w:space="0" w:color="auto"/>
              <w:right w:val="single" w:sz="4" w:space="0" w:color="auto"/>
            </w:tcBorders>
            <w:shd w:val="clear" w:color="auto" w:fill="auto"/>
            <w:noWrap/>
            <w:vAlign w:val="center"/>
          </w:tcPr>
          <w:p w14:paraId="48DE77D0"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45</w:t>
            </w:r>
          </w:p>
        </w:tc>
        <w:tc>
          <w:tcPr>
            <w:tcW w:w="1311" w:type="dxa"/>
            <w:tcBorders>
              <w:top w:val="nil"/>
              <w:left w:val="nil"/>
              <w:bottom w:val="single" w:sz="4" w:space="0" w:color="auto"/>
              <w:right w:val="single" w:sz="4" w:space="0" w:color="auto"/>
            </w:tcBorders>
            <w:shd w:val="clear" w:color="auto" w:fill="auto"/>
            <w:noWrap/>
            <w:vAlign w:val="center"/>
          </w:tcPr>
          <w:p w14:paraId="19A7443A"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45</w:t>
            </w:r>
          </w:p>
        </w:tc>
        <w:tc>
          <w:tcPr>
            <w:tcW w:w="1311" w:type="dxa"/>
            <w:tcBorders>
              <w:top w:val="nil"/>
              <w:left w:val="nil"/>
              <w:bottom w:val="single" w:sz="4" w:space="0" w:color="auto"/>
              <w:right w:val="single" w:sz="4" w:space="0" w:color="auto"/>
            </w:tcBorders>
            <w:shd w:val="clear" w:color="auto" w:fill="auto"/>
            <w:noWrap/>
            <w:vAlign w:val="center"/>
          </w:tcPr>
          <w:p w14:paraId="40F11A7F"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45</w:t>
            </w:r>
          </w:p>
        </w:tc>
        <w:tc>
          <w:tcPr>
            <w:tcW w:w="1311" w:type="dxa"/>
            <w:tcBorders>
              <w:top w:val="nil"/>
              <w:left w:val="nil"/>
              <w:bottom w:val="single" w:sz="4" w:space="0" w:color="auto"/>
              <w:right w:val="single" w:sz="4" w:space="0" w:color="auto"/>
            </w:tcBorders>
            <w:shd w:val="clear" w:color="auto" w:fill="auto"/>
            <w:noWrap/>
            <w:vAlign w:val="center"/>
          </w:tcPr>
          <w:p w14:paraId="7C92412A"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135</w:t>
            </w:r>
          </w:p>
        </w:tc>
      </w:tr>
      <w:tr w:rsidR="00CF55B1" w:rsidRPr="00A217FF" w14:paraId="70E2EE1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7343BAF"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Reuniones del Comité Permanente</w:t>
            </w:r>
          </w:p>
        </w:tc>
        <w:tc>
          <w:tcPr>
            <w:tcW w:w="1311" w:type="dxa"/>
            <w:tcBorders>
              <w:top w:val="nil"/>
              <w:left w:val="nil"/>
              <w:bottom w:val="single" w:sz="4" w:space="0" w:color="auto"/>
              <w:right w:val="single" w:sz="4" w:space="0" w:color="auto"/>
            </w:tcBorders>
            <w:shd w:val="clear" w:color="auto" w:fill="auto"/>
            <w:noWrap/>
            <w:vAlign w:val="center"/>
          </w:tcPr>
          <w:p w14:paraId="49E26C75" w14:textId="77777777" w:rsidR="00C03DD1" w:rsidRPr="00A217FF" w:rsidRDefault="00745A7B"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0E67B413" w14:textId="77777777" w:rsidR="00C03DD1" w:rsidRPr="00A217FF" w:rsidRDefault="00745A7B"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3B740223" w14:textId="77777777" w:rsidR="00C03DD1" w:rsidRPr="00A217FF" w:rsidRDefault="00745A7B"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6C82CC42" w14:textId="77777777" w:rsidR="00C03DD1" w:rsidRPr="00A217FF" w:rsidRDefault="00745A7B" w:rsidP="00A217FF">
            <w:pPr>
              <w:ind w:left="0" w:firstLine="0"/>
              <w:jc w:val="right"/>
              <w:rPr>
                <w:rFonts w:asciiTheme="minorHAnsi" w:eastAsia="Times New Roman" w:hAnsiTheme="minorHAnsi" w:cs="Arial"/>
                <w:sz w:val="20"/>
                <w:szCs w:val="20"/>
              </w:rPr>
            </w:pPr>
            <w:r>
              <w:rPr>
                <w:rFonts w:asciiTheme="minorHAnsi" w:hAnsiTheme="minorHAnsi"/>
                <w:sz w:val="20"/>
              </w:rPr>
              <w:t>105</w:t>
            </w:r>
          </w:p>
        </w:tc>
      </w:tr>
      <w:tr w:rsidR="00CF55B1" w:rsidRPr="00A217FF" w14:paraId="1AF0C492"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CD5F5B3"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Traducción de documentos del Comité Permanente</w:t>
            </w:r>
          </w:p>
        </w:tc>
        <w:tc>
          <w:tcPr>
            <w:tcW w:w="1311" w:type="dxa"/>
            <w:tcBorders>
              <w:top w:val="nil"/>
              <w:left w:val="nil"/>
              <w:bottom w:val="single" w:sz="4" w:space="0" w:color="auto"/>
              <w:right w:val="single" w:sz="4" w:space="0" w:color="auto"/>
            </w:tcBorders>
            <w:shd w:val="clear" w:color="auto" w:fill="auto"/>
            <w:noWrap/>
            <w:vAlign w:val="center"/>
          </w:tcPr>
          <w:p w14:paraId="473FB728"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72625F48"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42EE409F"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4931EA27"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180</w:t>
            </w:r>
          </w:p>
        </w:tc>
      </w:tr>
      <w:tr w:rsidR="00CF55B1" w:rsidRPr="00A217FF" w14:paraId="3D8A1E94"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1B1C5D2" w14:textId="77777777" w:rsidR="00466A7B" w:rsidRPr="00A217FF" w:rsidRDefault="000A027C" w:rsidP="00A217FF">
            <w:pPr>
              <w:ind w:left="0" w:firstLine="0"/>
              <w:rPr>
                <w:rFonts w:asciiTheme="minorHAnsi" w:eastAsia="Times New Roman" w:hAnsiTheme="minorHAnsi" w:cs="Arial"/>
                <w:sz w:val="20"/>
                <w:szCs w:val="20"/>
              </w:rPr>
            </w:pPr>
            <w:r>
              <w:rPr>
                <w:rFonts w:asciiTheme="minorHAnsi" w:hAnsiTheme="minorHAnsi"/>
                <w:sz w:val="20"/>
              </w:rPr>
              <w:t>Relator/a e interpretación simultánea en las reuniones del CP</w:t>
            </w:r>
          </w:p>
        </w:tc>
        <w:tc>
          <w:tcPr>
            <w:tcW w:w="1311" w:type="dxa"/>
            <w:tcBorders>
              <w:top w:val="nil"/>
              <w:left w:val="nil"/>
              <w:bottom w:val="single" w:sz="4" w:space="0" w:color="auto"/>
              <w:right w:val="single" w:sz="4" w:space="0" w:color="auto"/>
            </w:tcBorders>
            <w:shd w:val="clear" w:color="auto" w:fill="auto"/>
            <w:noWrap/>
            <w:vAlign w:val="center"/>
          </w:tcPr>
          <w:p w14:paraId="3BFEC648"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38098C74"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615DFEE1"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6E07D52D"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105</w:t>
            </w:r>
          </w:p>
        </w:tc>
      </w:tr>
      <w:tr w:rsidR="00375D6A" w:rsidRPr="00A217FF" w14:paraId="3E2C1107"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vAlign w:val="center"/>
          </w:tcPr>
          <w:p w14:paraId="7BD73E1D" w14:textId="77777777" w:rsidR="00C03DD1" w:rsidRPr="00A217FF" w:rsidRDefault="000A027C" w:rsidP="00A217FF">
            <w:pPr>
              <w:ind w:left="0" w:firstLine="0"/>
              <w:rPr>
                <w:rFonts w:asciiTheme="minorHAnsi" w:eastAsia="Times New Roman" w:hAnsiTheme="minorHAnsi" w:cs="Arial"/>
                <w:b/>
                <w:bCs/>
                <w:sz w:val="20"/>
                <w:szCs w:val="20"/>
              </w:rPr>
            </w:pPr>
            <w:r>
              <w:rPr>
                <w:rFonts w:asciiTheme="minorHAnsi" w:hAnsiTheme="minorHAnsi"/>
                <w:b/>
                <w:sz w:val="20"/>
              </w:rPr>
              <w:t>H. Gastos por servicios administrativos de la UICN (máximo)</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0B76EA48" w14:textId="77777777" w:rsidR="00C03DD1" w:rsidRPr="00A217FF" w:rsidRDefault="00745A7B"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6C06767D" w14:textId="77777777" w:rsidR="00C03DD1" w:rsidRPr="00A217FF" w:rsidRDefault="00745A7B"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4EFC8B4D" w14:textId="77777777" w:rsidR="00C03DD1" w:rsidRPr="00A217FF" w:rsidRDefault="00745A7B"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4978E668" w14:textId="77777777" w:rsidR="00C03DD1" w:rsidRPr="00A217FF" w:rsidRDefault="0017510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1 650</w:t>
            </w:r>
          </w:p>
        </w:tc>
      </w:tr>
      <w:tr w:rsidR="00CF55B1" w:rsidRPr="00A217FF" w14:paraId="79C964C6"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B960CF0" w14:textId="77777777" w:rsidR="00C03DD1" w:rsidRPr="00A217FF" w:rsidRDefault="00C03DD1" w:rsidP="00A61FC0">
            <w:pPr>
              <w:ind w:left="0" w:firstLine="0"/>
              <w:rPr>
                <w:rFonts w:asciiTheme="minorHAnsi" w:eastAsia="Times New Roman" w:hAnsiTheme="minorHAnsi" w:cs="Arial"/>
                <w:sz w:val="20"/>
                <w:szCs w:val="20"/>
              </w:rPr>
            </w:pPr>
            <w:r>
              <w:rPr>
                <w:rFonts w:asciiTheme="minorHAnsi" w:hAnsiTheme="minorHAnsi"/>
                <w:sz w:val="20"/>
              </w:rPr>
              <w:t>Administración, RR.HH., finanzas y servicios informáticos</w:t>
            </w:r>
          </w:p>
        </w:tc>
        <w:tc>
          <w:tcPr>
            <w:tcW w:w="1311" w:type="dxa"/>
            <w:tcBorders>
              <w:top w:val="nil"/>
              <w:left w:val="nil"/>
              <w:bottom w:val="single" w:sz="4" w:space="0" w:color="auto"/>
              <w:right w:val="single" w:sz="4" w:space="0" w:color="auto"/>
            </w:tcBorders>
            <w:shd w:val="clear" w:color="auto" w:fill="auto"/>
            <w:noWrap/>
            <w:vAlign w:val="center"/>
          </w:tcPr>
          <w:p w14:paraId="067B3366" w14:textId="77777777" w:rsidR="00C03DD1" w:rsidRPr="00A217FF" w:rsidRDefault="00175101" w:rsidP="00A217FF">
            <w:pPr>
              <w:ind w:left="0" w:firstLine="0"/>
              <w:jc w:val="right"/>
              <w:rPr>
                <w:rFonts w:asciiTheme="minorHAnsi" w:eastAsia="Times New Roman" w:hAnsiTheme="minorHAnsi" w:cs="Arial"/>
                <w:sz w:val="20"/>
                <w:szCs w:val="20"/>
              </w:rPr>
            </w:pPr>
            <w:r>
              <w:rPr>
                <w:rFonts w:asciiTheme="minorHAnsi" w:hAnsiTheme="minorHAnsi"/>
                <w:sz w:val="20"/>
              </w:rPr>
              <w:t>550</w:t>
            </w:r>
          </w:p>
        </w:tc>
        <w:tc>
          <w:tcPr>
            <w:tcW w:w="1311" w:type="dxa"/>
            <w:tcBorders>
              <w:top w:val="nil"/>
              <w:left w:val="nil"/>
              <w:bottom w:val="single" w:sz="4" w:space="0" w:color="auto"/>
              <w:right w:val="single" w:sz="4" w:space="0" w:color="auto"/>
            </w:tcBorders>
            <w:shd w:val="clear" w:color="auto" w:fill="auto"/>
            <w:noWrap/>
            <w:vAlign w:val="center"/>
          </w:tcPr>
          <w:p w14:paraId="3F6F8C39" w14:textId="77777777" w:rsidR="00C03DD1" w:rsidRPr="00A217FF" w:rsidRDefault="00175101" w:rsidP="00A217FF">
            <w:pPr>
              <w:ind w:left="0" w:firstLine="0"/>
              <w:jc w:val="right"/>
              <w:rPr>
                <w:rFonts w:asciiTheme="minorHAnsi" w:eastAsia="Times New Roman" w:hAnsiTheme="minorHAnsi" w:cs="Arial"/>
                <w:sz w:val="20"/>
                <w:szCs w:val="20"/>
              </w:rPr>
            </w:pPr>
            <w:r>
              <w:rPr>
                <w:rFonts w:asciiTheme="minorHAnsi" w:hAnsiTheme="minorHAnsi"/>
                <w:sz w:val="20"/>
              </w:rPr>
              <w:t>550</w:t>
            </w:r>
          </w:p>
        </w:tc>
        <w:tc>
          <w:tcPr>
            <w:tcW w:w="1311" w:type="dxa"/>
            <w:tcBorders>
              <w:top w:val="nil"/>
              <w:left w:val="nil"/>
              <w:bottom w:val="single" w:sz="4" w:space="0" w:color="auto"/>
              <w:right w:val="single" w:sz="4" w:space="0" w:color="auto"/>
            </w:tcBorders>
            <w:shd w:val="clear" w:color="auto" w:fill="auto"/>
            <w:noWrap/>
            <w:vAlign w:val="center"/>
          </w:tcPr>
          <w:p w14:paraId="35633B14" w14:textId="77777777" w:rsidR="00C03DD1" w:rsidRPr="00A217FF" w:rsidRDefault="0017510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550</w:t>
            </w:r>
          </w:p>
        </w:tc>
        <w:tc>
          <w:tcPr>
            <w:tcW w:w="1311" w:type="dxa"/>
            <w:tcBorders>
              <w:top w:val="nil"/>
              <w:left w:val="nil"/>
              <w:bottom w:val="single" w:sz="4" w:space="0" w:color="auto"/>
              <w:right w:val="single" w:sz="4" w:space="0" w:color="auto"/>
            </w:tcBorders>
            <w:shd w:val="clear" w:color="auto" w:fill="auto"/>
            <w:noWrap/>
            <w:vAlign w:val="center"/>
          </w:tcPr>
          <w:p w14:paraId="3ADE35F9" w14:textId="77777777" w:rsidR="00C03DD1" w:rsidRPr="00A217FF" w:rsidRDefault="00175101" w:rsidP="00A217FF">
            <w:pPr>
              <w:ind w:left="0" w:firstLine="0"/>
              <w:jc w:val="right"/>
              <w:rPr>
                <w:rFonts w:asciiTheme="minorHAnsi" w:eastAsia="Times New Roman" w:hAnsiTheme="minorHAnsi" w:cs="Arial"/>
                <w:sz w:val="20"/>
                <w:szCs w:val="20"/>
              </w:rPr>
            </w:pPr>
            <w:r>
              <w:rPr>
                <w:rFonts w:asciiTheme="minorHAnsi" w:hAnsiTheme="minorHAnsi"/>
                <w:sz w:val="20"/>
              </w:rPr>
              <w:t>1 650</w:t>
            </w:r>
          </w:p>
        </w:tc>
      </w:tr>
      <w:tr w:rsidR="00375D6A" w:rsidRPr="00A217FF" w14:paraId="38BEAC8C"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3E2BFF88" w14:textId="77777777" w:rsidR="00C03DD1" w:rsidRPr="00A217FF" w:rsidRDefault="000A027C" w:rsidP="00A217FF">
            <w:pPr>
              <w:ind w:left="0" w:firstLine="0"/>
              <w:rPr>
                <w:rFonts w:asciiTheme="minorHAnsi" w:eastAsia="Times New Roman" w:hAnsiTheme="minorHAnsi" w:cs="Arial"/>
                <w:b/>
                <w:bCs/>
                <w:sz w:val="20"/>
                <w:szCs w:val="20"/>
              </w:rPr>
            </w:pPr>
            <w:r>
              <w:rPr>
                <w:rFonts w:asciiTheme="minorHAnsi" w:hAnsiTheme="minorHAnsi"/>
                <w:b/>
                <w:sz w:val="20"/>
              </w:rPr>
              <w:t>I. Varios – Fondo de reserva</w:t>
            </w:r>
          </w:p>
        </w:tc>
        <w:tc>
          <w:tcPr>
            <w:tcW w:w="1311" w:type="dxa"/>
            <w:tcBorders>
              <w:top w:val="nil"/>
              <w:left w:val="nil"/>
              <w:bottom w:val="single" w:sz="4" w:space="0" w:color="auto"/>
              <w:right w:val="single" w:sz="4" w:space="0" w:color="auto"/>
            </w:tcBorders>
            <w:shd w:val="clear" w:color="000000" w:fill="C4D79B"/>
            <w:noWrap/>
            <w:vAlign w:val="center"/>
          </w:tcPr>
          <w:p w14:paraId="38F6EB22" w14:textId="77777777" w:rsidR="00C03DD1" w:rsidRPr="00A217FF" w:rsidRDefault="00E44F1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tcPr>
          <w:p w14:paraId="73A75250" w14:textId="77777777" w:rsidR="00C03DD1" w:rsidRPr="00A217FF" w:rsidRDefault="00635E05"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tcPr>
          <w:p w14:paraId="750DB488" w14:textId="77777777" w:rsidR="00C03DD1" w:rsidRPr="00A217FF" w:rsidRDefault="00E44F1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tcPr>
          <w:p w14:paraId="29D3ADC8" w14:textId="77777777" w:rsidR="00C03DD1" w:rsidRPr="00A217FF" w:rsidRDefault="00E44F1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327</w:t>
            </w:r>
          </w:p>
        </w:tc>
      </w:tr>
      <w:tr w:rsidR="00CF55B1" w:rsidRPr="00A217FF" w14:paraId="29E679D0"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05EE3700" w14:textId="77777777" w:rsidR="00C03DD1" w:rsidRPr="00A217FF" w:rsidRDefault="00E44F1E" w:rsidP="00A217FF">
            <w:pPr>
              <w:ind w:left="0" w:firstLine="0"/>
              <w:rPr>
                <w:rFonts w:asciiTheme="minorHAnsi" w:eastAsia="Times New Roman" w:hAnsiTheme="minorHAnsi" w:cs="Arial"/>
                <w:sz w:val="20"/>
                <w:szCs w:val="20"/>
              </w:rPr>
            </w:pPr>
            <w:r>
              <w:rPr>
                <w:rFonts w:asciiTheme="minorHAnsi" w:hAnsiTheme="minorHAnsi"/>
                <w:sz w:val="20"/>
              </w:rPr>
              <w:t>Provisiones correspondientes al personal</w:t>
            </w:r>
          </w:p>
        </w:tc>
        <w:tc>
          <w:tcPr>
            <w:tcW w:w="1311" w:type="dxa"/>
            <w:tcBorders>
              <w:top w:val="nil"/>
              <w:left w:val="nil"/>
              <w:bottom w:val="single" w:sz="4" w:space="0" w:color="auto"/>
              <w:right w:val="single" w:sz="4" w:space="0" w:color="auto"/>
            </w:tcBorders>
            <w:shd w:val="clear" w:color="auto" w:fill="auto"/>
            <w:noWrap/>
            <w:vAlign w:val="center"/>
          </w:tcPr>
          <w:p w14:paraId="1EC0C10F" w14:textId="77777777" w:rsidR="00C03DD1"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20</w:t>
            </w:r>
          </w:p>
        </w:tc>
        <w:tc>
          <w:tcPr>
            <w:tcW w:w="1311" w:type="dxa"/>
            <w:tcBorders>
              <w:top w:val="nil"/>
              <w:left w:val="nil"/>
              <w:bottom w:val="single" w:sz="4" w:space="0" w:color="auto"/>
              <w:right w:val="single" w:sz="4" w:space="0" w:color="auto"/>
            </w:tcBorders>
            <w:shd w:val="clear" w:color="auto" w:fill="auto"/>
            <w:noWrap/>
            <w:vAlign w:val="center"/>
          </w:tcPr>
          <w:p w14:paraId="63BB2FEB" w14:textId="77777777" w:rsidR="00C03DD1"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20</w:t>
            </w:r>
          </w:p>
        </w:tc>
        <w:tc>
          <w:tcPr>
            <w:tcW w:w="1311" w:type="dxa"/>
            <w:tcBorders>
              <w:top w:val="nil"/>
              <w:left w:val="nil"/>
              <w:bottom w:val="single" w:sz="4" w:space="0" w:color="auto"/>
              <w:right w:val="single" w:sz="4" w:space="0" w:color="auto"/>
            </w:tcBorders>
            <w:shd w:val="clear" w:color="auto" w:fill="auto"/>
            <w:noWrap/>
            <w:vAlign w:val="center"/>
          </w:tcPr>
          <w:p w14:paraId="1F2A318D" w14:textId="77777777" w:rsidR="00C03DD1" w:rsidRPr="00A217FF" w:rsidRDefault="00E44F1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20</w:t>
            </w:r>
          </w:p>
        </w:tc>
        <w:tc>
          <w:tcPr>
            <w:tcW w:w="1311" w:type="dxa"/>
            <w:tcBorders>
              <w:top w:val="nil"/>
              <w:left w:val="nil"/>
              <w:bottom w:val="single" w:sz="4" w:space="0" w:color="auto"/>
              <w:right w:val="single" w:sz="4" w:space="0" w:color="auto"/>
            </w:tcBorders>
            <w:shd w:val="clear" w:color="auto" w:fill="auto"/>
            <w:noWrap/>
            <w:vAlign w:val="center"/>
          </w:tcPr>
          <w:p w14:paraId="30BBA645" w14:textId="77777777" w:rsidR="00C03DD1"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60</w:t>
            </w:r>
          </w:p>
        </w:tc>
      </w:tr>
      <w:tr w:rsidR="00CF55B1" w:rsidRPr="00A217FF" w14:paraId="2776E267"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09DBE4C0" w14:textId="77777777" w:rsidR="00E44F1E" w:rsidRPr="00A217FF" w:rsidRDefault="00E44F1E" w:rsidP="00696039">
            <w:pPr>
              <w:ind w:left="0" w:firstLine="0"/>
              <w:rPr>
                <w:rFonts w:asciiTheme="minorHAnsi" w:eastAsia="Times New Roman" w:hAnsiTheme="minorHAnsi" w:cs="Arial"/>
                <w:sz w:val="20"/>
                <w:szCs w:val="20"/>
              </w:rPr>
            </w:pPr>
            <w:r>
              <w:rPr>
                <w:rFonts w:asciiTheme="minorHAnsi" w:hAnsiTheme="minorHAnsi"/>
                <w:sz w:val="20"/>
              </w:rPr>
              <w:t>Provisiones correspondientes a las contribuciones pendientes</w:t>
            </w:r>
          </w:p>
        </w:tc>
        <w:tc>
          <w:tcPr>
            <w:tcW w:w="1311" w:type="dxa"/>
            <w:tcBorders>
              <w:top w:val="nil"/>
              <w:left w:val="nil"/>
              <w:bottom w:val="single" w:sz="4" w:space="0" w:color="auto"/>
              <w:right w:val="single" w:sz="4" w:space="0" w:color="auto"/>
            </w:tcBorders>
            <w:shd w:val="clear" w:color="auto" w:fill="auto"/>
            <w:noWrap/>
            <w:vAlign w:val="center"/>
          </w:tcPr>
          <w:p w14:paraId="53E35877" w14:textId="77777777" w:rsidR="00E44F1E"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53C5A858" w14:textId="77777777" w:rsidR="00E44F1E"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60D80D03" w14:textId="77777777" w:rsidR="00E44F1E" w:rsidRPr="00A217FF" w:rsidRDefault="00E44F1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5B780C26" w14:textId="77777777" w:rsidR="00E44F1E"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90</w:t>
            </w:r>
          </w:p>
        </w:tc>
      </w:tr>
      <w:tr w:rsidR="00176CAA" w:rsidRPr="00A217FF" w14:paraId="5169F8C2" w14:textId="77777777" w:rsidTr="00595C1A">
        <w:tc>
          <w:tcPr>
            <w:tcW w:w="3970" w:type="dxa"/>
            <w:tcBorders>
              <w:top w:val="single" w:sz="4" w:space="0" w:color="auto"/>
              <w:left w:val="single" w:sz="4" w:space="0" w:color="auto"/>
              <w:bottom w:val="nil"/>
              <w:right w:val="single" w:sz="4" w:space="0" w:color="auto"/>
            </w:tcBorders>
            <w:shd w:val="clear" w:color="auto" w:fill="auto"/>
            <w:noWrap/>
            <w:vAlign w:val="center"/>
          </w:tcPr>
          <w:p w14:paraId="16D83FAB"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Servicios jurídicos</w:t>
            </w:r>
          </w:p>
        </w:tc>
        <w:tc>
          <w:tcPr>
            <w:tcW w:w="1311" w:type="dxa"/>
            <w:tcBorders>
              <w:top w:val="nil"/>
              <w:left w:val="nil"/>
              <w:bottom w:val="single" w:sz="4" w:space="0" w:color="auto"/>
              <w:right w:val="single" w:sz="4" w:space="0" w:color="auto"/>
            </w:tcBorders>
            <w:shd w:val="clear" w:color="auto" w:fill="auto"/>
            <w:noWrap/>
            <w:vAlign w:val="center"/>
          </w:tcPr>
          <w:p w14:paraId="010F4A15" w14:textId="77777777" w:rsidR="00C03DD1"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59</w:t>
            </w:r>
          </w:p>
        </w:tc>
        <w:tc>
          <w:tcPr>
            <w:tcW w:w="1311" w:type="dxa"/>
            <w:tcBorders>
              <w:top w:val="nil"/>
              <w:left w:val="nil"/>
              <w:bottom w:val="single" w:sz="4" w:space="0" w:color="auto"/>
              <w:right w:val="single" w:sz="4" w:space="0" w:color="auto"/>
            </w:tcBorders>
            <w:shd w:val="clear" w:color="auto" w:fill="auto"/>
            <w:noWrap/>
            <w:vAlign w:val="center"/>
          </w:tcPr>
          <w:p w14:paraId="4299BBA1" w14:textId="77777777" w:rsidR="00C03DD1" w:rsidRPr="00A217FF" w:rsidRDefault="001F3C9F" w:rsidP="00A217FF">
            <w:pPr>
              <w:ind w:left="0" w:firstLine="0"/>
              <w:jc w:val="right"/>
              <w:rPr>
                <w:rFonts w:asciiTheme="minorHAnsi" w:eastAsia="Times New Roman" w:hAnsiTheme="minorHAnsi" w:cs="Arial"/>
                <w:sz w:val="20"/>
                <w:szCs w:val="20"/>
              </w:rPr>
            </w:pPr>
            <w:r>
              <w:rPr>
                <w:rFonts w:asciiTheme="minorHAnsi" w:hAnsiTheme="minorHAnsi"/>
                <w:sz w:val="20"/>
              </w:rPr>
              <w:t>59</w:t>
            </w:r>
          </w:p>
        </w:tc>
        <w:tc>
          <w:tcPr>
            <w:tcW w:w="1311" w:type="dxa"/>
            <w:tcBorders>
              <w:top w:val="single" w:sz="4" w:space="0" w:color="auto"/>
              <w:left w:val="nil"/>
              <w:bottom w:val="nil"/>
              <w:right w:val="single" w:sz="4" w:space="0" w:color="auto"/>
            </w:tcBorders>
            <w:shd w:val="clear" w:color="auto" w:fill="auto"/>
            <w:noWrap/>
            <w:vAlign w:val="center"/>
          </w:tcPr>
          <w:p w14:paraId="1EBFEB94" w14:textId="77777777" w:rsidR="00C03DD1" w:rsidRPr="00A217FF" w:rsidRDefault="00E44F1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59</w:t>
            </w:r>
          </w:p>
        </w:tc>
        <w:tc>
          <w:tcPr>
            <w:tcW w:w="1311" w:type="dxa"/>
            <w:tcBorders>
              <w:top w:val="nil"/>
              <w:left w:val="nil"/>
              <w:bottom w:val="single" w:sz="4" w:space="0" w:color="auto"/>
              <w:right w:val="single" w:sz="4" w:space="0" w:color="auto"/>
            </w:tcBorders>
            <w:shd w:val="clear" w:color="auto" w:fill="auto"/>
            <w:noWrap/>
            <w:vAlign w:val="center"/>
          </w:tcPr>
          <w:p w14:paraId="43BD54C6" w14:textId="77777777" w:rsidR="00C03DD1" w:rsidRPr="00A217FF" w:rsidRDefault="001F3C9F" w:rsidP="00A217FF">
            <w:pPr>
              <w:ind w:left="0" w:firstLine="0"/>
              <w:jc w:val="right"/>
              <w:rPr>
                <w:rFonts w:asciiTheme="minorHAnsi" w:eastAsia="Times New Roman" w:hAnsiTheme="minorHAnsi" w:cs="Arial"/>
                <w:sz w:val="20"/>
                <w:szCs w:val="20"/>
              </w:rPr>
            </w:pPr>
            <w:r>
              <w:rPr>
                <w:rFonts w:asciiTheme="minorHAnsi" w:hAnsiTheme="minorHAnsi"/>
                <w:sz w:val="20"/>
              </w:rPr>
              <w:t>177</w:t>
            </w:r>
          </w:p>
        </w:tc>
      </w:tr>
      <w:tr w:rsidR="00375D6A" w:rsidRPr="00A217FF" w14:paraId="3310A980"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9791998" w14:textId="77777777" w:rsidR="00C03DD1" w:rsidRPr="00A217FF" w:rsidRDefault="00C03DD1" w:rsidP="00A217FF">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TOTAL DE GASTOS</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65D7C45E"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2195366C"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745592C4"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nil"/>
              <w:left w:val="nil"/>
              <w:bottom w:val="single" w:sz="4" w:space="0" w:color="auto"/>
              <w:right w:val="single" w:sz="4" w:space="0" w:color="auto"/>
            </w:tcBorders>
            <w:shd w:val="clear" w:color="000000" w:fill="C4D79B"/>
            <w:noWrap/>
            <w:vAlign w:val="center"/>
          </w:tcPr>
          <w:p w14:paraId="11EC58A0" w14:textId="77777777" w:rsidR="00C03DD1" w:rsidRPr="00586541" w:rsidRDefault="002B41CC" w:rsidP="00A217FF">
            <w:pPr>
              <w:ind w:left="0" w:firstLine="0"/>
              <w:jc w:val="right"/>
              <w:rPr>
                <w:rFonts w:asciiTheme="minorHAnsi" w:eastAsia="Times New Roman" w:hAnsiTheme="minorHAnsi" w:cs="Arial"/>
                <w:b/>
                <w:bCs/>
                <w:color w:val="000000"/>
              </w:rPr>
            </w:pPr>
            <w:r>
              <w:rPr>
                <w:rFonts w:asciiTheme="minorHAnsi" w:hAnsiTheme="minorHAnsi"/>
                <w:b/>
                <w:color w:val="000000"/>
              </w:rPr>
              <w:t>16 698</w:t>
            </w:r>
          </w:p>
        </w:tc>
      </w:tr>
    </w:tbl>
    <w:p w14:paraId="21434FE5" w14:textId="77777777" w:rsidR="00FA2EB9" w:rsidRDefault="00536EBB" w:rsidP="00693CBD">
      <w:pPr>
        <w:ind w:left="0" w:firstLine="0"/>
        <w:rPr>
          <w:rFonts w:cs="Arial"/>
          <w:b/>
        </w:rPr>
      </w:pPr>
      <w:r>
        <w:t xml:space="preserve"> </w:t>
      </w:r>
      <w:r>
        <w:br w:type="page"/>
      </w:r>
    </w:p>
    <w:p w14:paraId="2E5CC71B" w14:textId="4DB85D4A" w:rsidR="00C72A9C" w:rsidRDefault="00C72A9C" w:rsidP="002D28C5">
      <w:pPr>
        <w:rPr>
          <w:rFonts w:cs="Arial"/>
          <w:b/>
        </w:rPr>
      </w:pPr>
      <w:r>
        <w:rPr>
          <w:b/>
        </w:rPr>
        <w:lastRenderedPageBreak/>
        <w:t>Escenario B, aumento del 11,3 %</w:t>
      </w:r>
      <w:r>
        <w:t xml:space="preserve"> </w:t>
      </w:r>
      <w:r>
        <w:rPr>
          <w:b/>
        </w:rPr>
        <w:t>en comparación con el trienio 2023</w:t>
      </w:r>
      <w:r w:rsidR="00D97C3B">
        <w:rPr>
          <w:b/>
        </w:rPr>
        <w:noBreakHyphen/>
        <w:t>20</w:t>
      </w:r>
      <w:r>
        <w:rPr>
          <w:b/>
        </w:rPr>
        <w:t>25</w:t>
      </w:r>
    </w:p>
    <w:tbl>
      <w:tblPr>
        <w:tblW w:w="9214" w:type="dxa"/>
        <w:tblInd w:w="-147" w:type="dxa"/>
        <w:tblLayout w:type="fixed"/>
        <w:tblLook w:val="04A0" w:firstRow="1" w:lastRow="0" w:firstColumn="1" w:lastColumn="0" w:noHBand="0" w:noVBand="1"/>
      </w:tblPr>
      <w:tblGrid>
        <w:gridCol w:w="3970"/>
        <w:gridCol w:w="1311"/>
        <w:gridCol w:w="1311"/>
        <w:gridCol w:w="1311"/>
        <w:gridCol w:w="1311"/>
      </w:tblGrid>
      <w:tr w:rsidR="002D28C5" w:rsidRPr="00A217FF" w14:paraId="63562997" w14:textId="77777777" w:rsidTr="00DB3F26">
        <w:trPr>
          <w:tblHeader/>
        </w:trPr>
        <w:tc>
          <w:tcPr>
            <w:tcW w:w="397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C78369D" w14:textId="1F20181D" w:rsidR="00FA2EB9" w:rsidRPr="002D28C5" w:rsidRDefault="00C26985" w:rsidP="0097325E">
            <w:pPr>
              <w:ind w:left="0" w:firstLine="0"/>
              <w:rPr>
                <w:rFonts w:eastAsia="Times New Roman" w:cs="Arial"/>
                <w:b/>
                <w:bCs/>
                <w:color w:val="1F497D"/>
                <w:sz w:val="24"/>
                <w:szCs w:val="24"/>
              </w:rPr>
            </w:pPr>
            <w:r>
              <w:rPr>
                <w:b/>
                <w:color w:val="1F497D"/>
                <w:sz w:val="20"/>
              </w:rPr>
              <w:t>Aumento del 11,3 %, Presupuesto propuesto para la Convención sobre los Humedales para 2026</w:t>
            </w:r>
            <w:r w:rsidR="00D97C3B">
              <w:rPr>
                <w:b/>
                <w:color w:val="1F497D"/>
                <w:sz w:val="20"/>
              </w:rPr>
              <w:noBreakHyphen/>
              <w:t>20</w:t>
            </w:r>
            <w:r>
              <w:rPr>
                <w:b/>
                <w:color w:val="1F497D"/>
                <w:sz w:val="20"/>
              </w:rPr>
              <w:t>28</w:t>
            </w:r>
            <w:r w:rsidR="0097325E">
              <w:rPr>
                <w:b/>
                <w:color w:val="1F497D"/>
                <w:sz w:val="20"/>
              </w:rPr>
              <w:t xml:space="preserve"> (</w:t>
            </w:r>
            <w:r w:rsidR="00FA2EB9">
              <w:rPr>
                <w:rFonts w:asciiTheme="minorHAnsi" w:hAnsiTheme="minorHAnsi"/>
                <w:b/>
                <w:color w:val="1F497D"/>
                <w:sz w:val="20"/>
              </w:rPr>
              <w:t>En miles de francos suizos</w:t>
            </w:r>
            <w:r w:rsidR="0097325E">
              <w:rPr>
                <w:rFonts w:asciiTheme="minorHAnsi" w:hAnsiTheme="minorHAnsi"/>
                <w:b/>
                <w:color w:val="1F497D"/>
                <w:sz w:val="20"/>
              </w:rPr>
              <w:t>)</w:t>
            </w:r>
          </w:p>
        </w:tc>
        <w:tc>
          <w:tcPr>
            <w:tcW w:w="1311" w:type="dxa"/>
            <w:tcBorders>
              <w:top w:val="single" w:sz="4" w:space="0" w:color="auto"/>
              <w:left w:val="nil"/>
              <w:bottom w:val="single" w:sz="4" w:space="0" w:color="auto"/>
              <w:right w:val="single" w:sz="4" w:space="0" w:color="auto"/>
            </w:tcBorders>
            <w:shd w:val="clear" w:color="000000" w:fill="EBF1DE"/>
            <w:vAlign w:val="center"/>
            <w:hideMark/>
          </w:tcPr>
          <w:p w14:paraId="3AD3F3B6" w14:textId="77777777" w:rsidR="002D28C5" w:rsidRPr="00A217FF" w:rsidRDefault="002D28C5" w:rsidP="00D57BC7">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2026</w:t>
            </w:r>
          </w:p>
        </w:tc>
        <w:tc>
          <w:tcPr>
            <w:tcW w:w="1311" w:type="dxa"/>
            <w:tcBorders>
              <w:top w:val="single" w:sz="4" w:space="0" w:color="auto"/>
              <w:left w:val="nil"/>
              <w:bottom w:val="single" w:sz="4" w:space="0" w:color="auto"/>
              <w:right w:val="single" w:sz="4" w:space="0" w:color="auto"/>
            </w:tcBorders>
            <w:shd w:val="clear" w:color="000000" w:fill="EBF1DE"/>
            <w:vAlign w:val="center"/>
            <w:hideMark/>
          </w:tcPr>
          <w:p w14:paraId="70395C50" w14:textId="77777777" w:rsidR="002D28C5" w:rsidRPr="00A217FF" w:rsidRDefault="002D28C5" w:rsidP="00A26E01">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2027</w:t>
            </w:r>
          </w:p>
        </w:tc>
        <w:tc>
          <w:tcPr>
            <w:tcW w:w="1311" w:type="dxa"/>
            <w:tcBorders>
              <w:top w:val="single" w:sz="4" w:space="0" w:color="auto"/>
              <w:left w:val="nil"/>
              <w:bottom w:val="single" w:sz="4" w:space="0" w:color="auto"/>
              <w:right w:val="single" w:sz="4" w:space="0" w:color="auto"/>
            </w:tcBorders>
            <w:shd w:val="clear" w:color="000000" w:fill="EBF1DE"/>
            <w:vAlign w:val="center"/>
            <w:hideMark/>
          </w:tcPr>
          <w:p w14:paraId="6397690A" w14:textId="77777777" w:rsidR="002D28C5" w:rsidRPr="00A217FF" w:rsidRDefault="002D28C5" w:rsidP="004E4C83">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2028</w:t>
            </w:r>
          </w:p>
        </w:tc>
        <w:tc>
          <w:tcPr>
            <w:tcW w:w="1311" w:type="dxa"/>
            <w:tcBorders>
              <w:top w:val="single" w:sz="4" w:space="0" w:color="auto"/>
              <w:left w:val="nil"/>
              <w:bottom w:val="single" w:sz="4" w:space="0" w:color="auto"/>
              <w:right w:val="single" w:sz="4" w:space="0" w:color="auto"/>
            </w:tcBorders>
            <w:shd w:val="clear" w:color="000000" w:fill="EBF1DE"/>
            <w:vAlign w:val="center"/>
            <w:hideMark/>
          </w:tcPr>
          <w:p w14:paraId="42A587C3" w14:textId="30EEB87E" w:rsidR="002D28C5" w:rsidRPr="00A217FF" w:rsidRDefault="002D28C5" w:rsidP="00DC0EBF">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Total Presupuesto 2026</w:t>
            </w:r>
            <w:r w:rsidR="00D97C3B">
              <w:rPr>
                <w:rFonts w:asciiTheme="minorHAnsi" w:hAnsiTheme="minorHAnsi"/>
                <w:b/>
                <w:color w:val="1F497D"/>
                <w:sz w:val="20"/>
              </w:rPr>
              <w:noBreakHyphen/>
              <w:t>20</w:t>
            </w:r>
            <w:r>
              <w:rPr>
                <w:rFonts w:asciiTheme="minorHAnsi" w:hAnsiTheme="minorHAnsi"/>
                <w:b/>
                <w:color w:val="1F497D"/>
                <w:sz w:val="20"/>
              </w:rPr>
              <w:t>28</w:t>
            </w:r>
          </w:p>
        </w:tc>
      </w:tr>
      <w:tr w:rsidR="002D28C5" w:rsidRPr="00A217FF" w14:paraId="4AE910B0" w14:textId="77777777" w:rsidTr="00595C1A">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67951" w14:textId="77777777" w:rsidR="002D28C5" w:rsidRPr="00A217FF" w:rsidRDefault="002D28C5" w:rsidP="00A26E01">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INGRESOS</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0E9151B" w14:textId="77777777" w:rsidR="002D28C5" w:rsidRPr="00A217FF" w:rsidRDefault="002D28C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38DB903D" w14:textId="77777777" w:rsidR="002D28C5" w:rsidRPr="00A217FF" w:rsidRDefault="002D28C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5A394F7F" w14:textId="77777777" w:rsidR="002D28C5" w:rsidRPr="00A217FF" w:rsidRDefault="002D28C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63ABA515" w14:textId="77777777" w:rsidR="002D28C5" w:rsidRPr="00A217FF"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 </w:t>
            </w:r>
          </w:p>
        </w:tc>
      </w:tr>
      <w:tr w:rsidR="002D28C5" w:rsidRPr="00A217FF" w14:paraId="0B26C662"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A3205A7" w14:textId="77777777" w:rsidR="002D28C5" w:rsidRPr="00A217FF"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Contribuciones de las Partes</w:t>
            </w:r>
          </w:p>
        </w:tc>
        <w:tc>
          <w:tcPr>
            <w:tcW w:w="1311" w:type="dxa"/>
            <w:tcBorders>
              <w:top w:val="nil"/>
              <w:left w:val="nil"/>
              <w:bottom w:val="single" w:sz="4" w:space="0" w:color="auto"/>
              <w:right w:val="single" w:sz="4" w:space="0" w:color="auto"/>
            </w:tcBorders>
            <w:shd w:val="clear" w:color="auto" w:fill="auto"/>
            <w:noWrap/>
            <w:vAlign w:val="center"/>
            <w:hideMark/>
          </w:tcPr>
          <w:p w14:paraId="1C0FD015" w14:textId="77777777" w:rsidR="002D28C5" w:rsidRPr="00586541" w:rsidRDefault="004171F8" w:rsidP="00A26E01">
            <w:pPr>
              <w:ind w:left="0" w:firstLine="0"/>
              <w:jc w:val="right"/>
              <w:rPr>
                <w:rFonts w:eastAsia="Times New Roman" w:cs="Arial"/>
                <w:sz w:val="20"/>
                <w:szCs w:val="20"/>
              </w:rPr>
            </w:pPr>
            <w:r>
              <w:rPr>
                <w:sz w:val="20"/>
              </w:rPr>
              <w:t>4 142</w:t>
            </w:r>
          </w:p>
        </w:tc>
        <w:tc>
          <w:tcPr>
            <w:tcW w:w="1311" w:type="dxa"/>
            <w:tcBorders>
              <w:top w:val="nil"/>
              <w:left w:val="nil"/>
              <w:bottom w:val="single" w:sz="4" w:space="0" w:color="auto"/>
              <w:right w:val="single" w:sz="4" w:space="0" w:color="auto"/>
            </w:tcBorders>
            <w:shd w:val="clear" w:color="auto" w:fill="auto"/>
            <w:noWrap/>
            <w:vAlign w:val="center"/>
            <w:hideMark/>
          </w:tcPr>
          <w:p w14:paraId="25AE6523" w14:textId="77777777" w:rsidR="002D28C5" w:rsidRPr="00586541" w:rsidRDefault="004171F8" w:rsidP="00A26E01">
            <w:pPr>
              <w:ind w:left="0" w:firstLine="0"/>
              <w:jc w:val="right"/>
              <w:rPr>
                <w:rFonts w:eastAsia="Times New Roman" w:cs="Arial"/>
                <w:sz w:val="20"/>
                <w:szCs w:val="20"/>
              </w:rPr>
            </w:pPr>
            <w:r>
              <w:rPr>
                <w:sz w:val="20"/>
              </w:rPr>
              <w:t>4 142</w:t>
            </w:r>
          </w:p>
        </w:tc>
        <w:tc>
          <w:tcPr>
            <w:tcW w:w="1311" w:type="dxa"/>
            <w:tcBorders>
              <w:top w:val="nil"/>
              <w:left w:val="nil"/>
              <w:bottom w:val="single" w:sz="4" w:space="0" w:color="auto"/>
              <w:right w:val="single" w:sz="4" w:space="0" w:color="auto"/>
            </w:tcBorders>
            <w:shd w:val="clear" w:color="auto" w:fill="auto"/>
            <w:noWrap/>
            <w:vAlign w:val="center"/>
            <w:hideMark/>
          </w:tcPr>
          <w:p w14:paraId="2E6AA956" w14:textId="77777777" w:rsidR="002D28C5" w:rsidRPr="00586541" w:rsidRDefault="004171F8" w:rsidP="00A26E01">
            <w:pPr>
              <w:ind w:left="0" w:firstLine="0"/>
              <w:jc w:val="right"/>
              <w:rPr>
                <w:rFonts w:eastAsia="Times New Roman" w:cs="Arial"/>
                <w:color w:val="000000"/>
                <w:sz w:val="20"/>
                <w:szCs w:val="20"/>
              </w:rPr>
            </w:pPr>
            <w:r>
              <w:rPr>
                <w:color w:val="000000"/>
                <w:sz w:val="20"/>
              </w:rPr>
              <w:t>4 327</w:t>
            </w:r>
          </w:p>
        </w:tc>
        <w:tc>
          <w:tcPr>
            <w:tcW w:w="1311" w:type="dxa"/>
            <w:tcBorders>
              <w:top w:val="nil"/>
              <w:left w:val="nil"/>
              <w:bottom w:val="single" w:sz="4" w:space="0" w:color="auto"/>
              <w:right w:val="single" w:sz="4" w:space="0" w:color="auto"/>
            </w:tcBorders>
            <w:shd w:val="clear" w:color="auto" w:fill="auto"/>
            <w:noWrap/>
            <w:vAlign w:val="center"/>
            <w:hideMark/>
          </w:tcPr>
          <w:p w14:paraId="4CEF15DE" w14:textId="77777777" w:rsidR="002D28C5" w:rsidRPr="00586541" w:rsidRDefault="004171F8" w:rsidP="008F481B">
            <w:pPr>
              <w:ind w:left="0" w:firstLine="0"/>
              <w:jc w:val="right"/>
              <w:rPr>
                <w:rFonts w:eastAsia="Times New Roman" w:cs="Arial"/>
                <w:sz w:val="20"/>
                <w:szCs w:val="20"/>
              </w:rPr>
            </w:pPr>
            <w:r>
              <w:rPr>
                <w:sz w:val="20"/>
              </w:rPr>
              <w:t>12 611</w:t>
            </w:r>
          </w:p>
        </w:tc>
      </w:tr>
      <w:tr w:rsidR="002D28C5" w:rsidRPr="00A217FF" w14:paraId="119759AA"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995642F" w14:textId="77777777" w:rsidR="002D28C5" w:rsidRPr="00A217FF"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Contribuciones voluntarias</w:t>
            </w:r>
          </w:p>
        </w:tc>
        <w:tc>
          <w:tcPr>
            <w:tcW w:w="1311" w:type="dxa"/>
            <w:tcBorders>
              <w:top w:val="nil"/>
              <w:left w:val="nil"/>
              <w:bottom w:val="single" w:sz="4" w:space="0" w:color="auto"/>
              <w:right w:val="single" w:sz="4" w:space="0" w:color="auto"/>
            </w:tcBorders>
            <w:shd w:val="clear" w:color="auto" w:fill="auto"/>
            <w:noWrap/>
            <w:vAlign w:val="center"/>
            <w:hideMark/>
          </w:tcPr>
          <w:p w14:paraId="23313CF6" w14:textId="77777777" w:rsidR="002D28C5" w:rsidRPr="00586541" w:rsidRDefault="00D57BC7" w:rsidP="00A26E01">
            <w:pPr>
              <w:ind w:left="0" w:firstLine="0"/>
              <w:jc w:val="right"/>
              <w:rPr>
                <w:rFonts w:eastAsia="Times New Roman" w:cs="Arial"/>
                <w:sz w:val="20"/>
                <w:szCs w:val="20"/>
              </w:rPr>
            </w:pPr>
            <w:r>
              <w:rPr>
                <w:sz w:val="20"/>
              </w:rPr>
              <w:t>1 168</w:t>
            </w:r>
          </w:p>
        </w:tc>
        <w:tc>
          <w:tcPr>
            <w:tcW w:w="1311" w:type="dxa"/>
            <w:tcBorders>
              <w:top w:val="nil"/>
              <w:left w:val="nil"/>
              <w:bottom w:val="single" w:sz="4" w:space="0" w:color="auto"/>
              <w:right w:val="single" w:sz="4" w:space="0" w:color="auto"/>
            </w:tcBorders>
            <w:shd w:val="clear" w:color="auto" w:fill="auto"/>
            <w:noWrap/>
            <w:vAlign w:val="center"/>
            <w:hideMark/>
          </w:tcPr>
          <w:p w14:paraId="32FC73B2" w14:textId="77777777" w:rsidR="002D28C5" w:rsidRPr="00586541" w:rsidRDefault="00D57BC7" w:rsidP="00A26E01">
            <w:pPr>
              <w:ind w:left="0" w:firstLine="0"/>
              <w:jc w:val="right"/>
              <w:rPr>
                <w:rFonts w:eastAsia="Times New Roman" w:cs="Arial"/>
                <w:sz w:val="20"/>
                <w:szCs w:val="20"/>
              </w:rPr>
            </w:pPr>
            <w:r>
              <w:rPr>
                <w:sz w:val="20"/>
              </w:rPr>
              <w:t>1 168</w:t>
            </w:r>
          </w:p>
        </w:tc>
        <w:tc>
          <w:tcPr>
            <w:tcW w:w="1311" w:type="dxa"/>
            <w:tcBorders>
              <w:top w:val="nil"/>
              <w:left w:val="nil"/>
              <w:bottom w:val="single" w:sz="4" w:space="0" w:color="auto"/>
              <w:right w:val="single" w:sz="4" w:space="0" w:color="auto"/>
            </w:tcBorders>
            <w:shd w:val="clear" w:color="auto" w:fill="auto"/>
            <w:noWrap/>
            <w:vAlign w:val="center"/>
            <w:hideMark/>
          </w:tcPr>
          <w:p w14:paraId="19EF54B3" w14:textId="2F649810" w:rsidR="002D28C5" w:rsidRPr="00586541" w:rsidRDefault="00D57BC7" w:rsidP="00A26E01">
            <w:pPr>
              <w:ind w:left="0" w:firstLine="0"/>
              <w:jc w:val="right"/>
              <w:rPr>
                <w:rFonts w:eastAsia="Times New Roman" w:cs="Arial"/>
                <w:color w:val="000000"/>
                <w:sz w:val="20"/>
                <w:szCs w:val="20"/>
              </w:rPr>
            </w:pPr>
            <w:r>
              <w:rPr>
                <w:color w:val="000000"/>
                <w:sz w:val="20"/>
              </w:rPr>
              <w:t>1 </w:t>
            </w:r>
            <w:r w:rsidR="005F13D9">
              <w:rPr>
                <w:color w:val="000000"/>
                <w:sz w:val="20"/>
              </w:rPr>
              <w:t>219</w:t>
            </w:r>
          </w:p>
        </w:tc>
        <w:tc>
          <w:tcPr>
            <w:tcW w:w="1311" w:type="dxa"/>
            <w:tcBorders>
              <w:top w:val="nil"/>
              <w:left w:val="nil"/>
              <w:bottom w:val="single" w:sz="4" w:space="0" w:color="auto"/>
              <w:right w:val="single" w:sz="4" w:space="0" w:color="auto"/>
            </w:tcBorders>
            <w:shd w:val="clear" w:color="auto" w:fill="auto"/>
            <w:noWrap/>
            <w:vAlign w:val="center"/>
            <w:hideMark/>
          </w:tcPr>
          <w:p w14:paraId="0D911320" w14:textId="77777777" w:rsidR="002D28C5" w:rsidRPr="00586541" w:rsidRDefault="00D57BC7" w:rsidP="00A26E01">
            <w:pPr>
              <w:ind w:left="0" w:firstLine="0"/>
              <w:jc w:val="right"/>
              <w:rPr>
                <w:rFonts w:eastAsia="Times New Roman" w:cs="Arial"/>
                <w:sz w:val="20"/>
                <w:szCs w:val="20"/>
              </w:rPr>
            </w:pPr>
            <w:r>
              <w:rPr>
                <w:sz w:val="20"/>
              </w:rPr>
              <w:t>3 555</w:t>
            </w:r>
          </w:p>
        </w:tc>
      </w:tr>
      <w:tr w:rsidR="002D28C5" w:rsidRPr="00A217FF" w14:paraId="5DEAD75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6579A95" w14:textId="77777777" w:rsidR="002D28C5" w:rsidRPr="00A217FF"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Impuesto sobre la renta</w:t>
            </w:r>
          </w:p>
        </w:tc>
        <w:tc>
          <w:tcPr>
            <w:tcW w:w="1311" w:type="dxa"/>
            <w:tcBorders>
              <w:top w:val="nil"/>
              <w:left w:val="nil"/>
              <w:bottom w:val="single" w:sz="4" w:space="0" w:color="auto"/>
              <w:right w:val="single" w:sz="4" w:space="0" w:color="auto"/>
            </w:tcBorders>
            <w:shd w:val="clear" w:color="auto" w:fill="auto"/>
            <w:noWrap/>
            <w:vAlign w:val="center"/>
            <w:hideMark/>
          </w:tcPr>
          <w:p w14:paraId="19D23F71" w14:textId="77777777" w:rsidR="002D28C5" w:rsidRPr="00586541" w:rsidRDefault="002D28C5" w:rsidP="00A26E01">
            <w:pPr>
              <w:ind w:left="0" w:firstLine="0"/>
              <w:jc w:val="right"/>
              <w:rPr>
                <w:rFonts w:eastAsia="Times New Roman" w:cs="Arial"/>
                <w:sz w:val="20"/>
                <w:szCs w:val="20"/>
              </w:rPr>
            </w:pPr>
            <w:r>
              <w:rPr>
                <w:sz w:val="20"/>
              </w:rPr>
              <w:t>249</w:t>
            </w:r>
          </w:p>
        </w:tc>
        <w:tc>
          <w:tcPr>
            <w:tcW w:w="1311" w:type="dxa"/>
            <w:tcBorders>
              <w:top w:val="nil"/>
              <w:left w:val="nil"/>
              <w:bottom w:val="single" w:sz="4" w:space="0" w:color="auto"/>
              <w:right w:val="single" w:sz="4" w:space="0" w:color="auto"/>
            </w:tcBorders>
            <w:shd w:val="clear" w:color="auto" w:fill="auto"/>
            <w:noWrap/>
            <w:vAlign w:val="center"/>
            <w:hideMark/>
          </w:tcPr>
          <w:p w14:paraId="31D88886" w14:textId="77777777" w:rsidR="002D28C5" w:rsidRPr="00586541" w:rsidRDefault="002D28C5" w:rsidP="00A26E01">
            <w:pPr>
              <w:ind w:left="0" w:firstLine="0"/>
              <w:jc w:val="right"/>
              <w:rPr>
                <w:rFonts w:eastAsia="Times New Roman" w:cs="Arial"/>
                <w:sz w:val="20"/>
                <w:szCs w:val="20"/>
              </w:rPr>
            </w:pPr>
            <w:r>
              <w:rPr>
                <w:sz w:val="20"/>
              </w:rPr>
              <w:t>249</w:t>
            </w:r>
          </w:p>
        </w:tc>
        <w:tc>
          <w:tcPr>
            <w:tcW w:w="1311" w:type="dxa"/>
            <w:tcBorders>
              <w:top w:val="nil"/>
              <w:left w:val="nil"/>
              <w:bottom w:val="single" w:sz="4" w:space="0" w:color="auto"/>
              <w:right w:val="single" w:sz="4" w:space="0" w:color="auto"/>
            </w:tcBorders>
            <w:shd w:val="clear" w:color="auto" w:fill="auto"/>
            <w:noWrap/>
            <w:vAlign w:val="center"/>
            <w:hideMark/>
          </w:tcPr>
          <w:p w14:paraId="5AFA588A" w14:textId="77777777" w:rsidR="002D28C5" w:rsidRPr="00586541" w:rsidRDefault="002D28C5" w:rsidP="00A26E01">
            <w:pPr>
              <w:ind w:left="0" w:firstLine="0"/>
              <w:jc w:val="right"/>
              <w:rPr>
                <w:rFonts w:eastAsia="Times New Roman" w:cs="Arial"/>
                <w:color w:val="000000"/>
                <w:sz w:val="20"/>
                <w:szCs w:val="20"/>
              </w:rPr>
            </w:pPr>
            <w:r>
              <w:rPr>
                <w:color w:val="000000"/>
                <w:sz w:val="20"/>
              </w:rPr>
              <w:t>249</w:t>
            </w:r>
          </w:p>
        </w:tc>
        <w:tc>
          <w:tcPr>
            <w:tcW w:w="1311" w:type="dxa"/>
            <w:tcBorders>
              <w:top w:val="nil"/>
              <w:left w:val="nil"/>
              <w:bottom w:val="single" w:sz="4" w:space="0" w:color="auto"/>
              <w:right w:val="single" w:sz="4" w:space="0" w:color="auto"/>
            </w:tcBorders>
            <w:shd w:val="clear" w:color="auto" w:fill="auto"/>
            <w:noWrap/>
            <w:vAlign w:val="center"/>
            <w:hideMark/>
          </w:tcPr>
          <w:p w14:paraId="51239A7F" w14:textId="77777777" w:rsidR="002D28C5" w:rsidRPr="00586541" w:rsidRDefault="004171F8" w:rsidP="00A26E01">
            <w:pPr>
              <w:ind w:left="0" w:firstLine="0"/>
              <w:jc w:val="right"/>
              <w:rPr>
                <w:rFonts w:eastAsia="Times New Roman" w:cs="Arial"/>
                <w:sz w:val="20"/>
                <w:szCs w:val="20"/>
              </w:rPr>
            </w:pPr>
            <w:r>
              <w:rPr>
                <w:sz w:val="20"/>
              </w:rPr>
              <w:t>747</w:t>
            </w:r>
          </w:p>
        </w:tc>
      </w:tr>
      <w:tr w:rsidR="002D28C5" w:rsidRPr="00A217FF" w14:paraId="1F84A29D" w14:textId="77777777" w:rsidTr="00595C1A">
        <w:tc>
          <w:tcPr>
            <w:tcW w:w="3970" w:type="dxa"/>
            <w:tcBorders>
              <w:top w:val="nil"/>
              <w:left w:val="single" w:sz="4" w:space="0" w:color="auto"/>
              <w:bottom w:val="nil"/>
              <w:right w:val="single" w:sz="4" w:space="0" w:color="auto"/>
            </w:tcBorders>
            <w:shd w:val="clear" w:color="auto" w:fill="auto"/>
            <w:noWrap/>
            <w:vAlign w:val="center"/>
            <w:hideMark/>
          </w:tcPr>
          <w:p w14:paraId="155449AD" w14:textId="77777777" w:rsidR="002D28C5" w:rsidRPr="00A217FF"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Ingresos por intereses</w:t>
            </w:r>
          </w:p>
        </w:tc>
        <w:tc>
          <w:tcPr>
            <w:tcW w:w="1311" w:type="dxa"/>
            <w:tcBorders>
              <w:top w:val="nil"/>
              <w:left w:val="nil"/>
              <w:bottom w:val="single" w:sz="4" w:space="0" w:color="auto"/>
              <w:right w:val="single" w:sz="4" w:space="0" w:color="auto"/>
            </w:tcBorders>
            <w:shd w:val="clear" w:color="auto" w:fill="auto"/>
            <w:noWrap/>
            <w:vAlign w:val="center"/>
            <w:hideMark/>
          </w:tcPr>
          <w:p w14:paraId="5D9B2B3E" w14:textId="77777777" w:rsidR="002D28C5" w:rsidRPr="00586541" w:rsidRDefault="004171F8" w:rsidP="00DC0EBF">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hideMark/>
          </w:tcPr>
          <w:p w14:paraId="24D6C89C" w14:textId="77777777" w:rsidR="002D28C5" w:rsidRPr="00586541" w:rsidRDefault="004171F8" w:rsidP="00A26E01">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hideMark/>
          </w:tcPr>
          <w:p w14:paraId="5EDACF67" w14:textId="77777777" w:rsidR="002D28C5" w:rsidRPr="00586541" w:rsidRDefault="004171F8" w:rsidP="00A26E01">
            <w:pPr>
              <w:ind w:left="0" w:firstLine="0"/>
              <w:jc w:val="right"/>
              <w:rPr>
                <w:rFonts w:eastAsia="Times New Roman" w:cs="Arial"/>
                <w:color w:val="000000"/>
                <w:sz w:val="20"/>
                <w:szCs w:val="20"/>
              </w:rPr>
            </w:pPr>
            <w:r>
              <w:rPr>
                <w:color w:val="000000"/>
                <w:sz w:val="20"/>
              </w:rPr>
              <w:t>18</w:t>
            </w:r>
          </w:p>
        </w:tc>
        <w:tc>
          <w:tcPr>
            <w:tcW w:w="1311" w:type="dxa"/>
            <w:tcBorders>
              <w:top w:val="nil"/>
              <w:left w:val="nil"/>
              <w:bottom w:val="single" w:sz="4" w:space="0" w:color="auto"/>
              <w:right w:val="single" w:sz="4" w:space="0" w:color="auto"/>
            </w:tcBorders>
            <w:shd w:val="clear" w:color="auto" w:fill="auto"/>
            <w:noWrap/>
            <w:vAlign w:val="center"/>
            <w:hideMark/>
          </w:tcPr>
          <w:p w14:paraId="0B538E3E" w14:textId="77777777" w:rsidR="002D28C5" w:rsidRPr="00586541" w:rsidRDefault="004171F8" w:rsidP="00A26E01">
            <w:pPr>
              <w:ind w:left="0" w:firstLine="0"/>
              <w:jc w:val="right"/>
              <w:rPr>
                <w:rFonts w:eastAsia="Times New Roman" w:cs="Arial"/>
                <w:sz w:val="20"/>
                <w:szCs w:val="20"/>
              </w:rPr>
            </w:pPr>
            <w:r>
              <w:rPr>
                <w:sz w:val="20"/>
              </w:rPr>
              <w:t>54</w:t>
            </w:r>
          </w:p>
        </w:tc>
      </w:tr>
      <w:tr w:rsidR="002D28C5" w:rsidRPr="00A217FF" w14:paraId="1CD3DA5E"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E5F1C74" w14:textId="77777777" w:rsidR="002D28C5" w:rsidRPr="00A217FF" w:rsidRDefault="002D28C5" w:rsidP="00A26E01">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TOTAL DE INGRESOS</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61D3698D" w14:textId="77777777" w:rsidR="002D28C5" w:rsidRPr="00024026" w:rsidRDefault="00CB2EC4" w:rsidP="00DC0EBF">
            <w:pPr>
              <w:ind w:left="0" w:firstLine="0"/>
              <w:jc w:val="right"/>
              <w:rPr>
                <w:rFonts w:eastAsia="Times New Roman" w:cs="Arial"/>
                <w:b/>
                <w:bCs/>
                <w:color w:val="000000"/>
              </w:rPr>
            </w:pPr>
            <w:r>
              <w:rPr>
                <w:b/>
                <w:color w:val="000000"/>
              </w:rPr>
              <w:t>5 577</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06853725" w14:textId="77777777" w:rsidR="002D28C5" w:rsidRPr="00024026" w:rsidRDefault="00CB2EC4" w:rsidP="00227C59">
            <w:pPr>
              <w:ind w:left="0" w:firstLine="0"/>
              <w:jc w:val="right"/>
              <w:rPr>
                <w:rFonts w:eastAsia="Times New Roman" w:cs="Arial"/>
                <w:b/>
                <w:bCs/>
                <w:color w:val="000000"/>
              </w:rPr>
            </w:pPr>
            <w:r>
              <w:rPr>
                <w:b/>
                <w:color w:val="000000"/>
              </w:rPr>
              <w:t>5 577</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3FA12FA7" w14:textId="77777777" w:rsidR="002D28C5" w:rsidRPr="00024026" w:rsidRDefault="00CB2EC4" w:rsidP="009A141C">
            <w:pPr>
              <w:ind w:left="0" w:firstLine="0"/>
              <w:jc w:val="right"/>
              <w:rPr>
                <w:rFonts w:eastAsia="Times New Roman" w:cs="Arial"/>
                <w:b/>
                <w:bCs/>
                <w:color w:val="000000"/>
              </w:rPr>
            </w:pPr>
            <w:r>
              <w:rPr>
                <w:b/>
                <w:color w:val="000000"/>
              </w:rPr>
              <w:t>5 813</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25ADEFC3" w14:textId="77777777" w:rsidR="002D28C5" w:rsidRPr="00024026" w:rsidRDefault="004171F8" w:rsidP="008F481B">
            <w:pPr>
              <w:ind w:left="0" w:firstLine="0"/>
              <w:jc w:val="right"/>
              <w:rPr>
                <w:rFonts w:eastAsia="Times New Roman" w:cs="Arial"/>
                <w:b/>
                <w:bCs/>
                <w:color w:val="000000"/>
              </w:rPr>
            </w:pPr>
            <w:r>
              <w:rPr>
                <w:b/>
                <w:color w:val="000000"/>
              </w:rPr>
              <w:t>16 967</w:t>
            </w:r>
          </w:p>
        </w:tc>
      </w:tr>
      <w:tr w:rsidR="002D28C5" w:rsidRPr="00A217FF" w14:paraId="094A7EEB" w14:textId="77777777" w:rsidTr="00595C1A">
        <w:trPr>
          <w:trHeight w:val="389"/>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066D096A" w14:textId="77777777" w:rsidR="002D28C5" w:rsidRPr="00A217FF" w:rsidRDefault="002D28C5" w:rsidP="00A26E01">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GASTOS</w:t>
            </w:r>
          </w:p>
        </w:tc>
        <w:tc>
          <w:tcPr>
            <w:tcW w:w="1311" w:type="dxa"/>
            <w:tcBorders>
              <w:top w:val="nil"/>
              <w:left w:val="nil"/>
              <w:bottom w:val="single" w:sz="4" w:space="0" w:color="auto"/>
              <w:right w:val="single" w:sz="4" w:space="0" w:color="auto"/>
            </w:tcBorders>
            <w:shd w:val="clear" w:color="auto" w:fill="auto"/>
            <w:noWrap/>
            <w:vAlign w:val="bottom"/>
            <w:hideMark/>
          </w:tcPr>
          <w:p w14:paraId="200EE301" w14:textId="77777777" w:rsidR="002D28C5" w:rsidRPr="00024026"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hideMark/>
          </w:tcPr>
          <w:p w14:paraId="76275961" w14:textId="77777777" w:rsidR="002D28C5" w:rsidRPr="00024026"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hideMark/>
          </w:tcPr>
          <w:p w14:paraId="5E9CCB08" w14:textId="77777777" w:rsidR="002D28C5" w:rsidRPr="00024026"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hideMark/>
          </w:tcPr>
          <w:p w14:paraId="4025E838" w14:textId="77777777" w:rsidR="002D28C5" w:rsidRPr="00024026"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 </w:t>
            </w:r>
          </w:p>
        </w:tc>
      </w:tr>
      <w:tr w:rsidR="002D28C5" w:rsidRPr="00A217FF" w14:paraId="28AE83EE"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09F3B74B" w14:textId="77777777" w:rsidR="002D28C5" w:rsidRPr="00A217FF" w:rsidRDefault="002D28C5" w:rsidP="00A26E01">
            <w:pPr>
              <w:ind w:left="0" w:firstLine="0"/>
              <w:rPr>
                <w:rFonts w:asciiTheme="minorHAnsi" w:eastAsia="Times New Roman" w:hAnsiTheme="minorHAnsi" w:cs="Arial"/>
                <w:b/>
                <w:bCs/>
                <w:color w:val="000000"/>
                <w:sz w:val="20"/>
                <w:szCs w:val="20"/>
              </w:rPr>
            </w:pPr>
            <w:r>
              <w:rPr>
                <w:rFonts w:asciiTheme="minorHAnsi" w:hAnsiTheme="minorHAnsi"/>
                <w:b/>
                <w:color w:val="000000"/>
                <w:sz w:val="20"/>
              </w:rPr>
              <w:t>A. Personal directivo de la Secretaría y Gobernanza</w:t>
            </w:r>
          </w:p>
        </w:tc>
        <w:tc>
          <w:tcPr>
            <w:tcW w:w="1311" w:type="dxa"/>
            <w:tcBorders>
              <w:top w:val="nil"/>
              <w:left w:val="nil"/>
              <w:bottom w:val="single" w:sz="4" w:space="0" w:color="auto"/>
              <w:right w:val="single" w:sz="4" w:space="0" w:color="auto"/>
            </w:tcBorders>
            <w:shd w:val="clear" w:color="000000" w:fill="C4D79B"/>
            <w:noWrap/>
            <w:vAlign w:val="center"/>
            <w:hideMark/>
          </w:tcPr>
          <w:p w14:paraId="65CB7B61"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1 238</w:t>
            </w:r>
          </w:p>
        </w:tc>
        <w:tc>
          <w:tcPr>
            <w:tcW w:w="1311" w:type="dxa"/>
            <w:tcBorders>
              <w:top w:val="nil"/>
              <w:left w:val="nil"/>
              <w:bottom w:val="single" w:sz="4" w:space="0" w:color="auto"/>
              <w:right w:val="single" w:sz="4" w:space="0" w:color="auto"/>
            </w:tcBorders>
            <w:shd w:val="clear" w:color="000000" w:fill="C4D79B"/>
            <w:noWrap/>
            <w:vAlign w:val="center"/>
            <w:hideMark/>
          </w:tcPr>
          <w:p w14:paraId="4A492ED9"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1 240</w:t>
            </w:r>
          </w:p>
        </w:tc>
        <w:tc>
          <w:tcPr>
            <w:tcW w:w="1311" w:type="dxa"/>
            <w:tcBorders>
              <w:top w:val="nil"/>
              <w:left w:val="nil"/>
              <w:bottom w:val="single" w:sz="4" w:space="0" w:color="auto"/>
              <w:right w:val="single" w:sz="4" w:space="0" w:color="auto"/>
            </w:tcBorders>
            <w:shd w:val="clear" w:color="000000" w:fill="C4D79B"/>
            <w:noWrap/>
            <w:vAlign w:val="center"/>
            <w:hideMark/>
          </w:tcPr>
          <w:p w14:paraId="74972946"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1 260</w:t>
            </w:r>
          </w:p>
        </w:tc>
        <w:tc>
          <w:tcPr>
            <w:tcW w:w="1311" w:type="dxa"/>
            <w:tcBorders>
              <w:top w:val="nil"/>
              <w:left w:val="nil"/>
              <w:bottom w:val="single" w:sz="4" w:space="0" w:color="auto"/>
              <w:right w:val="single" w:sz="4" w:space="0" w:color="auto"/>
            </w:tcBorders>
            <w:shd w:val="clear" w:color="000000" w:fill="C4D79B"/>
            <w:noWrap/>
            <w:vAlign w:val="center"/>
            <w:hideMark/>
          </w:tcPr>
          <w:p w14:paraId="66175897" w14:textId="77777777" w:rsidR="002D28C5" w:rsidRPr="00024026" w:rsidRDefault="00D57BC7">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3 738</w:t>
            </w:r>
          </w:p>
        </w:tc>
      </w:tr>
      <w:tr w:rsidR="002D28C5" w:rsidRPr="00A217FF" w14:paraId="652B7F27"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A080A97"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318B277C"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1 170</w:t>
            </w:r>
          </w:p>
        </w:tc>
        <w:tc>
          <w:tcPr>
            <w:tcW w:w="1311" w:type="dxa"/>
            <w:tcBorders>
              <w:top w:val="nil"/>
              <w:left w:val="nil"/>
              <w:bottom w:val="single" w:sz="4" w:space="0" w:color="auto"/>
              <w:right w:val="single" w:sz="4" w:space="0" w:color="auto"/>
            </w:tcBorders>
            <w:shd w:val="clear" w:color="auto" w:fill="auto"/>
            <w:noWrap/>
            <w:vAlign w:val="center"/>
            <w:hideMark/>
          </w:tcPr>
          <w:p w14:paraId="427697B7"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1 172</w:t>
            </w:r>
          </w:p>
        </w:tc>
        <w:tc>
          <w:tcPr>
            <w:tcW w:w="1311" w:type="dxa"/>
            <w:tcBorders>
              <w:top w:val="nil"/>
              <w:left w:val="nil"/>
              <w:bottom w:val="single" w:sz="4" w:space="0" w:color="auto"/>
              <w:right w:val="single" w:sz="4" w:space="0" w:color="auto"/>
            </w:tcBorders>
            <w:shd w:val="clear" w:color="auto" w:fill="auto"/>
            <w:noWrap/>
            <w:vAlign w:val="center"/>
            <w:hideMark/>
          </w:tcPr>
          <w:p w14:paraId="5AA70EE3" w14:textId="77777777" w:rsidR="002D28C5" w:rsidRPr="00024026" w:rsidRDefault="00D57BC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1 192</w:t>
            </w:r>
          </w:p>
        </w:tc>
        <w:tc>
          <w:tcPr>
            <w:tcW w:w="1311" w:type="dxa"/>
            <w:tcBorders>
              <w:top w:val="nil"/>
              <w:left w:val="nil"/>
              <w:bottom w:val="single" w:sz="4" w:space="0" w:color="auto"/>
              <w:right w:val="single" w:sz="4" w:space="0" w:color="auto"/>
            </w:tcBorders>
            <w:shd w:val="clear" w:color="auto" w:fill="auto"/>
            <w:noWrap/>
            <w:vAlign w:val="center"/>
            <w:hideMark/>
          </w:tcPr>
          <w:p w14:paraId="55F2F846" w14:textId="77777777" w:rsidR="002D28C5" w:rsidRPr="00024026" w:rsidRDefault="00D57BC7">
            <w:pPr>
              <w:ind w:left="0" w:firstLine="0"/>
              <w:jc w:val="right"/>
              <w:rPr>
                <w:rFonts w:asciiTheme="minorHAnsi" w:eastAsia="Times New Roman" w:hAnsiTheme="minorHAnsi" w:cs="Arial"/>
                <w:sz w:val="20"/>
                <w:szCs w:val="20"/>
              </w:rPr>
            </w:pPr>
            <w:r>
              <w:rPr>
                <w:rFonts w:asciiTheme="minorHAnsi" w:hAnsiTheme="minorHAnsi"/>
                <w:sz w:val="20"/>
              </w:rPr>
              <w:t>3 534</w:t>
            </w:r>
          </w:p>
        </w:tc>
      </w:tr>
      <w:tr w:rsidR="002D28C5" w:rsidRPr="00A217FF" w14:paraId="0F83F69A"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0B9E052" w14:textId="77777777" w:rsidR="002D28C5" w:rsidRPr="00A217FF" w:rsidRDefault="00D57BC7" w:rsidP="00A26E01">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hideMark/>
          </w:tcPr>
          <w:p w14:paraId="05DF8BE0" w14:textId="77777777" w:rsidR="002D28C5" w:rsidRPr="00024026" w:rsidRDefault="002F0618" w:rsidP="00A26E01">
            <w:pPr>
              <w:ind w:left="0" w:firstLine="0"/>
              <w:jc w:val="right"/>
              <w:rPr>
                <w:rFonts w:asciiTheme="minorHAnsi" w:eastAsia="Times New Roman" w:hAnsiTheme="minorHAnsi" w:cs="Arial"/>
                <w:sz w:val="20"/>
                <w:szCs w:val="20"/>
              </w:rPr>
            </w:pPr>
            <w:r>
              <w:rPr>
                <w:rFonts w:asciiTheme="minorHAnsi" w:hAnsiTheme="minorHAnsi"/>
                <w:sz w:val="20"/>
              </w:rPr>
              <w:t>68</w:t>
            </w:r>
          </w:p>
        </w:tc>
        <w:tc>
          <w:tcPr>
            <w:tcW w:w="1311" w:type="dxa"/>
            <w:tcBorders>
              <w:top w:val="nil"/>
              <w:left w:val="nil"/>
              <w:bottom w:val="single" w:sz="4" w:space="0" w:color="auto"/>
              <w:right w:val="single" w:sz="4" w:space="0" w:color="auto"/>
            </w:tcBorders>
            <w:shd w:val="clear" w:color="auto" w:fill="auto"/>
            <w:noWrap/>
            <w:vAlign w:val="center"/>
            <w:hideMark/>
          </w:tcPr>
          <w:p w14:paraId="6C05BAEF" w14:textId="77777777" w:rsidR="002D28C5" w:rsidRPr="00024026" w:rsidRDefault="002F0618" w:rsidP="00A26E01">
            <w:pPr>
              <w:ind w:left="0" w:firstLine="0"/>
              <w:jc w:val="right"/>
              <w:rPr>
                <w:rFonts w:asciiTheme="minorHAnsi" w:eastAsia="Times New Roman" w:hAnsiTheme="minorHAnsi" w:cs="Arial"/>
                <w:sz w:val="20"/>
                <w:szCs w:val="20"/>
              </w:rPr>
            </w:pPr>
            <w:r>
              <w:rPr>
                <w:rFonts w:asciiTheme="minorHAnsi" w:hAnsiTheme="minorHAnsi"/>
                <w:sz w:val="20"/>
              </w:rPr>
              <w:t>68</w:t>
            </w:r>
          </w:p>
        </w:tc>
        <w:tc>
          <w:tcPr>
            <w:tcW w:w="1311" w:type="dxa"/>
            <w:tcBorders>
              <w:top w:val="nil"/>
              <w:left w:val="nil"/>
              <w:bottom w:val="single" w:sz="4" w:space="0" w:color="auto"/>
              <w:right w:val="single" w:sz="4" w:space="0" w:color="auto"/>
            </w:tcBorders>
            <w:shd w:val="clear" w:color="auto" w:fill="auto"/>
            <w:noWrap/>
            <w:vAlign w:val="center"/>
            <w:hideMark/>
          </w:tcPr>
          <w:p w14:paraId="32E14342" w14:textId="77777777" w:rsidR="002D28C5" w:rsidRPr="00024026" w:rsidRDefault="002F0618"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68</w:t>
            </w:r>
          </w:p>
        </w:tc>
        <w:tc>
          <w:tcPr>
            <w:tcW w:w="1311" w:type="dxa"/>
            <w:tcBorders>
              <w:top w:val="nil"/>
              <w:left w:val="nil"/>
              <w:bottom w:val="single" w:sz="4" w:space="0" w:color="auto"/>
              <w:right w:val="single" w:sz="4" w:space="0" w:color="auto"/>
            </w:tcBorders>
            <w:shd w:val="clear" w:color="auto" w:fill="auto"/>
            <w:noWrap/>
            <w:vAlign w:val="center"/>
            <w:hideMark/>
          </w:tcPr>
          <w:p w14:paraId="06DE0C21" w14:textId="77777777" w:rsidR="002D28C5" w:rsidRPr="00024026" w:rsidRDefault="002F0618" w:rsidP="00A26E01">
            <w:pPr>
              <w:ind w:left="0" w:firstLine="0"/>
              <w:jc w:val="right"/>
              <w:rPr>
                <w:rFonts w:asciiTheme="minorHAnsi" w:eastAsia="Times New Roman" w:hAnsiTheme="minorHAnsi" w:cs="Arial"/>
                <w:sz w:val="20"/>
                <w:szCs w:val="20"/>
              </w:rPr>
            </w:pPr>
            <w:r>
              <w:rPr>
                <w:rFonts w:asciiTheme="minorHAnsi" w:hAnsiTheme="minorHAnsi"/>
                <w:sz w:val="20"/>
              </w:rPr>
              <w:t>204</w:t>
            </w:r>
          </w:p>
        </w:tc>
      </w:tr>
      <w:tr w:rsidR="002D28C5" w:rsidRPr="00A217FF" w14:paraId="3F40705D"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549836A7" w14:textId="77777777" w:rsidR="002D28C5" w:rsidRPr="00A217FF"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B. Movilización de recursos y Promoción</w:t>
            </w:r>
          </w:p>
        </w:tc>
        <w:tc>
          <w:tcPr>
            <w:tcW w:w="1311" w:type="dxa"/>
            <w:tcBorders>
              <w:top w:val="nil"/>
              <w:left w:val="nil"/>
              <w:bottom w:val="single" w:sz="4" w:space="0" w:color="auto"/>
              <w:right w:val="single" w:sz="4" w:space="0" w:color="auto"/>
            </w:tcBorders>
            <w:shd w:val="clear" w:color="000000" w:fill="C4D79B"/>
            <w:noWrap/>
            <w:vAlign w:val="center"/>
            <w:hideMark/>
          </w:tcPr>
          <w:p w14:paraId="6E759429" w14:textId="77777777" w:rsidR="002D28C5" w:rsidRPr="00024026" w:rsidRDefault="0090461C"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672</w:t>
            </w:r>
          </w:p>
        </w:tc>
        <w:tc>
          <w:tcPr>
            <w:tcW w:w="1311" w:type="dxa"/>
            <w:tcBorders>
              <w:top w:val="nil"/>
              <w:left w:val="nil"/>
              <w:bottom w:val="single" w:sz="4" w:space="0" w:color="auto"/>
              <w:right w:val="single" w:sz="4" w:space="0" w:color="auto"/>
            </w:tcBorders>
            <w:shd w:val="clear" w:color="000000" w:fill="C4D79B"/>
            <w:noWrap/>
            <w:vAlign w:val="center"/>
            <w:hideMark/>
          </w:tcPr>
          <w:p w14:paraId="2FC1CD86" w14:textId="77777777" w:rsidR="002D28C5" w:rsidRPr="00024026" w:rsidRDefault="0090461C" w:rsidP="003932B5">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675</w:t>
            </w:r>
          </w:p>
        </w:tc>
        <w:tc>
          <w:tcPr>
            <w:tcW w:w="1311" w:type="dxa"/>
            <w:tcBorders>
              <w:top w:val="nil"/>
              <w:left w:val="nil"/>
              <w:bottom w:val="single" w:sz="4" w:space="0" w:color="auto"/>
              <w:right w:val="single" w:sz="4" w:space="0" w:color="auto"/>
            </w:tcBorders>
            <w:shd w:val="clear" w:color="000000" w:fill="C4D79B"/>
            <w:noWrap/>
            <w:vAlign w:val="center"/>
            <w:hideMark/>
          </w:tcPr>
          <w:p w14:paraId="38F6656C" w14:textId="77777777" w:rsidR="002D28C5" w:rsidRPr="00024026" w:rsidRDefault="0090461C"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673</w:t>
            </w:r>
          </w:p>
        </w:tc>
        <w:tc>
          <w:tcPr>
            <w:tcW w:w="1311" w:type="dxa"/>
            <w:tcBorders>
              <w:top w:val="nil"/>
              <w:left w:val="nil"/>
              <w:bottom w:val="single" w:sz="4" w:space="0" w:color="auto"/>
              <w:right w:val="single" w:sz="4" w:space="0" w:color="auto"/>
            </w:tcBorders>
            <w:shd w:val="clear" w:color="000000" w:fill="C4D79B"/>
            <w:noWrap/>
            <w:vAlign w:val="center"/>
            <w:hideMark/>
          </w:tcPr>
          <w:p w14:paraId="5F9DAE9C" w14:textId="77777777" w:rsidR="002D28C5" w:rsidRPr="00024026" w:rsidRDefault="001C3E8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2 020</w:t>
            </w:r>
          </w:p>
        </w:tc>
      </w:tr>
      <w:tr w:rsidR="002D28C5" w:rsidRPr="00A217FF" w14:paraId="166DF4BC"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6236386"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36ADC6F3" w14:textId="77777777" w:rsidR="002D28C5" w:rsidRPr="00024026" w:rsidRDefault="001C3E87" w:rsidP="00A26E01">
            <w:pPr>
              <w:ind w:left="0" w:firstLine="0"/>
              <w:jc w:val="right"/>
              <w:rPr>
                <w:rFonts w:asciiTheme="minorHAnsi" w:eastAsia="Times New Roman" w:hAnsiTheme="minorHAnsi" w:cs="Arial"/>
                <w:sz w:val="20"/>
                <w:szCs w:val="20"/>
              </w:rPr>
            </w:pPr>
            <w:r>
              <w:rPr>
                <w:rFonts w:asciiTheme="minorHAnsi" w:hAnsiTheme="minorHAnsi"/>
                <w:sz w:val="20"/>
              </w:rPr>
              <w:t>552</w:t>
            </w:r>
          </w:p>
        </w:tc>
        <w:tc>
          <w:tcPr>
            <w:tcW w:w="1311" w:type="dxa"/>
            <w:tcBorders>
              <w:top w:val="nil"/>
              <w:left w:val="nil"/>
              <w:bottom w:val="single" w:sz="4" w:space="0" w:color="auto"/>
              <w:right w:val="single" w:sz="4" w:space="0" w:color="auto"/>
            </w:tcBorders>
            <w:shd w:val="clear" w:color="auto" w:fill="auto"/>
            <w:noWrap/>
            <w:vAlign w:val="center"/>
            <w:hideMark/>
          </w:tcPr>
          <w:p w14:paraId="43B625C1" w14:textId="77777777" w:rsidR="002D28C5" w:rsidRPr="00024026" w:rsidRDefault="001C3E87" w:rsidP="00A26E01">
            <w:pPr>
              <w:ind w:left="0" w:firstLine="0"/>
              <w:jc w:val="right"/>
              <w:rPr>
                <w:rFonts w:asciiTheme="minorHAnsi" w:eastAsia="Times New Roman" w:hAnsiTheme="minorHAnsi" w:cs="Arial"/>
                <w:sz w:val="20"/>
                <w:szCs w:val="20"/>
              </w:rPr>
            </w:pPr>
            <w:r>
              <w:rPr>
                <w:rFonts w:asciiTheme="minorHAnsi" w:hAnsiTheme="minorHAnsi"/>
                <w:sz w:val="20"/>
              </w:rPr>
              <w:t>555</w:t>
            </w:r>
          </w:p>
        </w:tc>
        <w:tc>
          <w:tcPr>
            <w:tcW w:w="1311" w:type="dxa"/>
            <w:tcBorders>
              <w:top w:val="nil"/>
              <w:left w:val="nil"/>
              <w:bottom w:val="single" w:sz="4" w:space="0" w:color="auto"/>
              <w:right w:val="single" w:sz="4" w:space="0" w:color="auto"/>
            </w:tcBorders>
            <w:shd w:val="clear" w:color="auto" w:fill="auto"/>
            <w:noWrap/>
            <w:vAlign w:val="center"/>
            <w:hideMark/>
          </w:tcPr>
          <w:p w14:paraId="3DD32FE9" w14:textId="77777777" w:rsidR="002D28C5" w:rsidRPr="00024026" w:rsidRDefault="004743C5"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563</w:t>
            </w:r>
          </w:p>
        </w:tc>
        <w:tc>
          <w:tcPr>
            <w:tcW w:w="1311" w:type="dxa"/>
            <w:tcBorders>
              <w:top w:val="nil"/>
              <w:left w:val="nil"/>
              <w:bottom w:val="single" w:sz="4" w:space="0" w:color="auto"/>
              <w:right w:val="single" w:sz="4" w:space="0" w:color="auto"/>
            </w:tcBorders>
            <w:shd w:val="clear" w:color="auto" w:fill="auto"/>
            <w:noWrap/>
            <w:vAlign w:val="center"/>
            <w:hideMark/>
          </w:tcPr>
          <w:p w14:paraId="69E1CC78" w14:textId="77777777" w:rsidR="002D28C5" w:rsidRPr="00024026" w:rsidRDefault="00D57BC7">
            <w:pPr>
              <w:ind w:left="0" w:firstLine="0"/>
              <w:jc w:val="right"/>
              <w:rPr>
                <w:rFonts w:asciiTheme="minorHAnsi" w:eastAsia="Times New Roman" w:hAnsiTheme="minorHAnsi" w:cs="Arial"/>
                <w:sz w:val="20"/>
                <w:szCs w:val="20"/>
              </w:rPr>
            </w:pPr>
            <w:r>
              <w:rPr>
                <w:rFonts w:asciiTheme="minorHAnsi" w:hAnsiTheme="minorHAnsi"/>
                <w:sz w:val="20"/>
              </w:rPr>
              <w:t>1 670</w:t>
            </w:r>
          </w:p>
        </w:tc>
      </w:tr>
      <w:tr w:rsidR="002D28C5" w:rsidRPr="00A217FF" w14:paraId="3AF8B2C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3527B4F"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 xml:space="preserve">Programa de </w:t>
            </w:r>
            <w:proofErr w:type="spellStart"/>
            <w:r>
              <w:rPr>
                <w:rFonts w:asciiTheme="minorHAnsi" w:hAnsiTheme="minorHAnsi"/>
                <w:sz w:val="20"/>
              </w:rPr>
              <w:t>CECoP</w:t>
            </w:r>
            <w:proofErr w:type="spellEnd"/>
          </w:p>
        </w:tc>
        <w:tc>
          <w:tcPr>
            <w:tcW w:w="1311" w:type="dxa"/>
            <w:tcBorders>
              <w:top w:val="nil"/>
              <w:left w:val="nil"/>
              <w:bottom w:val="single" w:sz="4" w:space="0" w:color="auto"/>
              <w:right w:val="single" w:sz="4" w:space="0" w:color="auto"/>
            </w:tcBorders>
            <w:shd w:val="clear" w:color="auto" w:fill="auto"/>
            <w:noWrap/>
            <w:vAlign w:val="center"/>
            <w:hideMark/>
          </w:tcPr>
          <w:p w14:paraId="5E514337" w14:textId="77777777" w:rsidR="002D28C5" w:rsidRPr="00024026" w:rsidRDefault="004743C5" w:rsidP="00A26E01">
            <w:pPr>
              <w:ind w:left="0" w:firstLine="0"/>
              <w:jc w:val="right"/>
              <w:rPr>
                <w:rFonts w:asciiTheme="minorHAnsi" w:eastAsia="Times New Roman" w:hAnsiTheme="minorHAnsi" w:cs="Arial"/>
                <w:sz w:val="20"/>
                <w:szCs w:val="20"/>
              </w:rPr>
            </w:pPr>
            <w:r>
              <w:rPr>
                <w:rFonts w:asciiTheme="minorHAnsi" w:hAnsiTheme="minorHAnsi"/>
                <w:sz w:val="20"/>
              </w:rPr>
              <w:t>15</w:t>
            </w:r>
          </w:p>
        </w:tc>
        <w:tc>
          <w:tcPr>
            <w:tcW w:w="1311" w:type="dxa"/>
            <w:tcBorders>
              <w:top w:val="nil"/>
              <w:left w:val="nil"/>
              <w:bottom w:val="single" w:sz="4" w:space="0" w:color="auto"/>
              <w:right w:val="single" w:sz="4" w:space="0" w:color="auto"/>
            </w:tcBorders>
            <w:shd w:val="clear" w:color="auto" w:fill="auto"/>
            <w:noWrap/>
            <w:vAlign w:val="center"/>
            <w:hideMark/>
          </w:tcPr>
          <w:p w14:paraId="6E8C73B0" w14:textId="77777777" w:rsidR="002D28C5" w:rsidRPr="00024026" w:rsidRDefault="004743C5" w:rsidP="00A26E01">
            <w:pPr>
              <w:ind w:left="0" w:firstLine="0"/>
              <w:jc w:val="right"/>
              <w:rPr>
                <w:rFonts w:asciiTheme="minorHAnsi" w:eastAsia="Times New Roman" w:hAnsiTheme="minorHAnsi" w:cs="Arial"/>
                <w:sz w:val="20"/>
                <w:szCs w:val="20"/>
              </w:rPr>
            </w:pPr>
            <w:r>
              <w:rPr>
                <w:rFonts w:asciiTheme="minorHAnsi" w:hAnsiTheme="minorHAnsi"/>
                <w:sz w:val="20"/>
              </w:rPr>
              <w:t>15</w:t>
            </w:r>
          </w:p>
        </w:tc>
        <w:tc>
          <w:tcPr>
            <w:tcW w:w="1311" w:type="dxa"/>
            <w:tcBorders>
              <w:top w:val="nil"/>
              <w:left w:val="nil"/>
              <w:bottom w:val="single" w:sz="4" w:space="0" w:color="auto"/>
              <w:right w:val="single" w:sz="4" w:space="0" w:color="auto"/>
            </w:tcBorders>
            <w:shd w:val="clear" w:color="auto" w:fill="auto"/>
            <w:noWrap/>
            <w:vAlign w:val="center"/>
            <w:hideMark/>
          </w:tcPr>
          <w:p w14:paraId="1D3F178F" w14:textId="77777777" w:rsidR="002D28C5" w:rsidRPr="00024026" w:rsidRDefault="00783CFD"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15</w:t>
            </w:r>
          </w:p>
        </w:tc>
        <w:tc>
          <w:tcPr>
            <w:tcW w:w="1311" w:type="dxa"/>
            <w:tcBorders>
              <w:top w:val="nil"/>
              <w:left w:val="nil"/>
              <w:bottom w:val="single" w:sz="4" w:space="0" w:color="auto"/>
              <w:right w:val="single" w:sz="4" w:space="0" w:color="auto"/>
            </w:tcBorders>
            <w:shd w:val="clear" w:color="auto" w:fill="auto"/>
            <w:noWrap/>
            <w:vAlign w:val="center"/>
            <w:hideMark/>
          </w:tcPr>
          <w:p w14:paraId="18777CBA" w14:textId="77777777" w:rsidR="002D28C5" w:rsidRPr="00024026" w:rsidRDefault="00783CFD" w:rsidP="00A26E01">
            <w:pPr>
              <w:ind w:left="0" w:firstLine="0"/>
              <w:jc w:val="right"/>
              <w:rPr>
                <w:rFonts w:asciiTheme="minorHAnsi" w:eastAsia="Times New Roman" w:hAnsiTheme="minorHAnsi" w:cs="Arial"/>
                <w:sz w:val="20"/>
                <w:szCs w:val="20"/>
              </w:rPr>
            </w:pPr>
            <w:r>
              <w:rPr>
                <w:rFonts w:asciiTheme="minorHAnsi" w:hAnsiTheme="minorHAnsi"/>
                <w:sz w:val="20"/>
              </w:rPr>
              <w:t>45</w:t>
            </w:r>
          </w:p>
        </w:tc>
      </w:tr>
      <w:tr w:rsidR="002D28C5" w:rsidRPr="00A217FF" w14:paraId="12E1B90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1EE5F04"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Comunicaciones, traducciones, publicaciones e informes sobre la aplicación</w:t>
            </w:r>
          </w:p>
        </w:tc>
        <w:tc>
          <w:tcPr>
            <w:tcW w:w="1311" w:type="dxa"/>
            <w:tcBorders>
              <w:top w:val="nil"/>
              <w:left w:val="nil"/>
              <w:bottom w:val="single" w:sz="4" w:space="0" w:color="auto"/>
              <w:right w:val="single" w:sz="4" w:space="0" w:color="auto"/>
            </w:tcBorders>
            <w:shd w:val="clear" w:color="auto" w:fill="auto"/>
            <w:noWrap/>
            <w:vAlign w:val="center"/>
            <w:hideMark/>
          </w:tcPr>
          <w:p w14:paraId="60C0128A" w14:textId="77777777" w:rsidR="002D28C5" w:rsidRPr="00024026" w:rsidRDefault="0083370D" w:rsidP="00A26E01">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43941C2A" w14:textId="77777777" w:rsidR="002D28C5" w:rsidRPr="00024026" w:rsidRDefault="0083370D" w:rsidP="00A26E01">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24093D8B" w14:textId="77777777" w:rsidR="002D28C5" w:rsidRPr="00024026" w:rsidRDefault="0083370D"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118ABF83" w14:textId="77777777" w:rsidR="002D28C5" w:rsidRPr="00024026" w:rsidRDefault="0083370D" w:rsidP="00A26E01">
            <w:pPr>
              <w:ind w:left="0" w:firstLine="0"/>
              <w:jc w:val="right"/>
              <w:rPr>
                <w:rFonts w:asciiTheme="minorHAnsi" w:eastAsia="Times New Roman" w:hAnsiTheme="minorHAnsi" w:cs="Arial"/>
                <w:sz w:val="20"/>
                <w:szCs w:val="20"/>
              </w:rPr>
            </w:pPr>
            <w:r>
              <w:rPr>
                <w:rFonts w:asciiTheme="minorHAnsi" w:hAnsiTheme="minorHAnsi"/>
                <w:sz w:val="20"/>
              </w:rPr>
              <w:t>180</w:t>
            </w:r>
          </w:p>
        </w:tc>
      </w:tr>
      <w:tr w:rsidR="002D28C5" w:rsidRPr="00A217FF" w14:paraId="5CE7345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884942A"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Apoyo y desarrollo del sitio web/servicios informáticos</w:t>
            </w:r>
          </w:p>
        </w:tc>
        <w:tc>
          <w:tcPr>
            <w:tcW w:w="1311" w:type="dxa"/>
            <w:tcBorders>
              <w:top w:val="nil"/>
              <w:left w:val="nil"/>
              <w:bottom w:val="single" w:sz="4" w:space="0" w:color="auto"/>
              <w:right w:val="single" w:sz="4" w:space="0" w:color="auto"/>
            </w:tcBorders>
            <w:shd w:val="clear" w:color="auto" w:fill="auto"/>
            <w:noWrap/>
            <w:vAlign w:val="center"/>
            <w:hideMark/>
          </w:tcPr>
          <w:p w14:paraId="1134FFCE" w14:textId="77777777" w:rsidR="002D28C5" w:rsidRPr="00024026" w:rsidRDefault="00561EF7" w:rsidP="00A26E01">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hideMark/>
          </w:tcPr>
          <w:p w14:paraId="39462EB8" w14:textId="77777777" w:rsidR="002D28C5" w:rsidRPr="00024026" w:rsidRDefault="00561EF7" w:rsidP="00A26E01">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hideMark/>
          </w:tcPr>
          <w:p w14:paraId="547B1B1D" w14:textId="77777777" w:rsidR="002D28C5" w:rsidRPr="00024026" w:rsidRDefault="00561EF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11CC1250" w14:textId="77777777" w:rsidR="002D28C5" w:rsidRPr="00024026" w:rsidRDefault="00561EF7">
            <w:pPr>
              <w:ind w:left="0" w:firstLine="0"/>
              <w:jc w:val="right"/>
              <w:rPr>
                <w:rFonts w:asciiTheme="minorHAnsi" w:eastAsia="Times New Roman" w:hAnsiTheme="minorHAnsi" w:cs="Arial"/>
                <w:sz w:val="20"/>
                <w:szCs w:val="20"/>
              </w:rPr>
            </w:pPr>
            <w:r>
              <w:rPr>
                <w:rFonts w:asciiTheme="minorHAnsi" w:hAnsiTheme="minorHAnsi"/>
                <w:sz w:val="20"/>
              </w:rPr>
              <w:t>110</w:t>
            </w:r>
          </w:p>
        </w:tc>
      </w:tr>
      <w:tr w:rsidR="00D57BC7" w:rsidRPr="00A217FF" w14:paraId="17EF92E8"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CCEFC8A" w14:textId="77777777" w:rsidR="00D57BC7" w:rsidRPr="00A217FF" w:rsidRDefault="00D57BC7" w:rsidP="00A26E01">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1BBB104E" w14:textId="77777777" w:rsidR="00D57BC7" w:rsidRPr="00024026" w:rsidDel="00D57BC7"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726D2F77" w14:textId="77777777" w:rsidR="00D57BC7" w:rsidRPr="00024026" w:rsidDel="00D57BC7"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61C2CBBC" w14:textId="77777777" w:rsidR="00D57BC7" w:rsidRPr="00024026" w:rsidDel="00D57BC7" w:rsidRDefault="00D57BC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w:t>
            </w:r>
          </w:p>
        </w:tc>
        <w:tc>
          <w:tcPr>
            <w:tcW w:w="1311" w:type="dxa"/>
            <w:tcBorders>
              <w:top w:val="nil"/>
              <w:left w:val="nil"/>
              <w:bottom w:val="single" w:sz="4" w:space="0" w:color="auto"/>
              <w:right w:val="single" w:sz="4" w:space="0" w:color="auto"/>
            </w:tcBorders>
            <w:shd w:val="clear" w:color="auto" w:fill="auto"/>
            <w:noWrap/>
            <w:vAlign w:val="center"/>
          </w:tcPr>
          <w:p w14:paraId="090ECD88" w14:textId="77777777" w:rsidR="00D57BC7" w:rsidRPr="00024026" w:rsidDel="00D57BC7" w:rsidRDefault="00561EF7" w:rsidP="00A26E01">
            <w:pPr>
              <w:ind w:left="0" w:firstLine="0"/>
              <w:jc w:val="right"/>
              <w:rPr>
                <w:rFonts w:asciiTheme="minorHAnsi" w:eastAsia="Times New Roman" w:hAnsiTheme="minorHAnsi" w:cs="Arial"/>
                <w:sz w:val="20"/>
                <w:szCs w:val="20"/>
              </w:rPr>
            </w:pPr>
            <w:r>
              <w:rPr>
                <w:rFonts w:asciiTheme="minorHAnsi" w:hAnsiTheme="minorHAnsi"/>
                <w:sz w:val="20"/>
              </w:rPr>
              <w:t>15</w:t>
            </w:r>
          </w:p>
        </w:tc>
      </w:tr>
      <w:tr w:rsidR="002D28C5" w:rsidRPr="00A217FF" w14:paraId="2A57CDAB"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5CE3801B" w14:textId="77777777" w:rsidR="002D28C5" w:rsidRPr="00A217FF"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C. Asesoramiento y apoyo regionales</w:t>
            </w:r>
          </w:p>
        </w:tc>
        <w:tc>
          <w:tcPr>
            <w:tcW w:w="1311" w:type="dxa"/>
            <w:tcBorders>
              <w:top w:val="nil"/>
              <w:left w:val="nil"/>
              <w:bottom w:val="single" w:sz="4" w:space="0" w:color="auto"/>
              <w:right w:val="single" w:sz="4" w:space="0" w:color="auto"/>
            </w:tcBorders>
            <w:shd w:val="clear" w:color="000000" w:fill="C4D79B"/>
            <w:noWrap/>
            <w:vAlign w:val="center"/>
            <w:hideMark/>
          </w:tcPr>
          <w:p w14:paraId="1EB683FF"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1 243</w:t>
            </w:r>
          </w:p>
        </w:tc>
        <w:tc>
          <w:tcPr>
            <w:tcW w:w="1311" w:type="dxa"/>
            <w:tcBorders>
              <w:top w:val="nil"/>
              <w:left w:val="nil"/>
              <w:bottom w:val="single" w:sz="4" w:space="0" w:color="auto"/>
              <w:right w:val="single" w:sz="4" w:space="0" w:color="auto"/>
            </w:tcBorders>
            <w:shd w:val="clear" w:color="000000" w:fill="C4D79B"/>
            <w:noWrap/>
            <w:vAlign w:val="center"/>
            <w:hideMark/>
          </w:tcPr>
          <w:p w14:paraId="5AF28E99"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1 264</w:t>
            </w:r>
          </w:p>
        </w:tc>
        <w:tc>
          <w:tcPr>
            <w:tcW w:w="1311" w:type="dxa"/>
            <w:tcBorders>
              <w:top w:val="nil"/>
              <w:left w:val="nil"/>
              <w:bottom w:val="single" w:sz="4" w:space="0" w:color="auto"/>
              <w:right w:val="single" w:sz="4" w:space="0" w:color="auto"/>
            </w:tcBorders>
            <w:shd w:val="clear" w:color="000000" w:fill="C4D79B"/>
            <w:noWrap/>
            <w:vAlign w:val="center"/>
            <w:hideMark/>
          </w:tcPr>
          <w:p w14:paraId="26556FEE"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1 266</w:t>
            </w:r>
          </w:p>
        </w:tc>
        <w:tc>
          <w:tcPr>
            <w:tcW w:w="1311" w:type="dxa"/>
            <w:tcBorders>
              <w:top w:val="nil"/>
              <w:left w:val="nil"/>
              <w:bottom w:val="single" w:sz="4" w:space="0" w:color="auto"/>
              <w:right w:val="single" w:sz="4" w:space="0" w:color="auto"/>
            </w:tcBorders>
            <w:shd w:val="clear" w:color="000000" w:fill="C4D79B"/>
            <w:noWrap/>
            <w:vAlign w:val="center"/>
            <w:hideMark/>
          </w:tcPr>
          <w:p w14:paraId="36B3C9F7" w14:textId="77777777" w:rsidR="002D28C5" w:rsidRPr="00024026" w:rsidRDefault="000D70C2">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3 773</w:t>
            </w:r>
          </w:p>
        </w:tc>
      </w:tr>
      <w:tr w:rsidR="002D28C5" w:rsidRPr="00A217FF" w14:paraId="20BB5D6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579D0CC"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2D4BD403"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1 188</w:t>
            </w:r>
          </w:p>
        </w:tc>
        <w:tc>
          <w:tcPr>
            <w:tcW w:w="1311" w:type="dxa"/>
            <w:tcBorders>
              <w:top w:val="nil"/>
              <w:left w:val="nil"/>
              <w:bottom w:val="single" w:sz="4" w:space="0" w:color="auto"/>
              <w:right w:val="single" w:sz="4" w:space="0" w:color="auto"/>
            </w:tcBorders>
            <w:shd w:val="clear" w:color="auto" w:fill="auto"/>
            <w:noWrap/>
            <w:vAlign w:val="center"/>
            <w:hideMark/>
          </w:tcPr>
          <w:p w14:paraId="51114FE1"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1 209</w:t>
            </w:r>
          </w:p>
        </w:tc>
        <w:tc>
          <w:tcPr>
            <w:tcW w:w="1311" w:type="dxa"/>
            <w:tcBorders>
              <w:top w:val="nil"/>
              <w:left w:val="nil"/>
              <w:bottom w:val="single" w:sz="4" w:space="0" w:color="auto"/>
              <w:right w:val="single" w:sz="4" w:space="0" w:color="auto"/>
            </w:tcBorders>
            <w:shd w:val="clear" w:color="auto" w:fill="auto"/>
            <w:noWrap/>
            <w:vAlign w:val="center"/>
            <w:hideMark/>
          </w:tcPr>
          <w:p w14:paraId="20324DF2" w14:textId="77777777" w:rsidR="002D28C5" w:rsidRPr="00024026" w:rsidRDefault="00D57BC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1 211</w:t>
            </w:r>
          </w:p>
        </w:tc>
        <w:tc>
          <w:tcPr>
            <w:tcW w:w="1311" w:type="dxa"/>
            <w:tcBorders>
              <w:top w:val="nil"/>
              <w:left w:val="nil"/>
              <w:bottom w:val="single" w:sz="4" w:space="0" w:color="auto"/>
              <w:right w:val="single" w:sz="4" w:space="0" w:color="auto"/>
            </w:tcBorders>
            <w:shd w:val="clear" w:color="auto" w:fill="auto"/>
            <w:noWrap/>
            <w:vAlign w:val="center"/>
            <w:hideMark/>
          </w:tcPr>
          <w:p w14:paraId="44E50346" w14:textId="77777777" w:rsidR="002D28C5" w:rsidRPr="00024026" w:rsidRDefault="00D57BC7">
            <w:pPr>
              <w:ind w:left="0" w:firstLine="0"/>
              <w:jc w:val="right"/>
              <w:rPr>
                <w:rFonts w:asciiTheme="minorHAnsi" w:eastAsia="Times New Roman" w:hAnsiTheme="minorHAnsi" w:cs="Arial"/>
                <w:sz w:val="20"/>
                <w:szCs w:val="20"/>
              </w:rPr>
            </w:pPr>
            <w:r>
              <w:rPr>
                <w:rFonts w:asciiTheme="minorHAnsi" w:hAnsiTheme="minorHAnsi"/>
                <w:sz w:val="20"/>
              </w:rPr>
              <w:t>3 608</w:t>
            </w:r>
          </w:p>
        </w:tc>
      </w:tr>
      <w:tr w:rsidR="002D28C5" w:rsidRPr="00A217FF" w14:paraId="4054FA3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EFB5BD6" w14:textId="77777777" w:rsidR="002D28C5" w:rsidRPr="00A217FF" w:rsidRDefault="00D57BC7" w:rsidP="00A26E01">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hideMark/>
          </w:tcPr>
          <w:p w14:paraId="1BFF00A7" w14:textId="77777777" w:rsidR="002D28C5" w:rsidRPr="00024026" w:rsidRDefault="000D70C2" w:rsidP="00A26E01">
            <w:pPr>
              <w:ind w:left="0" w:firstLine="0"/>
              <w:jc w:val="right"/>
              <w:rPr>
                <w:rFonts w:asciiTheme="minorHAnsi" w:eastAsia="Times New Roman" w:hAnsiTheme="minorHAnsi" w:cs="Arial"/>
                <w:sz w:val="20"/>
                <w:szCs w:val="20"/>
              </w:rPr>
            </w:pPr>
            <w:r>
              <w:rPr>
                <w:rFonts w:asciiTheme="minorHAnsi" w:hAnsiTheme="minorHAnsi"/>
                <w:sz w:val="20"/>
              </w:rPr>
              <w:t>55</w:t>
            </w:r>
          </w:p>
        </w:tc>
        <w:tc>
          <w:tcPr>
            <w:tcW w:w="1311" w:type="dxa"/>
            <w:tcBorders>
              <w:top w:val="nil"/>
              <w:left w:val="nil"/>
              <w:bottom w:val="single" w:sz="4" w:space="0" w:color="auto"/>
              <w:right w:val="single" w:sz="4" w:space="0" w:color="auto"/>
            </w:tcBorders>
            <w:shd w:val="clear" w:color="auto" w:fill="auto"/>
            <w:noWrap/>
            <w:vAlign w:val="center"/>
            <w:hideMark/>
          </w:tcPr>
          <w:p w14:paraId="20C8CD54" w14:textId="77777777" w:rsidR="002D28C5" w:rsidRPr="00024026" w:rsidRDefault="000D70C2" w:rsidP="00A26E01">
            <w:pPr>
              <w:ind w:left="0" w:firstLine="0"/>
              <w:jc w:val="right"/>
              <w:rPr>
                <w:rFonts w:asciiTheme="minorHAnsi" w:eastAsia="Times New Roman" w:hAnsiTheme="minorHAnsi" w:cs="Arial"/>
                <w:sz w:val="20"/>
                <w:szCs w:val="20"/>
              </w:rPr>
            </w:pPr>
            <w:r>
              <w:rPr>
                <w:rFonts w:asciiTheme="minorHAnsi" w:hAnsiTheme="minorHAnsi"/>
                <w:sz w:val="20"/>
              </w:rPr>
              <w:t>55</w:t>
            </w:r>
          </w:p>
        </w:tc>
        <w:tc>
          <w:tcPr>
            <w:tcW w:w="1311" w:type="dxa"/>
            <w:tcBorders>
              <w:top w:val="nil"/>
              <w:left w:val="nil"/>
              <w:bottom w:val="single" w:sz="4" w:space="0" w:color="auto"/>
              <w:right w:val="single" w:sz="4" w:space="0" w:color="auto"/>
            </w:tcBorders>
            <w:shd w:val="clear" w:color="auto" w:fill="auto"/>
            <w:noWrap/>
            <w:vAlign w:val="center"/>
            <w:hideMark/>
          </w:tcPr>
          <w:p w14:paraId="5279CE01" w14:textId="77777777" w:rsidR="002D28C5" w:rsidRPr="00024026" w:rsidRDefault="000D70C2"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55</w:t>
            </w:r>
          </w:p>
        </w:tc>
        <w:tc>
          <w:tcPr>
            <w:tcW w:w="1311" w:type="dxa"/>
            <w:tcBorders>
              <w:top w:val="nil"/>
              <w:left w:val="nil"/>
              <w:bottom w:val="single" w:sz="4" w:space="0" w:color="auto"/>
              <w:right w:val="single" w:sz="4" w:space="0" w:color="auto"/>
            </w:tcBorders>
            <w:shd w:val="clear" w:color="auto" w:fill="auto"/>
            <w:noWrap/>
            <w:vAlign w:val="center"/>
            <w:hideMark/>
          </w:tcPr>
          <w:p w14:paraId="25E0E8F0" w14:textId="77777777" w:rsidR="002D28C5" w:rsidRPr="00024026" w:rsidRDefault="000D70C2" w:rsidP="00A26E01">
            <w:pPr>
              <w:ind w:left="0" w:firstLine="0"/>
              <w:jc w:val="right"/>
              <w:rPr>
                <w:rFonts w:asciiTheme="minorHAnsi" w:eastAsia="Times New Roman" w:hAnsiTheme="minorHAnsi" w:cs="Arial"/>
                <w:sz w:val="20"/>
                <w:szCs w:val="20"/>
              </w:rPr>
            </w:pPr>
            <w:r>
              <w:rPr>
                <w:rFonts w:asciiTheme="minorHAnsi" w:hAnsiTheme="minorHAnsi"/>
                <w:sz w:val="20"/>
              </w:rPr>
              <w:t>165</w:t>
            </w:r>
          </w:p>
        </w:tc>
      </w:tr>
      <w:tr w:rsidR="002D28C5" w:rsidRPr="00A217FF" w14:paraId="01111458"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1710885F" w14:textId="77777777" w:rsidR="002D28C5" w:rsidRPr="00A217FF"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D. Apoyo a las iniciativas regionales</w:t>
            </w:r>
          </w:p>
        </w:tc>
        <w:tc>
          <w:tcPr>
            <w:tcW w:w="1311" w:type="dxa"/>
            <w:tcBorders>
              <w:top w:val="nil"/>
              <w:left w:val="nil"/>
              <w:bottom w:val="single" w:sz="4" w:space="0" w:color="auto"/>
              <w:right w:val="single" w:sz="4" w:space="0" w:color="auto"/>
            </w:tcBorders>
            <w:shd w:val="clear" w:color="000000" w:fill="C4D79B"/>
            <w:noWrap/>
            <w:vAlign w:val="center"/>
            <w:hideMark/>
          </w:tcPr>
          <w:p w14:paraId="704C5D4E"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hideMark/>
          </w:tcPr>
          <w:p w14:paraId="3CA46D67"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hideMark/>
          </w:tcPr>
          <w:p w14:paraId="0B05C9D5"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hideMark/>
          </w:tcPr>
          <w:p w14:paraId="781CB9CE"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300</w:t>
            </w:r>
          </w:p>
        </w:tc>
      </w:tr>
      <w:tr w:rsidR="002D28C5" w:rsidRPr="00A217FF" w14:paraId="76F377F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74614DE" w14:textId="77777777" w:rsidR="002D28C5" w:rsidRPr="00A217FF" w:rsidRDefault="002D28C5" w:rsidP="00CE4746">
            <w:pPr>
              <w:ind w:left="0" w:firstLine="0"/>
              <w:rPr>
                <w:rFonts w:asciiTheme="minorHAnsi" w:eastAsia="Times New Roman" w:hAnsiTheme="minorHAnsi" w:cs="Arial"/>
                <w:sz w:val="20"/>
                <w:szCs w:val="20"/>
              </w:rPr>
            </w:pPr>
            <w:r>
              <w:rPr>
                <w:rFonts w:asciiTheme="minorHAnsi" w:hAnsiTheme="minorHAnsi"/>
                <w:sz w:val="20"/>
              </w:rPr>
              <w:t>Redes y centros regionales</w:t>
            </w:r>
          </w:p>
        </w:tc>
        <w:tc>
          <w:tcPr>
            <w:tcW w:w="1311" w:type="dxa"/>
            <w:tcBorders>
              <w:top w:val="nil"/>
              <w:left w:val="nil"/>
              <w:bottom w:val="single" w:sz="4" w:space="0" w:color="auto"/>
              <w:right w:val="single" w:sz="4" w:space="0" w:color="auto"/>
            </w:tcBorders>
            <w:shd w:val="clear" w:color="auto" w:fill="auto"/>
            <w:noWrap/>
            <w:vAlign w:val="center"/>
            <w:hideMark/>
          </w:tcPr>
          <w:p w14:paraId="269B3229"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2AE02600"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741E9AB0" w14:textId="77777777" w:rsidR="002D28C5" w:rsidRPr="00024026" w:rsidRDefault="00D57BC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55213B79"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300</w:t>
            </w:r>
          </w:p>
        </w:tc>
      </w:tr>
      <w:tr w:rsidR="002D28C5" w:rsidRPr="00A217FF" w14:paraId="3972BA55"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754ECF04" w14:textId="77777777" w:rsidR="002D28C5" w:rsidRPr="00A217FF"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E. Ciencia y Políticas</w:t>
            </w:r>
          </w:p>
        </w:tc>
        <w:tc>
          <w:tcPr>
            <w:tcW w:w="1311" w:type="dxa"/>
            <w:tcBorders>
              <w:top w:val="nil"/>
              <w:left w:val="nil"/>
              <w:bottom w:val="single" w:sz="4" w:space="0" w:color="auto"/>
              <w:right w:val="single" w:sz="4" w:space="0" w:color="auto"/>
            </w:tcBorders>
            <w:shd w:val="clear" w:color="000000" w:fill="C4D79B"/>
            <w:noWrap/>
            <w:vAlign w:val="center"/>
            <w:hideMark/>
          </w:tcPr>
          <w:p w14:paraId="6B68CFF3" w14:textId="77777777" w:rsidR="002D28C5" w:rsidRPr="00586541" w:rsidRDefault="000D70C2" w:rsidP="00A26E01">
            <w:pPr>
              <w:ind w:left="0" w:firstLine="0"/>
              <w:jc w:val="right"/>
              <w:rPr>
                <w:rFonts w:eastAsia="Times New Roman" w:cs="Arial"/>
                <w:b/>
                <w:bCs/>
                <w:color w:val="000000"/>
                <w:sz w:val="20"/>
                <w:szCs w:val="20"/>
              </w:rPr>
            </w:pPr>
            <w:r>
              <w:rPr>
                <w:b/>
                <w:color w:val="000000"/>
                <w:sz w:val="20"/>
              </w:rPr>
              <w:t>987</w:t>
            </w:r>
          </w:p>
        </w:tc>
        <w:tc>
          <w:tcPr>
            <w:tcW w:w="1311" w:type="dxa"/>
            <w:tcBorders>
              <w:top w:val="nil"/>
              <w:left w:val="nil"/>
              <w:bottom w:val="single" w:sz="4" w:space="0" w:color="auto"/>
              <w:right w:val="single" w:sz="4" w:space="0" w:color="auto"/>
            </w:tcBorders>
            <w:shd w:val="clear" w:color="000000" w:fill="C4D79B"/>
            <w:noWrap/>
            <w:vAlign w:val="center"/>
            <w:hideMark/>
          </w:tcPr>
          <w:p w14:paraId="2EFE9517" w14:textId="77777777" w:rsidR="002D28C5" w:rsidRPr="00586541" w:rsidRDefault="000D70C2" w:rsidP="00A26E01">
            <w:pPr>
              <w:ind w:left="0" w:firstLine="0"/>
              <w:jc w:val="right"/>
              <w:rPr>
                <w:rFonts w:eastAsia="Times New Roman" w:cs="Arial"/>
                <w:b/>
                <w:bCs/>
                <w:color w:val="000000"/>
                <w:sz w:val="20"/>
                <w:szCs w:val="20"/>
              </w:rPr>
            </w:pPr>
            <w:r>
              <w:rPr>
                <w:b/>
                <w:color w:val="000000"/>
                <w:sz w:val="20"/>
              </w:rPr>
              <w:t>986</w:t>
            </w:r>
          </w:p>
        </w:tc>
        <w:tc>
          <w:tcPr>
            <w:tcW w:w="1311" w:type="dxa"/>
            <w:tcBorders>
              <w:top w:val="nil"/>
              <w:left w:val="nil"/>
              <w:bottom w:val="single" w:sz="4" w:space="0" w:color="auto"/>
              <w:right w:val="single" w:sz="4" w:space="0" w:color="auto"/>
            </w:tcBorders>
            <w:shd w:val="clear" w:color="000000" w:fill="C4D79B"/>
            <w:noWrap/>
            <w:vAlign w:val="center"/>
            <w:hideMark/>
          </w:tcPr>
          <w:p w14:paraId="77AA57E9" w14:textId="77777777" w:rsidR="002D28C5" w:rsidRPr="00586541" w:rsidRDefault="000D70C2" w:rsidP="00A26E01">
            <w:pPr>
              <w:ind w:left="0" w:firstLine="0"/>
              <w:jc w:val="right"/>
              <w:rPr>
                <w:rFonts w:eastAsia="Times New Roman" w:cs="Arial"/>
                <w:b/>
                <w:bCs/>
                <w:color w:val="000000"/>
                <w:sz w:val="20"/>
                <w:szCs w:val="20"/>
              </w:rPr>
            </w:pPr>
            <w:r>
              <w:rPr>
                <w:b/>
                <w:color w:val="000000"/>
                <w:sz w:val="20"/>
              </w:rPr>
              <w:t>994</w:t>
            </w:r>
          </w:p>
        </w:tc>
        <w:tc>
          <w:tcPr>
            <w:tcW w:w="1311" w:type="dxa"/>
            <w:tcBorders>
              <w:top w:val="nil"/>
              <w:left w:val="nil"/>
              <w:bottom w:val="single" w:sz="4" w:space="0" w:color="auto"/>
              <w:right w:val="single" w:sz="4" w:space="0" w:color="auto"/>
            </w:tcBorders>
            <w:shd w:val="clear" w:color="000000" w:fill="C4D79B"/>
            <w:noWrap/>
            <w:vAlign w:val="center"/>
            <w:hideMark/>
          </w:tcPr>
          <w:p w14:paraId="5CFB8D90" w14:textId="77777777" w:rsidR="002D28C5" w:rsidRPr="00586541" w:rsidRDefault="00D57BC7" w:rsidP="00A26E01">
            <w:pPr>
              <w:ind w:left="0" w:firstLine="0"/>
              <w:jc w:val="right"/>
              <w:rPr>
                <w:rFonts w:eastAsia="Times New Roman" w:cs="Arial"/>
                <w:b/>
                <w:bCs/>
                <w:color w:val="000000"/>
                <w:sz w:val="20"/>
                <w:szCs w:val="20"/>
              </w:rPr>
            </w:pPr>
            <w:r>
              <w:rPr>
                <w:b/>
                <w:color w:val="000000"/>
                <w:sz w:val="20"/>
              </w:rPr>
              <w:t>2 967</w:t>
            </w:r>
          </w:p>
        </w:tc>
      </w:tr>
      <w:tr w:rsidR="002D28C5" w:rsidRPr="00A217FF" w14:paraId="57ED7BD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16333BD"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55C47981" w14:textId="77777777" w:rsidR="002D28C5" w:rsidRPr="00586541" w:rsidRDefault="00801BF2" w:rsidP="00A26E01">
            <w:pPr>
              <w:ind w:left="0" w:firstLine="0"/>
              <w:jc w:val="right"/>
              <w:rPr>
                <w:rFonts w:eastAsia="Times New Roman" w:cs="Arial"/>
                <w:sz w:val="20"/>
                <w:szCs w:val="20"/>
              </w:rPr>
            </w:pPr>
            <w:r>
              <w:rPr>
                <w:sz w:val="20"/>
              </w:rPr>
              <w:t>839</w:t>
            </w:r>
          </w:p>
        </w:tc>
        <w:tc>
          <w:tcPr>
            <w:tcW w:w="1311" w:type="dxa"/>
            <w:tcBorders>
              <w:top w:val="nil"/>
              <w:left w:val="nil"/>
              <w:bottom w:val="single" w:sz="4" w:space="0" w:color="auto"/>
              <w:right w:val="single" w:sz="4" w:space="0" w:color="auto"/>
            </w:tcBorders>
            <w:shd w:val="clear" w:color="auto" w:fill="auto"/>
            <w:noWrap/>
            <w:vAlign w:val="center"/>
            <w:hideMark/>
          </w:tcPr>
          <w:p w14:paraId="6D762B45" w14:textId="77777777" w:rsidR="002D28C5" w:rsidRPr="00586541" w:rsidRDefault="00801BF2" w:rsidP="00A26E01">
            <w:pPr>
              <w:ind w:left="0" w:firstLine="0"/>
              <w:jc w:val="right"/>
              <w:rPr>
                <w:rFonts w:eastAsia="Times New Roman" w:cs="Arial"/>
                <w:sz w:val="20"/>
                <w:szCs w:val="20"/>
              </w:rPr>
            </w:pPr>
            <w:r>
              <w:rPr>
                <w:sz w:val="20"/>
              </w:rPr>
              <w:t>848</w:t>
            </w:r>
          </w:p>
        </w:tc>
        <w:tc>
          <w:tcPr>
            <w:tcW w:w="1311" w:type="dxa"/>
            <w:tcBorders>
              <w:top w:val="nil"/>
              <w:left w:val="nil"/>
              <w:bottom w:val="single" w:sz="4" w:space="0" w:color="auto"/>
              <w:right w:val="single" w:sz="4" w:space="0" w:color="auto"/>
            </w:tcBorders>
            <w:shd w:val="clear" w:color="auto" w:fill="auto"/>
            <w:noWrap/>
            <w:vAlign w:val="center"/>
            <w:hideMark/>
          </w:tcPr>
          <w:p w14:paraId="6966E076" w14:textId="77777777" w:rsidR="002D28C5" w:rsidRPr="00586541" w:rsidRDefault="00E52A06" w:rsidP="00A26E01">
            <w:pPr>
              <w:ind w:left="0" w:firstLine="0"/>
              <w:jc w:val="right"/>
              <w:rPr>
                <w:rFonts w:eastAsia="Times New Roman" w:cs="Arial"/>
                <w:sz w:val="20"/>
                <w:szCs w:val="20"/>
              </w:rPr>
            </w:pPr>
            <w:r>
              <w:rPr>
                <w:sz w:val="20"/>
              </w:rPr>
              <w:t>856</w:t>
            </w:r>
          </w:p>
        </w:tc>
        <w:tc>
          <w:tcPr>
            <w:tcW w:w="1311" w:type="dxa"/>
            <w:tcBorders>
              <w:top w:val="nil"/>
              <w:left w:val="nil"/>
              <w:bottom w:val="single" w:sz="4" w:space="0" w:color="auto"/>
              <w:right w:val="single" w:sz="4" w:space="0" w:color="auto"/>
            </w:tcBorders>
            <w:shd w:val="clear" w:color="auto" w:fill="auto"/>
            <w:noWrap/>
            <w:vAlign w:val="center"/>
            <w:hideMark/>
          </w:tcPr>
          <w:p w14:paraId="2ABE0C60" w14:textId="77777777" w:rsidR="002D28C5" w:rsidRPr="00586541" w:rsidRDefault="00E52A06" w:rsidP="00A26E01">
            <w:pPr>
              <w:ind w:left="0" w:firstLine="0"/>
              <w:jc w:val="right"/>
              <w:rPr>
                <w:rFonts w:eastAsia="Times New Roman" w:cs="Arial"/>
                <w:sz w:val="20"/>
                <w:szCs w:val="20"/>
              </w:rPr>
            </w:pPr>
            <w:r>
              <w:rPr>
                <w:sz w:val="20"/>
              </w:rPr>
              <w:t>2 543</w:t>
            </w:r>
          </w:p>
        </w:tc>
      </w:tr>
      <w:tr w:rsidR="002D28C5" w:rsidRPr="00A217FF" w14:paraId="4D40108A"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CB5C7F1"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Trabajo del GECT</w:t>
            </w:r>
          </w:p>
        </w:tc>
        <w:tc>
          <w:tcPr>
            <w:tcW w:w="1311" w:type="dxa"/>
            <w:tcBorders>
              <w:top w:val="nil"/>
              <w:left w:val="nil"/>
              <w:bottom w:val="single" w:sz="4" w:space="0" w:color="auto"/>
              <w:right w:val="single" w:sz="4" w:space="0" w:color="auto"/>
            </w:tcBorders>
            <w:shd w:val="clear" w:color="auto" w:fill="auto"/>
            <w:noWrap/>
            <w:vAlign w:val="center"/>
            <w:hideMark/>
          </w:tcPr>
          <w:p w14:paraId="74C44FA6" w14:textId="77777777" w:rsidR="002D28C5" w:rsidRPr="00586541" w:rsidRDefault="00BA72D6" w:rsidP="00A26E01">
            <w:pPr>
              <w:ind w:left="0" w:firstLine="0"/>
              <w:jc w:val="right"/>
              <w:rPr>
                <w:rFonts w:eastAsia="Times New Roman" w:cs="Arial"/>
                <w:sz w:val="20"/>
                <w:szCs w:val="20"/>
              </w:rPr>
            </w:pPr>
            <w:r>
              <w:rPr>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2A30911C" w14:textId="77777777" w:rsidR="002D28C5" w:rsidRPr="00586541" w:rsidRDefault="00BA72D6" w:rsidP="00A26E01">
            <w:pPr>
              <w:ind w:left="0" w:firstLine="0"/>
              <w:jc w:val="right"/>
              <w:rPr>
                <w:rFonts w:eastAsia="Times New Roman" w:cs="Arial"/>
                <w:sz w:val="20"/>
                <w:szCs w:val="20"/>
              </w:rPr>
            </w:pPr>
            <w:r>
              <w:rPr>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243BB81D" w14:textId="77777777" w:rsidR="002D28C5" w:rsidRPr="00586541" w:rsidRDefault="00BA72D6" w:rsidP="00A26E01">
            <w:pPr>
              <w:ind w:left="0" w:firstLine="0"/>
              <w:jc w:val="right"/>
              <w:rPr>
                <w:rFonts w:eastAsia="Times New Roman" w:cs="Arial"/>
                <w:sz w:val="20"/>
                <w:szCs w:val="20"/>
              </w:rPr>
            </w:pPr>
            <w:r>
              <w:rPr>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2212FB51" w14:textId="77777777" w:rsidR="002D28C5" w:rsidRPr="00586541" w:rsidRDefault="00BA72D6" w:rsidP="00A26E01">
            <w:pPr>
              <w:ind w:left="0" w:firstLine="0"/>
              <w:jc w:val="right"/>
              <w:rPr>
                <w:rFonts w:eastAsia="Times New Roman" w:cs="Arial"/>
                <w:sz w:val="20"/>
                <w:szCs w:val="20"/>
              </w:rPr>
            </w:pPr>
            <w:r>
              <w:rPr>
                <w:sz w:val="20"/>
              </w:rPr>
              <w:t>105</w:t>
            </w:r>
          </w:p>
        </w:tc>
      </w:tr>
      <w:tr w:rsidR="00D57BC7" w:rsidRPr="00A217FF" w14:paraId="2664E1B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DC76E3A" w14:textId="77777777" w:rsidR="00D57BC7" w:rsidRPr="00A217FF" w:rsidRDefault="00D57BC7" w:rsidP="00A26E01">
            <w:pPr>
              <w:ind w:left="0" w:firstLine="0"/>
              <w:rPr>
                <w:rFonts w:asciiTheme="minorHAnsi" w:eastAsia="Times New Roman" w:hAnsiTheme="minorHAnsi" w:cs="Arial"/>
                <w:sz w:val="20"/>
                <w:szCs w:val="20"/>
              </w:rPr>
            </w:pPr>
            <w:r>
              <w:rPr>
                <w:rFonts w:asciiTheme="minorHAnsi" w:hAnsiTheme="minorHAnsi"/>
                <w:sz w:val="20"/>
              </w:rPr>
              <w:t>Viajes de la Presidencia del GECT</w:t>
            </w:r>
          </w:p>
        </w:tc>
        <w:tc>
          <w:tcPr>
            <w:tcW w:w="1311" w:type="dxa"/>
            <w:tcBorders>
              <w:top w:val="nil"/>
              <w:left w:val="nil"/>
              <w:bottom w:val="single" w:sz="4" w:space="0" w:color="auto"/>
              <w:right w:val="single" w:sz="4" w:space="0" w:color="auto"/>
            </w:tcBorders>
            <w:shd w:val="clear" w:color="auto" w:fill="auto"/>
            <w:noWrap/>
            <w:vAlign w:val="center"/>
          </w:tcPr>
          <w:p w14:paraId="56DC76B8" w14:textId="77777777" w:rsidR="00D57BC7" w:rsidRPr="00586541" w:rsidDel="00D57BC7" w:rsidRDefault="00DD4C66" w:rsidP="00A26E01">
            <w:pPr>
              <w:ind w:left="0" w:firstLine="0"/>
              <w:jc w:val="right"/>
              <w:rPr>
                <w:rFonts w:eastAsia="Times New Roman" w:cs="Arial"/>
                <w:sz w:val="20"/>
                <w:szCs w:val="20"/>
              </w:rPr>
            </w:pPr>
            <w:r>
              <w:rPr>
                <w:sz w:val="20"/>
              </w:rPr>
              <w:t>5</w:t>
            </w:r>
          </w:p>
        </w:tc>
        <w:tc>
          <w:tcPr>
            <w:tcW w:w="1311" w:type="dxa"/>
            <w:tcBorders>
              <w:top w:val="nil"/>
              <w:left w:val="nil"/>
              <w:bottom w:val="single" w:sz="4" w:space="0" w:color="auto"/>
              <w:right w:val="single" w:sz="4" w:space="0" w:color="auto"/>
            </w:tcBorders>
            <w:shd w:val="clear" w:color="auto" w:fill="auto"/>
            <w:noWrap/>
            <w:vAlign w:val="center"/>
          </w:tcPr>
          <w:p w14:paraId="62C34DE7" w14:textId="77777777" w:rsidR="00D57BC7" w:rsidRPr="00586541" w:rsidDel="00D57BC7" w:rsidRDefault="00DD4C66" w:rsidP="00A26E01">
            <w:pPr>
              <w:ind w:left="0" w:firstLine="0"/>
              <w:jc w:val="right"/>
              <w:rPr>
                <w:rFonts w:eastAsia="Times New Roman" w:cs="Arial"/>
                <w:sz w:val="20"/>
                <w:szCs w:val="20"/>
              </w:rPr>
            </w:pPr>
            <w:r>
              <w:rPr>
                <w:sz w:val="20"/>
              </w:rPr>
              <w:t>5</w:t>
            </w:r>
          </w:p>
        </w:tc>
        <w:tc>
          <w:tcPr>
            <w:tcW w:w="1311" w:type="dxa"/>
            <w:tcBorders>
              <w:top w:val="nil"/>
              <w:left w:val="nil"/>
              <w:bottom w:val="single" w:sz="4" w:space="0" w:color="auto"/>
              <w:right w:val="single" w:sz="4" w:space="0" w:color="auto"/>
            </w:tcBorders>
            <w:shd w:val="clear" w:color="auto" w:fill="auto"/>
            <w:noWrap/>
            <w:vAlign w:val="center"/>
          </w:tcPr>
          <w:p w14:paraId="799087AF" w14:textId="77777777" w:rsidR="00D57BC7" w:rsidRPr="00586541" w:rsidDel="00D57BC7" w:rsidRDefault="00DD4C66" w:rsidP="00A26E01">
            <w:pPr>
              <w:ind w:left="0" w:firstLine="0"/>
              <w:jc w:val="right"/>
              <w:rPr>
                <w:rFonts w:eastAsia="Times New Roman" w:cs="Arial"/>
                <w:sz w:val="20"/>
                <w:szCs w:val="20"/>
              </w:rPr>
            </w:pPr>
            <w:r>
              <w:rPr>
                <w:sz w:val="20"/>
              </w:rPr>
              <w:t>5</w:t>
            </w:r>
          </w:p>
        </w:tc>
        <w:tc>
          <w:tcPr>
            <w:tcW w:w="1311" w:type="dxa"/>
            <w:tcBorders>
              <w:top w:val="nil"/>
              <w:left w:val="nil"/>
              <w:bottom w:val="single" w:sz="4" w:space="0" w:color="auto"/>
              <w:right w:val="single" w:sz="4" w:space="0" w:color="auto"/>
            </w:tcBorders>
            <w:shd w:val="clear" w:color="auto" w:fill="auto"/>
            <w:noWrap/>
            <w:vAlign w:val="center"/>
          </w:tcPr>
          <w:p w14:paraId="38B22C93" w14:textId="77777777" w:rsidR="00D57BC7" w:rsidRPr="00586541" w:rsidDel="00D57BC7" w:rsidRDefault="00DD4C66" w:rsidP="00A26E01">
            <w:pPr>
              <w:ind w:left="0" w:firstLine="0"/>
              <w:jc w:val="right"/>
              <w:rPr>
                <w:rFonts w:eastAsia="Times New Roman" w:cs="Arial"/>
                <w:sz w:val="20"/>
                <w:szCs w:val="20"/>
              </w:rPr>
            </w:pPr>
            <w:r>
              <w:rPr>
                <w:sz w:val="20"/>
              </w:rPr>
              <w:t>15</w:t>
            </w:r>
          </w:p>
        </w:tc>
      </w:tr>
      <w:tr w:rsidR="002D28C5" w:rsidRPr="00A217FF" w14:paraId="1184EC7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734DD71"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Reuniones del GECT</w:t>
            </w:r>
          </w:p>
        </w:tc>
        <w:tc>
          <w:tcPr>
            <w:tcW w:w="1311" w:type="dxa"/>
            <w:tcBorders>
              <w:top w:val="nil"/>
              <w:left w:val="nil"/>
              <w:bottom w:val="single" w:sz="4" w:space="0" w:color="auto"/>
              <w:right w:val="single" w:sz="4" w:space="0" w:color="auto"/>
            </w:tcBorders>
            <w:shd w:val="clear" w:color="auto" w:fill="auto"/>
            <w:noWrap/>
            <w:vAlign w:val="center"/>
            <w:hideMark/>
          </w:tcPr>
          <w:p w14:paraId="121FD9FF" w14:textId="77777777" w:rsidR="002D28C5" w:rsidRPr="00586541" w:rsidRDefault="002D28C5" w:rsidP="00A26E01">
            <w:pPr>
              <w:ind w:left="0" w:firstLine="0"/>
              <w:jc w:val="right"/>
              <w:rPr>
                <w:rFonts w:eastAsia="Times New Roman" w:cs="Arial"/>
                <w:sz w:val="20"/>
                <w:szCs w:val="20"/>
              </w:rPr>
            </w:pPr>
            <w:r>
              <w:rPr>
                <w:sz w:val="20"/>
              </w:rPr>
              <w:t>50</w:t>
            </w:r>
          </w:p>
        </w:tc>
        <w:tc>
          <w:tcPr>
            <w:tcW w:w="1311" w:type="dxa"/>
            <w:tcBorders>
              <w:top w:val="nil"/>
              <w:left w:val="nil"/>
              <w:bottom w:val="single" w:sz="4" w:space="0" w:color="auto"/>
              <w:right w:val="single" w:sz="4" w:space="0" w:color="auto"/>
            </w:tcBorders>
            <w:shd w:val="clear" w:color="auto" w:fill="auto"/>
            <w:noWrap/>
            <w:vAlign w:val="center"/>
            <w:hideMark/>
          </w:tcPr>
          <w:p w14:paraId="6AFAC9FA" w14:textId="77777777" w:rsidR="002D28C5" w:rsidRPr="00586541" w:rsidRDefault="002D28C5" w:rsidP="00A26E01">
            <w:pPr>
              <w:ind w:left="0" w:firstLine="0"/>
              <w:jc w:val="right"/>
              <w:rPr>
                <w:rFonts w:eastAsia="Times New Roman" w:cs="Arial"/>
                <w:sz w:val="20"/>
                <w:szCs w:val="20"/>
              </w:rPr>
            </w:pPr>
            <w:r>
              <w:rPr>
                <w:sz w:val="20"/>
              </w:rPr>
              <w:t>50</w:t>
            </w:r>
          </w:p>
        </w:tc>
        <w:tc>
          <w:tcPr>
            <w:tcW w:w="1311" w:type="dxa"/>
            <w:tcBorders>
              <w:top w:val="nil"/>
              <w:left w:val="nil"/>
              <w:bottom w:val="single" w:sz="4" w:space="0" w:color="auto"/>
              <w:right w:val="single" w:sz="4" w:space="0" w:color="auto"/>
            </w:tcBorders>
            <w:shd w:val="clear" w:color="auto" w:fill="auto"/>
            <w:noWrap/>
            <w:vAlign w:val="center"/>
            <w:hideMark/>
          </w:tcPr>
          <w:p w14:paraId="32235A75" w14:textId="77777777" w:rsidR="002D28C5" w:rsidRPr="00586541" w:rsidRDefault="002D28C5" w:rsidP="00A26E01">
            <w:pPr>
              <w:ind w:left="0" w:firstLine="0"/>
              <w:jc w:val="right"/>
              <w:rPr>
                <w:rFonts w:eastAsia="Times New Roman" w:cs="Arial"/>
                <w:sz w:val="20"/>
                <w:szCs w:val="20"/>
              </w:rPr>
            </w:pPr>
            <w:r>
              <w:rPr>
                <w:sz w:val="20"/>
              </w:rPr>
              <w:t>50</w:t>
            </w:r>
          </w:p>
        </w:tc>
        <w:tc>
          <w:tcPr>
            <w:tcW w:w="1311" w:type="dxa"/>
            <w:tcBorders>
              <w:top w:val="nil"/>
              <w:left w:val="nil"/>
              <w:bottom w:val="single" w:sz="4" w:space="0" w:color="auto"/>
              <w:right w:val="single" w:sz="4" w:space="0" w:color="auto"/>
            </w:tcBorders>
            <w:shd w:val="clear" w:color="auto" w:fill="auto"/>
            <w:noWrap/>
            <w:vAlign w:val="center"/>
            <w:hideMark/>
          </w:tcPr>
          <w:p w14:paraId="1151FDDE" w14:textId="77777777" w:rsidR="002D28C5" w:rsidRPr="00586541" w:rsidRDefault="002D28C5" w:rsidP="00A26E01">
            <w:pPr>
              <w:ind w:left="0" w:firstLine="0"/>
              <w:jc w:val="right"/>
              <w:rPr>
                <w:rFonts w:eastAsia="Times New Roman" w:cs="Arial"/>
                <w:sz w:val="20"/>
                <w:szCs w:val="20"/>
              </w:rPr>
            </w:pPr>
            <w:r>
              <w:rPr>
                <w:sz w:val="20"/>
              </w:rPr>
              <w:t>150</w:t>
            </w:r>
          </w:p>
        </w:tc>
      </w:tr>
      <w:tr w:rsidR="002D28C5" w:rsidRPr="00A217FF" w14:paraId="679A1B6F"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36F66C5"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Servicio de Información sobre Sitios Ramsar y Sistema de datos de los informes nacionales (Mantenimiento y desarrollo)</w:t>
            </w:r>
          </w:p>
        </w:tc>
        <w:tc>
          <w:tcPr>
            <w:tcW w:w="1311" w:type="dxa"/>
            <w:tcBorders>
              <w:top w:val="nil"/>
              <w:left w:val="nil"/>
              <w:bottom w:val="single" w:sz="4" w:space="0" w:color="auto"/>
              <w:right w:val="single" w:sz="4" w:space="0" w:color="auto"/>
            </w:tcBorders>
            <w:shd w:val="clear" w:color="auto" w:fill="auto"/>
            <w:noWrap/>
            <w:vAlign w:val="center"/>
            <w:hideMark/>
          </w:tcPr>
          <w:p w14:paraId="53C6647D" w14:textId="77777777" w:rsidR="002D28C5" w:rsidRPr="00586541" w:rsidRDefault="00CC16E7" w:rsidP="00A26E01">
            <w:pPr>
              <w:ind w:left="0" w:firstLine="0"/>
              <w:jc w:val="right"/>
              <w:rPr>
                <w:rFonts w:eastAsia="Times New Roman" w:cs="Arial"/>
                <w:sz w:val="20"/>
                <w:szCs w:val="20"/>
              </w:rPr>
            </w:pPr>
            <w:r>
              <w:rPr>
                <w:sz w:val="20"/>
              </w:rPr>
              <w:t>40</w:t>
            </w:r>
          </w:p>
        </w:tc>
        <w:tc>
          <w:tcPr>
            <w:tcW w:w="1311" w:type="dxa"/>
            <w:tcBorders>
              <w:top w:val="nil"/>
              <w:left w:val="nil"/>
              <w:bottom w:val="single" w:sz="4" w:space="0" w:color="auto"/>
              <w:right w:val="single" w:sz="4" w:space="0" w:color="auto"/>
            </w:tcBorders>
            <w:shd w:val="clear" w:color="auto" w:fill="auto"/>
            <w:noWrap/>
            <w:vAlign w:val="center"/>
            <w:hideMark/>
          </w:tcPr>
          <w:p w14:paraId="7D09EFD7" w14:textId="77777777" w:rsidR="002D28C5" w:rsidRPr="00586541" w:rsidRDefault="00CC16E7" w:rsidP="00A26E01">
            <w:pPr>
              <w:ind w:left="0" w:firstLine="0"/>
              <w:jc w:val="right"/>
              <w:rPr>
                <w:rFonts w:eastAsia="Times New Roman" w:cs="Arial"/>
                <w:sz w:val="20"/>
                <w:szCs w:val="20"/>
              </w:rPr>
            </w:pPr>
            <w:r>
              <w:rPr>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0143028C" w14:textId="77777777" w:rsidR="002D28C5" w:rsidRPr="00586541" w:rsidRDefault="00CC16E7" w:rsidP="00A26E01">
            <w:pPr>
              <w:ind w:left="0" w:firstLine="0"/>
              <w:jc w:val="right"/>
              <w:rPr>
                <w:rFonts w:eastAsia="Times New Roman" w:cs="Arial"/>
                <w:sz w:val="20"/>
                <w:szCs w:val="20"/>
              </w:rPr>
            </w:pPr>
            <w:r>
              <w:rPr>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02C556A8" w14:textId="77777777" w:rsidR="002D28C5" w:rsidRPr="00586541" w:rsidRDefault="00CC16E7" w:rsidP="00A26E01">
            <w:pPr>
              <w:ind w:left="0" w:firstLine="0"/>
              <w:jc w:val="right"/>
              <w:rPr>
                <w:rFonts w:eastAsia="Times New Roman" w:cs="Arial"/>
                <w:sz w:val="20"/>
                <w:szCs w:val="20"/>
              </w:rPr>
            </w:pPr>
            <w:r>
              <w:rPr>
                <w:sz w:val="20"/>
              </w:rPr>
              <w:t>100</w:t>
            </w:r>
          </w:p>
        </w:tc>
      </w:tr>
      <w:tr w:rsidR="008F481B" w:rsidRPr="00A217FF" w14:paraId="37A02027"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E1B63B4" w14:textId="77777777" w:rsidR="008F481B" w:rsidRPr="00A217FF" w:rsidRDefault="008F481B" w:rsidP="00A26E01">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1BCCAA9D" w14:textId="77777777" w:rsidR="008F481B" w:rsidRPr="00586541" w:rsidDel="00DD4C66" w:rsidRDefault="008F481B" w:rsidP="00A26E01">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5BA01AF" w14:textId="77777777" w:rsidR="008F481B" w:rsidRPr="00586541" w:rsidDel="00DD4C66" w:rsidRDefault="008F481B" w:rsidP="00A26E01">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BDF5657" w14:textId="77777777" w:rsidR="008F481B" w:rsidRPr="00586541" w:rsidDel="00DD4C66" w:rsidRDefault="008F481B" w:rsidP="00A26E01">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6200112F" w14:textId="77777777" w:rsidR="008F481B" w:rsidRPr="00586541" w:rsidDel="00DD4C66" w:rsidRDefault="008F481B" w:rsidP="00A26E01">
            <w:pPr>
              <w:ind w:left="0" w:firstLine="0"/>
              <w:jc w:val="right"/>
              <w:rPr>
                <w:rFonts w:eastAsia="Times New Roman" w:cs="Arial"/>
                <w:sz w:val="20"/>
                <w:szCs w:val="20"/>
              </w:rPr>
            </w:pPr>
            <w:r>
              <w:rPr>
                <w:sz w:val="20"/>
              </w:rPr>
              <w:t>54</w:t>
            </w:r>
          </w:p>
        </w:tc>
      </w:tr>
      <w:tr w:rsidR="002D28C5" w:rsidRPr="00A217FF" w14:paraId="25885961"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14FE371C" w14:textId="77777777" w:rsidR="002D28C5" w:rsidRPr="00A217FF" w:rsidRDefault="000A027C" w:rsidP="00A26E01">
            <w:pPr>
              <w:ind w:left="0" w:firstLine="0"/>
              <w:rPr>
                <w:rFonts w:asciiTheme="minorHAnsi" w:eastAsia="Times New Roman" w:hAnsiTheme="minorHAnsi" w:cs="Arial"/>
                <w:b/>
                <w:bCs/>
                <w:sz w:val="20"/>
                <w:szCs w:val="20"/>
              </w:rPr>
            </w:pPr>
            <w:r>
              <w:rPr>
                <w:rFonts w:asciiTheme="minorHAnsi" w:hAnsiTheme="minorHAnsi"/>
                <w:b/>
                <w:sz w:val="20"/>
              </w:rPr>
              <w:t>F. Administración</w:t>
            </w:r>
          </w:p>
        </w:tc>
        <w:tc>
          <w:tcPr>
            <w:tcW w:w="1311" w:type="dxa"/>
            <w:tcBorders>
              <w:top w:val="nil"/>
              <w:left w:val="nil"/>
              <w:bottom w:val="single" w:sz="4" w:space="0" w:color="auto"/>
              <w:right w:val="single" w:sz="4" w:space="0" w:color="auto"/>
            </w:tcBorders>
            <w:shd w:val="clear" w:color="000000" w:fill="C4D79B"/>
            <w:noWrap/>
            <w:vAlign w:val="center"/>
            <w:hideMark/>
          </w:tcPr>
          <w:p w14:paraId="7794F6D3" w14:textId="77777777" w:rsidR="002D28C5" w:rsidRPr="00586541" w:rsidRDefault="00027EFA" w:rsidP="00A26E01">
            <w:pPr>
              <w:ind w:left="0" w:firstLine="0"/>
              <w:jc w:val="right"/>
              <w:rPr>
                <w:rFonts w:eastAsia="Times New Roman" w:cs="Arial"/>
                <w:b/>
                <w:bCs/>
                <w:color w:val="000000"/>
                <w:sz w:val="20"/>
                <w:szCs w:val="20"/>
              </w:rPr>
            </w:pPr>
            <w:r>
              <w:rPr>
                <w:b/>
                <w:color w:val="000000"/>
                <w:sz w:val="20"/>
              </w:rPr>
              <w:t>503</w:t>
            </w:r>
          </w:p>
        </w:tc>
        <w:tc>
          <w:tcPr>
            <w:tcW w:w="1311" w:type="dxa"/>
            <w:tcBorders>
              <w:top w:val="nil"/>
              <w:left w:val="nil"/>
              <w:bottom w:val="single" w:sz="4" w:space="0" w:color="auto"/>
              <w:right w:val="single" w:sz="4" w:space="0" w:color="auto"/>
            </w:tcBorders>
            <w:shd w:val="clear" w:color="000000" w:fill="C4D79B"/>
            <w:noWrap/>
            <w:vAlign w:val="center"/>
            <w:hideMark/>
          </w:tcPr>
          <w:p w14:paraId="28CDEBB3" w14:textId="77777777" w:rsidR="002D28C5" w:rsidRPr="00586541" w:rsidRDefault="00027EFA" w:rsidP="00145BDD">
            <w:pPr>
              <w:ind w:left="0" w:firstLine="0"/>
              <w:jc w:val="right"/>
              <w:rPr>
                <w:rFonts w:eastAsia="Times New Roman" w:cs="Arial"/>
                <w:b/>
                <w:bCs/>
                <w:color w:val="000000"/>
                <w:sz w:val="20"/>
                <w:szCs w:val="20"/>
              </w:rPr>
            </w:pPr>
            <w:r>
              <w:rPr>
                <w:b/>
                <w:color w:val="000000"/>
                <w:sz w:val="20"/>
              </w:rPr>
              <w:t>478</w:t>
            </w:r>
          </w:p>
        </w:tc>
        <w:tc>
          <w:tcPr>
            <w:tcW w:w="1311" w:type="dxa"/>
            <w:tcBorders>
              <w:top w:val="nil"/>
              <w:left w:val="nil"/>
              <w:bottom w:val="single" w:sz="4" w:space="0" w:color="auto"/>
              <w:right w:val="single" w:sz="4" w:space="0" w:color="auto"/>
            </w:tcBorders>
            <w:shd w:val="clear" w:color="000000" w:fill="C4D79B"/>
            <w:noWrap/>
            <w:vAlign w:val="center"/>
            <w:hideMark/>
          </w:tcPr>
          <w:p w14:paraId="7ED7ECFE" w14:textId="77777777" w:rsidR="002D28C5" w:rsidRPr="00586541" w:rsidRDefault="00027EFA" w:rsidP="00A26E01">
            <w:pPr>
              <w:ind w:left="0" w:firstLine="0"/>
              <w:jc w:val="right"/>
              <w:rPr>
                <w:rFonts w:eastAsia="Times New Roman" w:cs="Arial"/>
                <w:b/>
                <w:bCs/>
                <w:color w:val="000000"/>
                <w:sz w:val="20"/>
                <w:szCs w:val="20"/>
              </w:rPr>
            </w:pPr>
            <w:r>
              <w:rPr>
                <w:b/>
                <w:color w:val="000000"/>
                <w:sz w:val="20"/>
              </w:rPr>
              <w:t>450</w:t>
            </w:r>
          </w:p>
        </w:tc>
        <w:tc>
          <w:tcPr>
            <w:tcW w:w="1311" w:type="dxa"/>
            <w:tcBorders>
              <w:top w:val="nil"/>
              <w:left w:val="nil"/>
              <w:bottom w:val="single" w:sz="4" w:space="0" w:color="auto"/>
              <w:right w:val="single" w:sz="4" w:space="0" w:color="auto"/>
            </w:tcBorders>
            <w:shd w:val="clear" w:color="000000" w:fill="C4D79B"/>
            <w:noWrap/>
            <w:vAlign w:val="center"/>
            <w:hideMark/>
          </w:tcPr>
          <w:p w14:paraId="3CABCA9A" w14:textId="77777777" w:rsidR="002D28C5" w:rsidRPr="00586541" w:rsidRDefault="00145BDD" w:rsidP="00A26E01">
            <w:pPr>
              <w:ind w:left="0" w:firstLine="0"/>
              <w:jc w:val="right"/>
              <w:rPr>
                <w:rFonts w:eastAsia="Times New Roman" w:cs="Arial"/>
                <w:b/>
                <w:bCs/>
                <w:color w:val="000000"/>
                <w:sz w:val="20"/>
                <w:szCs w:val="20"/>
              </w:rPr>
            </w:pPr>
            <w:r>
              <w:rPr>
                <w:b/>
                <w:color w:val="000000"/>
                <w:sz w:val="20"/>
              </w:rPr>
              <w:t>1 431</w:t>
            </w:r>
          </w:p>
        </w:tc>
      </w:tr>
      <w:tr w:rsidR="002D28C5" w:rsidRPr="00A217FF" w14:paraId="440F86D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AD99322"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07EE88B3" w14:textId="77777777" w:rsidR="002D28C5" w:rsidRPr="00586541" w:rsidRDefault="008D702C" w:rsidP="00A26E01">
            <w:pPr>
              <w:ind w:left="0" w:firstLine="0"/>
              <w:jc w:val="right"/>
              <w:rPr>
                <w:rFonts w:eastAsia="Times New Roman" w:cs="Arial"/>
                <w:sz w:val="20"/>
                <w:szCs w:val="20"/>
              </w:rPr>
            </w:pPr>
            <w:r>
              <w:rPr>
                <w:sz w:val="20"/>
              </w:rPr>
              <w:t>372</w:t>
            </w:r>
          </w:p>
        </w:tc>
        <w:tc>
          <w:tcPr>
            <w:tcW w:w="1311" w:type="dxa"/>
            <w:tcBorders>
              <w:top w:val="nil"/>
              <w:left w:val="nil"/>
              <w:bottom w:val="single" w:sz="4" w:space="0" w:color="auto"/>
              <w:right w:val="single" w:sz="4" w:space="0" w:color="auto"/>
            </w:tcBorders>
            <w:shd w:val="clear" w:color="auto" w:fill="auto"/>
            <w:noWrap/>
            <w:vAlign w:val="center"/>
            <w:hideMark/>
          </w:tcPr>
          <w:p w14:paraId="64FEEC8E" w14:textId="77777777" w:rsidR="002D28C5" w:rsidRPr="00586541" w:rsidRDefault="008D702C" w:rsidP="00A26E01">
            <w:pPr>
              <w:ind w:left="0" w:firstLine="0"/>
              <w:jc w:val="right"/>
              <w:rPr>
                <w:rFonts w:eastAsia="Times New Roman" w:cs="Arial"/>
                <w:sz w:val="20"/>
                <w:szCs w:val="20"/>
              </w:rPr>
            </w:pPr>
            <w:r>
              <w:rPr>
                <w:sz w:val="20"/>
              </w:rPr>
              <w:t>375</w:t>
            </w:r>
          </w:p>
        </w:tc>
        <w:tc>
          <w:tcPr>
            <w:tcW w:w="1311" w:type="dxa"/>
            <w:tcBorders>
              <w:top w:val="nil"/>
              <w:left w:val="nil"/>
              <w:bottom w:val="single" w:sz="4" w:space="0" w:color="auto"/>
              <w:right w:val="single" w:sz="4" w:space="0" w:color="auto"/>
            </w:tcBorders>
            <w:shd w:val="clear" w:color="auto" w:fill="auto"/>
            <w:noWrap/>
            <w:vAlign w:val="center"/>
            <w:hideMark/>
          </w:tcPr>
          <w:p w14:paraId="22C5DFE6" w14:textId="77777777" w:rsidR="002D28C5" w:rsidRPr="00586541" w:rsidRDefault="008D702C">
            <w:pPr>
              <w:ind w:left="0" w:firstLine="0"/>
              <w:jc w:val="right"/>
              <w:rPr>
                <w:rFonts w:eastAsia="Times New Roman" w:cs="Arial"/>
                <w:sz w:val="20"/>
                <w:szCs w:val="20"/>
              </w:rPr>
            </w:pPr>
            <w:r>
              <w:rPr>
                <w:sz w:val="20"/>
              </w:rPr>
              <w:t>379</w:t>
            </w:r>
          </w:p>
        </w:tc>
        <w:tc>
          <w:tcPr>
            <w:tcW w:w="1311" w:type="dxa"/>
            <w:tcBorders>
              <w:top w:val="nil"/>
              <w:left w:val="nil"/>
              <w:bottom w:val="single" w:sz="4" w:space="0" w:color="auto"/>
              <w:right w:val="single" w:sz="4" w:space="0" w:color="auto"/>
            </w:tcBorders>
            <w:shd w:val="clear" w:color="auto" w:fill="auto"/>
            <w:noWrap/>
            <w:vAlign w:val="center"/>
            <w:hideMark/>
          </w:tcPr>
          <w:p w14:paraId="1C2B4C01" w14:textId="77777777" w:rsidR="002D28C5" w:rsidRPr="00586541" w:rsidRDefault="00DD4C66" w:rsidP="00A26E01">
            <w:pPr>
              <w:ind w:left="0" w:firstLine="0"/>
              <w:jc w:val="right"/>
              <w:rPr>
                <w:rFonts w:eastAsia="Times New Roman" w:cs="Arial"/>
                <w:sz w:val="20"/>
                <w:szCs w:val="20"/>
              </w:rPr>
            </w:pPr>
            <w:r>
              <w:rPr>
                <w:sz w:val="20"/>
              </w:rPr>
              <w:t>1 126</w:t>
            </w:r>
          </w:p>
        </w:tc>
      </w:tr>
      <w:tr w:rsidR="002D28C5" w:rsidRPr="00A217FF" w14:paraId="112D9D4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2B50D6C"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Costos de contratación y separación del personal</w:t>
            </w:r>
          </w:p>
        </w:tc>
        <w:tc>
          <w:tcPr>
            <w:tcW w:w="1311" w:type="dxa"/>
            <w:tcBorders>
              <w:top w:val="nil"/>
              <w:left w:val="nil"/>
              <w:bottom w:val="single" w:sz="4" w:space="0" w:color="auto"/>
              <w:right w:val="single" w:sz="4" w:space="0" w:color="auto"/>
            </w:tcBorders>
            <w:shd w:val="clear" w:color="auto" w:fill="auto"/>
            <w:noWrap/>
            <w:vAlign w:val="center"/>
            <w:hideMark/>
          </w:tcPr>
          <w:p w14:paraId="16D0B2DE" w14:textId="77777777" w:rsidR="002D28C5" w:rsidRPr="00586541" w:rsidRDefault="00417F96" w:rsidP="00A26E01">
            <w:pPr>
              <w:ind w:left="0" w:firstLine="0"/>
              <w:jc w:val="right"/>
              <w:rPr>
                <w:rFonts w:eastAsia="Times New Roman" w:cs="Arial"/>
                <w:sz w:val="20"/>
                <w:szCs w:val="20"/>
              </w:rPr>
            </w:pPr>
            <w:r>
              <w:rPr>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5F6A9ED3" w14:textId="77777777" w:rsidR="002D28C5" w:rsidRPr="00586541" w:rsidRDefault="00417F96" w:rsidP="00A26E01">
            <w:pPr>
              <w:ind w:left="0" w:firstLine="0"/>
              <w:jc w:val="right"/>
              <w:rPr>
                <w:rFonts w:eastAsia="Times New Roman" w:cs="Arial"/>
                <w:sz w:val="20"/>
                <w:szCs w:val="20"/>
              </w:rPr>
            </w:pPr>
            <w:r>
              <w:rPr>
                <w:sz w:val="20"/>
              </w:rPr>
              <w:t>42</w:t>
            </w:r>
          </w:p>
        </w:tc>
        <w:tc>
          <w:tcPr>
            <w:tcW w:w="1311" w:type="dxa"/>
            <w:tcBorders>
              <w:top w:val="nil"/>
              <w:left w:val="nil"/>
              <w:bottom w:val="single" w:sz="4" w:space="0" w:color="auto"/>
              <w:right w:val="single" w:sz="4" w:space="0" w:color="auto"/>
            </w:tcBorders>
            <w:shd w:val="clear" w:color="auto" w:fill="auto"/>
            <w:noWrap/>
            <w:vAlign w:val="center"/>
            <w:hideMark/>
          </w:tcPr>
          <w:p w14:paraId="185BFCFD" w14:textId="77777777" w:rsidR="002D28C5" w:rsidRPr="00586541" w:rsidRDefault="00417F96" w:rsidP="00A26E01">
            <w:pPr>
              <w:ind w:left="0" w:firstLine="0"/>
              <w:jc w:val="right"/>
              <w:rPr>
                <w:rFonts w:eastAsia="Times New Roman" w:cs="Arial"/>
                <w:sz w:val="20"/>
                <w:szCs w:val="20"/>
              </w:rPr>
            </w:pPr>
            <w:r>
              <w:rPr>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1C0544D0" w14:textId="77777777" w:rsidR="002D28C5" w:rsidRPr="00586541" w:rsidRDefault="00417F96" w:rsidP="00A26E01">
            <w:pPr>
              <w:ind w:left="0" w:firstLine="0"/>
              <w:jc w:val="right"/>
              <w:rPr>
                <w:rFonts w:eastAsia="Times New Roman" w:cs="Arial"/>
                <w:sz w:val="20"/>
                <w:szCs w:val="20"/>
              </w:rPr>
            </w:pPr>
            <w:r>
              <w:rPr>
                <w:sz w:val="20"/>
              </w:rPr>
              <w:t>132</w:t>
            </w:r>
          </w:p>
        </w:tc>
      </w:tr>
      <w:tr w:rsidR="002D28C5" w:rsidRPr="00A217FF" w14:paraId="1B0B596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DF88697" w14:textId="77777777" w:rsidR="002D28C5" w:rsidRPr="00A217FF" w:rsidRDefault="00DD4C66" w:rsidP="00DC0EBF">
            <w:pPr>
              <w:ind w:left="0" w:firstLine="0"/>
              <w:rPr>
                <w:rFonts w:asciiTheme="minorHAnsi" w:eastAsia="Times New Roman" w:hAnsiTheme="minorHAnsi" w:cs="Arial"/>
                <w:sz w:val="20"/>
                <w:szCs w:val="20"/>
              </w:rPr>
            </w:pPr>
            <w:r>
              <w:rPr>
                <w:rFonts w:asciiTheme="minorHAnsi" w:hAnsiTheme="minorHAnsi"/>
                <w:sz w:val="20"/>
              </w:rPr>
              <w:t>Equipo/material de oficina</w:t>
            </w:r>
          </w:p>
        </w:tc>
        <w:tc>
          <w:tcPr>
            <w:tcW w:w="1311" w:type="dxa"/>
            <w:tcBorders>
              <w:top w:val="nil"/>
              <w:left w:val="nil"/>
              <w:bottom w:val="single" w:sz="4" w:space="0" w:color="auto"/>
              <w:right w:val="single" w:sz="4" w:space="0" w:color="auto"/>
            </w:tcBorders>
            <w:shd w:val="clear" w:color="auto" w:fill="auto"/>
            <w:noWrap/>
            <w:vAlign w:val="center"/>
            <w:hideMark/>
          </w:tcPr>
          <w:p w14:paraId="62500CBF" w14:textId="77777777" w:rsidR="002D28C5" w:rsidRPr="00586541" w:rsidRDefault="00CF55B1" w:rsidP="00A26E01">
            <w:pPr>
              <w:ind w:left="0" w:firstLine="0"/>
              <w:jc w:val="right"/>
              <w:rPr>
                <w:rFonts w:eastAsia="Times New Roman" w:cs="Arial"/>
                <w:sz w:val="20"/>
                <w:szCs w:val="20"/>
              </w:rPr>
            </w:pPr>
            <w:r>
              <w:rPr>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3405D693" w14:textId="77777777" w:rsidR="002D28C5" w:rsidRPr="00586541" w:rsidRDefault="00817E2B" w:rsidP="00A26E01">
            <w:pPr>
              <w:ind w:left="0" w:firstLine="0"/>
              <w:jc w:val="right"/>
              <w:rPr>
                <w:rFonts w:eastAsia="Times New Roman" w:cs="Arial"/>
                <w:sz w:val="20"/>
                <w:szCs w:val="20"/>
              </w:rPr>
            </w:pPr>
            <w:r>
              <w:rPr>
                <w:sz w:val="20"/>
              </w:rPr>
              <w:t>50</w:t>
            </w:r>
          </w:p>
        </w:tc>
        <w:tc>
          <w:tcPr>
            <w:tcW w:w="1311" w:type="dxa"/>
            <w:tcBorders>
              <w:top w:val="nil"/>
              <w:left w:val="nil"/>
              <w:bottom w:val="single" w:sz="4" w:space="0" w:color="auto"/>
              <w:right w:val="single" w:sz="4" w:space="0" w:color="auto"/>
            </w:tcBorders>
            <w:shd w:val="clear" w:color="auto" w:fill="auto"/>
            <w:noWrap/>
            <w:vAlign w:val="center"/>
            <w:hideMark/>
          </w:tcPr>
          <w:p w14:paraId="5F05A16A" w14:textId="77777777" w:rsidR="002D28C5" w:rsidRPr="00586541" w:rsidRDefault="00817E2B" w:rsidP="00A26E01">
            <w:pPr>
              <w:ind w:left="0" w:firstLine="0"/>
              <w:jc w:val="right"/>
              <w:rPr>
                <w:rFonts w:eastAsia="Times New Roman" w:cs="Arial"/>
                <w:sz w:val="20"/>
                <w:szCs w:val="20"/>
              </w:rPr>
            </w:pPr>
            <w:r>
              <w:rPr>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760E3B71" w14:textId="77777777" w:rsidR="002D28C5" w:rsidRPr="00586541" w:rsidRDefault="00817E2B" w:rsidP="00A26E01">
            <w:pPr>
              <w:ind w:left="0" w:firstLine="0"/>
              <w:jc w:val="right"/>
              <w:rPr>
                <w:rFonts w:eastAsia="Times New Roman" w:cs="Arial"/>
                <w:sz w:val="20"/>
                <w:szCs w:val="20"/>
              </w:rPr>
            </w:pPr>
            <w:r>
              <w:rPr>
                <w:sz w:val="20"/>
              </w:rPr>
              <w:t>140</w:t>
            </w:r>
          </w:p>
        </w:tc>
      </w:tr>
      <w:tr w:rsidR="002D28C5" w:rsidRPr="00A217FF" w14:paraId="20D0D3DF"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D70DDD8"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Planificación y creación de capacidad</w:t>
            </w:r>
          </w:p>
        </w:tc>
        <w:tc>
          <w:tcPr>
            <w:tcW w:w="1311" w:type="dxa"/>
            <w:tcBorders>
              <w:top w:val="nil"/>
              <w:left w:val="nil"/>
              <w:bottom w:val="single" w:sz="4" w:space="0" w:color="auto"/>
              <w:right w:val="single" w:sz="4" w:space="0" w:color="auto"/>
            </w:tcBorders>
            <w:shd w:val="clear" w:color="auto" w:fill="auto"/>
            <w:noWrap/>
            <w:vAlign w:val="center"/>
            <w:hideMark/>
          </w:tcPr>
          <w:p w14:paraId="0DFB67C3" w14:textId="77777777" w:rsidR="002D28C5" w:rsidRPr="00586541" w:rsidRDefault="00DD4C66" w:rsidP="00A26E01">
            <w:pPr>
              <w:ind w:left="0" w:firstLine="0"/>
              <w:jc w:val="right"/>
              <w:rPr>
                <w:rFonts w:eastAsia="Times New Roman" w:cs="Arial"/>
                <w:sz w:val="20"/>
                <w:szCs w:val="20"/>
              </w:rPr>
            </w:pPr>
            <w:r>
              <w:rPr>
                <w:sz w:val="20"/>
              </w:rPr>
              <w:t>11</w:t>
            </w:r>
          </w:p>
        </w:tc>
        <w:tc>
          <w:tcPr>
            <w:tcW w:w="1311" w:type="dxa"/>
            <w:tcBorders>
              <w:top w:val="nil"/>
              <w:left w:val="nil"/>
              <w:bottom w:val="single" w:sz="4" w:space="0" w:color="auto"/>
              <w:right w:val="single" w:sz="4" w:space="0" w:color="auto"/>
            </w:tcBorders>
            <w:shd w:val="clear" w:color="auto" w:fill="auto"/>
            <w:noWrap/>
            <w:vAlign w:val="center"/>
            <w:hideMark/>
          </w:tcPr>
          <w:p w14:paraId="00C8517A" w14:textId="77777777" w:rsidR="002D28C5" w:rsidRPr="00586541" w:rsidRDefault="00DD4C66" w:rsidP="00A26E01">
            <w:pPr>
              <w:ind w:left="0" w:firstLine="0"/>
              <w:jc w:val="right"/>
              <w:rPr>
                <w:rFonts w:eastAsia="Times New Roman" w:cs="Arial"/>
                <w:sz w:val="20"/>
                <w:szCs w:val="20"/>
              </w:rPr>
            </w:pPr>
            <w:r>
              <w:rPr>
                <w:sz w:val="20"/>
              </w:rPr>
              <w:t>11</w:t>
            </w:r>
          </w:p>
        </w:tc>
        <w:tc>
          <w:tcPr>
            <w:tcW w:w="1311" w:type="dxa"/>
            <w:tcBorders>
              <w:top w:val="nil"/>
              <w:left w:val="nil"/>
              <w:bottom w:val="single" w:sz="4" w:space="0" w:color="auto"/>
              <w:right w:val="single" w:sz="4" w:space="0" w:color="auto"/>
            </w:tcBorders>
            <w:shd w:val="clear" w:color="auto" w:fill="auto"/>
            <w:noWrap/>
            <w:vAlign w:val="center"/>
            <w:hideMark/>
          </w:tcPr>
          <w:p w14:paraId="1FEA5A30" w14:textId="77777777" w:rsidR="002D28C5" w:rsidRPr="00586541" w:rsidRDefault="00DD4C66" w:rsidP="00A26E01">
            <w:pPr>
              <w:ind w:left="0" w:firstLine="0"/>
              <w:jc w:val="right"/>
              <w:rPr>
                <w:rFonts w:eastAsia="Times New Roman" w:cs="Arial"/>
                <w:sz w:val="20"/>
                <w:szCs w:val="20"/>
              </w:rPr>
            </w:pPr>
            <w:r>
              <w:rPr>
                <w:sz w:val="20"/>
              </w:rPr>
              <w:t>11</w:t>
            </w:r>
          </w:p>
        </w:tc>
        <w:tc>
          <w:tcPr>
            <w:tcW w:w="1311" w:type="dxa"/>
            <w:tcBorders>
              <w:top w:val="nil"/>
              <w:left w:val="nil"/>
              <w:bottom w:val="single" w:sz="4" w:space="0" w:color="auto"/>
              <w:right w:val="single" w:sz="4" w:space="0" w:color="auto"/>
            </w:tcBorders>
            <w:shd w:val="clear" w:color="auto" w:fill="auto"/>
            <w:noWrap/>
            <w:vAlign w:val="center"/>
            <w:hideMark/>
          </w:tcPr>
          <w:p w14:paraId="7C92A4FF" w14:textId="77777777" w:rsidR="002D28C5" w:rsidRPr="00586541" w:rsidRDefault="00DD4C66" w:rsidP="00A26E01">
            <w:pPr>
              <w:ind w:left="0" w:firstLine="0"/>
              <w:jc w:val="right"/>
              <w:rPr>
                <w:rFonts w:eastAsia="Times New Roman" w:cs="Arial"/>
                <w:sz w:val="20"/>
                <w:szCs w:val="20"/>
              </w:rPr>
            </w:pPr>
            <w:r>
              <w:rPr>
                <w:sz w:val="20"/>
              </w:rPr>
              <w:t>33</w:t>
            </w:r>
          </w:p>
        </w:tc>
      </w:tr>
      <w:tr w:rsidR="002D28C5" w:rsidRPr="00A217FF" w14:paraId="4E301B4E"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065CCC3C" w14:textId="77777777" w:rsidR="002D28C5" w:rsidRPr="00A217FF" w:rsidRDefault="000A027C" w:rsidP="00A26E01">
            <w:pPr>
              <w:ind w:left="0" w:firstLine="0"/>
              <w:rPr>
                <w:rFonts w:asciiTheme="minorHAnsi" w:eastAsia="Times New Roman" w:hAnsiTheme="minorHAnsi" w:cs="Arial"/>
                <w:b/>
                <w:bCs/>
                <w:sz w:val="20"/>
                <w:szCs w:val="20"/>
              </w:rPr>
            </w:pPr>
            <w:r>
              <w:rPr>
                <w:rFonts w:asciiTheme="minorHAnsi" w:hAnsiTheme="minorHAnsi"/>
                <w:b/>
                <w:sz w:val="20"/>
              </w:rPr>
              <w:t>G. Servicios del Comité Permanente</w:t>
            </w:r>
          </w:p>
        </w:tc>
        <w:tc>
          <w:tcPr>
            <w:tcW w:w="1311" w:type="dxa"/>
            <w:tcBorders>
              <w:top w:val="nil"/>
              <w:left w:val="nil"/>
              <w:bottom w:val="single" w:sz="4" w:space="0" w:color="auto"/>
              <w:right w:val="single" w:sz="4" w:space="0" w:color="auto"/>
            </w:tcBorders>
            <w:shd w:val="clear" w:color="000000" w:fill="C4D79B"/>
            <w:noWrap/>
            <w:vAlign w:val="center"/>
            <w:hideMark/>
          </w:tcPr>
          <w:p w14:paraId="3113D272" w14:textId="77777777" w:rsidR="002D28C5" w:rsidRPr="00024026" w:rsidRDefault="006B2058"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nil"/>
              <w:left w:val="nil"/>
              <w:bottom w:val="single" w:sz="4" w:space="0" w:color="auto"/>
              <w:right w:val="single" w:sz="4" w:space="0" w:color="auto"/>
            </w:tcBorders>
            <w:shd w:val="clear" w:color="000000" w:fill="C4D79B"/>
            <w:noWrap/>
            <w:vAlign w:val="center"/>
            <w:hideMark/>
          </w:tcPr>
          <w:p w14:paraId="607D1F2D" w14:textId="77777777" w:rsidR="002D28C5" w:rsidRPr="00024026" w:rsidRDefault="006B2058"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nil"/>
              <w:left w:val="nil"/>
              <w:bottom w:val="single" w:sz="4" w:space="0" w:color="auto"/>
              <w:right w:val="single" w:sz="4" w:space="0" w:color="auto"/>
            </w:tcBorders>
            <w:shd w:val="clear" w:color="000000" w:fill="C4D79B"/>
            <w:noWrap/>
            <w:vAlign w:val="center"/>
            <w:hideMark/>
          </w:tcPr>
          <w:p w14:paraId="3B21F14B" w14:textId="77777777" w:rsidR="002D28C5" w:rsidRPr="00024026" w:rsidRDefault="006B2058"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411</w:t>
            </w:r>
          </w:p>
        </w:tc>
        <w:tc>
          <w:tcPr>
            <w:tcW w:w="1311" w:type="dxa"/>
            <w:tcBorders>
              <w:top w:val="nil"/>
              <w:left w:val="nil"/>
              <w:bottom w:val="single" w:sz="4" w:space="0" w:color="auto"/>
              <w:right w:val="single" w:sz="4" w:space="0" w:color="auto"/>
            </w:tcBorders>
            <w:shd w:val="clear" w:color="000000" w:fill="C4D79B"/>
            <w:noWrap/>
            <w:vAlign w:val="center"/>
            <w:hideMark/>
          </w:tcPr>
          <w:p w14:paraId="20328BF6" w14:textId="77777777" w:rsidR="002D28C5" w:rsidRPr="00024026" w:rsidRDefault="006B2058"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761</w:t>
            </w:r>
          </w:p>
        </w:tc>
      </w:tr>
      <w:tr w:rsidR="002D28C5" w:rsidRPr="00A217FF" w14:paraId="4602EBF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6946F5B"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Apoyo a los delegados del Comité Permanente</w:t>
            </w:r>
          </w:p>
        </w:tc>
        <w:tc>
          <w:tcPr>
            <w:tcW w:w="1311" w:type="dxa"/>
            <w:tcBorders>
              <w:top w:val="nil"/>
              <w:left w:val="nil"/>
              <w:bottom w:val="single" w:sz="4" w:space="0" w:color="auto"/>
              <w:right w:val="single" w:sz="4" w:space="0" w:color="auto"/>
            </w:tcBorders>
            <w:shd w:val="clear" w:color="auto" w:fill="auto"/>
            <w:noWrap/>
            <w:vAlign w:val="center"/>
            <w:hideMark/>
          </w:tcPr>
          <w:p w14:paraId="2780BEBE"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45</w:t>
            </w:r>
          </w:p>
        </w:tc>
        <w:tc>
          <w:tcPr>
            <w:tcW w:w="1311" w:type="dxa"/>
            <w:tcBorders>
              <w:top w:val="nil"/>
              <w:left w:val="nil"/>
              <w:bottom w:val="single" w:sz="4" w:space="0" w:color="auto"/>
              <w:right w:val="single" w:sz="4" w:space="0" w:color="auto"/>
            </w:tcBorders>
            <w:shd w:val="clear" w:color="auto" w:fill="auto"/>
            <w:noWrap/>
            <w:vAlign w:val="center"/>
            <w:hideMark/>
          </w:tcPr>
          <w:p w14:paraId="112239D8"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45</w:t>
            </w:r>
          </w:p>
        </w:tc>
        <w:tc>
          <w:tcPr>
            <w:tcW w:w="1311" w:type="dxa"/>
            <w:tcBorders>
              <w:top w:val="nil"/>
              <w:left w:val="nil"/>
              <w:bottom w:val="single" w:sz="4" w:space="0" w:color="auto"/>
              <w:right w:val="single" w:sz="4" w:space="0" w:color="auto"/>
            </w:tcBorders>
            <w:shd w:val="clear" w:color="auto" w:fill="auto"/>
            <w:noWrap/>
            <w:vAlign w:val="center"/>
            <w:hideMark/>
          </w:tcPr>
          <w:p w14:paraId="6911DD7F" w14:textId="77777777" w:rsidR="002D28C5" w:rsidRPr="00024026" w:rsidRDefault="002D28C5"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45</w:t>
            </w:r>
          </w:p>
        </w:tc>
        <w:tc>
          <w:tcPr>
            <w:tcW w:w="1311" w:type="dxa"/>
            <w:tcBorders>
              <w:top w:val="nil"/>
              <w:left w:val="nil"/>
              <w:bottom w:val="single" w:sz="4" w:space="0" w:color="auto"/>
              <w:right w:val="single" w:sz="4" w:space="0" w:color="auto"/>
            </w:tcBorders>
            <w:shd w:val="clear" w:color="auto" w:fill="auto"/>
            <w:noWrap/>
            <w:vAlign w:val="center"/>
            <w:hideMark/>
          </w:tcPr>
          <w:p w14:paraId="6D6B3CA8"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135</w:t>
            </w:r>
          </w:p>
        </w:tc>
      </w:tr>
      <w:tr w:rsidR="002D28C5" w:rsidRPr="00A217FF" w14:paraId="36D669FC" w14:textId="77777777" w:rsidTr="0097325E">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9237B82"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Reuniones del Comité Permanente</w:t>
            </w:r>
          </w:p>
        </w:tc>
        <w:tc>
          <w:tcPr>
            <w:tcW w:w="1311" w:type="dxa"/>
            <w:tcBorders>
              <w:top w:val="nil"/>
              <w:left w:val="nil"/>
              <w:bottom w:val="single" w:sz="4" w:space="0" w:color="auto"/>
              <w:right w:val="single" w:sz="4" w:space="0" w:color="auto"/>
            </w:tcBorders>
            <w:shd w:val="clear" w:color="auto" w:fill="auto"/>
            <w:noWrap/>
            <w:vAlign w:val="center"/>
            <w:hideMark/>
          </w:tcPr>
          <w:p w14:paraId="61461213" w14:textId="77777777" w:rsidR="002D28C5" w:rsidRPr="00024026" w:rsidRDefault="006B2058" w:rsidP="00A26E01">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583059D0" w14:textId="77777777" w:rsidR="002D28C5" w:rsidRPr="00024026" w:rsidRDefault="006B2058" w:rsidP="00A26E01">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51F26484" w14:textId="77777777" w:rsidR="002D28C5" w:rsidRPr="00024026" w:rsidRDefault="006B2058"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5B0701A1" w14:textId="77777777" w:rsidR="002D28C5" w:rsidRPr="00024026" w:rsidRDefault="006B2058" w:rsidP="00A26E01">
            <w:pPr>
              <w:ind w:left="0" w:firstLine="0"/>
              <w:jc w:val="right"/>
              <w:rPr>
                <w:rFonts w:asciiTheme="minorHAnsi" w:eastAsia="Times New Roman" w:hAnsiTheme="minorHAnsi" w:cs="Arial"/>
                <w:sz w:val="20"/>
                <w:szCs w:val="20"/>
              </w:rPr>
            </w:pPr>
            <w:r>
              <w:rPr>
                <w:rFonts w:asciiTheme="minorHAnsi" w:hAnsiTheme="minorHAnsi"/>
                <w:sz w:val="20"/>
              </w:rPr>
              <w:t>105</w:t>
            </w:r>
          </w:p>
        </w:tc>
      </w:tr>
      <w:tr w:rsidR="002D28C5" w:rsidRPr="00A217FF" w14:paraId="3388B5E9" w14:textId="77777777" w:rsidTr="0097325E">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C2FC" w14:textId="77777777" w:rsidR="002D28C5" w:rsidRPr="00A217FF" w:rsidRDefault="00D6132D" w:rsidP="00A26E01">
            <w:pPr>
              <w:ind w:left="0" w:firstLine="0"/>
              <w:rPr>
                <w:rFonts w:asciiTheme="minorHAnsi" w:eastAsia="Times New Roman" w:hAnsiTheme="minorHAnsi" w:cs="Arial"/>
                <w:sz w:val="20"/>
                <w:szCs w:val="20"/>
              </w:rPr>
            </w:pPr>
            <w:r>
              <w:rPr>
                <w:rFonts w:asciiTheme="minorHAnsi" w:hAnsiTheme="minorHAnsi"/>
                <w:sz w:val="20"/>
              </w:rPr>
              <w:t>Traducción de documentos del Comité Permanente</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30C1209A"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C0C92BA"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965E129" w14:textId="77777777" w:rsidR="002D28C5" w:rsidRPr="00024026" w:rsidRDefault="002D28C5"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247B917A"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180</w:t>
            </w:r>
          </w:p>
        </w:tc>
      </w:tr>
      <w:tr w:rsidR="002D28C5" w:rsidRPr="00A217FF" w14:paraId="10C30917" w14:textId="77777777" w:rsidTr="0097325E">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77527" w14:textId="77777777" w:rsidR="002D28C5" w:rsidRPr="00A217FF" w:rsidRDefault="000A027C" w:rsidP="00A26E01">
            <w:pPr>
              <w:ind w:left="0" w:firstLine="0"/>
              <w:rPr>
                <w:rFonts w:asciiTheme="minorHAnsi" w:eastAsia="Times New Roman" w:hAnsiTheme="minorHAnsi" w:cs="Arial"/>
                <w:sz w:val="20"/>
                <w:szCs w:val="20"/>
              </w:rPr>
            </w:pPr>
            <w:r>
              <w:rPr>
                <w:rFonts w:asciiTheme="minorHAnsi" w:hAnsiTheme="minorHAnsi"/>
                <w:sz w:val="20"/>
              </w:rPr>
              <w:lastRenderedPageBreak/>
              <w:t>Relator/a e interpretación simultánea en las reuniones del CP</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F1613E9"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D06BB12"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56436AE5" w14:textId="77777777" w:rsidR="002D28C5" w:rsidRPr="00024026" w:rsidRDefault="002D28C5"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368A65C"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105</w:t>
            </w:r>
          </w:p>
        </w:tc>
      </w:tr>
      <w:tr w:rsidR="00D2597D" w:rsidRPr="00A217FF" w14:paraId="1AE4BB8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5407FF7" w14:textId="77777777" w:rsidR="00D2597D" w:rsidRPr="000A027C" w:rsidRDefault="00D2597D" w:rsidP="00A26E01">
            <w:pPr>
              <w:ind w:left="0" w:firstLine="0"/>
              <w:rPr>
                <w:rFonts w:asciiTheme="minorHAnsi" w:eastAsia="Times New Roman" w:hAnsiTheme="minorHAnsi" w:cs="Arial"/>
                <w:sz w:val="20"/>
                <w:szCs w:val="20"/>
              </w:rPr>
            </w:pPr>
            <w:r>
              <w:rPr>
                <w:rFonts w:asciiTheme="minorHAnsi" w:hAnsiTheme="minorHAnsi"/>
                <w:sz w:val="20"/>
              </w:rPr>
              <w:t>Conferencia de las Partes</w:t>
            </w:r>
          </w:p>
        </w:tc>
        <w:tc>
          <w:tcPr>
            <w:tcW w:w="1311" w:type="dxa"/>
            <w:tcBorders>
              <w:top w:val="nil"/>
              <w:left w:val="nil"/>
              <w:bottom w:val="single" w:sz="4" w:space="0" w:color="auto"/>
              <w:right w:val="single" w:sz="4" w:space="0" w:color="auto"/>
            </w:tcBorders>
            <w:shd w:val="clear" w:color="auto" w:fill="auto"/>
            <w:noWrap/>
            <w:vAlign w:val="center"/>
          </w:tcPr>
          <w:p w14:paraId="3679DA95" w14:textId="77777777" w:rsidR="00D2597D" w:rsidRPr="00024026" w:rsidRDefault="00D2597D" w:rsidP="00A26E01">
            <w:pPr>
              <w:ind w:left="0" w:firstLine="0"/>
              <w:jc w:val="right"/>
              <w:rPr>
                <w:rFonts w:asciiTheme="minorHAnsi" w:eastAsia="Times New Roman" w:hAnsiTheme="minorHAnsi" w:cs="Arial"/>
                <w:sz w:val="20"/>
                <w:szCs w:val="20"/>
              </w:rPr>
            </w:pPr>
            <w:r>
              <w:rPr>
                <w:rFonts w:asciiTheme="minorHAnsi" w:hAnsiTheme="minorHAnsi"/>
                <w:sz w:val="20"/>
              </w:rPr>
              <w:t>0</w:t>
            </w:r>
          </w:p>
        </w:tc>
        <w:tc>
          <w:tcPr>
            <w:tcW w:w="1311" w:type="dxa"/>
            <w:tcBorders>
              <w:top w:val="nil"/>
              <w:left w:val="nil"/>
              <w:bottom w:val="single" w:sz="4" w:space="0" w:color="auto"/>
              <w:right w:val="single" w:sz="4" w:space="0" w:color="auto"/>
            </w:tcBorders>
            <w:shd w:val="clear" w:color="auto" w:fill="auto"/>
            <w:noWrap/>
            <w:vAlign w:val="center"/>
          </w:tcPr>
          <w:p w14:paraId="7BC35447" w14:textId="77777777" w:rsidR="00D2597D" w:rsidRPr="00024026" w:rsidRDefault="00D2597D" w:rsidP="00A26E01">
            <w:pPr>
              <w:ind w:left="0" w:firstLine="0"/>
              <w:jc w:val="right"/>
              <w:rPr>
                <w:rFonts w:asciiTheme="minorHAnsi" w:eastAsia="Times New Roman" w:hAnsiTheme="minorHAnsi" w:cs="Arial"/>
                <w:sz w:val="20"/>
                <w:szCs w:val="20"/>
              </w:rPr>
            </w:pPr>
            <w:r>
              <w:rPr>
                <w:rFonts w:asciiTheme="minorHAnsi" w:hAnsiTheme="minorHAnsi"/>
                <w:sz w:val="20"/>
              </w:rPr>
              <w:t>0</w:t>
            </w:r>
          </w:p>
        </w:tc>
        <w:tc>
          <w:tcPr>
            <w:tcW w:w="1311" w:type="dxa"/>
            <w:tcBorders>
              <w:top w:val="nil"/>
              <w:left w:val="nil"/>
              <w:bottom w:val="single" w:sz="4" w:space="0" w:color="auto"/>
              <w:right w:val="single" w:sz="4" w:space="0" w:color="auto"/>
            </w:tcBorders>
            <w:shd w:val="clear" w:color="auto" w:fill="auto"/>
            <w:noWrap/>
            <w:vAlign w:val="center"/>
          </w:tcPr>
          <w:p w14:paraId="0F8512F2" w14:textId="77777777" w:rsidR="00D2597D" w:rsidRPr="00024026" w:rsidRDefault="00D2597D"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236</w:t>
            </w:r>
          </w:p>
        </w:tc>
        <w:tc>
          <w:tcPr>
            <w:tcW w:w="1311" w:type="dxa"/>
            <w:tcBorders>
              <w:top w:val="nil"/>
              <w:left w:val="nil"/>
              <w:bottom w:val="single" w:sz="4" w:space="0" w:color="auto"/>
              <w:right w:val="single" w:sz="4" w:space="0" w:color="auto"/>
            </w:tcBorders>
            <w:shd w:val="clear" w:color="auto" w:fill="auto"/>
            <w:noWrap/>
            <w:vAlign w:val="center"/>
          </w:tcPr>
          <w:p w14:paraId="7F3477CC" w14:textId="77777777" w:rsidR="00D2597D" w:rsidRPr="00024026" w:rsidRDefault="00D2597D" w:rsidP="00A26E01">
            <w:pPr>
              <w:ind w:left="0" w:firstLine="0"/>
              <w:jc w:val="right"/>
              <w:rPr>
                <w:rFonts w:asciiTheme="minorHAnsi" w:eastAsia="Times New Roman" w:hAnsiTheme="minorHAnsi" w:cs="Arial"/>
                <w:sz w:val="20"/>
                <w:szCs w:val="20"/>
              </w:rPr>
            </w:pPr>
            <w:r>
              <w:rPr>
                <w:rFonts w:asciiTheme="minorHAnsi" w:hAnsiTheme="minorHAnsi"/>
                <w:sz w:val="20"/>
              </w:rPr>
              <w:t>236</w:t>
            </w:r>
          </w:p>
        </w:tc>
      </w:tr>
      <w:tr w:rsidR="002D28C5" w:rsidRPr="00A217FF" w14:paraId="3C22B644" w14:textId="77777777" w:rsidTr="00595C1A">
        <w:tc>
          <w:tcPr>
            <w:tcW w:w="3970" w:type="dxa"/>
            <w:tcBorders>
              <w:top w:val="nil"/>
              <w:left w:val="single" w:sz="4" w:space="0" w:color="auto"/>
              <w:bottom w:val="single" w:sz="4" w:space="0" w:color="auto"/>
              <w:right w:val="single" w:sz="4" w:space="0" w:color="auto"/>
            </w:tcBorders>
            <w:shd w:val="clear" w:color="000000" w:fill="C4D79B"/>
            <w:vAlign w:val="center"/>
            <w:hideMark/>
          </w:tcPr>
          <w:p w14:paraId="53FC0689" w14:textId="77777777" w:rsidR="002D28C5" w:rsidRPr="00A217FF" w:rsidRDefault="000A027C" w:rsidP="00A26E01">
            <w:pPr>
              <w:ind w:left="0" w:firstLine="0"/>
              <w:rPr>
                <w:rFonts w:asciiTheme="minorHAnsi" w:eastAsia="Times New Roman" w:hAnsiTheme="minorHAnsi" w:cs="Arial"/>
                <w:b/>
                <w:bCs/>
                <w:sz w:val="20"/>
                <w:szCs w:val="20"/>
              </w:rPr>
            </w:pPr>
            <w:r>
              <w:rPr>
                <w:rFonts w:asciiTheme="minorHAnsi" w:hAnsiTheme="minorHAnsi"/>
                <w:b/>
                <w:sz w:val="20"/>
              </w:rPr>
              <w:t>H. Gastos por servicios administrativos de la UICN (máximo)</w:t>
            </w:r>
          </w:p>
        </w:tc>
        <w:tc>
          <w:tcPr>
            <w:tcW w:w="1311" w:type="dxa"/>
            <w:tcBorders>
              <w:top w:val="nil"/>
              <w:left w:val="nil"/>
              <w:bottom w:val="single" w:sz="4" w:space="0" w:color="auto"/>
              <w:right w:val="single" w:sz="4" w:space="0" w:color="auto"/>
            </w:tcBorders>
            <w:shd w:val="clear" w:color="000000" w:fill="C4D79B"/>
            <w:noWrap/>
            <w:vAlign w:val="center"/>
            <w:hideMark/>
          </w:tcPr>
          <w:p w14:paraId="06938858" w14:textId="77777777" w:rsidR="002D28C5" w:rsidRPr="00024026" w:rsidRDefault="00D2597D"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nil"/>
              <w:left w:val="nil"/>
              <w:bottom w:val="single" w:sz="4" w:space="0" w:color="auto"/>
              <w:right w:val="single" w:sz="4" w:space="0" w:color="auto"/>
            </w:tcBorders>
            <w:shd w:val="clear" w:color="000000" w:fill="C4D79B"/>
            <w:noWrap/>
            <w:vAlign w:val="center"/>
            <w:hideMark/>
          </w:tcPr>
          <w:p w14:paraId="64E251E3" w14:textId="77777777" w:rsidR="002D28C5" w:rsidRPr="00024026" w:rsidRDefault="00D2597D"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nil"/>
              <w:left w:val="nil"/>
              <w:bottom w:val="single" w:sz="4" w:space="0" w:color="auto"/>
              <w:right w:val="single" w:sz="4" w:space="0" w:color="auto"/>
            </w:tcBorders>
            <w:shd w:val="clear" w:color="000000" w:fill="C4D79B"/>
            <w:noWrap/>
            <w:vAlign w:val="center"/>
            <w:hideMark/>
          </w:tcPr>
          <w:p w14:paraId="596C5AF6" w14:textId="77777777" w:rsidR="002D28C5" w:rsidRPr="00024026" w:rsidRDefault="00D2597D"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nil"/>
              <w:left w:val="nil"/>
              <w:bottom w:val="single" w:sz="4" w:space="0" w:color="auto"/>
              <w:right w:val="single" w:sz="4" w:space="0" w:color="auto"/>
            </w:tcBorders>
            <w:shd w:val="clear" w:color="000000" w:fill="C4D79B"/>
            <w:noWrap/>
            <w:vAlign w:val="center"/>
            <w:hideMark/>
          </w:tcPr>
          <w:p w14:paraId="2CEA85FB" w14:textId="77777777" w:rsidR="002D28C5" w:rsidRPr="00024026" w:rsidRDefault="00DD4C66"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1 650</w:t>
            </w:r>
          </w:p>
        </w:tc>
      </w:tr>
      <w:tr w:rsidR="002D28C5" w:rsidRPr="00A217FF" w14:paraId="7CEBF61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AB71E81" w14:textId="77777777" w:rsidR="002D28C5" w:rsidRPr="00A217FF" w:rsidRDefault="002D28C5" w:rsidP="00D6132D">
            <w:pPr>
              <w:ind w:left="0" w:firstLine="0"/>
              <w:rPr>
                <w:rFonts w:asciiTheme="minorHAnsi" w:eastAsia="Times New Roman" w:hAnsiTheme="minorHAnsi" w:cs="Arial"/>
                <w:sz w:val="20"/>
                <w:szCs w:val="20"/>
              </w:rPr>
            </w:pPr>
            <w:r>
              <w:rPr>
                <w:rFonts w:asciiTheme="minorHAnsi" w:hAnsiTheme="minorHAnsi"/>
                <w:sz w:val="20"/>
              </w:rPr>
              <w:t>Administración, RR.HH., finanzas y servicios informáticos</w:t>
            </w:r>
          </w:p>
        </w:tc>
        <w:tc>
          <w:tcPr>
            <w:tcW w:w="1311" w:type="dxa"/>
            <w:tcBorders>
              <w:top w:val="nil"/>
              <w:left w:val="nil"/>
              <w:bottom w:val="single" w:sz="4" w:space="0" w:color="auto"/>
              <w:right w:val="single" w:sz="4" w:space="0" w:color="auto"/>
            </w:tcBorders>
            <w:shd w:val="clear" w:color="auto" w:fill="auto"/>
            <w:noWrap/>
            <w:vAlign w:val="center"/>
            <w:hideMark/>
          </w:tcPr>
          <w:p w14:paraId="7E19FF7E" w14:textId="77777777" w:rsidR="002D28C5" w:rsidRPr="00024026" w:rsidRDefault="0063452B" w:rsidP="00A26E01">
            <w:pPr>
              <w:ind w:left="0" w:firstLine="0"/>
              <w:jc w:val="right"/>
              <w:rPr>
                <w:rFonts w:asciiTheme="minorHAnsi" w:eastAsia="Times New Roman" w:hAnsiTheme="minorHAnsi" w:cs="Arial"/>
                <w:sz w:val="20"/>
                <w:szCs w:val="20"/>
              </w:rPr>
            </w:pPr>
            <w:r>
              <w:rPr>
                <w:rFonts w:asciiTheme="minorHAnsi" w:hAnsiTheme="minorHAnsi"/>
                <w:sz w:val="20"/>
              </w:rPr>
              <w:t>550</w:t>
            </w:r>
          </w:p>
        </w:tc>
        <w:tc>
          <w:tcPr>
            <w:tcW w:w="1311" w:type="dxa"/>
            <w:tcBorders>
              <w:top w:val="nil"/>
              <w:left w:val="nil"/>
              <w:bottom w:val="single" w:sz="4" w:space="0" w:color="auto"/>
              <w:right w:val="single" w:sz="4" w:space="0" w:color="auto"/>
            </w:tcBorders>
            <w:shd w:val="clear" w:color="auto" w:fill="auto"/>
            <w:noWrap/>
            <w:vAlign w:val="center"/>
            <w:hideMark/>
          </w:tcPr>
          <w:p w14:paraId="466B93A9" w14:textId="77777777" w:rsidR="002D28C5" w:rsidRPr="00024026" w:rsidRDefault="0063452B" w:rsidP="00A26E01">
            <w:pPr>
              <w:ind w:left="0" w:firstLine="0"/>
              <w:jc w:val="right"/>
              <w:rPr>
                <w:rFonts w:asciiTheme="minorHAnsi" w:eastAsia="Times New Roman" w:hAnsiTheme="minorHAnsi" w:cs="Arial"/>
                <w:sz w:val="20"/>
                <w:szCs w:val="20"/>
              </w:rPr>
            </w:pPr>
            <w:r>
              <w:rPr>
                <w:rFonts w:asciiTheme="minorHAnsi" w:hAnsiTheme="minorHAnsi"/>
                <w:sz w:val="20"/>
              </w:rPr>
              <w:t>550</w:t>
            </w:r>
          </w:p>
        </w:tc>
        <w:tc>
          <w:tcPr>
            <w:tcW w:w="1311" w:type="dxa"/>
            <w:tcBorders>
              <w:top w:val="nil"/>
              <w:left w:val="nil"/>
              <w:bottom w:val="single" w:sz="4" w:space="0" w:color="auto"/>
              <w:right w:val="single" w:sz="4" w:space="0" w:color="auto"/>
            </w:tcBorders>
            <w:shd w:val="clear" w:color="auto" w:fill="auto"/>
            <w:noWrap/>
            <w:vAlign w:val="center"/>
            <w:hideMark/>
          </w:tcPr>
          <w:p w14:paraId="280CA339" w14:textId="77777777" w:rsidR="002D28C5" w:rsidRPr="00024026" w:rsidRDefault="0063452B"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550</w:t>
            </w:r>
          </w:p>
        </w:tc>
        <w:tc>
          <w:tcPr>
            <w:tcW w:w="1311" w:type="dxa"/>
            <w:tcBorders>
              <w:top w:val="nil"/>
              <w:left w:val="nil"/>
              <w:bottom w:val="single" w:sz="4" w:space="0" w:color="auto"/>
              <w:right w:val="single" w:sz="4" w:space="0" w:color="auto"/>
            </w:tcBorders>
            <w:shd w:val="clear" w:color="auto" w:fill="auto"/>
            <w:noWrap/>
            <w:vAlign w:val="center"/>
            <w:hideMark/>
          </w:tcPr>
          <w:p w14:paraId="07DE799B"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1 650</w:t>
            </w:r>
          </w:p>
        </w:tc>
      </w:tr>
      <w:tr w:rsidR="002D28C5" w:rsidRPr="00A217FF" w14:paraId="4EE72228"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034DA954" w14:textId="77777777" w:rsidR="002D28C5" w:rsidRPr="00A217FF" w:rsidRDefault="000A027C" w:rsidP="00A26E01">
            <w:pPr>
              <w:ind w:left="0" w:firstLine="0"/>
              <w:rPr>
                <w:rFonts w:asciiTheme="minorHAnsi" w:eastAsia="Times New Roman" w:hAnsiTheme="minorHAnsi" w:cs="Arial"/>
                <w:b/>
                <w:bCs/>
                <w:sz w:val="20"/>
                <w:szCs w:val="20"/>
              </w:rPr>
            </w:pPr>
            <w:r>
              <w:rPr>
                <w:rFonts w:asciiTheme="minorHAnsi" w:hAnsiTheme="minorHAnsi"/>
                <w:b/>
                <w:sz w:val="20"/>
              </w:rPr>
              <w:t>I. Varios – Fondo de reserva</w:t>
            </w:r>
          </w:p>
        </w:tc>
        <w:tc>
          <w:tcPr>
            <w:tcW w:w="1311" w:type="dxa"/>
            <w:tcBorders>
              <w:top w:val="nil"/>
              <w:left w:val="nil"/>
              <w:bottom w:val="single" w:sz="4" w:space="0" w:color="auto"/>
              <w:right w:val="single" w:sz="4" w:space="0" w:color="auto"/>
            </w:tcBorders>
            <w:shd w:val="clear" w:color="000000" w:fill="C4D79B"/>
            <w:noWrap/>
            <w:vAlign w:val="center"/>
            <w:hideMark/>
          </w:tcPr>
          <w:p w14:paraId="5565B97B" w14:textId="77777777" w:rsidR="002D28C5" w:rsidRPr="00024026" w:rsidRDefault="00DD4C66"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hideMark/>
          </w:tcPr>
          <w:p w14:paraId="3A8985D8" w14:textId="77777777" w:rsidR="002D28C5" w:rsidRPr="00024026" w:rsidRDefault="00635E0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hideMark/>
          </w:tcPr>
          <w:p w14:paraId="48E07800" w14:textId="77777777" w:rsidR="002D28C5" w:rsidRPr="00024026" w:rsidRDefault="00DD4C66"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hideMark/>
          </w:tcPr>
          <w:p w14:paraId="66686B3E" w14:textId="77777777" w:rsidR="002D28C5" w:rsidRPr="00024026" w:rsidRDefault="00635E0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327</w:t>
            </w:r>
          </w:p>
        </w:tc>
      </w:tr>
      <w:tr w:rsidR="002D28C5" w:rsidRPr="00A217FF" w14:paraId="08BF6BE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416434F" w14:textId="77777777" w:rsidR="002D28C5" w:rsidRPr="00A217FF" w:rsidRDefault="00DD4C66" w:rsidP="00A26E01">
            <w:pPr>
              <w:ind w:left="0" w:firstLine="0"/>
              <w:rPr>
                <w:rFonts w:asciiTheme="minorHAnsi" w:eastAsia="Times New Roman" w:hAnsiTheme="minorHAnsi" w:cs="Arial"/>
                <w:sz w:val="20"/>
                <w:szCs w:val="20"/>
              </w:rPr>
            </w:pPr>
            <w:r>
              <w:rPr>
                <w:rFonts w:asciiTheme="minorHAnsi" w:hAnsiTheme="minorHAnsi"/>
                <w:sz w:val="20"/>
              </w:rPr>
              <w:t>Provisiones correspondientes al personal</w:t>
            </w:r>
          </w:p>
        </w:tc>
        <w:tc>
          <w:tcPr>
            <w:tcW w:w="1311" w:type="dxa"/>
            <w:tcBorders>
              <w:top w:val="nil"/>
              <w:left w:val="nil"/>
              <w:bottom w:val="single" w:sz="4" w:space="0" w:color="auto"/>
              <w:right w:val="single" w:sz="4" w:space="0" w:color="auto"/>
            </w:tcBorders>
            <w:shd w:val="clear" w:color="auto" w:fill="auto"/>
            <w:noWrap/>
            <w:vAlign w:val="center"/>
            <w:hideMark/>
          </w:tcPr>
          <w:p w14:paraId="3520DAF5"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20</w:t>
            </w:r>
          </w:p>
        </w:tc>
        <w:tc>
          <w:tcPr>
            <w:tcW w:w="1311" w:type="dxa"/>
            <w:tcBorders>
              <w:top w:val="nil"/>
              <w:left w:val="nil"/>
              <w:bottom w:val="single" w:sz="4" w:space="0" w:color="auto"/>
              <w:right w:val="single" w:sz="4" w:space="0" w:color="auto"/>
            </w:tcBorders>
            <w:shd w:val="clear" w:color="auto" w:fill="auto"/>
            <w:noWrap/>
            <w:vAlign w:val="center"/>
            <w:hideMark/>
          </w:tcPr>
          <w:p w14:paraId="487CB7C1"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20</w:t>
            </w:r>
          </w:p>
        </w:tc>
        <w:tc>
          <w:tcPr>
            <w:tcW w:w="1311" w:type="dxa"/>
            <w:tcBorders>
              <w:top w:val="nil"/>
              <w:left w:val="nil"/>
              <w:bottom w:val="single" w:sz="4" w:space="0" w:color="auto"/>
              <w:right w:val="single" w:sz="4" w:space="0" w:color="auto"/>
            </w:tcBorders>
            <w:shd w:val="clear" w:color="auto" w:fill="auto"/>
            <w:noWrap/>
            <w:vAlign w:val="center"/>
            <w:hideMark/>
          </w:tcPr>
          <w:p w14:paraId="73A23D47" w14:textId="77777777" w:rsidR="002D28C5" w:rsidRPr="00024026" w:rsidRDefault="00DD4C66"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20</w:t>
            </w:r>
          </w:p>
        </w:tc>
        <w:tc>
          <w:tcPr>
            <w:tcW w:w="1311" w:type="dxa"/>
            <w:tcBorders>
              <w:top w:val="nil"/>
              <w:left w:val="nil"/>
              <w:bottom w:val="single" w:sz="4" w:space="0" w:color="auto"/>
              <w:right w:val="single" w:sz="4" w:space="0" w:color="auto"/>
            </w:tcBorders>
            <w:shd w:val="clear" w:color="auto" w:fill="auto"/>
            <w:noWrap/>
            <w:vAlign w:val="center"/>
            <w:hideMark/>
          </w:tcPr>
          <w:p w14:paraId="3215C8A7"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60</w:t>
            </w:r>
          </w:p>
        </w:tc>
      </w:tr>
      <w:tr w:rsidR="00DD4C66" w:rsidRPr="00A217FF" w14:paraId="5C9115D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29AA64D" w14:textId="77777777" w:rsidR="00DD4C66" w:rsidRPr="00A217FF" w:rsidRDefault="00DD4C66" w:rsidP="00A26E01">
            <w:pPr>
              <w:ind w:left="0" w:firstLine="0"/>
              <w:rPr>
                <w:rFonts w:asciiTheme="minorHAnsi" w:eastAsia="Times New Roman" w:hAnsiTheme="minorHAnsi" w:cs="Arial"/>
                <w:sz w:val="20"/>
                <w:szCs w:val="20"/>
              </w:rPr>
            </w:pPr>
            <w:r>
              <w:rPr>
                <w:rFonts w:asciiTheme="minorHAnsi" w:hAnsiTheme="minorHAnsi"/>
                <w:sz w:val="20"/>
              </w:rPr>
              <w:t>Provisiones correspondientes a las contribuciones pendientes</w:t>
            </w:r>
          </w:p>
        </w:tc>
        <w:tc>
          <w:tcPr>
            <w:tcW w:w="1311" w:type="dxa"/>
            <w:tcBorders>
              <w:top w:val="nil"/>
              <w:left w:val="nil"/>
              <w:bottom w:val="single" w:sz="4" w:space="0" w:color="auto"/>
              <w:right w:val="single" w:sz="4" w:space="0" w:color="auto"/>
            </w:tcBorders>
            <w:shd w:val="clear" w:color="auto" w:fill="auto"/>
            <w:noWrap/>
            <w:vAlign w:val="center"/>
          </w:tcPr>
          <w:p w14:paraId="71EAB2B5" w14:textId="77777777" w:rsidR="00DD4C66"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53D6C8AE" w14:textId="77777777" w:rsidR="00DD4C66"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71DDB005" w14:textId="77777777" w:rsidR="00DD4C66" w:rsidRPr="00024026" w:rsidRDefault="00DD4C66"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60B6B6D6" w14:textId="77777777" w:rsidR="00DD4C66"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90</w:t>
            </w:r>
          </w:p>
        </w:tc>
      </w:tr>
      <w:tr w:rsidR="002D28C5" w:rsidRPr="00A217FF" w14:paraId="1D7D0100" w14:textId="77777777" w:rsidTr="00595C1A">
        <w:tc>
          <w:tcPr>
            <w:tcW w:w="3970" w:type="dxa"/>
            <w:tcBorders>
              <w:top w:val="single" w:sz="4" w:space="0" w:color="auto"/>
              <w:left w:val="single" w:sz="4" w:space="0" w:color="auto"/>
              <w:bottom w:val="nil"/>
              <w:right w:val="single" w:sz="4" w:space="0" w:color="auto"/>
            </w:tcBorders>
            <w:shd w:val="clear" w:color="auto" w:fill="auto"/>
            <w:noWrap/>
            <w:vAlign w:val="center"/>
            <w:hideMark/>
          </w:tcPr>
          <w:p w14:paraId="4500D597"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Servicios jurídicos</w:t>
            </w:r>
          </w:p>
        </w:tc>
        <w:tc>
          <w:tcPr>
            <w:tcW w:w="1311" w:type="dxa"/>
            <w:tcBorders>
              <w:top w:val="nil"/>
              <w:left w:val="nil"/>
              <w:bottom w:val="single" w:sz="4" w:space="0" w:color="auto"/>
              <w:right w:val="single" w:sz="4" w:space="0" w:color="auto"/>
            </w:tcBorders>
            <w:shd w:val="clear" w:color="auto" w:fill="auto"/>
            <w:noWrap/>
            <w:vAlign w:val="center"/>
            <w:hideMark/>
          </w:tcPr>
          <w:p w14:paraId="4C0EE9EE"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59</w:t>
            </w:r>
          </w:p>
        </w:tc>
        <w:tc>
          <w:tcPr>
            <w:tcW w:w="1311" w:type="dxa"/>
            <w:tcBorders>
              <w:top w:val="nil"/>
              <w:left w:val="nil"/>
              <w:bottom w:val="single" w:sz="4" w:space="0" w:color="auto"/>
              <w:right w:val="single" w:sz="4" w:space="0" w:color="auto"/>
            </w:tcBorders>
            <w:shd w:val="clear" w:color="auto" w:fill="auto"/>
            <w:noWrap/>
            <w:vAlign w:val="center"/>
            <w:hideMark/>
          </w:tcPr>
          <w:p w14:paraId="733134C3" w14:textId="77777777" w:rsidR="002D28C5" w:rsidRPr="00024026" w:rsidRDefault="00635E05" w:rsidP="00A26E01">
            <w:pPr>
              <w:ind w:left="0" w:firstLine="0"/>
              <w:jc w:val="right"/>
              <w:rPr>
                <w:rFonts w:asciiTheme="minorHAnsi" w:eastAsia="Times New Roman" w:hAnsiTheme="minorHAnsi" w:cs="Arial"/>
                <w:sz w:val="20"/>
                <w:szCs w:val="20"/>
              </w:rPr>
            </w:pPr>
            <w:r>
              <w:rPr>
                <w:rFonts w:asciiTheme="minorHAnsi" w:hAnsiTheme="minorHAnsi"/>
                <w:sz w:val="20"/>
              </w:rPr>
              <w:t>59</w:t>
            </w:r>
          </w:p>
        </w:tc>
        <w:tc>
          <w:tcPr>
            <w:tcW w:w="1311" w:type="dxa"/>
            <w:tcBorders>
              <w:top w:val="single" w:sz="4" w:space="0" w:color="auto"/>
              <w:left w:val="nil"/>
              <w:bottom w:val="nil"/>
              <w:right w:val="single" w:sz="4" w:space="0" w:color="auto"/>
            </w:tcBorders>
            <w:shd w:val="clear" w:color="auto" w:fill="auto"/>
            <w:noWrap/>
            <w:vAlign w:val="center"/>
            <w:hideMark/>
          </w:tcPr>
          <w:p w14:paraId="41C20CDC" w14:textId="77777777" w:rsidR="002D28C5" w:rsidRPr="00024026" w:rsidRDefault="00DD4C66"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59</w:t>
            </w:r>
          </w:p>
        </w:tc>
        <w:tc>
          <w:tcPr>
            <w:tcW w:w="1311" w:type="dxa"/>
            <w:tcBorders>
              <w:top w:val="nil"/>
              <w:left w:val="nil"/>
              <w:bottom w:val="single" w:sz="4" w:space="0" w:color="auto"/>
              <w:right w:val="single" w:sz="4" w:space="0" w:color="auto"/>
            </w:tcBorders>
            <w:shd w:val="clear" w:color="auto" w:fill="auto"/>
            <w:noWrap/>
            <w:vAlign w:val="center"/>
            <w:hideMark/>
          </w:tcPr>
          <w:p w14:paraId="4C741CAD"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177</w:t>
            </w:r>
          </w:p>
        </w:tc>
      </w:tr>
      <w:tr w:rsidR="002D28C5" w:rsidRPr="00A217FF" w14:paraId="3C2118EF"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F9C22E8" w14:textId="77777777" w:rsidR="002D28C5" w:rsidRPr="00A217FF" w:rsidRDefault="002D28C5" w:rsidP="00A26E01">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TOTAL DE GASTOS</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03F40A2F" w14:textId="77777777" w:rsidR="002D28C5" w:rsidRPr="00024026" w:rsidRDefault="00DD4C66" w:rsidP="00A26E01">
            <w:pPr>
              <w:ind w:left="0" w:firstLine="0"/>
              <w:jc w:val="right"/>
              <w:rPr>
                <w:rFonts w:eastAsia="Times New Roman" w:cs="Arial"/>
                <w:b/>
                <w:bCs/>
                <w:color w:val="000000"/>
              </w:rPr>
            </w:pPr>
            <w:r>
              <w:rPr>
                <w:b/>
                <w:color w:val="000000"/>
              </w:rPr>
              <w:t>5 577</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44374FC4" w14:textId="77777777" w:rsidR="002D28C5" w:rsidRPr="00024026" w:rsidRDefault="00DD4C66" w:rsidP="00A26E01">
            <w:pPr>
              <w:ind w:left="0" w:firstLine="0"/>
              <w:jc w:val="right"/>
              <w:rPr>
                <w:rFonts w:eastAsia="Times New Roman" w:cs="Arial"/>
                <w:b/>
                <w:bCs/>
                <w:color w:val="000000"/>
              </w:rPr>
            </w:pPr>
            <w:r>
              <w:rPr>
                <w:b/>
                <w:color w:val="000000"/>
              </w:rPr>
              <w:t>5 577</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18FBEFDE" w14:textId="77777777" w:rsidR="002D28C5" w:rsidRPr="00024026" w:rsidRDefault="00DD4C66" w:rsidP="00A26E01">
            <w:pPr>
              <w:ind w:left="0" w:firstLine="0"/>
              <w:jc w:val="right"/>
              <w:rPr>
                <w:rFonts w:eastAsia="Times New Roman" w:cs="Arial"/>
                <w:b/>
                <w:bCs/>
                <w:color w:val="000000"/>
              </w:rPr>
            </w:pPr>
            <w:r>
              <w:rPr>
                <w:b/>
                <w:color w:val="000000"/>
              </w:rPr>
              <w:t>5 813</w:t>
            </w:r>
          </w:p>
        </w:tc>
        <w:tc>
          <w:tcPr>
            <w:tcW w:w="1311" w:type="dxa"/>
            <w:tcBorders>
              <w:top w:val="nil"/>
              <w:left w:val="nil"/>
              <w:bottom w:val="single" w:sz="4" w:space="0" w:color="auto"/>
              <w:right w:val="single" w:sz="4" w:space="0" w:color="auto"/>
            </w:tcBorders>
            <w:shd w:val="clear" w:color="000000" w:fill="C4D79B"/>
            <w:noWrap/>
            <w:vAlign w:val="center"/>
            <w:hideMark/>
          </w:tcPr>
          <w:p w14:paraId="142DCD13" w14:textId="77777777" w:rsidR="002D28C5" w:rsidRPr="00024026" w:rsidRDefault="0063452B">
            <w:pPr>
              <w:ind w:left="0" w:firstLine="0"/>
              <w:jc w:val="right"/>
              <w:rPr>
                <w:rFonts w:eastAsia="Times New Roman" w:cs="Arial"/>
                <w:b/>
                <w:bCs/>
                <w:color w:val="000000"/>
              </w:rPr>
            </w:pPr>
            <w:r>
              <w:rPr>
                <w:b/>
                <w:color w:val="000000"/>
              </w:rPr>
              <w:t>16 967</w:t>
            </w:r>
          </w:p>
        </w:tc>
      </w:tr>
    </w:tbl>
    <w:p w14:paraId="5CC66A28" w14:textId="77777777" w:rsidR="009F1947" w:rsidRDefault="00C26985">
      <w:pPr>
        <w:rPr>
          <w:rFonts w:cs="Arial"/>
          <w:b/>
        </w:rPr>
      </w:pPr>
      <w:r>
        <w:rPr>
          <w:b/>
        </w:rPr>
        <w:t xml:space="preserve"> </w:t>
      </w:r>
      <w:r>
        <w:t xml:space="preserve"> </w:t>
      </w:r>
      <w:r>
        <w:br w:type="page"/>
      </w:r>
    </w:p>
    <w:p w14:paraId="42E3587F" w14:textId="77777777" w:rsidR="00FE49DA" w:rsidRDefault="00FE49DA" w:rsidP="00FE49DA">
      <w:pPr>
        <w:pStyle w:val="ListParagraph"/>
        <w:ind w:left="0" w:firstLine="0"/>
        <w:contextualSpacing w:val="0"/>
        <w:rPr>
          <w:rFonts w:cs="Arial"/>
          <w:b/>
          <w:sz w:val="24"/>
          <w:szCs w:val="24"/>
        </w:rPr>
      </w:pPr>
      <w:r>
        <w:rPr>
          <w:b/>
          <w:sz w:val="24"/>
        </w:rPr>
        <w:lastRenderedPageBreak/>
        <w:t xml:space="preserve">Anexo 2 </w:t>
      </w:r>
    </w:p>
    <w:p w14:paraId="26C6E36B" w14:textId="198EE3EC" w:rsidR="00464F8A" w:rsidRDefault="00464F8A" w:rsidP="00595C1A">
      <w:pPr>
        <w:tabs>
          <w:tab w:val="left" w:pos="5467"/>
          <w:tab w:val="left" w:pos="6616"/>
          <w:tab w:val="left" w:pos="7639"/>
        </w:tabs>
        <w:ind w:left="0" w:firstLine="0"/>
        <w:rPr>
          <w:rFonts w:cstheme="minorHAnsi"/>
          <w:b/>
          <w:bCs/>
          <w:sz w:val="24"/>
          <w:szCs w:val="24"/>
        </w:rPr>
      </w:pPr>
      <w:r>
        <w:rPr>
          <w:b/>
          <w:sz w:val="24"/>
        </w:rPr>
        <w:t>Contribuciones estimadas de las Partes Contratantes al presupuesto básico para 2026</w:t>
      </w:r>
      <w:r w:rsidR="00D97C3B">
        <w:rPr>
          <w:b/>
          <w:sz w:val="24"/>
        </w:rPr>
        <w:noBreakHyphen/>
        <w:t>20</w:t>
      </w:r>
      <w:r>
        <w:rPr>
          <w:b/>
          <w:sz w:val="24"/>
        </w:rPr>
        <w:t>28</w:t>
      </w:r>
      <w:r w:rsidR="003B4BEC">
        <w:rPr>
          <w:rStyle w:val="FootnoteReference"/>
          <w:rFonts w:cstheme="minorHAnsi"/>
          <w:b/>
          <w:bCs/>
          <w:sz w:val="24"/>
          <w:szCs w:val="24"/>
        </w:rPr>
        <w:footnoteReference w:id="4"/>
      </w:r>
    </w:p>
    <w:p w14:paraId="370F4D33" w14:textId="77777777" w:rsidR="00464F8A" w:rsidRDefault="00464F8A" w:rsidP="00EA22B9">
      <w:pPr>
        <w:ind w:left="0" w:firstLine="0"/>
      </w:pPr>
    </w:p>
    <w:tbl>
      <w:tblPr>
        <w:tblW w:w="10118" w:type="dxa"/>
        <w:tblInd w:w="-582" w:type="dxa"/>
        <w:tblLayout w:type="fixed"/>
        <w:tblCellMar>
          <w:left w:w="57" w:type="dxa"/>
          <w:right w:w="57" w:type="dxa"/>
        </w:tblCellMar>
        <w:tblLook w:val="04A0" w:firstRow="1" w:lastRow="0" w:firstColumn="1" w:lastColumn="0" w:noHBand="0" w:noVBand="1"/>
      </w:tblPr>
      <w:tblGrid>
        <w:gridCol w:w="10"/>
        <w:gridCol w:w="2664"/>
        <w:gridCol w:w="1111"/>
        <w:gridCol w:w="1111"/>
        <w:gridCol w:w="1305"/>
        <w:gridCol w:w="1306"/>
        <w:gridCol w:w="1305"/>
        <w:gridCol w:w="1306"/>
      </w:tblGrid>
      <w:tr w:rsidR="0020791D" w:rsidRPr="001D42CA" w14:paraId="5EB0AF04" w14:textId="77777777" w:rsidTr="00595C1A">
        <w:trPr>
          <w:gridBefore w:val="1"/>
          <w:wBefore w:w="10" w:type="dxa"/>
          <w:cantSplit/>
          <w:tblHeader/>
        </w:trPr>
        <w:tc>
          <w:tcPr>
            <w:tcW w:w="2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116262" w14:textId="77777777" w:rsidR="0020791D" w:rsidRPr="001D42CA" w:rsidRDefault="0020791D" w:rsidP="00466A7B">
            <w:pPr>
              <w:ind w:left="0" w:firstLine="0"/>
              <w:jc w:val="center"/>
              <w:rPr>
                <w:rFonts w:asciiTheme="minorHAnsi" w:eastAsia="Times New Roman" w:hAnsiTheme="minorHAnsi" w:cs="Arial"/>
                <w:b/>
                <w:bCs/>
                <w:sz w:val="20"/>
                <w:szCs w:val="20"/>
              </w:rPr>
            </w:pPr>
            <w:r>
              <w:rPr>
                <w:rFonts w:asciiTheme="minorHAnsi" w:hAnsiTheme="minorHAnsi"/>
                <w:b/>
                <w:sz w:val="20"/>
              </w:rPr>
              <w:t xml:space="preserve">Parte Contratante </w:t>
            </w:r>
            <w:r>
              <w:rPr>
                <w:rFonts w:asciiTheme="minorHAnsi" w:hAnsiTheme="minorHAnsi"/>
                <w:b/>
                <w:sz w:val="20"/>
              </w:rPr>
              <w:br/>
              <w:t>(Afiliación a 1 de enero de 2024)</w:t>
            </w:r>
          </w:p>
        </w:tc>
        <w:tc>
          <w:tcPr>
            <w:tcW w:w="111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2F84707" w14:textId="0A3A0CE5" w:rsidR="0020791D" w:rsidRPr="001D42CA" w:rsidRDefault="0020791D" w:rsidP="00466A7B">
            <w:pPr>
              <w:ind w:left="0" w:firstLine="0"/>
              <w:jc w:val="center"/>
              <w:rPr>
                <w:rFonts w:asciiTheme="minorHAnsi" w:eastAsia="Times New Roman" w:hAnsiTheme="minorHAnsi" w:cs="Arial"/>
                <w:b/>
                <w:bCs/>
                <w:sz w:val="20"/>
                <w:szCs w:val="20"/>
              </w:rPr>
            </w:pPr>
            <w:r>
              <w:rPr>
                <w:rFonts w:asciiTheme="minorHAnsi" w:hAnsiTheme="minorHAnsi"/>
                <w:b/>
                <w:sz w:val="20"/>
              </w:rPr>
              <w:t>2022</w:t>
            </w:r>
            <w:r w:rsidR="00D97C3B">
              <w:rPr>
                <w:rFonts w:asciiTheme="minorHAnsi" w:hAnsiTheme="minorHAnsi"/>
                <w:b/>
                <w:sz w:val="20"/>
              </w:rPr>
              <w:noBreakHyphen/>
              <w:t>20</w:t>
            </w:r>
            <w:r>
              <w:rPr>
                <w:rFonts w:asciiTheme="minorHAnsi" w:hAnsiTheme="minorHAnsi"/>
                <w:b/>
                <w:sz w:val="20"/>
              </w:rPr>
              <w:t xml:space="preserve">24 </w:t>
            </w:r>
            <w:r>
              <w:rPr>
                <w:rFonts w:asciiTheme="minorHAnsi" w:hAnsiTheme="minorHAnsi"/>
                <w:b/>
                <w:sz w:val="20"/>
              </w:rPr>
              <w:br/>
              <w:t>Escala de las Naciones Unidas*</w:t>
            </w:r>
          </w:p>
        </w:tc>
        <w:tc>
          <w:tcPr>
            <w:tcW w:w="111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9C9DA4B" w14:textId="77777777" w:rsidR="0020791D" w:rsidRPr="001D42CA" w:rsidRDefault="0020791D" w:rsidP="00466A7B">
            <w:pPr>
              <w:ind w:left="0" w:firstLine="0"/>
              <w:jc w:val="center"/>
              <w:rPr>
                <w:rFonts w:asciiTheme="minorHAnsi" w:eastAsia="Times New Roman" w:hAnsiTheme="minorHAnsi" w:cs="Arial"/>
                <w:b/>
                <w:bCs/>
                <w:sz w:val="20"/>
                <w:szCs w:val="20"/>
              </w:rPr>
            </w:pPr>
            <w:r>
              <w:rPr>
                <w:rFonts w:asciiTheme="minorHAnsi" w:hAnsiTheme="minorHAnsi"/>
                <w:b/>
                <w:sz w:val="20"/>
              </w:rPr>
              <w:t>% del total de Ramsar</w:t>
            </w:r>
          </w:p>
        </w:tc>
        <w:tc>
          <w:tcPr>
            <w:tcW w:w="1305"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FC847BD" w14:textId="4E30BB8C" w:rsidR="0020791D" w:rsidRPr="000519D4" w:rsidRDefault="0020791D" w:rsidP="00466A7B">
            <w:pPr>
              <w:ind w:left="0" w:firstLine="0"/>
              <w:jc w:val="center"/>
              <w:rPr>
                <w:rFonts w:asciiTheme="minorHAnsi" w:eastAsia="Times New Roman" w:hAnsiTheme="minorHAnsi" w:cs="Arial"/>
                <w:b/>
                <w:bCs/>
                <w:sz w:val="20"/>
                <w:szCs w:val="20"/>
              </w:rPr>
            </w:pPr>
            <w:proofErr w:type="spellStart"/>
            <w:r>
              <w:rPr>
                <w:rFonts w:asciiTheme="minorHAnsi" w:hAnsiTheme="minorHAnsi"/>
                <w:b/>
                <w:sz w:val="20"/>
              </w:rPr>
              <w:t>Contribucio</w:t>
            </w:r>
            <w:r w:rsidR="00595C1A">
              <w:rPr>
                <w:rFonts w:asciiTheme="minorHAnsi" w:hAnsiTheme="minorHAnsi"/>
                <w:b/>
                <w:sz w:val="20"/>
              </w:rPr>
              <w:t>-</w:t>
            </w:r>
            <w:r>
              <w:rPr>
                <w:rFonts w:asciiTheme="minorHAnsi" w:hAnsiTheme="minorHAnsi"/>
                <w:b/>
                <w:sz w:val="20"/>
              </w:rPr>
              <w:t>nes</w:t>
            </w:r>
            <w:proofErr w:type="spellEnd"/>
            <w:r>
              <w:rPr>
                <w:rFonts w:asciiTheme="minorHAnsi" w:hAnsiTheme="minorHAnsi"/>
                <w:b/>
                <w:sz w:val="20"/>
              </w:rPr>
              <w:t xml:space="preserve"> anuales 2023</w:t>
            </w:r>
            <w:r w:rsidR="00D97C3B">
              <w:rPr>
                <w:rFonts w:asciiTheme="minorHAnsi" w:hAnsiTheme="minorHAnsi"/>
                <w:b/>
                <w:sz w:val="20"/>
              </w:rPr>
              <w:noBreakHyphen/>
              <w:t>20</w:t>
            </w:r>
            <w:r>
              <w:rPr>
                <w:rFonts w:asciiTheme="minorHAnsi" w:hAnsiTheme="minorHAnsi"/>
                <w:b/>
                <w:sz w:val="20"/>
              </w:rPr>
              <w:t>24*</w:t>
            </w:r>
          </w:p>
        </w:tc>
        <w:tc>
          <w:tcPr>
            <w:tcW w:w="1306"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1174E4FF" w14:textId="6232598E" w:rsidR="0020791D" w:rsidRPr="001D42CA" w:rsidRDefault="0020791D" w:rsidP="00466A7B">
            <w:pPr>
              <w:ind w:left="0" w:firstLine="0"/>
              <w:jc w:val="center"/>
              <w:rPr>
                <w:rFonts w:asciiTheme="minorHAnsi" w:eastAsia="Times New Roman" w:hAnsiTheme="minorHAnsi" w:cs="Arial"/>
                <w:b/>
                <w:bCs/>
                <w:sz w:val="20"/>
                <w:szCs w:val="20"/>
              </w:rPr>
            </w:pPr>
            <w:r>
              <w:rPr>
                <w:rFonts w:asciiTheme="minorHAnsi" w:hAnsiTheme="minorHAnsi"/>
                <w:b/>
                <w:sz w:val="20"/>
              </w:rPr>
              <w:t>Contribución anual estimada para 2026</w:t>
            </w:r>
            <w:r w:rsidR="00D97C3B">
              <w:rPr>
                <w:rFonts w:asciiTheme="minorHAnsi" w:hAnsiTheme="minorHAnsi"/>
                <w:b/>
                <w:sz w:val="20"/>
              </w:rPr>
              <w:noBreakHyphen/>
              <w:t>20</w:t>
            </w:r>
            <w:r>
              <w:rPr>
                <w:rFonts w:asciiTheme="minorHAnsi" w:hAnsiTheme="minorHAnsi"/>
                <w:b/>
                <w:sz w:val="20"/>
              </w:rPr>
              <w:t>28</w:t>
            </w:r>
            <w:r>
              <w:rPr>
                <w:rFonts w:asciiTheme="minorHAnsi" w:hAnsiTheme="minorHAnsi"/>
                <w:b/>
                <w:sz w:val="20"/>
              </w:rPr>
              <w:br/>
              <w:t>Escenario A</w:t>
            </w:r>
          </w:p>
        </w:tc>
        <w:tc>
          <w:tcPr>
            <w:tcW w:w="1305" w:type="dxa"/>
            <w:tcBorders>
              <w:top w:val="single" w:sz="4" w:space="0" w:color="auto"/>
              <w:left w:val="nil"/>
              <w:bottom w:val="single" w:sz="4" w:space="0" w:color="auto"/>
              <w:right w:val="single" w:sz="4" w:space="0" w:color="auto"/>
            </w:tcBorders>
            <w:shd w:val="clear" w:color="000000" w:fill="EBF1DE"/>
            <w:vAlign w:val="center"/>
            <w:hideMark/>
          </w:tcPr>
          <w:p w14:paraId="4C81BB1D" w14:textId="37439BA1" w:rsidR="0020791D" w:rsidRPr="001D42CA" w:rsidRDefault="0020791D" w:rsidP="00466A7B">
            <w:pPr>
              <w:ind w:left="0" w:firstLine="0"/>
              <w:jc w:val="center"/>
              <w:rPr>
                <w:rFonts w:asciiTheme="minorHAnsi" w:eastAsia="Times New Roman" w:hAnsiTheme="minorHAnsi" w:cs="Arial"/>
                <w:b/>
                <w:bCs/>
                <w:sz w:val="20"/>
                <w:szCs w:val="20"/>
              </w:rPr>
            </w:pPr>
            <w:r>
              <w:rPr>
                <w:rFonts w:asciiTheme="minorHAnsi" w:hAnsiTheme="minorHAnsi"/>
                <w:b/>
                <w:sz w:val="20"/>
              </w:rPr>
              <w:t>Contribución anual estimada para 2026</w:t>
            </w:r>
            <w:r w:rsidR="00D97C3B">
              <w:rPr>
                <w:rFonts w:asciiTheme="minorHAnsi" w:hAnsiTheme="minorHAnsi"/>
                <w:b/>
                <w:sz w:val="20"/>
              </w:rPr>
              <w:noBreakHyphen/>
              <w:t>20</w:t>
            </w:r>
            <w:r>
              <w:rPr>
                <w:rFonts w:asciiTheme="minorHAnsi" w:hAnsiTheme="minorHAnsi"/>
                <w:b/>
                <w:sz w:val="20"/>
              </w:rPr>
              <w:t>27</w:t>
            </w:r>
            <w:r>
              <w:rPr>
                <w:rFonts w:asciiTheme="minorHAnsi" w:hAnsiTheme="minorHAnsi"/>
                <w:b/>
                <w:sz w:val="20"/>
              </w:rPr>
              <w:br/>
              <w:t>Escenario B</w:t>
            </w:r>
          </w:p>
        </w:tc>
        <w:tc>
          <w:tcPr>
            <w:tcW w:w="1306" w:type="dxa"/>
            <w:tcBorders>
              <w:top w:val="single" w:sz="4" w:space="0" w:color="auto"/>
              <w:left w:val="nil"/>
              <w:bottom w:val="single" w:sz="4" w:space="0" w:color="auto"/>
              <w:right w:val="single" w:sz="4" w:space="0" w:color="auto"/>
            </w:tcBorders>
            <w:shd w:val="clear" w:color="000000" w:fill="EBF1DE"/>
            <w:vAlign w:val="center"/>
            <w:hideMark/>
          </w:tcPr>
          <w:p w14:paraId="27F43562" w14:textId="77777777" w:rsidR="0020791D" w:rsidRPr="001D42CA" w:rsidRDefault="0020791D" w:rsidP="00466A7B">
            <w:pPr>
              <w:ind w:left="0" w:firstLine="0"/>
              <w:jc w:val="center"/>
              <w:rPr>
                <w:rFonts w:asciiTheme="minorHAnsi" w:eastAsia="Times New Roman" w:hAnsiTheme="minorHAnsi" w:cs="Arial"/>
                <w:b/>
                <w:bCs/>
                <w:sz w:val="20"/>
                <w:szCs w:val="20"/>
              </w:rPr>
            </w:pPr>
            <w:r>
              <w:rPr>
                <w:rFonts w:asciiTheme="minorHAnsi" w:hAnsiTheme="minorHAnsi"/>
                <w:b/>
                <w:sz w:val="20"/>
              </w:rPr>
              <w:t>Contribución anual estimada para 2028</w:t>
            </w:r>
            <w:r>
              <w:rPr>
                <w:rFonts w:asciiTheme="minorHAnsi" w:hAnsiTheme="minorHAnsi"/>
                <w:b/>
                <w:sz w:val="20"/>
              </w:rPr>
              <w:br/>
              <w:t>Escenario B</w:t>
            </w:r>
          </w:p>
        </w:tc>
      </w:tr>
      <w:tr w:rsidR="00595C1A" w:rsidRPr="001D42CA" w14:paraId="04E1ED37"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26F95AF"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Albania</w:t>
            </w:r>
          </w:p>
        </w:tc>
        <w:tc>
          <w:tcPr>
            <w:tcW w:w="1111" w:type="dxa"/>
            <w:tcBorders>
              <w:top w:val="nil"/>
              <w:left w:val="nil"/>
              <w:bottom w:val="single" w:sz="4" w:space="0" w:color="auto"/>
              <w:right w:val="single" w:sz="4" w:space="0" w:color="auto"/>
            </w:tcBorders>
            <w:shd w:val="clear" w:color="auto" w:fill="auto"/>
            <w:noWrap/>
          </w:tcPr>
          <w:p w14:paraId="1DCE472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0,008</w:t>
            </w:r>
          </w:p>
        </w:tc>
        <w:tc>
          <w:tcPr>
            <w:tcW w:w="1111" w:type="dxa"/>
            <w:tcBorders>
              <w:top w:val="nil"/>
              <w:left w:val="nil"/>
              <w:bottom w:val="single" w:sz="4" w:space="0" w:color="auto"/>
              <w:right w:val="single" w:sz="4" w:space="0" w:color="auto"/>
            </w:tcBorders>
            <w:shd w:val="clear" w:color="auto" w:fill="auto"/>
            <w:noWrap/>
          </w:tcPr>
          <w:p w14:paraId="0D8C37D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0,008 %</w:t>
            </w:r>
          </w:p>
        </w:tc>
        <w:tc>
          <w:tcPr>
            <w:tcW w:w="1305" w:type="dxa"/>
            <w:tcBorders>
              <w:top w:val="nil"/>
              <w:left w:val="nil"/>
              <w:bottom w:val="single" w:sz="4" w:space="0" w:color="auto"/>
              <w:right w:val="single" w:sz="4" w:space="0" w:color="auto"/>
            </w:tcBorders>
          </w:tcPr>
          <w:p w14:paraId="57475EC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80B645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1816117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21A9A9C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4720969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A560EE0"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Alemania</w:t>
            </w:r>
          </w:p>
        </w:tc>
        <w:tc>
          <w:tcPr>
            <w:tcW w:w="1111" w:type="dxa"/>
            <w:tcBorders>
              <w:top w:val="nil"/>
              <w:left w:val="nil"/>
              <w:bottom w:val="single" w:sz="4" w:space="0" w:color="auto"/>
              <w:right w:val="single" w:sz="4" w:space="0" w:color="auto"/>
            </w:tcBorders>
            <w:shd w:val="clear" w:color="auto" w:fill="auto"/>
            <w:noWrap/>
          </w:tcPr>
          <w:p w14:paraId="0285948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6,111</w:t>
            </w:r>
          </w:p>
        </w:tc>
        <w:tc>
          <w:tcPr>
            <w:tcW w:w="1111" w:type="dxa"/>
            <w:tcBorders>
              <w:top w:val="nil"/>
              <w:left w:val="nil"/>
              <w:bottom w:val="single" w:sz="4" w:space="0" w:color="auto"/>
              <w:right w:val="single" w:sz="4" w:space="0" w:color="auto"/>
            </w:tcBorders>
            <w:shd w:val="clear" w:color="auto" w:fill="auto"/>
            <w:noWrap/>
          </w:tcPr>
          <w:p w14:paraId="59A08B4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6,274 %</w:t>
            </w:r>
          </w:p>
        </w:tc>
        <w:tc>
          <w:tcPr>
            <w:tcW w:w="1305" w:type="dxa"/>
            <w:tcBorders>
              <w:top w:val="nil"/>
              <w:left w:val="nil"/>
              <w:bottom w:val="single" w:sz="4" w:space="0" w:color="auto"/>
              <w:right w:val="single" w:sz="4" w:space="0" w:color="auto"/>
            </w:tcBorders>
          </w:tcPr>
          <w:p w14:paraId="7F0C53D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299 212</w:t>
            </w:r>
          </w:p>
        </w:tc>
        <w:tc>
          <w:tcPr>
            <w:tcW w:w="1306" w:type="dxa"/>
            <w:tcBorders>
              <w:top w:val="nil"/>
              <w:left w:val="single" w:sz="4" w:space="0" w:color="auto"/>
              <w:bottom w:val="single" w:sz="4" w:space="0" w:color="auto"/>
              <w:right w:val="single" w:sz="4" w:space="0" w:color="auto"/>
            </w:tcBorders>
            <w:shd w:val="clear" w:color="auto" w:fill="auto"/>
            <w:noWrap/>
          </w:tcPr>
          <w:p w14:paraId="16F9A4F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327 878</w:t>
            </w:r>
          </w:p>
        </w:tc>
        <w:tc>
          <w:tcPr>
            <w:tcW w:w="1305" w:type="dxa"/>
            <w:tcBorders>
              <w:top w:val="nil"/>
              <w:left w:val="nil"/>
              <w:bottom w:val="single" w:sz="4" w:space="0" w:color="auto"/>
              <w:right w:val="single" w:sz="4" w:space="0" w:color="auto"/>
            </w:tcBorders>
            <w:shd w:val="clear" w:color="auto" w:fill="auto"/>
            <w:noWrap/>
          </w:tcPr>
          <w:p w14:paraId="023B732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328 606</w:t>
            </w:r>
          </w:p>
        </w:tc>
        <w:tc>
          <w:tcPr>
            <w:tcW w:w="1306" w:type="dxa"/>
            <w:tcBorders>
              <w:top w:val="nil"/>
              <w:left w:val="nil"/>
              <w:bottom w:val="single" w:sz="4" w:space="0" w:color="auto"/>
              <w:right w:val="single" w:sz="4" w:space="0" w:color="auto"/>
            </w:tcBorders>
            <w:shd w:val="clear" w:color="auto" w:fill="auto"/>
            <w:noWrap/>
          </w:tcPr>
          <w:p w14:paraId="3DBE431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343 571</w:t>
            </w:r>
          </w:p>
        </w:tc>
      </w:tr>
      <w:tr w:rsidR="00595C1A" w:rsidRPr="001D42CA" w14:paraId="047B283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83EB391"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Andorra</w:t>
            </w:r>
          </w:p>
        </w:tc>
        <w:tc>
          <w:tcPr>
            <w:tcW w:w="1111" w:type="dxa"/>
            <w:tcBorders>
              <w:top w:val="nil"/>
              <w:left w:val="nil"/>
              <w:bottom w:val="single" w:sz="4" w:space="0" w:color="auto"/>
              <w:right w:val="single" w:sz="4" w:space="0" w:color="auto"/>
            </w:tcBorders>
            <w:shd w:val="clear" w:color="auto" w:fill="auto"/>
            <w:noWrap/>
          </w:tcPr>
          <w:p w14:paraId="287B93C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0,005</w:t>
            </w:r>
          </w:p>
        </w:tc>
        <w:tc>
          <w:tcPr>
            <w:tcW w:w="1111" w:type="dxa"/>
            <w:tcBorders>
              <w:top w:val="nil"/>
              <w:left w:val="nil"/>
              <w:bottom w:val="single" w:sz="4" w:space="0" w:color="auto"/>
              <w:right w:val="single" w:sz="4" w:space="0" w:color="auto"/>
            </w:tcBorders>
            <w:shd w:val="clear" w:color="auto" w:fill="auto"/>
            <w:noWrap/>
          </w:tcPr>
          <w:p w14:paraId="27E1D5F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0,005 %</w:t>
            </w:r>
          </w:p>
        </w:tc>
        <w:tc>
          <w:tcPr>
            <w:tcW w:w="1305" w:type="dxa"/>
            <w:tcBorders>
              <w:top w:val="nil"/>
              <w:left w:val="nil"/>
              <w:bottom w:val="single" w:sz="4" w:space="0" w:color="auto"/>
              <w:right w:val="single" w:sz="4" w:space="0" w:color="auto"/>
            </w:tcBorders>
          </w:tcPr>
          <w:p w14:paraId="1DD980C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C2E204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5099BA7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3492F2D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2E30C182"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3C3182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Angola</w:t>
            </w:r>
          </w:p>
        </w:tc>
        <w:tc>
          <w:tcPr>
            <w:tcW w:w="1111" w:type="dxa"/>
            <w:tcBorders>
              <w:top w:val="nil"/>
              <w:left w:val="nil"/>
              <w:bottom w:val="single" w:sz="4" w:space="0" w:color="auto"/>
              <w:right w:val="single" w:sz="4" w:space="0" w:color="auto"/>
            </w:tcBorders>
            <w:shd w:val="clear" w:color="auto" w:fill="auto"/>
            <w:noWrap/>
          </w:tcPr>
          <w:p w14:paraId="6E827D4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0,010</w:t>
            </w:r>
          </w:p>
        </w:tc>
        <w:tc>
          <w:tcPr>
            <w:tcW w:w="1111" w:type="dxa"/>
            <w:tcBorders>
              <w:top w:val="nil"/>
              <w:left w:val="nil"/>
              <w:bottom w:val="single" w:sz="4" w:space="0" w:color="auto"/>
              <w:right w:val="single" w:sz="4" w:space="0" w:color="auto"/>
            </w:tcBorders>
            <w:shd w:val="clear" w:color="auto" w:fill="auto"/>
            <w:noWrap/>
          </w:tcPr>
          <w:p w14:paraId="1F0C5F2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0,010 %</w:t>
            </w:r>
          </w:p>
        </w:tc>
        <w:tc>
          <w:tcPr>
            <w:tcW w:w="1305" w:type="dxa"/>
            <w:tcBorders>
              <w:top w:val="nil"/>
              <w:left w:val="nil"/>
              <w:bottom w:val="single" w:sz="4" w:space="0" w:color="auto"/>
              <w:right w:val="single" w:sz="4" w:space="0" w:color="auto"/>
            </w:tcBorders>
          </w:tcPr>
          <w:p w14:paraId="38AB906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8D0419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5872480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33430C0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458E2ED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F7C59B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Antigua y Barbuda</w:t>
            </w:r>
          </w:p>
        </w:tc>
        <w:tc>
          <w:tcPr>
            <w:tcW w:w="1111" w:type="dxa"/>
            <w:tcBorders>
              <w:top w:val="nil"/>
              <w:left w:val="nil"/>
              <w:bottom w:val="single" w:sz="4" w:space="0" w:color="auto"/>
              <w:right w:val="single" w:sz="4" w:space="0" w:color="auto"/>
            </w:tcBorders>
            <w:shd w:val="clear" w:color="auto" w:fill="auto"/>
            <w:noWrap/>
          </w:tcPr>
          <w:p w14:paraId="008A91E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0,002</w:t>
            </w:r>
          </w:p>
        </w:tc>
        <w:tc>
          <w:tcPr>
            <w:tcW w:w="1111" w:type="dxa"/>
            <w:tcBorders>
              <w:top w:val="nil"/>
              <w:left w:val="nil"/>
              <w:bottom w:val="single" w:sz="4" w:space="0" w:color="auto"/>
              <w:right w:val="single" w:sz="4" w:space="0" w:color="auto"/>
            </w:tcBorders>
            <w:shd w:val="clear" w:color="auto" w:fill="auto"/>
            <w:noWrap/>
          </w:tcPr>
          <w:p w14:paraId="5F0B3AC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0,002 %</w:t>
            </w:r>
          </w:p>
        </w:tc>
        <w:tc>
          <w:tcPr>
            <w:tcW w:w="1305" w:type="dxa"/>
            <w:tcBorders>
              <w:top w:val="nil"/>
              <w:left w:val="nil"/>
              <w:bottom w:val="single" w:sz="4" w:space="0" w:color="auto"/>
              <w:right w:val="single" w:sz="4" w:space="0" w:color="auto"/>
            </w:tcBorders>
          </w:tcPr>
          <w:p w14:paraId="4CD9EC0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F40E61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57C8E65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513A52F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7FB3F58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AA6D446"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Argelia</w:t>
            </w:r>
          </w:p>
        </w:tc>
        <w:tc>
          <w:tcPr>
            <w:tcW w:w="1111" w:type="dxa"/>
            <w:tcBorders>
              <w:top w:val="nil"/>
              <w:left w:val="nil"/>
              <w:bottom w:val="single" w:sz="4" w:space="0" w:color="auto"/>
              <w:right w:val="single" w:sz="4" w:space="0" w:color="auto"/>
            </w:tcBorders>
            <w:shd w:val="clear" w:color="auto" w:fill="auto"/>
            <w:noWrap/>
          </w:tcPr>
          <w:p w14:paraId="6D2A852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0,109</w:t>
            </w:r>
          </w:p>
        </w:tc>
        <w:tc>
          <w:tcPr>
            <w:tcW w:w="1111" w:type="dxa"/>
            <w:tcBorders>
              <w:top w:val="nil"/>
              <w:left w:val="nil"/>
              <w:bottom w:val="single" w:sz="4" w:space="0" w:color="auto"/>
              <w:right w:val="single" w:sz="4" w:space="0" w:color="auto"/>
            </w:tcBorders>
            <w:shd w:val="clear" w:color="auto" w:fill="auto"/>
            <w:noWrap/>
          </w:tcPr>
          <w:p w14:paraId="13430F9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0,112 %</w:t>
            </w:r>
          </w:p>
        </w:tc>
        <w:tc>
          <w:tcPr>
            <w:tcW w:w="1305" w:type="dxa"/>
            <w:tcBorders>
              <w:top w:val="nil"/>
              <w:left w:val="nil"/>
              <w:bottom w:val="single" w:sz="4" w:space="0" w:color="auto"/>
              <w:right w:val="single" w:sz="4" w:space="0" w:color="auto"/>
            </w:tcBorders>
          </w:tcPr>
          <w:p w14:paraId="0EBA1FC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5 337</w:t>
            </w:r>
          </w:p>
        </w:tc>
        <w:tc>
          <w:tcPr>
            <w:tcW w:w="1306" w:type="dxa"/>
            <w:tcBorders>
              <w:top w:val="nil"/>
              <w:left w:val="single" w:sz="4" w:space="0" w:color="auto"/>
              <w:bottom w:val="single" w:sz="4" w:space="0" w:color="auto"/>
              <w:right w:val="single" w:sz="4" w:space="0" w:color="auto"/>
            </w:tcBorders>
            <w:shd w:val="clear" w:color="auto" w:fill="auto"/>
            <w:noWrap/>
          </w:tcPr>
          <w:p w14:paraId="1560C0F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5 848</w:t>
            </w:r>
          </w:p>
        </w:tc>
        <w:tc>
          <w:tcPr>
            <w:tcW w:w="1305" w:type="dxa"/>
            <w:tcBorders>
              <w:top w:val="nil"/>
              <w:left w:val="nil"/>
              <w:bottom w:val="single" w:sz="4" w:space="0" w:color="auto"/>
              <w:right w:val="single" w:sz="4" w:space="0" w:color="auto"/>
            </w:tcBorders>
            <w:shd w:val="clear" w:color="auto" w:fill="auto"/>
            <w:noWrap/>
          </w:tcPr>
          <w:p w14:paraId="3BD6E69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5 861</w:t>
            </w:r>
          </w:p>
        </w:tc>
        <w:tc>
          <w:tcPr>
            <w:tcW w:w="1306" w:type="dxa"/>
            <w:tcBorders>
              <w:top w:val="nil"/>
              <w:left w:val="nil"/>
              <w:bottom w:val="single" w:sz="4" w:space="0" w:color="auto"/>
              <w:right w:val="single" w:sz="4" w:space="0" w:color="auto"/>
            </w:tcBorders>
            <w:shd w:val="clear" w:color="auto" w:fill="auto"/>
            <w:noWrap/>
          </w:tcPr>
          <w:p w14:paraId="3E59378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6 128</w:t>
            </w:r>
          </w:p>
        </w:tc>
      </w:tr>
      <w:tr w:rsidR="00595C1A" w:rsidRPr="001D42CA" w14:paraId="05B1D8E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5DE504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Argentina</w:t>
            </w:r>
          </w:p>
        </w:tc>
        <w:tc>
          <w:tcPr>
            <w:tcW w:w="1111" w:type="dxa"/>
            <w:tcBorders>
              <w:top w:val="nil"/>
              <w:left w:val="nil"/>
              <w:bottom w:val="single" w:sz="4" w:space="0" w:color="auto"/>
              <w:right w:val="single" w:sz="4" w:space="0" w:color="auto"/>
            </w:tcBorders>
            <w:shd w:val="clear" w:color="auto" w:fill="auto"/>
            <w:noWrap/>
          </w:tcPr>
          <w:p w14:paraId="2CBB45F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0,719</w:t>
            </w:r>
          </w:p>
        </w:tc>
        <w:tc>
          <w:tcPr>
            <w:tcW w:w="1111" w:type="dxa"/>
            <w:tcBorders>
              <w:top w:val="nil"/>
              <w:left w:val="nil"/>
              <w:bottom w:val="single" w:sz="4" w:space="0" w:color="auto"/>
              <w:right w:val="single" w:sz="4" w:space="0" w:color="auto"/>
            </w:tcBorders>
            <w:shd w:val="clear" w:color="auto" w:fill="auto"/>
            <w:noWrap/>
          </w:tcPr>
          <w:p w14:paraId="2777936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0,738 %</w:t>
            </w:r>
          </w:p>
        </w:tc>
        <w:tc>
          <w:tcPr>
            <w:tcW w:w="1305" w:type="dxa"/>
            <w:tcBorders>
              <w:top w:val="nil"/>
              <w:left w:val="nil"/>
              <w:bottom w:val="single" w:sz="4" w:space="0" w:color="auto"/>
              <w:right w:val="single" w:sz="4" w:space="0" w:color="auto"/>
            </w:tcBorders>
          </w:tcPr>
          <w:p w14:paraId="315DE61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35 204</w:t>
            </w:r>
          </w:p>
        </w:tc>
        <w:tc>
          <w:tcPr>
            <w:tcW w:w="1306" w:type="dxa"/>
            <w:tcBorders>
              <w:top w:val="nil"/>
              <w:left w:val="single" w:sz="4" w:space="0" w:color="auto"/>
              <w:bottom w:val="single" w:sz="4" w:space="0" w:color="auto"/>
              <w:right w:val="single" w:sz="4" w:space="0" w:color="auto"/>
            </w:tcBorders>
            <w:shd w:val="clear" w:color="auto" w:fill="auto"/>
            <w:noWrap/>
          </w:tcPr>
          <w:p w14:paraId="7A51429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38 577</w:t>
            </w:r>
          </w:p>
        </w:tc>
        <w:tc>
          <w:tcPr>
            <w:tcW w:w="1305" w:type="dxa"/>
            <w:tcBorders>
              <w:top w:val="nil"/>
              <w:left w:val="nil"/>
              <w:bottom w:val="single" w:sz="4" w:space="0" w:color="auto"/>
              <w:right w:val="single" w:sz="4" w:space="0" w:color="auto"/>
            </w:tcBorders>
            <w:shd w:val="clear" w:color="auto" w:fill="auto"/>
            <w:noWrap/>
          </w:tcPr>
          <w:p w14:paraId="1A73ADB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38 663</w:t>
            </w:r>
          </w:p>
        </w:tc>
        <w:tc>
          <w:tcPr>
            <w:tcW w:w="1306" w:type="dxa"/>
            <w:tcBorders>
              <w:top w:val="nil"/>
              <w:left w:val="nil"/>
              <w:bottom w:val="single" w:sz="4" w:space="0" w:color="auto"/>
              <w:right w:val="single" w:sz="4" w:space="0" w:color="auto"/>
            </w:tcBorders>
            <w:shd w:val="clear" w:color="auto" w:fill="auto"/>
            <w:noWrap/>
          </w:tcPr>
          <w:p w14:paraId="62DAF9E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40 423</w:t>
            </w:r>
          </w:p>
        </w:tc>
      </w:tr>
      <w:tr w:rsidR="00595C1A" w:rsidRPr="001D42CA" w14:paraId="3E9D516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2DAE26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Armenia</w:t>
            </w:r>
          </w:p>
        </w:tc>
        <w:tc>
          <w:tcPr>
            <w:tcW w:w="1111" w:type="dxa"/>
            <w:tcBorders>
              <w:top w:val="nil"/>
              <w:left w:val="nil"/>
              <w:bottom w:val="single" w:sz="4" w:space="0" w:color="auto"/>
              <w:right w:val="single" w:sz="4" w:space="0" w:color="auto"/>
            </w:tcBorders>
            <w:shd w:val="clear" w:color="auto" w:fill="auto"/>
            <w:noWrap/>
          </w:tcPr>
          <w:p w14:paraId="722D0E2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0,007</w:t>
            </w:r>
          </w:p>
        </w:tc>
        <w:tc>
          <w:tcPr>
            <w:tcW w:w="1111" w:type="dxa"/>
            <w:tcBorders>
              <w:top w:val="nil"/>
              <w:left w:val="nil"/>
              <w:bottom w:val="single" w:sz="4" w:space="0" w:color="auto"/>
              <w:right w:val="single" w:sz="4" w:space="0" w:color="auto"/>
            </w:tcBorders>
            <w:shd w:val="clear" w:color="auto" w:fill="auto"/>
            <w:noWrap/>
          </w:tcPr>
          <w:p w14:paraId="458565A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0,007 %</w:t>
            </w:r>
          </w:p>
        </w:tc>
        <w:tc>
          <w:tcPr>
            <w:tcW w:w="1305" w:type="dxa"/>
            <w:tcBorders>
              <w:top w:val="nil"/>
              <w:left w:val="nil"/>
              <w:bottom w:val="single" w:sz="4" w:space="0" w:color="auto"/>
              <w:right w:val="single" w:sz="4" w:space="0" w:color="auto"/>
            </w:tcBorders>
          </w:tcPr>
          <w:p w14:paraId="2999B66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8F63A4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6926482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7CAAC6E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63B6B716"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447B86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Australia</w:t>
            </w:r>
          </w:p>
        </w:tc>
        <w:tc>
          <w:tcPr>
            <w:tcW w:w="1111" w:type="dxa"/>
            <w:tcBorders>
              <w:top w:val="nil"/>
              <w:left w:val="nil"/>
              <w:bottom w:val="single" w:sz="4" w:space="0" w:color="auto"/>
              <w:right w:val="single" w:sz="4" w:space="0" w:color="auto"/>
            </w:tcBorders>
            <w:shd w:val="clear" w:color="auto" w:fill="auto"/>
            <w:noWrap/>
          </w:tcPr>
          <w:p w14:paraId="3E7A09C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2,111</w:t>
            </w:r>
          </w:p>
        </w:tc>
        <w:tc>
          <w:tcPr>
            <w:tcW w:w="1111" w:type="dxa"/>
            <w:tcBorders>
              <w:top w:val="nil"/>
              <w:left w:val="nil"/>
              <w:bottom w:val="single" w:sz="4" w:space="0" w:color="auto"/>
              <w:right w:val="single" w:sz="4" w:space="0" w:color="auto"/>
            </w:tcBorders>
            <w:shd w:val="clear" w:color="auto" w:fill="auto"/>
            <w:noWrap/>
          </w:tcPr>
          <w:p w14:paraId="6AD6FB2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2,167 %</w:t>
            </w:r>
          </w:p>
        </w:tc>
        <w:tc>
          <w:tcPr>
            <w:tcW w:w="1305" w:type="dxa"/>
            <w:tcBorders>
              <w:top w:val="nil"/>
              <w:left w:val="nil"/>
              <w:bottom w:val="single" w:sz="4" w:space="0" w:color="auto"/>
              <w:right w:val="single" w:sz="4" w:space="0" w:color="auto"/>
            </w:tcBorders>
          </w:tcPr>
          <w:p w14:paraId="546CEBE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103 361</w:t>
            </w:r>
          </w:p>
        </w:tc>
        <w:tc>
          <w:tcPr>
            <w:tcW w:w="1306" w:type="dxa"/>
            <w:tcBorders>
              <w:top w:val="nil"/>
              <w:left w:val="single" w:sz="4" w:space="0" w:color="auto"/>
              <w:bottom w:val="single" w:sz="4" w:space="0" w:color="auto"/>
              <w:right w:val="single" w:sz="4" w:space="0" w:color="auto"/>
            </w:tcBorders>
            <w:shd w:val="clear" w:color="auto" w:fill="auto"/>
            <w:noWrap/>
          </w:tcPr>
          <w:p w14:paraId="71A3626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113 263</w:t>
            </w:r>
          </w:p>
        </w:tc>
        <w:tc>
          <w:tcPr>
            <w:tcW w:w="1305" w:type="dxa"/>
            <w:tcBorders>
              <w:top w:val="nil"/>
              <w:left w:val="nil"/>
              <w:bottom w:val="single" w:sz="4" w:space="0" w:color="auto"/>
              <w:right w:val="single" w:sz="4" w:space="0" w:color="auto"/>
            </w:tcBorders>
            <w:shd w:val="clear" w:color="auto" w:fill="auto"/>
            <w:noWrap/>
          </w:tcPr>
          <w:p w14:paraId="2403B11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113 514</w:t>
            </w:r>
          </w:p>
        </w:tc>
        <w:tc>
          <w:tcPr>
            <w:tcW w:w="1306" w:type="dxa"/>
            <w:tcBorders>
              <w:top w:val="nil"/>
              <w:left w:val="nil"/>
              <w:bottom w:val="single" w:sz="4" w:space="0" w:color="auto"/>
              <w:right w:val="single" w:sz="4" w:space="0" w:color="auto"/>
            </w:tcBorders>
            <w:shd w:val="clear" w:color="auto" w:fill="auto"/>
            <w:noWrap/>
          </w:tcPr>
          <w:p w14:paraId="3CAD698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118 684</w:t>
            </w:r>
          </w:p>
        </w:tc>
      </w:tr>
      <w:tr w:rsidR="00595C1A" w:rsidRPr="001D42CA" w14:paraId="5D4CDE06"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39AACAB"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Austria</w:t>
            </w:r>
          </w:p>
        </w:tc>
        <w:tc>
          <w:tcPr>
            <w:tcW w:w="1111" w:type="dxa"/>
            <w:tcBorders>
              <w:top w:val="nil"/>
              <w:left w:val="nil"/>
              <w:bottom w:val="single" w:sz="4" w:space="0" w:color="auto"/>
              <w:right w:val="single" w:sz="4" w:space="0" w:color="auto"/>
            </w:tcBorders>
            <w:shd w:val="clear" w:color="auto" w:fill="auto"/>
            <w:noWrap/>
          </w:tcPr>
          <w:p w14:paraId="0FDF089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0,679</w:t>
            </w:r>
          </w:p>
        </w:tc>
        <w:tc>
          <w:tcPr>
            <w:tcW w:w="1111" w:type="dxa"/>
            <w:tcBorders>
              <w:top w:val="nil"/>
              <w:left w:val="nil"/>
              <w:bottom w:val="single" w:sz="4" w:space="0" w:color="auto"/>
              <w:right w:val="single" w:sz="4" w:space="0" w:color="auto"/>
            </w:tcBorders>
            <w:shd w:val="clear" w:color="auto" w:fill="auto"/>
            <w:noWrap/>
          </w:tcPr>
          <w:p w14:paraId="7A5A6FD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0,697 %</w:t>
            </w:r>
          </w:p>
        </w:tc>
        <w:tc>
          <w:tcPr>
            <w:tcW w:w="1305" w:type="dxa"/>
            <w:tcBorders>
              <w:top w:val="nil"/>
              <w:left w:val="nil"/>
              <w:bottom w:val="single" w:sz="4" w:space="0" w:color="auto"/>
              <w:right w:val="single" w:sz="4" w:space="0" w:color="auto"/>
            </w:tcBorders>
          </w:tcPr>
          <w:p w14:paraId="7A8147C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33 246</w:t>
            </w:r>
          </w:p>
        </w:tc>
        <w:tc>
          <w:tcPr>
            <w:tcW w:w="1306" w:type="dxa"/>
            <w:tcBorders>
              <w:top w:val="nil"/>
              <w:left w:val="single" w:sz="4" w:space="0" w:color="auto"/>
              <w:bottom w:val="single" w:sz="4" w:space="0" w:color="auto"/>
              <w:right w:val="single" w:sz="4" w:space="0" w:color="auto"/>
            </w:tcBorders>
            <w:shd w:val="clear" w:color="auto" w:fill="auto"/>
            <w:noWrap/>
          </w:tcPr>
          <w:p w14:paraId="4CAC3C0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36 431</w:t>
            </w:r>
          </w:p>
        </w:tc>
        <w:tc>
          <w:tcPr>
            <w:tcW w:w="1305" w:type="dxa"/>
            <w:tcBorders>
              <w:top w:val="nil"/>
              <w:left w:val="nil"/>
              <w:bottom w:val="single" w:sz="4" w:space="0" w:color="auto"/>
              <w:right w:val="single" w:sz="4" w:space="0" w:color="auto"/>
            </w:tcBorders>
            <w:shd w:val="clear" w:color="auto" w:fill="auto"/>
            <w:noWrap/>
          </w:tcPr>
          <w:p w14:paraId="0688513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36 512</w:t>
            </w:r>
          </w:p>
        </w:tc>
        <w:tc>
          <w:tcPr>
            <w:tcW w:w="1306" w:type="dxa"/>
            <w:tcBorders>
              <w:top w:val="nil"/>
              <w:left w:val="nil"/>
              <w:bottom w:val="single" w:sz="4" w:space="0" w:color="auto"/>
              <w:right w:val="single" w:sz="4" w:space="0" w:color="auto"/>
            </w:tcBorders>
            <w:shd w:val="clear" w:color="auto" w:fill="auto"/>
            <w:noWrap/>
          </w:tcPr>
          <w:p w14:paraId="36A1191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38 175</w:t>
            </w:r>
          </w:p>
        </w:tc>
      </w:tr>
      <w:tr w:rsidR="00595C1A" w:rsidRPr="001D42CA" w14:paraId="7207900D"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8EE7560"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Azerbaiyán</w:t>
            </w:r>
          </w:p>
        </w:tc>
        <w:tc>
          <w:tcPr>
            <w:tcW w:w="1111" w:type="dxa"/>
            <w:tcBorders>
              <w:top w:val="nil"/>
              <w:left w:val="nil"/>
              <w:bottom w:val="single" w:sz="4" w:space="0" w:color="auto"/>
              <w:right w:val="single" w:sz="4" w:space="0" w:color="auto"/>
            </w:tcBorders>
            <w:shd w:val="clear" w:color="auto" w:fill="auto"/>
            <w:noWrap/>
          </w:tcPr>
          <w:p w14:paraId="1F19E4F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0,030</w:t>
            </w:r>
          </w:p>
        </w:tc>
        <w:tc>
          <w:tcPr>
            <w:tcW w:w="1111" w:type="dxa"/>
            <w:tcBorders>
              <w:top w:val="nil"/>
              <w:left w:val="nil"/>
              <w:bottom w:val="single" w:sz="4" w:space="0" w:color="auto"/>
              <w:right w:val="single" w:sz="4" w:space="0" w:color="auto"/>
            </w:tcBorders>
            <w:shd w:val="clear" w:color="auto" w:fill="auto"/>
            <w:noWrap/>
          </w:tcPr>
          <w:p w14:paraId="3F72236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0,031 %</w:t>
            </w:r>
          </w:p>
        </w:tc>
        <w:tc>
          <w:tcPr>
            <w:tcW w:w="1305" w:type="dxa"/>
            <w:tcBorders>
              <w:top w:val="nil"/>
              <w:left w:val="nil"/>
              <w:bottom w:val="single" w:sz="4" w:space="0" w:color="auto"/>
              <w:right w:val="single" w:sz="4" w:space="0" w:color="auto"/>
            </w:tcBorders>
          </w:tcPr>
          <w:p w14:paraId="18C45B45"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1 469</w:t>
            </w:r>
          </w:p>
        </w:tc>
        <w:tc>
          <w:tcPr>
            <w:tcW w:w="1306" w:type="dxa"/>
            <w:tcBorders>
              <w:top w:val="nil"/>
              <w:left w:val="single" w:sz="4" w:space="0" w:color="auto"/>
              <w:bottom w:val="single" w:sz="4" w:space="0" w:color="auto"/>
              <w:right w:val="single" w:sz="4" w:space="0" w:color="auto"/>
            </w:tcBorders>
            <w:shd w:val="clear" w:color="auto" w:fill="auto"/>
            <w:noWrap/>
          </w:tcPr>
          <w:p w14:paraId="3FEE126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1 610</w:t>
            </w:r>
          </w:p>
        </w:tc>
        <w:tc>
          <w:tcPr>
            <w:tcW w:w="1305" w:type="dxa"/>
            <w:tcBorders>
              <w:top w:val="nil"/>
              <w:left w:val="nil"/>
              <w:bottom w:val="single" w:sz="4" w:space="0" w:color="auto"/>
              <w:right w:val="single" w:sz="4" w:space="0" w:color="auto"/>
            </w:tcBorders>
            <w:shd w:val="clear" w:color="auto" w:fill="auto"/>
            <w:noWrap/>
          </w:tcPr>
          <w:p w14:paraId="2B45A77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1 613</w:t>
            </w:r>
          </w:p>
        </w:tc>
        <w:tc>
          <w:tcPr>
            <w:tcW w:w="1306" w:type="dxa"/>
            <w:tcBorders>
              <w:top w:val="nil"/>
              <w:left w:val="nil"/>
              <w:bottom w:val="single" w:sz="4" w:space="0" w:color="auto"/>
              <w:right w:val="single" w:sz="4" w:space="0" w:color="auto"/>
            </w:tcBorders>
            <w:shd w:val="clear" w:color="auto" w:fill="auto"/>
            <w:noWrap/>
          </w:tcPr>
          <w:p w14:paraId="2A35EE6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1 687</w:t>
            </w:r>
          </w:p>
        </w:tc>
      </w:tr>
      <w:tr w:rsidR="00595C1A" w:rsidRPr="001D42CA" w14:paraId="359E384D"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72E2A20"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Bahamas</w:t>
            </w:r>
          </w:p>
        </w:tc>
        <w:tc>
          <w:tcPr>
            <w:tcW w:w="1111" w:type="dxa"/>
            <w:tcBorders>
              <w:top w:val="nil"/>
              <w:left w:val="nil"/>
              <w:bottom w:val="single" w:sz="4" w:space="0" w:color="auto"/>
              <w:right w:val="single" w:sz="4" w:space="0" w:color="auto"/>
            </w:tcBorders>
            <w:shd w:val="clear" w:color="auto" w:fill="auto"/>
            <w:noWrap/>
          </w:tcPr>
          <w:p w14:paraId="3112DA9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0,019</w:t>
            </w:r>
          </w:p>
        </w:tc>
        <w:tc>
          <w:tcPr>
            <w:tcW w:w="1111" w:type="dxa"/>
            <w:tcBorders>
              <w:top w:val="nil"/>
              <w:left w:val="nil"/>
              <w:bottom w:val="single" w:sz="4" w:space="0" w:color="auto"/>
              <w:right w:val="single" w:sz="4" w:space="0" w:color="auto"/>
            </w:tcBorders>
            <w:shd w:val="clear" w:color="auto" w:fill="auto"/>
            <w:noWrap/>
          </w:tcPr>
          <w:p w14:paraId="3B58282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0,020 %</w:t>
            </w:r>
          </w:p>
        </w:tc>
        <w:tc>
          <w:tcPr>
            <w:tcW w:w="1305" w:type="dxa"/>
            <w:tcBorders>
              <w:top w:val="nil"/>
              <w:left w:val="nil"/>
              <w:bottom w:val="single" w:sz="4" w:space="0" w:color="auto"/>
              <w:right w:val="single" w:sz="4" w:space="0" w:color="auto"/>
            </w:tcBorders>
          </w:tcPr>
          <w:p w14:paraId="4008FF1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42FD60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1 019</w:t>
            </w:r>
          </w:p>
        </w:tc>
        <w:tc>
          <w:tcPr>
            <w:tcW w:w="1305" w:type="dxa"/>
            <w:tcBorders>
              <w:top w:val="nil"/>
              <w:left w:val="nil"/>
              <w:bottom w:val="single" w:sz="4" w:space="0" w:color="auto"/>
              <w:right w:val="single" w:sz="4" w:space="0" w:color="auto"/>
            </w:tcBorders>
            <w:shd w:val="clear" w:color="auto" w:fill="auto"/>
            <w:noWrap/>
          </w:tcPr>
          <w:p w14:paraId="2A33746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1 022</w:t>
            </w:r>
          </w:p>
        </w:tc>
        <w:tc>
          <w:tcPr>
            <w:tcW w:w="1306" w:type="dxa"/>
            <w:tcBorders>
              <w:top w:val="nil"/>
              <w:left w:val="nil"/>
              <w:bottom w:val="single" w:sz="4" w:space="0" w:color="auto"/>
              <w:right w:val="single" w:sz="4" w:space="0" w:color="auto"/>
            </w:tcBorders>
            <w:shd w:val="clear" w:color="auto" w:fill="auto"/>
            <w:noWrap/>
          </w:tcPr>
          <w:p w14:paraId="1304AE4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1 068</w:t>
            </w:r>
          </w:p>
        </w:tc>
      </w:tr>
      <w:tr w:rsidR="00595C1A" w:rsidRPr="001D42CA" w14:paraId="7A6EE61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E2B466"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Bahrein</w:t>
            </w:r>
            <w:proofErr w:type="spellEnd"/>
          </w:p>
        </w:tc>
        <w:tc>
          <w:tcPr>
            <w:tcW w:w="1111" w:type="dxa"/>
            <w:tcBorders>
              <w:top w:val="nil"/>
              <w:left w:val="nil"/>
              <w:bottom w:val="single" w:sz="4" w:space="0" w:color="auto"/>
              <w:right w:val="single" w:sz="4" w:space="0" w:color="auto"/>
            </w:tcBorders>
            <w:shd w:val="clear" w:color="auto" w:fill="auto"/>
            <w:noWrap/>
          </w:tcPr>
          <w:p w14:paraId="412F590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0,054</w:t>
            </w:r>
          </w:p>
        </w:tc>
        <w:tc>
          <w:tcPr>
            <w:tcW w:w="1111" w:type="dxa"/>
            <w:tcBorders>
              <w:top w:val="nil"/>
              <w:left w:val="nil"/>
              <w:bottom w:val="single" w:sz="4" w:space="0" w:color="auto"/>
              <w:right w:val="single" w:sz="4" w:space="0" w:color="auto"/>
            </w:tcBorders>
            <w:shd w:val="clear" w:color="auto" w:fill="auto"/>
            <w:noWrap/>
          </w:tcPr>
          <w:p w14:paraId="5077A00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0,055 %</w:t>
            </w:r>
          </w:p>
        </w:tc>
        <w:tc>
          <w:tcPr>
            <w:tcW w:w="1305" w:type="dxa"/>
            <w:tcBorders>
              <w:top w:val="nil"/>
              <w:left w:val="nil"/>
              <w:bottom w:val="single" w:sz="4" w:space="0" w:color="auto"/>
              <w:right w:val="single" w:sz="4" w:space="0" w:color="auto"/>
            </w:tcBorders>
          </w:tcPr>
          <w:p w14:paraId="1842629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2 644</w:t>
            </w:r>
          </w:p>
        </w:tc>
        <w:tc>
          <w:tcPr>
            <w:tcW w:w="1306" w:type="dxa"/>
            <w:tcBorders>
              <w:top w:val="nil"/>
              <w:left w:val="single" w:sz="4" w:space="0" w:color="auto"/>
              <w:bottom w:val="single" w:sz="4" w:space="0" w:color="auto"/>
              <w:right w:val="single" w:sz="4" w:space="0" w:color="auto"/>
            </w:tcBorders>
            <w:shd w:val="clear" w:color="auto" w:fill="auto"/>
            <w:noWrap/>
          </w:tcPr>
          <w:p w14:paraId="45CD09F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2 897</w:t>
            </w:r>
          </w:p>
        </w:tc>
        <w:tc>
          <w:tcPr>
            <w:tcW w:w="1305" w:type="dxa"/>
            <w:tcBorders>
              <w:top w:val="nil"/>
              <w:left w:val="nil"/>
              <w:bottom w:val="single" w:sz="4" w:space="0" w:color="auto"/>
              <w:right w:val="single" w:sz="4" w:space="0" w:color="auto"/>
            </w:tcBorders>
            <w:shd w:val="clear" w:color="auto" w:fill="auto"/>
            <w:noWrap/>
          </w:tcPr>
          <w:p w14:paraId="6604B4D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2 904</w:t>
            </w:r>
          </w:p>
        </w:tc>
        <w:tc>
          <w:tcPr>
            <w:tcW w:w="1306" w:type="dxa"/>
            <w:tcBorders>
              <w:top w:val="nil"/>
              <w:left w:val="nil"/>
              <w:bottom w:val="single" w:sz="4" w:space="0" w:color="auto"/>
              <w:right w:val="single" w:sz="4" w:space="0" w:color="auto"/>
            </w:tcBorders>
            <w:shd w:val="clear" w:color="auto" w:fill="auto"/>
            <w:noWrap/>
          </w:tcPr>
          <w:p w14:paraId="5D9A104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3 036</w:t>
            </w:r>
          </w:p>
        </w:tc>
      </w:tr>
      <w:tr w:rsidR="00595C1A" w:rsidRPr="001D42CA" w14:paraId="70A9166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B7D8441"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Bangladesh</w:t>
            </w:r>
          </w:p>
        </w:tc>
        <w:tc>
          <w:tcPr>
            <w:tcW w:w="1111" w:type="dxa"/>
            <w:tcBorders>
              <w:top w:val="nil"/>
              <w:left w:val="nil"/>
              <w:bottom w:val="single" w:sz="4" w:space="0" w:color="auto"/>
              <w:right w:val="single" w:sz="4" w:space="0" w:color="auto"/>
            </w:tcBorders>
            <w:shd w:val="clear" w:color="auto" w:fill="auto"/>
            <w:noWrap/>
          </w:tcPr>
          <w:p w14:paraId="6947762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0,010</w:t>
            </w:r>
          </w:p>
        </w:tc>
        <w:tc>
          <w:tcPr>
            <w:tcW w:w="1111" w:type="dxa"/>
            <w:tcBorders>
              <w:top w:val="nil"/>
              <w:left w:val="nil"/>
              <w:bottom w:val="single" w:sz="4" w:space="0" w:color="auto"/>
              <w:right w:val="single" w:sz="4" w:space="0" w:color="auto"/>
            </w:tcBorders>
            <w:shd w:val="clear" w:color="auto" w:fill="auto"/>
            <w:noWrap/>
          </w:tcPr>
          <w:p w14:paraId="758D578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0,010 %</w:t>
            </w:r>
          </w:p>
        </w:tc>
        <w:tc>
          <w:tcPr>
            <w:tcW w:w="1305" w:type="dxa"/>
            <w:tcBorders>
              <w:top w:val="nil"/>
              <w:left w:val="nil"/>
              <w:bottom w:val="single" w:sz="4" w:space="0" w:color="auto"/>
              <w:right w:val="single" w:sz="4" w:space="0" w:color="auto"/>
            </w:tcBorders>
          </w:tcPr>
          <w:p w14:paraId="4A64360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1789B5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0AECC77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38AD6FD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4534AE5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1CDA73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Barbados</w:t>
            </w:r>
          </w:p>
        </w:tc>
        <w:tc>
          <w:tcPr>
            <w:tcW w:w="1111" w:type="dxa"/>
            <w:tcBorders>
              <w:top w:val="nil"/>
              <w:left w:val="nil"/>
              <w:bottom w:val="single" w:sz="4" w:space="0" w:color="auto"/>
              <w:right w:val="single" w:sz="4" w:space="0" w:color="auto"/>
            </w:tcBorders>
            <w:shd w:val="clear" w:color="auto" w:fill="auto"/>
            <w:noWrap/>
          </w:tcPr>
          <w:p w14:paraId="6995BAF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0,008</w:t>
            </w:r>
          </w:p>
        </w:tc>
        <w:tc>
          <w:tcPr>
            <w:tcW w:w="1111" w:type="dxa"/>
            <w:tcBorders>
              <w:top w:val="nil"/>
              <w:left w:val="nil"/>
              <w:bottom w:val="single" w:sz="4" w:space="0" w:color="auto"/>
              <w:right w:val="single" w:sz="4" w:space="0" w:color="auto"/>
            </w:tcBorders>
            <w:shd w:val="clear" w:color="auto" w:fill="auto"/>
            <w:noWrap/>
          </w:tcPr>
          <w:p w14:paraId="303317A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0,008 %</w:t>
            </w:r>
          </w:p>
        </w:tc>
        <w:tc>
          <w:tcPr>
            <w:tcW w:w="1305" w:type="dxa"/>
            <w:tcBorders>
              <w:top w:val="nil"/>
              <w:left w:val="nil"/>
              <w:bottom w:val="single" w:sz="4" w:space="0" w:color="auto"/>
              <w:right w:val="single" w:sz="4" w:space="0" w:color="auto"/>
            </w:tcBorders>
          </w:tcPr>
          <w:p w14:paraId="331E83A2"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4ACB94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614C304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42E4238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7FD75EBE"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1027F4"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Belarús</w:t>
            </w:r>
            <w:proofErr w:type="spellEnd"/>
          </w:p>
        </w:tc>
        <w:tc>
          <w:tcPr>
            <w:tcW w:w="1111" w:type="dxa"/>
            <w:tcBorders>
              <w:top w:val="nil"/>
              <w:left w:val="nil"/>
              <w:bottom w:val="single" w:sz="4" w:space="0" w:color="auto"/>
              <w:right w:val="single" w:sz="4" w:space="0" w:color="auto"/>
            </w:tcBorders>
            <w:shd w:val="clear" w:color="auto" w:fill="auto"/>
            <w:noWrap/>
          </w:tcPr>
          <w:p w14:paraId="33D97CE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0,041</w:t>
            </w:r>
          </w:p>
        </w:tc>
        <w:tc>
          <w:tcPr>
            <w:tcW w:w="1111" w:type="dxa"/>
            <w:tcBorders>
              <w:top w:val="nil"/>
              <w:left w:val="nil"/>
              <w:bottom w:val="single" w:sz="4" w:space="0" w:color="auto"/>
              <w:right w:val="single" w:sz="4" w:space="0" w:color="auto"/>
            </w:tcBorders>
            <w:shd w:val="clear" w:color="auto" w:fill="auto"/>
            <w:noWrap/>
          </w:tcPr>
          <w:p w14:paraId="39998BC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0,042 %</w:t>
            </w:r>
          </w:p>
        </w:tc>
        <w:tc>
          <w:tcPr>
            <w:tcW w:w="1305" w:type="dxa"/>
            <w:tcBorders>
              <w:top w:val="nil"/>
              <w:left w:val="nil"/>
              <w:bottom w:val="single" w:sz="4" w:space="0" w:color="auto"/>
              <w:right w:val="single" w:sz="4" w:space="0" w:color="auto"/>
            </w:tcBorders>
          </w:tcPr>
          <w:p w14:paraId="52940D4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2 007</w:t>
            </w:r>
          </w:p>
        </w:tc>
        <w:tc>
          <w:tcPr>
            <w:tcW w:w="1306" w:type="dxa"/>
            <w:tcBorders>
              <w:top w:val="nil"/>
              <w:left w:val="single" w:sz="4" w:space="0" w:color="auto"/>
              <w:bottom w:val="single" w:sz="4" w:space="0" w:color="auto"/>
              <w:right w:val="single" w:sz="4" w:space="0" w:color="auto"/>
            </w:tcBorders>
            <w:shd w:val="clear" w:color="auto" w:fill="auto"/>
            <w:noWrap/>
          </w:tcPr>
          <w:p w14:paraId="14CF7C8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2 200</w:t>
            </w:r>
          </w:p>
        </w:tc>
        <w:tc>
          <w:tcPr>
            <w:tcW w:w="1305" w:type="dxa"/>
            <w:tcBorders>
              <w:top w:val="nil"/>
              <w:left w:val="nil"/>
              <w:bottom w:val="single" w:sz="4" w:space="0" w:color="auto"/>
              <w:right w:val="single" w:sz="4" w:space="0" w:color="auto"/>
            </w:tcBorders>
            <w:shd w:val="clear" w:color="auto" w:fill="auto"/>
            <w:noWrap/>
          </w:tcPr>
          <w:p w14:paraId="76E7E41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2 205</w:t>
            </w:r>
          </w:p>
        </w:tc>
        <w:tc>
          <w:tcPr>
            <w:tcW w:w="1306" w:type="dxa"/>
            <w:tcBorders>
              <w:top w:val="nil"/>
              <w:left w:val="nil"/>
              <w:bottom w:val="single" w:sz="4" w:space="0" w:color="auto"/>
              <w:right w:val="single" w:sz="4" w:space="0" w:color="auto"/>
            </w:tcBorders>
            <w:shd w:val="clear" w:color="auto" w:fill="auto"/>
            <w:noWrap/>
          </w:tcPr>
          <w:p w14:paraId="3925F29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2 305</w:t>
            </w:r>
          </w:p>
        </w:tc>
      </w:tr>
      <w:tr w:rsidR="00595C1A" w:rsidRPr="001D42CA" w14:paraId="3B819B7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45A967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Bélgica</w:t>
            </w:r>
          </w:p>
        </w:tc>
        <w:tc>
          <w:tcPr>
            <w:tcW w:w="1111" w:type="dxa"/>
            <w:tcBorders>
              <w:top w:val="nil"/>
              <w:left w:val="nil"/>
              <w:bottom w:val="single" w:sz="4" w:space="0" w:color="auto"/>
              <w:right w:val="single" w:sz="4" w:space="0" w:color="auto"/>
            </w:tcBorders>
            <w:shd w:val="clear" w:color="auto" w:fill="auto"/>
            <w:noWrap/>
          </w:tcPr>
          <w:p w14:paraId="224AF50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0,828</w:t>
            </w:r>
          </w:p>
        </w:tc>
        <w:tc>
          <w:tcPr>
            <w:tcW w:w="1111" w:type="dxa"/>
            <w:tcBorders>
              <w:top w:val="nil"/>
              <w:left w:val="nil"/>
              <w:bottom w:val="single" w:sz="4" w:space="0" w:color="auto"/>
              <w:right w:val="single" w:sz="4" w:space="0" w:color="auto"/>
            </w:tcBorders>
            <w:shd w:val="clear" w:color="auto" w:fill="auto"/>
            <w:noWrap/>
          </w:tcPr>
          <w:p w14:paraId="30A6BDF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0,850 %</w:t>
            </w:r>
          </w:p>
        </w:tc>
        <w:tc>
          <w:tcPr>
            <w:tcW w:w="1305" w:type="dxa"/>
            <w:tcBorders>
              <w:top w:val="nil"/>
              <w:left w:val="nil"/>
              <w:bottom w:val="single" w:sz="4" w:space="0" w:color="auto"/>
              <w:right w:val="single" w:sz="4" w:space="0" w:color="auto"/>
            </w:tcBorders>
          </w:tcPr>
          <w:p w14:paraId="07D1D3C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40 541</w:t>
            </w:r>
          </w:p>
        </w:tc>
        <w:tc>
          <w:tcPr>
            <w:tcW w:w="1306" w:type="dxa"/>
            <w:tcBorders>
              <w:top w:val="nil"/>
              <w:left w:val="single" w:sz="4" w:space="0" w:color="auto"/>
              <w:bottom w:val="single" w:sz="4" w:space="0" w:color="auto"/>
              <w:right w:val="single" w:sz="4" w:space="0" w:color="auto"/>
            </w:tcBorders>
            <w:shd w:val="clear" w:color="auto" w:fill="auto"/>
            <w:noWrap/>
          </w:tcPr>
          <w:p w14:paraId="17B6D54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44 425</w:t>
            </w:r>
          </w:p>
        </w:tc>
        <w:tc>
          <w:tcPr>
            <w:tcW w:w="1305" w:type="dxa"/>
            <w:tcBorders>
              <w:top w:val="nil"/>
              <w:left w:val="nil"/>
              <w:bottom w:val="single" w:sz="4" w:space="0" w:color="auto"/>
              <w:right w:val="single" w:sz="4" w:space="0" w:color="auto"/>
            </w:tcBorders>
            <w:shd w:val="clear" w:color="auto" w:fill="auto"/>
            <w:noWrap/>
          </w:tcPr>
          <w:p w14:paraId="5C21106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44 524</w:t>
            </w:r>
          </w:p>
        </w:tc>
        <w:tc>
          <w:tcPr>
            <w:tcW w:w="1306" w:type="dxa"/>
            <w:tcBorders>
              <w:top w:val="nil"/>
              <w:left w:val="nil"/>
              <w:bottom w:val="single" w:sz="4" w:space="0" w:color="auto"/>
              <w:right w:val="single" w:sz="4" w:space="0" w:color="auto"/>
            </w:tcBorders>
            <w:shd w:val="clear" w:color="auto" w:fill="auto"/>
            <w:noWrap/>
          </w:tcPr>
          <w:p w14:paraId="7B7E68A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46 552</w:t>
            </w:r>
          </w:p>
        </w:tc>
      </w:tr>
      <w:tr w:rsidR="00595C1A" w:rsidRPr="001D42CA" w14:paraId="56798AB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6362B7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Belice</w:t>
            </w:r>
          </w:p>
        </w:tc>
        <w:tc>
          <w:tcPr>
            <w:tcW w:w="1111" w:type="dxa"/>
            <w:tcBorders>
              <w:top w:val="nil"/>
              <w:left w:val="nil"/>
              <w:bottom w:val="single" w:sz="4" w:space="0" w:color="auto"/>
              <w:right w:val="single" w:sz="4" w:space="0" w:color="auto"/>
            </w:tcBorders>
            <w:shd w:val="clear" w:color="auto" w:fill="auto"/>
            <w:noWrap/>
          </w:tcPr>
          <w:p w14:paraId="172EBBD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w:t>
            </w:r>
          </w:p>
        </w:tc>
        <w:tc>
          <w:tcPr>
            <w:tcW w:w="1111" w:type="dxa"/>
            <w:tcBorders>
              <w:top w:val="nil"/>
              <w:left w:val="nil"/>
              <w:bottom w:val="single" w:sz="4" w:space="0" w:color="auto"/>
              <w:right w:val="single" w:sz="4" w:space="0" w:color="auto"/>
            </w:tcBorders>
            <w:shd w:val="clear" w:color="auto" w:fill="auto"/>
            <w:noWrap/>
          </w:tcPr>
          <w:p w14:paraId="76E8FCB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0,001 %</w:t>
            </w:r>
          </w:p>
        </w:tc>
        <w:tc>
          <w:tcPr>
            <w:tcW w:w="1305" w:type="dxa"/>
            <w:tcBorders>
              <w:top w:val="nil"/>
              <w:left w:val="nil"/>
              <w:bottom w:val="single" w:sz="4" w:space="0" w:color="auto"/>
              <w:right w:val="single" w:sz="4" w:space="0" w:color="auto"/>
            </w:tcBorders>
          </w:tcPr>
          <w:p w14:paraId="63351CD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79FCB2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184184B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248D296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28F9451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FCA65F8"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Benin</w:t>
            </w:r>
            <w:proofErr w:type="spellEnd"/>
          </w:p>
        </w:tc>
        <w:tc>
          <w:tcPr>
            <w:tcW w:w="1111" w:type="dxa"/>
            <w:tcBorders>
              <w:top w:val="nil"/>
              <w:left w:val="nil"/>
              <w:bottom w:val="single" w:sz="4" w:space="0" w:color="auto"/>
              <w:right w:val="single" w:sz="4" w:space="0" w:color="auto"/>
            </w:tcBorders>
            <w:shd w:val="clear" w:color="auto" w:fill="auto"/>
            <w:noWrap/>
          </w:tcPr>
          <w:p w14:paraId="62B6A16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0,005</w:t>
            </w:r>
          </w:p>
        </w:tc>
        <w:tc>
          <w:tcPr>
            <w:tcW w:w="1111" w:type="dxa"/>
            <w:tcBorders>
              <w:top w:val="nil"/>
              <w:left w:val="nil"/>
              <w:bottom w:val="single" w:sz="4" w:space="0" w:color="auto"/>
              <w:right w:val="single" w:sz="4" w:space="0" w:color="auto"/>
            </w:tcBorders>
            <w:shd w:val="clear" w:color="auto" w:fill="auto"/>
            <w:noWrap/>
          </w:tcPr>
          <w:p w14:paraId="1359C84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0,005 %</w:t>
            </w:r>
          </w:p>
        </w:tc>
        <w:tc>
          <w:tcPr>
            <w:tcW w:w="1305" w:type="dxa"/>
            <w:tcBorders>
              <w:top w:val="nil"/>
              <w:left w:val="nil"/>
              <w:bottom w:val="single" w:sz="4" w:space="0" w:color="auto"/>
              <w:right w:val="single" w:sz="4" w:space="0" w:color="auto"/>
            </w:tcBorders>
          </w:tcPr>
          <w:p w14:paraId="76641A0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948B75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75AE9B9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4693A3A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2EC8E7C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DDD130B"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Bhután</w:t>
            </w:r>
            <w:proofErr w:type="spellEnd"/>
          </w:p>
        </w:tc>
        <w:tc>
          <w:tcPr>
            <w:tcW w:w="1111" w:type="dxa"/>
            <w:tcBorders>
              <w:top w:val="nil"/>
              <w:left w:val="nil"/>
              <w:bottom w:val="single" w:sz="4" w:space="0" w:color="auto"/>
              <w:right w:val="single" w:sz="4" w:space="0" w:color="auto"/>
            </w:tcBorders>
            <w:shd w:val="clear" w:color="auto" w:fill="auto"/>
            <w:noWrap/>
          </w:tcPr>
          <w:p w14:paraId="25307EF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w:t>
            </w:r>
          </w:p>
        </w:tc>
        <w:tc>
          <w:tcPr>
            <w:tcW w:w="1111" w:type="dxa"/>
            <w:tcBorders>
              <w:top w:val="nil"/>
              <w:left w:val="nil"/>
              <w:bottom w:val="single" w:sz="4" w:space="0" w:color="auto"/>
              <w:right w:val="single" w:sz="4" w:space="0" w:color="auto"/>
            </w:tcBorders>
            <w:shd w:val="clear" w:color="auto" w:fill="auto"/>
            <w:noWrap/>
          </w:tcPr>
          <w:p w14:paraId="508387D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0,001 %</w:t>
            </w:r>
          </w:p>
        </w:tc>
        <w:tc>
          <w:tcPr>
            <w:tcW w:w="1305" w:type="dxa"/>
            <w:tcBorders>
              <w:top w:val="nil"/>
              <w:left w:val="nil"/>
              <w:bottom w:val="single" w:sz="4" w:space="0" w:color="auto"/>
              <w:right w:val="single" w:sz="4" w:space="0" w:color="auto"/>
            </w:tcBorders>
          </w:tcPr>
          <w:p w14:paraId="60FF598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F1BB8F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2593926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2965505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6E95700E"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C70E85A"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Bolivia (Estado Plurinacional de)</w:t>
            </w:r>
          </w:p>
        </w:tc>
        <w:tc>
          <w:tcPr>
            <w:tcW w:w="1111" w:type="dxa"/>
            <w:tcBorders>
              <w:top w:val="nil"/>
              <w:left w:val="nil"/>
              <w:bottom w:val="single" w:sz="4" w:space="0" w:color="auto"/>
              <w:right w:val="single" w:sz="4" w:space="0" w:color="auto"/>
            </w:tcBorders>
            <w:shd w:val="clear" w:color="auto" w:fill="auto"/>
            <w:noWrap/>
          </w:tcPr>
          <w:p w14:paraId="428EB8D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0,019</w:t>
            </w:r>
          </w:p>
        </w:tc>
        <w:tc>
          <w:tcPr>
            <w:tcW w:w="1111" w:type="dxa"/>
            <w:tcBorders>
              <w:top w:val="nil"/>
              <w:left w:val="nil"/>
              <w:bottom w:val="single" w:sz="4" w:space="0" w:color="auto"/>
              <w:right w:val="single" w:sz="4" w:space="0" w:color="auto"/>
            </w:tcBorders>
            <w:shd w:val="clear" w:color="auto" w:fill="auto"/>
            <w:noWrap/>
          </w:tcPr>
          <w:p w14:paraId="7855B23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0,020 %</w:t>
            </w:r>
          </w:p>
        </w:tc>
        <w:tc>
          <w:tcPr>
            <w:tcW w:w="1305" w:type="dxa"/>
            <w:tcBorders>
              <w:top w:val="nil"/>
              <w:left w:val="nil"/>
              <w:bottom w:val="single" w:sz="4" w:space="0" w:color="auto"/>
              <w:right w:val="single" w:sz="4" w:space="0" w:color="auto"/>
            </w:tcBorders>
          </w:tcPr>
          <w:p w14:paraId="0AA21AC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7EB276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1 019</w:t>
            </w:r>
          </w:p>
        </w:tc>
        <w:tc>
          <w:tcPr>
            <w:tcW w:w="1305" w:type="dxa"/>
            <w:tcBorders>
              <w:top w:val="nil"/>
              <w:left w:val="nil"/>
              <w:bottom w:val="single" w:sz="4" w:space="0" w:color="auto"/>
              <w:right w:val="single" w:sz="4" w:space="0" w:color="auto"/>
            </w:tcBorders>
            <w:shd w:val="clear" w:color="auto" w:fill="auto"/>
            <w:noWrap/>
          </w:tcPr>
          <w:p w14:paraId="6352863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1 022</w:t>
            </w:r>
          </w:p>
        </w:tc>
        <w:tc>
          <w:tcPr>
            <w:tcW w:w="1306" w:type="dxa"/>
            <w:tcBorders>
              <w:top w:val="nil"/>
              <w:left w:val="nil"/>
              <w:bottom w:val="single" w:sz="4" w:space="0" w:color="auto"/>
              <w:right w:val="single" w:sz="4" w:space="0" w:color="auto"/>
            </w:tcBorders>
            <w:shd w:val="clear" w:color="auto" w:fill="auto"/>
            <w:noWrap/>
          </w:tcPr>
          <w:p w14:paraId="6FF3948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1 068</w:t>
            </w:r>
          </w:p>
        </w:tc>
      </w:tr>
      <w:tr w:rsidR="00595C1A" w:rsidRPr="001D42CA" w14:paraId="4DA80E7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5F8BCB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Bosnia y Herzegovina</w:t>
            </w:r>
          </w:p>
        </w:tc>
        <w:tc>
          <w:tcPr>
            <w:tcW w:w="1111" w:type="dxa"/>
            <w:tcBorders>
              <w:top w:val="nil"/>
              <w:left w:val="nil"/>
              <w:bottom w:val="single" w:sz="4" w:space="0" w:color="auto"/>
              <w:right w:val="single" w:sz="4" w:space="0" w:color="auto"/>
            </w:tcBorders>
            <w:shd w:val="clear" w:color="auto" w:fill="auto"/>
            <w:noWrap/>
          </w:tcPr>
          <w:p w14:paraId="626C035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0,012</w:t>
            </w:r>
          </w:p>
        </w:tc>
        <w:tc>
          <w:tcPr>
            <w:tcW w:w="1111" w:type="dxa"/>
            <w:tcBorders>
              <w:top w:val="nil"/>
              <w:left w:val="nil"/>
              <w:bottom w:val="single" w:sz="4" w:space="0" w:color="auto"/>
              <w:right w:val="single" w:sz="4" w:space="0" w:color="auto"/>
            </w:tcBorders>
            <w:shd w:val="clear" w:color="auto" w:fill="auto"/>
            <w:noWrap/>
          </w:tcPr>
          <w:p w14:paraId="64C99C4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0,012 %</w:t>
            </w:r>
          </w:p>
        </w:tc>
        <w:tc>
          <w:tcPr>
            <w:tcW w:w="1305" w:type="dxa"/>
            <w:tcBorders>
              <w:top w:val="nil"/>
              <w:left w:val="nil"/>
              <w:bottom w:val="single" w:sz="4" w:space="0" w:color="auto"/>
              <w:right w:val="single" w:sz="4" w:space="0" w:color="auto"/>
            </w:tcBorders>
          </w:tcPr>
          <w:p w14:paraId="257DA1B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FB2CE3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699DE5C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6985D0C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0E05AFA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33F6B01"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Botswana</w:t>
            </w:r>
            <w:proofErr w:type="spellEnd"/>
          </w:p>
        </w:tc>
        <w:tc>
          <w:tcPr>
            <w:tcW w:w="1111" w:type="dxa"/>
            <w:tcBorders>
              <w:top w:val="nil"/>
              <w:left w:val="nil"/>
              <w:bottom w:val="single" w:sz="4" w:space="0" w:color="auto"/>
              <w:right w:val="single" w:sz="4" w:space="0" w:color="auto"/>
            </w:tcBorders>
            <w:shd w:val="clear" w:color="auto" w:fill="auto"/>
            <w:noWrap/>
          </w:tcPr>
          <w:p w14:paraId="72F8F0A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0,015</w:t>
            </w:r>
          </w:p>
        </w:tc>
        <w:tc>
          <w:tcPr>
            <w:tcW w:w="1111" w:type="dxa"/>
            <w:tcBorders>
              <w:top w:val="nil"/>
              <w:left w:val="nil"/>
              <w:bottom w:val="single" w:sz="4" w:space="0" w:color="auto"/>
              <w:right w:val="single" w:sz="4" w:space="0" w:color="auto"/>
            </w:tcBorders>
            <w:shd w:val="clear" w:color="auto" w:fill="auto"/>
            <w:noWrap/>
          </w:tcPr>
          <w:p w14:paraId="5335616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0,015 %</w:t>
            </w:r>
          </w:p>
        </w:tc>
        <w:tc>
          <w:tcPr>
            <w:tcW w:w="1305" w:type="dxa"/>
            <w:tcBorders>
              <w:top w:val="nil"/>
              <w:left w:val="nil"/>
              <w:bottom w:val="single" w:sz="4" w:space="0" w:color="auto"/>
              <w:right w:val="single" w:sz="4" w:space="0" w:color="auto"/>
            </w:tcBorders>
          </w:tcPr>
          <w:p w14:paraId="41E7914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BBE16B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767AE30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6363FD9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415E3BC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B2F786D"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Brasil</w:t>
            </w:r>
          </w:p>
        </w:tc>
        <w:tc>
          <w:tcPr>
            <w:tcW w:w="1111" w:type="dxa"/>
            <w:tcBorders>
              <w:top w:val="nil"/>
              <w:left w:val="nil"/>
              <w:bottom w:val="single" w:sz="4" w:space="0" w:color="auto"/>
              <w:right w:val="single" w:sz="4" w:space="0" w:color="auto"/>
            </w:tcBorders>
            <w:shd w:val="clear" w:color="auto" w:fill="auto"/>
            <w:noWrap/>
          </w:tcPr>
          <w:p w14:paraId="372BA54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2,013</w:t>
            </w:r>
          </w:p>
        </w:tc>
        <w:tc>
          <w:tcPr>
            <w:tcW w:w="1111" w:type="dxa"/>
            <w:tcBorders>
              <w:top w:val="nil"/>
              <w:left w:val="nil"/>
              <w:bottom w:val="single" w:sz="4" w:space="0" w:color="auto"/>
              <w:right w:val="single" w:sz="4" w:space="0" w:color="auto"/>
            </w:tcBorders>
            <w:shd w:val="clear" w:color="auto" w:fill="auto"/>
            <w:noWrap/>
          </w:tcPr>
          <w:p w14:paraId="2070205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2,067 %</w:t>
            </w:r>
          </w:p>
        </w:tc>
        <w:tc>
          <w:tcPr>
            <w:tcW w:w="1305" w:type="dxa"/>
            <w:tcBorders>
              <w:top w:val="nil"/>
              <w:left w:val="nil"/>
              <w:bottom w:val="single" w:sz="4" w:space="0" w:color="auto"/>
              <w:right w:val="single" w:sz="4" w:space="0" w:color="auto"/>
            </w:tcBorders>
          </w:tcPr>
          <w:p w14:paraId="089535A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98 562</w:t>
            </w:r>
          </w:p>
        </w:tc>
        <w:tc>
          <w:tcPr>
            <w:tcW w:w="1306" w:type="dxa"/>
            <w:tcBorders>
              <w:top w:val="nil"/>
              <w:left w:val="single" w:sz="4" w:space="0" w:color="auto"/>
              <w:bottom w:val="single" w:sz="4" w:space="0" w:color="auto"/>
              <w:right w:val="single" w:sz="4" w:space="0" w:color="auto"/>
            </w:tcBorders>
            <w:shd w:val="clear" w:color="auto" w:fill="auto"/>
            <w:noWrap/>
          </w:tcPr>
          <w:p w14:paraId="5F38C45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108 005</w:t>
            </w:r>
          </w:p>
        </w:tc>
        <w:tc>
          <w:tcPr>
            <w:tcW w:w="1305" w:type="dxa"/>
            <w:tcBorders>
              <w:top w:val="nil"/>
              <w:left w:val="nil"/>
              <w:bottom w:val="single" w:sz="4" w:space="0" w:color="auto"/>
              <w:right w:val="single" w:sz="4" w:space="0" w:color="auto"/>
            </w:tcBorders>
            <w:shd w:val="clear" w:color="auto" w:fill="auto"/>
            <w:noWrap/>
          </w:tcPr>
          <w:p w14:paraId="1FD090E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108 245</w:t>
            </w:r>
          </w:p>
        </w:tc>
        <w:tc>
          <w:tcPr>
            <w:tcW w:w="1306" w:type="dxa"/>
            <w:tcBorders>
              <w:top w:val="nil"/>
              <w:left w:val="nil"/>
              <w:bottom w:val="single" w:sz="4" w:space="0" w:color="auto"/>
              <w:right w:val="single" w:sz="4" w:space="0" w:color="auto"/>
            </w:tcBorders>
            <w:shd w:val="clear" w:color="auto" w:fill="auto"/>
            <w:noWrap/>
          </w:tcPr>
          <w:p w14:paraId="1F52AA5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113 174</w:t>
            </w:r>
          </w:p>
        </w:tc>
      </w:tr>
      <w:tr w:rsidR="00595C1A" w:rsidRPr="001D42CA" w14:paraId="481AAF9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72714A8"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Bulgaria</w:t>
            </w:r>
          </w:p>
        </w:tc>
        <w:tc>
          <w:tcPr>
            <w:tcW w:w="1111" w:type="dxa"/>
            <w:tcBorders>
              <w:top w:val="nil"/>
              <w:left w:val="nil"/>
              <w:bottom w:val="single" w:sz="4" w:space="0" w:color="auto"/>
              <w:right w:val="single" w:sz="4" w:space="0" w:color="auto"/>
            </w:tcBorders>
            <w:shd w:val="clear" w:color="auto" w:fill="auto"/>
            <w:noWrap/>
          </w:tcPr>
          <w:p w14:paraId="11505E0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0,056</w:t>
            </w:r>
          </w:p>
        </w:tc>
        <w:tc>
          <w:tcPr>
            <w:tcW w:w="1111" w:type="dxa"/>
            <w:tcBorders>
              <w:top w:val="nil"/>
              <w:left w:val="nil"/>
              <w:bottom w:val="single" w:sz="4" w:space="0" w:color="auto"/>
              <w:right w:val="single" w:sz="4" w:space="0" w:color="auto"/>
            </w:tcBorders>
            <w:shd w:val="clear" w:color="auto" w:fill="auto"/>
            <w:noWrap/>
          </w:tcPr>
          <w:p w14:paraId="5334FD9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0,057 %</w:t>
            </w:r>
          </w:p>
        </w:tc>
        <w:tc>
          <w:tcPr>
            <w:tcW w:w="1305" w:type="dxa"/>
            <w:tcBorders>
              <w:top w:val="nil"/>
              <w:left w:val="nil"/>
              <w:bottom w:val="single" w:sz="4" w:space="0" w:color="auto"/>
              <w:right w:val="single" w:sz="4" w:space="0" w:color="auto"/>
            </w:tcBorders>
          </w:tcPr>
          <w:p w14:paraId="32F0DCF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2 742</w:t>
            </w:r>
          </w:p>
        </w:tc>
        <w:tc>
          <w:tcPr>
            <w:tcW w:w="1306" w:type="dxa"/>
            <w:tcBorders>
              <w:top w:val="nil"/>
              <w:left w:val="single" w:sz="4" w:space="0" w:color="auto"/>
              <w:bottom w:val="single" w:sz="4" w:space="0" w:color="auto"/>
              <w:right w:val="single" w:sz="4" w:space="0" w:color="auto"/>
            </w:tcBorders>
            <w:shd w:val="clear" w:color="auto" w:fill="auto"/>
            <w:noWrap/>
          </w:tcPr>
          <w:p w14:paraId="5D5A1DD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3 005</w:t>
            </w:r>
          </w:p>
        </w:tc>
        <w:tc>
          <w:tcPr>
            <w:tcW w:w="1305" w:type="dxa"/>
            <w:tcBorders>
              <w:top w:val="nil"/>
              <w:left w:val="nil"/>
              <w:bottom w:val="single" w:sz="4" w:space="0" w:color="auto"/>
              <w:right w:val="single" w:sz="4" w:space="0" w:color="auto"/>
            </w:tcBorders>
            <w:shd w:val="clear" w:color="auto" w:fill="auto"/>
            <w:noWrap/>
          </w:tcPr>
          <w:p w14:paraId="6538863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3 011</w:t>
            </w:r>
          </w:p>
        </w:tc>
        <w:tc>
          <w:tcPr>
            <w:tcW w:w="1306" w:type="dxa"/>
            <w:tcBorders>
              <w:top w:val="nil"/>
              <w:left w:val="nil"/>
              <w:bottom w:val="single" w:sz="4" w:space="0" w:color="auto"/>
              <w:right w:val="single" w:sz="4" w:space="0" w:color="auto"/>
            </w:tcBorders>
            <w:shd w:val="clear" w:color="auto" w:fill="auto"/>
            <w:noWrap/>
          </w:tcPr>
          <w:p w14:paraId="4481F18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3 148</w:t>
            </w:r>
          </w:p>
        </w:tc>
      </w:tr>
      <w:tr w:rsidR="00595C1A" w:rsidRPr="001D42CA" w14:paraId="0546F41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CE0F0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Burkina Faso</w:t>
            </w:r>
          </w:p>
        </w:tc>
        <w:tc>
          <w:tcPr>
            <w:tcW w:w="1111" w:type="dxa"/>
            <w:tcBorders>
              <w:top w:val="nil"/>
              <w:left w:val="nil"/>
              <w:bottom w:val="single" w:sz="4" w:space="0" w:color="auto"/>
              <w:right w:val="single" w:sz="4" w:space="0" w:color="auto"/>
            </w:tcBorders>
            <w:shd w:val="clear" w:color="auto" w:fill="auto"/>
            <w:noWrap/>
          </w:tcPr>
          <w:p w14:paraId="7622CEE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0,004</w:t>
            </w:r>
          </w:p>
        </w:tc>
        <w:tc>
          <w:tcPr>
            <w:tcW w:w="1111" w:type="dxa"/>
            <w:tcBorders>
              <w:top w:val="nil"/>
              <w:left w:val="nil"/>
              <w:bottom w:val="single" w:sz="4" w:space="0" w:color="auto"/>
              <w:right w:val="single" w:sz="4" w:space="0" w:color="auto"/>
            </w:tcBorders>
            <w:shd w:val="clear" w:color="auto" w:fill="auto"/>
            <w:noWrap/>
          </w:tcPr>
          <w:p w14:paraId="3068C54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0,004 %</w:t>
            </w:r>
          </w:p>
        </w:tc>
        <w:tc>
          <w:tcPr>
            <w:tcW w:w="1305" w:type="dxa"/>
            <w:tcBorders>
              <w:top w:val="nil"/>
              <w:left w:val="nil"/>
              <w:bottom w:val="single" w:sz="4" w:space="0" w:color="auto"/>
              <w:right w:val="single" w:sz="4" w:space="0" w:color="auto"/>
            </w:tcBorders>
          </w:tcPr>
          <w:p w14:paraId="3E64AF0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79B538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5CE0D79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38BB520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1C6FDB4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E0FFC5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Burundi</w:t>
            </w:r>
          </w:p>
        </w:tc>
        <w:tc>
          <w:tcPr>
            <w:tcW w:w="1111" w:type="dxa"/>
            <w:tcBorders>
              <w:top w:val="nil"/>
              <w:left w:val="nil"/>
              <w:bottom w:val="single" w:sz="4" w:space="0" w:color="auto"/>
              <w:right w:val="single" w:sz="4" w:space="0" w:color="auto"/>
            </w:tcBorders>
            <w:shd w:val="clear" w:color="auto" w:fill="auto"/>
            <w:noWrap/>
          </w:tcPr>
          <w:p w14:paraId="165150F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w:t>
            </w:r>
          </w:p>
        </w:tc>
        <w:tc>
          <w:tcPr>
            <w:tcW w:w="1111" w:type="dxa"/>
            <w:tcBorders>
              <w:top w:val="nil"/>
              <w:left w:val="nil"/>
              <w:bottom w:val="single" w:sz="4" w:space="0" w:color="auto"/>
              <w:right w:val="single" w:sz="4" w:space="0" w:color="auto"/>
            </w:tcBorders>
            <w:shd w:val="clear" w:color="auto" w:fill="auto"/>
            <w:noWrap/>
          </w:tcPr>
          <w:p w14:paraId="489C74D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0,001 %</w:t>
            </w:r>
          </w:p>
        </w:tc>
        <w:tc>
          <w:tcPr>
            <w:tcW w:w="1305" w:type="dxa"/>
            <w:tcBorders>
              <w:top w:val="nil"/>
              <w:left w:val="nil"/>
              <w:bottom w:val="single" w:sz="4" w:space="0" w:color="auto"/>
              <w:right w:val="single" w:sz="4" w:space="0" w:color="auto"/>
            </w:tcBorders>
          </w:tcPr>
          <w:p w14:paraId="353A424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70D7B2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7B3A6D7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0B8585E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20B5656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A3CB24D"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Cabo Verde</w:t>
            </w:r>
          </w:p>
        </w:tc>
        <w:tc>
          <w:tcPr>
            <w:tcW w:w="1111" w:type="dxa"/>
            <w:tcBorders>
              <w:top w:val="nil"/>
              <w:left w:val="nil"/>
              <w:bottom w:val="single" w:sz="4" w:space="0" w:color="auto"/>
              <w:right w:val="single" w:sz="4" w:space="0" w:color="auto"/>
            </w:tcBorders>
            <w:shd w:val="clear" w:color="auto" w:fill="auto"/>
            <w:noWrap/>
          </w:tcPr>
          <w:p w14:paraId="5590F69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w:t>
            </w:r>
          </w:p>
        </w:tc>
        <w:tc>
          <w:tcPr>
            <w:tcW w:w="1111" w:type="dxa"/>
            <w:tcBorders>
              <w:top w:val="nil"/>
              <w:left w:val="nil"/>
              <w:bottom w:val="single" w:sz="4" w:space="0" w:color="auto"/>
              <w:right w:val="single" w:sz="4" w:space="0" w:color="auto"/>
            </w:tcBorders>
            <w:shd w:val="clear" w:color="auto" w:fill="auto"/>
            <w:noWrap/>
          </w:tcPr>
          <w:p w14:paraId="35509E5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0,001 %</w:t>
            </w:r>
          </w:p>
        </w:tc>
        <w:tc>
          <w:tcPr>
            <w:tcW w:w="1305" w:type="dxa"/>
            <w:tcBorders>
              <w:top w:val="nil"/>
              <w:left w:val="nil"/>
              <w:bottom w:val="single" w:sz="4" w:space="0" w:color="auto"/>
              <w:right w:val="single" w:sz="4" w:space="0" w:color="auto"/>
            </w:tcBorders>
          </w:tcPr>
          <w:p w14:paraId="70D6BB1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8D3E1C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738A794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225B396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4DB5083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A00037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Camboya</w:t>
            </w:r>
          </w:p>
        </w:tc>
        <w:tc>
          <w:tcPr>
            <w:tcW w:w="1111" w:type="dxa"/>
            <w:tcBorders>
              <w:top w:val="nil"/>
              <w:left w:val="nil"/>
              <w:bottom w:val="single" w:sz="4" w:space="0" w:color="auto"/>
              <w:right w:val="single" w:sz="4" w:space="0" w:color="auto"/>
            </w:tcBorders>
            <w:shd w:val="clear" w:color="auto" w:fill="auto"/>
            <w:noWrap/>
          </w:tcPr>
          <w:p w14:paraId="1D9217B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0,007</w:t>
            </w:r>
          </w:p>
        </w:tc>
        <w:tc>
          <w:tcPr>
            <w:tcW w:w="1111" w:type="dxa"/>
            <w:tcBorders>
              <w:top w:val="nil"/>
              <w:left w:val="nil"/>
              <w:bottom w:val="single" w:sz="4" w:space="0" w:color="auto"/>
              <w:right w:val="single" w:sz="4" w:space="0" w:color="auto"/>
            </w:tcBorders>
            <w:shd w:val="clear" w:color="auto" w:fill="auto"/>
            <w:noWrap/>
          </w:tcPr>
          <w:p w14:paraId="08A5A54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0,007 %</w:t>
            </w:r>
          </w:p>
        </w:tc>
        <w:tc>
          <w:tcPr>
            <w:tcW w:w="1305" w:type="dxa"/>
            <w:tcBorders>
              <w:top w:val="nil"/>
              <w:left w:val="nil"/>
              <w:bottom w:val="single" w:sz="4" w:space="0" w:color="auto"/>
              <w:right w:val="single" w:sz="4" w:space="0" w:color="auto"/>
            </w:tcBorders>
          </w:tcPr>
          <w:p w14:paraId="55C137D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087A6F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1F1D419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406A6BC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3579C40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509AAF5"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Camerún</w:t>
            </w:r>
          </w:p>
        </w:tc>
        <w:tc>
          <w:tcPr>
            <w:tcW w:w="1111" w:type="dxa"/>
            <w:tcBorders>
              <w:top w:val="nil"/>
              <w:left w:val="nil"/>
              <w:bottom w:val="single" w:sz="4" w:space="0" w:color="auto"/>
              <w:right w:val="single" w:sz="4" w:space="0" w:color="auto"/>
            </w:tcBorders>
            <w:shd w:val="clear" w:color="auto" w:fill="auto"/>
            <w:noWrap/>
          </w:tcPr>
          <w:p w14:paraId="4EF0459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0,013</w:t>
            </w:r>
          </w:p>
        </w:tc>
        <w:tc>
          <w:tcPr>
            <w:tcW w:w="1111" w:type="dxa"/>
            <w:tcBorders>
              <w:top w:val="nil"/>
              <w:left w:val="nil"/>
              <w:bottom w:val="single" w:sz="4" w:space="0" w:color="auto"/>
              <w:right w:val="single" w:sz="4" w:space="0" w:color="auto"/>
            </w:tcBorders>
            <w:shd w:val="clear" w:color="auto" w:fill="auto"/>
            <w:noWrap/>
          </w:tcPr>
          <w:p w14:paraId="72AA310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0,013 %</w:t>
            </w:r>
          </w:p>
        </w:tc>
        <w:tc>
          <w:tcPr>
            <w:tcW w:w="1305" w:type="dxa"/>
            <w:tcBorders>
              <w:top w:val="nil"/>
              <w:left w:val="nil"/>
              <w:bottom w:val="single" w:sz="4" w:space="0" w:color="auto"/>
              <w:right w:val="single" w:sz="4" w:space="0" w:color="auto"/>
            </w:tcBorders>
          </w:tcPr>
          <w:p w14:paraId="0627D9D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1DC25E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35A7F0B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06CB048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2C7BA06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B6111BD"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Canadá</w:t>
            </w:r>
          </w:p>
        </w:tc>
        <w:tc>
          <w:tcPr>
            <w:tcW w:w="1111" w:type="dxa"/>
            <w:tcBorders>
              <w:top w:val="nil"/>
              <w:left w:val="nil"/>
              <w:bottom w:val="single" w:sz="4" w:space="0" w:color="auto"/>
              <w:right w:val="single" w:sz="4" w:space="0" w:color="auto"/>
            </w:tcBorders>
            <w:shd w:val="clear" w:color="auto" w:fill="auto"/>
            <w:noWrap/>
          </w:tcPr>
          <w:p w14:paraId="75F23C0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2,628</w:t>
            </w:r>
          </w:p>
        </w:tc>
        <w:tc>
          <w:tcPr>
            <w:tcW w:w="1111" w:type="dxa"/>
            <w:tcBorders>
              <w:top w:val="nil"/>
              <w:left w:val="nil"/>
              <w:bottom w:val="single" w:sz="4" w:space="0" w:color="auto"/>
              <w:right w:val="single" w:sz="4" w:space="0" w:color="auto"/>
            </w:tcBorders>
            <w:shd w:val="clear" w:color="auto" w:fill="auto"/>
            <w:noWrap/>
          </w:tcPr>
          <w:p w14:paraId="68F6A7F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2,698 %</w:t>
            </w:r>
          </w:p>
        </w:tc>
        <w:tc>
          <w:tcPr>
            <w:tcW w:w="1305" w:type="dxa"/>
            <w:tcBorders>
              <w:top w:val="nil"/>
              <w:left w:val="nil"/>
              <w:bottom w:val="single" w:sz="4" w:space="0" w:color="auto"/>
              <w:right w:val="single" w:sz="4" w:space="0" w:color="auto"/>
            </w:tcBorders>
          </w:tcPr>
          <w:p w14:paraId="5997C36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128 674</w:t>
            </w:r>
          </w:p>
        </w:tc>
        <w:tc>
          <w:tcPr>
            <w:tcW w:w="1306" w:type="dxa"/>
            <w:tcBorders>
              <w:top w:val="nil"/>
              <w:left w:val="single" w:sz="4" w:space="0" w:color="auto"/>
              <w:bottom w:val="single" w:sz="4" w:space="0" w:color="auto"/>
              <w:right w:val="single" w:sz="4" w:space="0" w:color="auto"/>
            </w:tcBorders>
            <w:shd w:val="clear" w:color="auto" w:fill="auto"/>
            <w:noWrap/>
          </w:tcPr>
          <w:p w14:paraId="2E30BB4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141 002</w:t>
            </w:r>
          </w:p>
        </w:tc>
        <w:tc>
          <w:tcPr>
            <w:tcW w:w="1305" w:type="dxa"/>
            <w:tcBorders>
              <w:top w:val="nil"/>
              <w:left w:val="nil"/>
              <w:bottom w:val="single" w:sz="4" w:space="0" w:color="auto"/>
              <w:right w:val="single" w:sz="4" w:space="0" w:color="auto"/>
            </w:tcBorders>
            <w:shd w:val="clear" w:color="auto" w:fill="auto"/>
            <w:noWrap/>
          </w:tcPr>
          <w:p w14:paraId="1E8DAA1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141 315</w:t>
            </w:r>
          </w:p>
        </w:tc>
        <w:tc>
          <w:tcPr>
            <w:tcW w:w="1306" w:type="dxa"/>
            <w:tcBorders>
              <w:top w:val="nil"/>
              <w:left w:val="nil"/>
              <w:bottom w:val="single" w:sz="4" w:space="0" w:color="auto"/>
              <w:right w:val="single" w:sz="4" w:space="0" w:color="auto"/>
            </w:tcBorders>
            <w:shd w:val="clear" w:color="auto" w:fill="auto"/>
            <w:noWrap/>
          </w:tcPr>
          <w:p w14:paraId="3BC26A7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147 751</w:t>
            </w:r>
          </w:p>
        </w:tc>
      </w:tr>
      <w:tr w:rsidR="00595C1A" w:rsidRPr="001D42CA" w14:paraId="016BB852"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DC5D10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Chad</w:t>
            </w:r>
          </w:p>
        </w:tc>
        <w:tc>
          <w:tcPr>
            <w:tcW w:w="1111" w:type="dxa"/>
            <w:tcBorders>
              <w:top w:val="nil"/>
              <w:left w:val="nil"/>
              <w:bottom w:val="single" w:sz="4" w:space="0" w:color="auto"/>
              <w:right w:val="single" w:sz="4" w:space="0" w:color="auto"/>
            </w:tcBorders>
            <w:shd w:val="clear" w:color="auto" w:fill="auto"/>
            <w:noWrap/>
          </w:tcPr>
          <w:p w14:paraId="48F1078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0,003</w:t>
            </w:r>
          </w:p>
        </w:tc>
        <w:tc>
          <w:tcPr>
            <w:tcW w:w="1111" w:type="dxa"/>
            <w:tcBorders>
              <w:top w:val="nil"/>
              <w:left w:val="nil"/>
              <w:bottom w:val="single" w:sz="4" w:space="0" w:color="auto"/>
              <w:right w:val="single" w:sz="4" w:space="0" w:color="auto"/>
            </w:tcBorders>
            <w:shd w:val="clear" w:color="auto" w:fill="auto"/>
            <w:noWrap/>
          </w:tcPr>
          <w:p w14:paraId="61BACE4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0,003 %</w:t>
            </w:r>
          </w:p>
        </w:tc>
        <w:tc>
          <w:tcPr>
            <w:tcW w:w="1305" w:type="dxa"/>
            <w:tcBorders>
              <w:top w:val="nil"/>
              <w:left w:val="nil"/>
              <w:bottom w:val="single" w:sz="4" w:space="0" w:color="auto"/>
              <w:right w:val="single" w:sz="4" w:space="0" w:color="auto"/>
            </w:tcBorders>
          </w:tcPr>
          <w:p w14:paraId="5687C2B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145F9A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6486D88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242D859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01E9FB07"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C8AE4ED"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Chequia</w:t>
            </w:r>
          </w:p>
        </w:tc>
        <w:tc>
          <w:tcPr>
            <w:tcW w:w="1111" w:type="dxa"/>
            <w:tcBorders>
              <w:top w:val="nil"/>
              <w:left w:val="nil"/>
              <w:bottom w:val="single" w:sz="4" w:space="0" w:color="auto"/>
              <w:right w:val="single" w:sz="4" w:space="0" w:color="auto"/>
            </w:tcBorders>
            <w:shd w:val="clear" w:color="auto" w:fill="auto"/>
            <w:noWrap/>
          </w:tcPr>
          <w:p w14:paraId="177D285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0,340</w:t>
            </w:r>
          </w:p>
        </w:tc>
        <w:tc>
          <w:tcPr>
            <w:tcW w:w="1111" w:type="dxa"/>
            <w:tcBorders>
              <w:top w:val="nil"/>
              <w:left w:val="nil"/>
              <w:bottom w:val="single" w:sz="4" w:space="0" w:color="auto"/>
              <w:right w:val="single" w:sz="4" w:space="0" w:color="auto"/>
            </w:tcBorders>
            <w:shd w:val="clear" w:color="auto" w:fill="auto"/>
            <w:noWrap/>
          </w:tcPr>
          <w:p w14:paraId="3781B1E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0,349 %</w:t>
            </w:r>
          </w:p>
        </w:tc>
        <w:tc>
          <w:tcPr>
            <w:tcW w:w="1305" w:type="dxa"/>
            <w:tcBorders>
              <w:top w:val="nil"/>
              <w:left w:val="nil"/>
              <w:bottom w:val="single" w:sz="4" w:space="0" w:color="auto"/>
              <w:right w:val="single" w:sz="4" w:space="0" w:color="auto"/>
            </w:tcBorders>
          </w:tcPr>
          <w:p w14:paraId="05933C75"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16 647</w:t>
            </w:r>
          </w:p>
        </w:tc>
        <w:tc>
          <w:tcPr>
            <w:tcW w:w="1306" w:type="dxa"/>
            <w:tcBorders>
              <w:top w:val="nil"/>
              <w:left w:val="single" w:sz="4" w:space="0" w:color="auto"/>
              <w:bottom w:val="single" w:sz="4" w:space="0" w:color="auto"/>
              <w:right w:val="single" w:sz="4" w:space="0" w:color="auto"/>
            </w:tcBorders>
            <w:shd w:val="clear" w:color="auto" w:fill="auto"/>
            <w:noWrap/>
          </w:tcPr>
          <w:p w14:paraId="7C83199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18 242</w:t>
            </w:r>
          </w:p>
        </w:tc>
        <w:tc>
          <w:tcPr>
            <w:tcW w:w="1305" w:type="dxa"/>
            <w:tcBorders>
              <w:top w:val="nil"/>
              <w:left w:val="nil"/>
              <w:bottom w:val="single" w:sz="4" w:space="0" w:color="auto"/>
              <w:right w:val="single" w:sz="4" w:space="0" w:color="auto"/>
            </w:tcBorders>
            <w:shd w:val="clear" w:color="auto" w:fill="auto"/>
            <w:noWrap/>
          </w:tcPr>
          <w:p w14:paraId="4C797B7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18 283</w:t>
            </w:r>
          </w:p>
        </w:tc>
        <w:tc>
          <w:tcPr>
            <w:tcW w:w="1306" w:type="dxa"/>
            <w:tcBorders>
              <w:top w:val="nil"/>
              <w:left w:val="nil"/>
              <w:bottom w:val="single" w:sz="4" w:space="0" w:color="auto"/>
              <w:right w:val="single" w:sz="4" w:space="0" w:color="auto"/>
            </w:tcBorders>
            <w:shd w:val="clear" w:color="auto" w:fill="auto"/>
            <w:noWrap/>
          </w:tcPr>
          <w:p w14:paraId="6B82545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19 115</w:t>
            </w:r>
          </w:p>
        </w:tc>
      </w:tr>
      <w:tr w:rsidR="00595C1A" w:rsidRPr="001D42CA" w14:paraId="10F03FC2"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84FED3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Chile</w:t>
            </w:r>
          </w:p>
        </w:tc>
        <w:tc>
          <w:tcPr>
            <w:tcW w:w="1111" w:type="dxa"/>
            <w:tcBorders>
              <w:top w:val="nil"/>
              <w:left w:val="nil"/>
              <w:bottom w:val="single" w:sz="4" w:space="0" w:color="auto"/>
              <w:right w:val="single" w:sz="4" w:space="0" w:color="auto"/>
            </w:tcBorders>
            <w:shd w:val="clear" w:color="auto" w:fill="auto"/>
            <w:noWrap/>
          </w:tcPr>
          <w:p w14:paraId="7D4C679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0,420</w:t>
            </w:r>
          </w:p>
        </w:tc>
        <w:tc>
          <w:tcPr>
            <w:tcW w:w="1111" w:type="dxa"/>
            <w:tcBorders>
              <w:top w:val="nil"/>
              <w:left w:val="nil"/>
              <w:bottom w:val="single" w:sz="4" w:space="0" w:color="auto"/>
              <w:right w:val="single" w:sz="4" w:space="0" w:color="auto"/>
            </w:tcBorders>
            <w:shd w:val="clear" w:color="auto" w:fill="auto"/>
            <w:noWrap/>
          </w:tcPr>
          <w:p w14:paraId="772F126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0,431 %</w:t>
            </w:r>
          </w:p>
        </w:tc>
        <w:tc>
          <w:tcPr>
            <w:tcW w:w="1305" w:type="dxa"/>
            <w:tcBorders>
              <w:top w:val="nil"/>
              <w:left w:val="nil"/>
              <w:bottom w:val="single" w:sz="4" w:space="0" w:color="auto"/>
              <w:right w:val="single" w:sz="4" w:space="0" w:color="auto"/>
            </w:tcBorders>
          </w:tcPr>
          <w:p w14:paraId="63E2664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20 564</w:t>
            </w:r>
          </w:p>
        </w:tc>
        <w:tc>
          <w:tcPr>
            <w:tcW w:w="1306" w:type="dxa"/>
            <w:tcBorders>
              <w:top w:val="nil"/>
              <w:left w:val="single" w:sz="4" w:space="0" w:color="auto"/>
              <w:bottom w:val="single" w:sz="4" w:space="0" w:color="auto"/>
              <w:right w:val="single" w:sz="4" w:space="0" w:color="auto"/>
            </w:tcBorders>
            <w:shd w:val="clear" w:color="auto" w:fill="auto"/>
            <w:noWrap/>
          </w:tcPr>
          <w:p w14:paraId="7F7A1EF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22 535</w:t>
            </w:r>
          </w:p>
        </w:tc>
        <w:tc>
          <w:tcPr>
            <w:tcW w:w="1305" w:type="dxa"/>
            <w:tcBorders>
              <w:top w:val="nil"/>
              <w:left w:val="nil"/>
              <w:bottom w:val="single" w:sz="4" w:space="0" w:color="auto"/>
              <w:right w:val="single" w:sz="4" w:space="0" w:color="auto"/>
            </w:tcBorders>
            <w:shd w:val="clear" w:color="auto" w:fill="auto"/>
            <w:noWrap/>
          </w:tcPr>
          <w:p w14:paraId="0B03930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22 585</w:t>
            </w:r>
          </w:p>
        </w:tc>
        <w:tc>
          <w:tcPr>
            <w:tcW w:w="1306" w:type="dxa"/>
            <w:tcBorders>
              <w:top w:val="nil"/>
              <w:left w:val="nil"/>
              <w:bottom w:val="single" w:sz="4" w:space="0" w:color="auto"/>
              <w:right w:val="single" w:sz="4" w:space="0" w:color="auto"/>
            </w:tcBorders>
            <w:shd w:val="clear" w:color="auto" w:fill="auto"/>
            <w:noWrap/>
          </w:tcPr>
          <w:p w14:paraId="232D039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23 613</w:t>
            </w:r>
          </w:p>
        </w:tc>
      </w:tr>
      <w:tr w:rsidR="00595C1A" w:rsidRPr="001D42CA" w14:paraId="7C7F7C45" w14:textId="77777777" w:rsidTr="00595C1A">
        <w:trPr>
          <w:trHeight w:val="276"/>
        </w:trPr>
        <w:tc>
          <w:tcPr>
            <w:tcW w:w="10108" w:type="dxa"/>
            <w:gridSpan w:val="8"/>
            <w:tcBorders>
              <w:top w:val="single" w:sz="4" w:space="0" w:color="auto"/>
            </w:tcBorders>
          </w:tcPr>
          <w:p w14:paraId="1172CF18" w14:textId="77777777" w:rsidR="00595C1A" w:rsidRPr="000519D4" w:rsidRDefault="00595C1A" w:rsidP="00C85CAD">
            <w:pPr>
              <w:ind w:left="0" w:firstLine="0"/>
              <w:rPr>
                <w:rFonts w:asciiTheme="minorHAnsi" w:hAnsiTheme="minorHAnsi" w:cstheme="minorHAnsi"/>
                <w:sz w:val="20"/>
                <w:szCs w:val="20"/>
              </w:rPr>
            </w:pPr>
            <w:r>
              <w:rPr>
                <w:rFonts w:asciiTheme="minorHAnsi" w:hAnsiTheme="minorHAnsi"/>
                <w:color w:val="000000"/>
                <w:sz w:val="20"/>
              </w:rPr>
              <w:t>* Con arreglo a la Resolución A/RES/76/238 de las Naciones Unidas; se aplicará la escala revisada de las Naciones Unidas para el trienio cuando esta se haya publicado.</w:t>
            </w:r>
          </w:p>
        </w:tc>
      </w:tr>
      <w:tr w:rsidR="00595C1A" w:rsidRPr="001D42CA" w14:paraId="7F7ED1B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BCA9EE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lastRenderedPageBreak/>
              <w:t>China</w:t>
            </w:r>
          </w:p>
        </w:tc>
        <w:tc>
          <w:tcPr>
            <w:tcW w:w="1111" w:type="dxa"/>
            <w:tcBorders>
              <w:top w:val="nil"/>
              <w:left w:val="nil"/>
              <w:bottom w:val="single" w:sz="4" w:space="0" w:color="auto"/>
              <w:right w:val="single" w:sz="4" w:space="0" w:color="auto"/>
            </w:tcBorders>
            <w:shd w:val="clear" w:color="auto" w:fill="auto"/>
            <w:noWrap/>
          </w:tcPr>
          <w:p w14:paraId="573F3BA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15,254</w:t>
            </w:r>
          </w:p>
        </w:tc>
        <w:tc>
          <w:tcPr>
            <w:tcW w:w="1111" w:type="dxa"/>
            <w:tcBorders>
              <w:top w:val="nil"/>
              <w:left w:val="nil"/>
              <w:bottom w:val="single" w:sz="4" w:space="0" w:color="auto"/>
              <w:right w:val="single" w:sz="4" w:space="0" w:color="auto"/>
            </w:tcBorders>
            <w:shd w:val="clear" w:color="auto" w:fill="auto"/>
            <w:noWrap/>
          </w:tcPr>
          <w:p w14:paraId="2FDFEB1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15,660 %</w:t>
            </w:r>
          </w:p>
        </w:tc>
        <w:tc>
          <w:tcPr>
            <w:tcW w:w="1305" w:type="dxa"/>
            <w:tcBorders>
              <w:top w:val="nil"/>
              <w:left w:val="nil"/>
              <w:bottom w:val="single" w:sz="4" w:space="0" w:color="auto"/>
              <w:right w:val="single" w:sz="4" w:space="0" w:color="auto"/>
            </w:tcBorders>
          </w:tcPr>
          <w:p w14:paraId="3C4B2D32"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746 880</w:t>
            </w:r>
          </w:p>
        </w:tc>
        <w:tc>
          <w:tcPr>
            <w:tcW w:w="1306" w:type="dxa"/>
            <w:tcBorders>
              <w:top w:val="nil"/>
              <w:left w:val="single" w:sz="4" w:space="0" w:color="auto"/>
              <w:bottom w:val="single" w:sz="4" w:space="0" w:color="auto"/>
              <w:right w:val="single" w:sz="4" w:space="0" w:color="auto"/>
            </w:tcBorders>
            <w:shd w:val="clear" w:color="auto" w:fill="auto"/>
            <w:noWrap/>
          </w:tcPr>
          <w:p w14:paraId="2B11AE7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818 431</w:t>
            </w:r>
          </w:p>
        </w:tc>
        <w:tc>
          <w:tcPr>
            <w:tcW w:w="1305" w:type="dxa"/>
            <w:tcBorders>
              <w:top w:val="nil"/>
              <w:left w:val="nil"/>
              <w:bottom w:val="single" w:sz="4" w:space="0" w:color="auto"/>
              <w:right w:val="single" w:sz="4" w:space="0" w:color="auto"/>
            </w:tcBorders>
            <w:shd w:val="clear" w:color="auto" w:fill="auto"/>
            <w:noWrap/>
          </w:tcPr>
          <w:p w14:paraId="605E896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820 245</w:t>
            </w:r>
          </w:p>
        </w:tc>
        <w:tc>
          <w:tcPr>
            <w:tcW w:w="1306" w:type="dxa"/>
            <w:tcBorders>
              <w:top w:val="nil"/>
              <w:left w:val="nil"/>
              <w:bottom w:val="single" w:sz="4" w:space="0" w:color="auto"/>
              <w:right w:val="single" w:sz="4" w:space="0" w:color="auto"/>
            </w:tcBorders>
            <w:shd w:val="clear" w:color="auto" w:fill="auto"/>
            <w:noWrap/>
          </w:tcPr>
          <w:p w14:paraId="25CB336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857 608</w:t>
            </w:r>
          </w:p>
        </w:tc>
      </w:tr>
      <w:tr w:rsidR="00595C1A" w:rsidRPr="001D42CA" w14:paraId="6902B2A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F409CF8"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Chipre</w:t>
            </w:r>
          </w:p>
        </w:tc>
        <w:tc>
          <w:tcPr>
            <w:tcW w:w="1111" w:type="dxa"/>
            <w:tcBorders>
              <w:top w:val="nil"/>
              <w:left w:val="nil"/>
              <w:bottom w:val="single" w:sz="4" w:space="0" w:color="auto"/>
              <w:right w:val="single" w:sz="4" w:space="0" w:color="auto"/>
            </w:tcBorders>
            <w:shd w:val="clear" w:color="auto" w:fill="auto"/>
            <w:noWrap/>
          </w:tcPr>
          <w:p w14:paraId="2CD2AC3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0,036</w:t>
            </w:r>
          </w:p>
        </w:tc>
        <w:tc>
          <w:tcPr>
            <w:tcW w:w="1111" w:type="dxa"/>
            <w:tcBorders>
              <w:top w:val="nil"/>
              <w:left w:val="nil"/>
              <w:bottom w:val="single" w:sz="4" w:space="0" w:color="auto"/>
              <w:right w:val="single" w:sz="4" w:space="0" w:color="auto"/>
            </w:tcBorders>
            <w:shd w:val="clear" w:color="auto" w:fill="auto"/>
            <w:noWrap/>
          </w:tcPr>
          <w:p w14:paraId="29247BF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0,037 %</w:t>
            </w:r>
          </w:p>
        </w:tc>
        <w:tc>
          <w:tcPr>
            <w:tcW w:w="1305" w:type="dxa"/>
            <w:tcBorders>
              <w:top w:val="nil"/>
              <w:left w:val="nil"/>
              <w:bottom w:val="single" w:sz="4" w:space="0" w:color="auto"/>
              <w:right w:val="single" w:sz="4" w:space="0" w:color="auto"/>
            </w:tcBorders>
          </w:tcPr>
          <w:p w14:paraId="77B473F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1 763</w:t>
            </w:r>
          </w:p>
        </w:tc>
        <w:tc>
          <w:tcPr>
            <w:tcW w:w="1306" w:type="dxa"/>
            <w:tcBorders>
              <w:top w:val="nil"/>
              <w:left w:val="single" w:sz="4" w:space="0" w:color="auto"/>
              <w:bottom w:val="single" w:sz="4" w:space="0" w:color="auto"/>
              <w:right w:val="single" w:sz="4" w:space="0" w:color="auto"/>
            </w:tcBorders>
            <w:shd w:val="clear" w:color="auto" w:fill="auto"/>
            <w:noWrap/>
          </w:tcPr>
          <w:p w14:paraId="60D2B92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1 932</w:t>
            </w:r>
          </w:p>
        </w:tc>
        <w:tc>
          <w:tcPr>
            <w:tcW w:w="1305" w:type="dxa"/>
            <w:tcBorders>
              <w:top w:val="nil"/>
              <w:left w:val="nil"/>
              <w:bottom w:val="single" w:sz="4" w:space="0" w:color="auto"/>
              <w:right w:val="single" w:sz="4" w:space="0" w:color="auto"/>
            </w:tcBorders>
            <w:shd w:val="clear" w:color="auto" w:fill="auto"/>
            <w:noWrap/>
          </w:tcPr>
          <w:p w14:paraId="0F15098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1 936</w:t>
            </w:r>
          </w:p>
        </w:tc>
        <w:tc>
          <w:tcPr>
            <w:tcW w:w="1306" w:type="dxa"/>
            <w:tcBorders>
              <w:top w:val="nil"/>
              <w:left w:val="nil"/>
              <w:bottom w:val="single" w:sz="4" w:space="0" w:color="auto"/>
              <w:right w:val="single" w:sz="4" w:space="0" w:color="auto"/>
            </w:tcBorders>
            <w:shd w:val="clear" w:color="auto" w:fill="auto"/>
            <w:noWrap/>
          </w:tcPr>
          <w:p w14:paraId="351B07B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2 024</w:t>
            </w:r>
          </w:p>
        </w:tc>
      </w:tr>
      <w:tr w:rsidR="00595C1A" w:rsidRPr="001D42CA" w14:paraId="4C7A82B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78C374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Colombia</w:t>
            </w:r>
          </w:p>
        </w:tc>
        <w:tc>
          <w:tcPr>
            <w:tcW w:w="1111" w:type="dxa"/>
            <w:tcBorders>
              <w:top w:val="nil"/>
              <w:left w:val="nil"/>
              <w:bottom w:val="single" w:sz="4" w:space="0" w:color="auto"/>
              <w:right w:val="single" w:sz="4" w:space="0" w:color="auto"/>
            </w:tcBorders>
            <w:shd w:val="clear" w:color="auto" w:fill="auto"/>
            <w:noWrap/>
          </w:tcPr>
          <w:p w14:paraId="4930DE9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0,246</w:t>
            </w:r>
          </w:p>
        </w:tc>
        <w:tc>
          <w:tcPr>
            <w:tcW w:w="1111" w:type="dxa"/>
            <w:tcBorders>
              <w:top w:val="nil"/>
              <w:left w:val="nil"/>
              <w:bottom w:val="single" w:sz="4" w:space="0" w:color="auto"/>
              <w:right w:val="single" w:sz="4" w:space="0" w:color="auto"/>
            </w:tcBorders>
            <w:shd w:val="clear" w:color="auto" w:fill="auto"/>
            <w:noWrap/>
          </w:tcPr>
          <w:p w14:paraId="72D7BA6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0,253 %</w:t>
            </w:r>
          </w:p>
        </w:tc>
        <w:tc>
          <w:tcPr>
            <w:tcW w:w="1305" w:type="dxa"/>
            <w:tcBorders>
              <w:top w:val="nil"/>
              <w:left w:val="nil"/>
              <w:bottom w:val="single" w:sz="4" w:space="0" w:color="auto"/>
              <w:right w:val="single" w:sz="4" w:space="0" w:color="auto"/>
            </w:tcBorders>
          </w:tcPr>
          <w:p w14:paraId="59176ED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12 045</w:t>
            </w:r>
          </w:p>
        </w:tc>
        <w:tc>
          <w:tcPr>
            <w:tcW w:w="1306" w:type="dxa"/>
            <w:tcBorders>
              <w:top w:val="nil"/>
              <w:left w:val="single" w:sz="4" w:space="0" w:color="auto"/>
              <w:bottom w:val="single" w:sz="4" w:space="0" w:color="auto"/>
              <w:right w:val="single" w:sz="4" w:space="0" w:color="auto"/>
            </w:tcBorders>
            <w:shd w:val="clear" w:color="auto" w:fill="auto"/>
            <w:noWrap/>
          </w:tcPr>
          <w:p w14:paraId="730505F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13 199</w:t>
            </w:r>
          </w:p>
        </w:tc>
        <w:tc>
          <w:tcPr>
            <w:tcW w:w="1305" w:type="dxa"/>
            <w:tcBorders>
              <w:top w:val="nil"/>
              <w:left w:val="nil"/>
              <w:bottom w:val="single" w:sz="4" w:space="0" w:color="auto"/>
              <w:right w:val="single" w:sz="4" w:space="0" w:color="auto"/>
            </w:tcBorders>
            <w:shd w:val="clear" w:color="auto" w:fill="auto"/>
            <w:noWrap/>
          </w:tcPr>
          <w:p w14:paraId="22C22A2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13 228</w:t>
            </w:r>
          </w:p>
        </w:tc>
        <w:tc>
          <w:tcPr>
            <w:tcW w:w="1306" w:type="dxa"/>
            <w:tcBorders>
              <w:top w:val="nil"/>
              <w:left w:val="nil"/>
              <w:bottom w:val="single" w:sz="4" w:space="0" w:color="auto"/>
              <w:right w:val="single" w:sz="4" w:space="0" w:color="auto"/>
            </w:tcBorders>
            <w:shd w:val="clear" w:color="auto" w:fill="auto"/>
            <w:noWrap/>
          </w:tcPr>
          <w:p w14:paraId="0DD8AD3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13 831</w:t>
            </w:r>
          </w:p>
        </w:tc>
      </w:tr>
      <w:tr w:rsidR="00595C1A" w:rsidRPr="001D42CA" w14:paraId="19E71D4E"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2F51E2B"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Comoras</w:t>
            </w:r>
          </w:p>
        </w:tc>
        <w:tc>
          <w:tcPr>
            <w:tcW w:w="1111" w:type="dxa"/>
            <w:tcBorders>
              <w:top w:val="nil"/>
              <w:left w:val="nil"/>
              <w:bottom w:val="single" w:sz="4" w:space="0" w:color="auto"/>
              <w:right w:val="single" w:sz="4" w:space="0" w:color="auto"/>
            </w:tcBorders>
            <w:shd w:val="clear" w:color="auto" w:fill="auto"/>
            <w:noWrap/>
          </w:tcPr>
          <w:p w14:paraId="609304E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w:t>
            </w:r>
          </w:p>
        </w:tc>
        <w:tc>
          <w:tcPr>
            <w:tcW w:w="1111" w:type="dxa"/>
            <w:tcBorders>
              <w:top w:val="nil"/>
              <w:left w:val="nil"/>
              <w:bottom w:val="single" w:sz="4" w:space="0" w:color="auto"/>
              <w:right w:val="single" w:sz="4" w:space="0" w:color="auto"/>
            </w:tcBorders>
            <w:shd w:val="clear" w:color="auto" w:fill="auto"/>
            <w:noWrap/>
          </w:tcPr>
          <w:p w14:paraId="032EFA7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0,001 %</w:t>
            </w:r>
          </w:p>
        </w:tc>
        <w:tc>
          <w:tcPr>
            <w:tcW w:w="1305" w:type="dxa"/>
            <w:tcBorders>
              <w:top w:val="nil"/>
              <w:left w:val="nil"/>
              <w:bottom w:val="single" w:sz="4" w:space="0" w:color="auto"/>
              <w:right w:val="single" w:sz="4" w:space="0" w:color="auto"/>
            </w:tcBorders>
          </w:tcPr>
          <w:p w14:paraId="3C4C639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994FA4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4351B07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2FEC5E3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7326413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25BEB16"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Congo</w:t>
            </w:r>
          </w:p>
        </w:tc>
        <w:tc>
          <w:tcPr>
            <w:tcW w:w="1111" w:type="dxa"/>
            <w:tcBorders>
              <w:top w:val="nil"/>
              <w:left w:val="nil"/>
              <w:bottom w:val="single" w:sz="4" w:space="0" w:color="auto"/>
              <w:right w:val="single" w:sz="4" w:space="0" w:color="auto"/>
            </w:tcBorders>
            <w:shd w:val="clear" w:color="auto" w:fill="auto"/>
            <w:noWrap/>
          </w:tcPr>
          <w:p w14:paraId="2B569C3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0,005</w:t>
            </w:r>
          </w:p>
        </w:tc>
        <w:tc>
          <w:tcPr>
            <w:tcW w:w="1111" w:type="dxa"/>
            <w:tcBorders>
              <w:top w:val="nil"/>
              <w:left w:val="nil"/>
              <w:bottom w:val="single" w:sz="4" w:space="0" w:color="auto"/>
              <w:right w:val="single" w:sz="4" w:space="0" w:color="auto"/>
            </w:tcBorders>
            <w:shd w:val="clear" w:color="auto" w:fill="auto"/>
            <w:noWrap/>
          </w:tcPr>
          <w:p w14:paraId="34B388B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0,005 %</w:t>
            </w:r>
          </w:p>
        </w:tc>
        <w:tc>
          <w:tcPr>
            <w:tcW w:w="1305" w:type="dxa"/>
            <w:tcBorders>
              <w:top w:val="nil"/>
              <w:left w:val="nil"/>
              <w:bottom w:val="single" w:sz="4" w:space="0" w:color="auto"/>
              <w:right w:val="single" w:sz="4" w:space="0" w:color="auto"/>
            </w:tcBorders>
          </w:tcPr>
          <w:p w14:paraId="669026F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334FB0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628EEEB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2068E50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574FAEDD" w14:textId="77777777" w:rsidTr="00595C1A">
        <w:trPr>
          <w:gridBefore w:val="1"/>
          <w:wBefore w:w="10" w:type="dxa"/>
          <w:trHeight w:val="276"/>
        </w:trPr>
        <w:tc>
          <w:tcPr>
            <w:tcW w:w="2664" w:type="dxa"/>
            <w:tcBorders>
              <w:left w:val="single" w:sz="4" w:space="0" w:color="auto"/>
              <w:bottom w:val="single" w:sz="4" w:space="0" w:color="auto"/>
              <w:right w:val="single" w:sz="4" w:space="0" w:color="auto"/>
            </w:tcBorders>
            <w:shd w:val="clear" w:color="auto" w:fill="auto"/>
            <w:noWrap/>
            <w:vAlign w:val="center"/>
          </w:tcPr>
          <w:p w14:paraId="1DA18DE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Costa Rica</w:t>
            </w:r>
          </w:p>
        </w:tc>
        <w:tc>
          <w:tcPr>
            <w:tcW w:w="1111" w:type="dxa"/>
            <w:tcBorders>
              <w:left w:val="nil"/>
              <w:bottom w:val="single" w:sz="4" w:space="0" w:color="auto"/>
              <w:right w:val="single" w:sz="4" w:space="0" w:color="auto"/>
            </w:tcBorders>
            <w:shd w:val="clear" w:color="auto" w:fill="auto"/>
            <w:noWrap/>
          </w:tcPr>
          <w:p w14:paraId="59CD174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0,069</w:t>
            </w:r>
          </w:p>
        </w:tc>
        <w:tc>
          <w:tcPr>
            <w:tcW w:w="1111" w:type="dxa"/>
            <w:tcBorders>
              <w:left w:val="nil"/>
              <w:bottom w:val="single" w:sz="4" w:space="0" w:color="auto"/>
              <w:right w:val="single" w:sz="4" w:space="0" w:color="auto"/>
            </w:tcBorders>
            <w:shd w:val="clear" w:color="auto" w:fill="auto"/>
            <w:noWrap/>
          </w:tcPr>
          <w:p w14:paraId="2C03DD0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0,071 %</w:t>
            </w:r>
          </w:p>
        </w:tc>
        <w:tc>
          <w:tcPr>
            <w:tcW w:w="1305" w:type="dxa"/>
            <w:tcBorders>
              <w:left w:val="nil"/>
              <w:bottom w:val="single" w:sz="4" w:space="0" w:color="auto"/>
              <w:right w:val="single" w:sz="4" w:space="0" w:color="auto"/>
            </w:tcBorders>
          </w:tcPr>
          <w:p w14:paraId="2B426F1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3 378</w:t>
            </w:r>
          </w:p>
        </w:tc>
        <w:tc>
          <w:tcPr>
            <w:tcW w:w="1306" w:type="dxa"/>
            <w:tcBorders>
              <w:left w:val="single" w:sz="4" w:space="0" w:color="auto"/>
              <w:bottom w:val="single" w:sz="4" w:space="0" w:color="auto"/>
              <w:right w:val="single" w:sz="4" w:space="0" w:color="auto"/>
            </w:tcBorders>
            <w:shd w:val="clear" w:color="auto" w:fill="auto"/>
            <w:noWrap/>
          </w:tcPr>
          <w:p w14:paraId="2EADA02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3 702</w:t>
            </w:r>
          </w:p>
        </w:tc>
        <w:tc>
          <w:tcPr>
            <w:tcW w:w="1305" w:type="dxa"/>
            <w:tcBorders>
              <w:left w:val="nil"/>
              <w:bottom w:val="single" w:sz="4" w:space="0" w:color="auto"/>
              <w:right w:val="single" w:sz="4" w:space="0" w:color="auto"/>
            </w:tcBorders>
            <w:shd w:val="clear" w:color="auto" w:fill="auto"/>
            <w:noWrap/>
          </w:tcPr>
          <w:p w14:paraId="55E4B76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3 710</w:t>
            </w:r>
          </w:p>
        </w:tc>
        <w:tc>
          <w:tcPr>
            <w:tcW w:w="1306" w:type="dxa"/>
            <w:tcBorders>
              <w:left w:val="nil"/>
              <w:bottom w:val="single" w:sz="4" w:space="0" w:color="auto"/>
              <w:right w:val="single" w:sz="4" w:space="0" w:color="auto"/>
            </w:tcBorders>
            <w:shd w:val="clear" w:color="auto" w:fill="auto"/>
            <w:noWrap/>
          </w:tcPr>
          <w:p w14:paraId="425BD03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3 879</w:t>
            </w:r>
          </w:p>
        </w:tc>
      </w:tr>
      <w:tr w:rsidR="00595C1A" w:rsidRPr="001D42CA" w14:paraId="2EA96303"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6F428CE"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Côte</w:t>
            </w:r>
            <w:proofErr w:type="spellEnd"/>
            <w:r>
              <w:rPr>
                <w:rFonts w:asciiTheme="minorHAnsi" w:hAnsiTheme="minorHAnsi"/>
                <w:sz w:val="20"/>
              </w:rPr>
              <w:t xml:space="preserve"> </w:t>
            </w:r>
            <w:proofErr w:type="spellStart"/>
            <w:r>
              <w:rPr>
                <w:rFonts w:asciiTheme="minorHAnsi" w:hAnsiTheme="minorHAnsi"/>
                <w:sz w:val="20"/>
              </w:rPr>
              <w:t>d'Ivoire</w:t>
            </w:r>
            <w:proofErr w:type="spellEnd"/>
          </w:p>
        </w:tc>
        <w:tc>
          <w:tcPr>
            <w:tcW w:w="1111" w:type="dxa"/>
            <w:tcBorders>
              <w:top w:val="nil"/>
              <w:left w:val="nil"/>
              <w:bottom w:val="single" w:sz="4" w:space="0" w:color="auto"/>
              <w:right w:val="single" w:sz="4" w:space="0" w:color="auto"/>
            </w:tcBorders>
            <w:shd w:val="clear" w:color="auto" w:fill="auto"/>
            <w:noWrap/>
          </w:tcPr>
          <w:p w14:paraId="7FCE3C7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0,022</w:t>
            </w:r>
          </w:p>
        </w:tc>
        <w:tc>
          <w:tcPr>
            <w:tcW w:w="1111" w:type="dxa"/>
            <w:tcBorders>
              <w:top w:val="nil"/>
              <w:left w:val="nil"/>
              <w:bottom w:val="single" w:sz="4" w:space="0" w:color="auto"/>
              <w:right w:val="single" w:sz="4" w:space="0" w:color="auto"/>
            </w:tcBorders>
            <w:shd w:val="clear" w:color="auto" w:fill="auto"/>
            <w:noWrap/>
          </w:tcPr>
          <w:p w14:paraId="25F305C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0,023 %</w:t>
            </w:r>
          </w:p>
        </w:tc>
        <w:tc>
          <w:tcPr>
            <w:tcW w:w="1305" w:type="dxa"/>
            <w:tcBorders>
              <w:top w:val="nil"/>
              <w:left w:val="nil"/>
              <w:bottom w:val="single" w:sz="4" w:space="0" w:color="auto"/>
              <w:right w:val="single" w:sz="4" w:space="0" w:color="auto"/>
            </w:tcBorders>
          </w:tcPr>
          <w:p w14:paraId="7730E3F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1 077</w:t>
            </w:r>
          </w:p>
        </w:tc>
        <w:tc>
          <w:tcPr>
            <w:tcW w:w="1306" w:type="dxa"/>
            <w:tcBorders>
              <w:top w:val="nil"/>
              <w:left w:val="single" w:sz="4" w:space="0" w:color="auto"/>
              <w:bottom w:val="single" w:sz="4" w:space="0" w:color="auto"/>
              <w:right w:val="single" w:sz="4" w:space="0" w:color="auto"/>
            </w:tcBorders>
            <w:shd w:val="clear" w:color="auto" w:fill="auto"/>
            <w:noWrap/>
          </w:tcPr>
          <w:p w14:paraId="29A6DB5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1 180</w:t>
            </w:r>
          </w:p>
        </w:tc>
        <w:tc>
          <w:tcPr>
            <w:tcW w:w="1305" w:type="dxa"/>
            <w:tcBorders>
              <w:top w:val="nil"/>
              <w:left w:val="nil"/>
              <w:bottom w:val="single" w:sz="4" w:space="0" w:color="auto"/>
              <w:right w:val="single" w:sz="4" w:space="0" w:color="auto"/>
            </w:tcBorders>
            <w:shd w:val="clear" w:color="auto" w:fill="auto"/>
            <w:noWrap/>
          </w:tcPr>
          <w:p w14:paraId="013A6E3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1 183</w:t>
            </w:r>
          </w:p>
        </w:tc>
        <w:tc>
          <w:tcPr>
            <w:tcW w:w="1306" w:type="dxa"/>
            <w:tcBorders>
              <w:top w:val="nil"/>
              <w:left w:val="nil"/>
              <w:bottom w:val="single" w:sz="4" w:space="0" w:color="auto"/>
              <w:right w:val="single" w:sz="4" w:space="0" w:color="auto"/>
            </w:tcBorders>
            <w:shd w:val="clear" w:color="auto" w:fill="auto"/>
            <w:noWrap/>
          </w:tcPr>
          <w:p w14:paraId="39A29E8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1 237</w:t>
            </w:r>
          </w:p>
        </w:tc>
      </w:tr>
      <w:tr w:rsidR="00595C1A" w:rsidRPr="001D42CA" w14:paraId="3B74D6D6"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3483C96"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Croacia</w:t>
            </w:r>
          </w:p>
        </w:tc>
        <w:tc>
          <w:tcPr>
            <w:tcW w:w="1111" w:type="dxa"/>
            <w:tcBorders>
              <w:top w:val="nil"/>
              <w:left w:val="nil"/>
              <w:bottom w:val="single" w:sz="4" w:space="0" w:color="auto"/>
              <w:right w:val="single" w:sz="4" w:space="0" w:color="auto"/>
            </w:tcBorders>
            <w:shd w:val="clear" w:color="auto" w:fill="auto"/>
            <w:noWrap/>
          </w:tcPr>
          <w:p w14:paraId="75491FC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0,091</w:t>
            </w:r>
          </w:p>
        </w:tc>
        <w:tc>
          <w:tcPr>
            <w:tcW w:w="1111" w:type="dxa"/>
            <w:tcBorders>
              <w:top w:val="nil"/>
              <w:left w:val="nil"/>
              <w:bottom w:val="single" w:sz="4" w:space="0" w:color="auto"/>
              <w:right w:val="single" w:sz="4" w:space="0" w:color="auto"/>
            </w:tcBorders>
            <w:shd w:val="clear" w:color="auto" w:fill="auto"/>
            <w:noWrap/>
          </w:tcPr>
          <w:p w14:paraId="11560F7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0,093 %</w:t>
            </w:r>
          </w:p>
        </w:tc>
        <w:tc>
          <w:tcPr>
            <w:tcW w:w="1305" w:type="dxa"/>
            <w:tcBorders>
              <w:top w:val="nil"/>
              <w:left w:val="nil"/>
              <w:bottom w:val="single" w:sz="4" w:space="0" w:color="auto"/>
              <w:right w:val="single" w:sz="4" w:space="0" w:color="auto"/>
            </w:tcBorders>
          </w:tcPr>
          <w:p w14:paraId="2D9BCB7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4 456</w:t>
            </w:r>
          </w:p>
        </w:tc>
        <w:tc>
          <w:tcPr>
            <w:tcW w:w="1306" w:type="dxa"/>
            <w:tcBorders>
              <w:top w:val="nil"/>
              <w:left w:val="single" w:sz="4" w:space="0" w:color="auto"/>
              <w:bottom w:val="single" w:sz="4" w:space="0" w:color="auto"/>
              <w:right w:val="single" w:sz="4" w:space="0" w:color="auto"/>
            </w:tcBorders>
            <w:shd w:val="clear" w:color="auto" w:fill="auto"/>
            <w:noWrap/>
          </w:tcPr>
          <w:p w14:paraId="4CD8F3B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4 882</w:t>
            </w:r>
          </w:p>
        </w:tc>
        <w:tc>
          <w:tcPr>
            <w:tcW w:w="1305" w:type="dxa"/>
            <w:tcBorders>
              <w:top w:val="nil"/>
              <w:left w:val="nil"/>
              <w:bottom w:val="single" w:sz="4" w:space="0" w:color="auto"/>
              <w:right w:val="single" w:sz="4" w:space="0" w:color="auto"/>
            </w:tcBorders>
            <w:shd w:val="clear" w:color="auto" w:fill="auto"/>
            <w:noWrap/>
          </w:tcPr>
          <w:p w14:paraId="3A0A6D6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4 893</w:t>
            </w:r>
          </w:p>
        </w:tc>
        <w:tc>
          <w:tcPr>
            <w:tcW w:w="1306" w:type="dxa"/>
            <w:tcBorders>
              <w:top w:val="nil"/>
              <w:left w:val="nil"/>
              <w:bottom w:val="single" w:sz="4" w:space="0" w:color="auto"/>
              <w:right w:val="single" w:sz="4" w:space="0" w:color="auto"/>
            </w:tcBorders>
            <w:shd w:val="clear" w:color="auto" w:fill="auto"/>
            <w:noWrap/>
          </w:tcPr>
          <w:p w14:paraId="3D13CB8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5 116</w:t>
            </w:r>
          </w:p>
        </w:tc>
      </w:tr>
      <w:tr w:rsidR="00595C1A" w:rsidRPr="001D42CA" w14:paraId="7A59FAD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C6297D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Cuba</w:t>
            </w:r>
          </w:p>
        </w:tc>
        <w:tc>
          <w:tcPr>
            <w:tcW w:w="1111" w:type="dxa"/>
            <w:tcBorders>
              <w:top w:val="nil"/>
              <w:left w:val="nil"/>
              <w:bottom w:val="single" w:sz="4" w:space="0" w:color="auto"/>
              <w:right w:val="single" w:sz="4" w:space="0" w:color="auto"/>
            </w:tcBorders>
            <w:shd w:val="clear" w:color="auto" w:fill="auto"/>
            <w:noWrap/>
          </w:tcPr>
          <w:p w14:paraId="3D67497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0,095</w:t>
            </w:r>
          </w:p>
        </w:tc>
        <w:tc>
          <w:tcPr>
            <w:tcW w:w="1111" w:type="dxa"/>
            <w:tcBorders>
              <w:top w:val="nil"/>
              <w:left w:val="nil"/>
              <w:bottom w:val="single" w:sz="4" w:space="0" w:color="auto"/>
              <w:right w:val="single" w:sz="4" w:space="0" w:color="auto"/>
            </w:tcBorders>
            <w:shd w:val="clear" w:color="auto" w:fill="auto"/>
            <w:noWrap/>
          </w:tcPr>
          <w:p w14:paraId="3E79ABC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0,098 %</w:t>
            </w:r>
          </w:p>
        </w:tc>
        <w:tc>
          <w:tcPr>
            <w:tcW w:w="1305" w:type="dxa"/>
            <w:tcBorders>
              <w:top w:val="nil"/>
              <w:left w:val="nil"/>
              <w:bottom w:val="single" w:sz="4" w:space="0" w:color="auto"/>
              <w:right w:val="single" w:sz="4" w:space="0" w:color="auto"/>
            </w:tcBorders>
          </w:tcPr>
          <w:p w14:paraId="5CBFB37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4 651</w:t>
            </w:r>
          </w:p>
        </w:tc>
        <w:tc>
          <w:tcPr>
            <w:tcW w:w="1306" w:type="dxa"/>
            <w:tcBorders>
              <w:top w:val="nil"/>
              <w:left w:val="single" w:sz="4" w:space="0" w:color="auto"/>
              <w:bottom w:val="single" w:sz="4" w:space="0" w:color="auto"/>
              <w:right w:val="single" w:sz="4" w:space="0" w:color="auto"/>
            </w:tcBorders>
            <w:shd w:val="clear" w:color="auto" w:fill="auto"/>
            <w:noWrap/>
          </w:tcPr>
          <w:p w14:paraId="415451E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5 097</w:t>
            </w:r>
          </w:p>
        </w:tc>
        <w:tc>
          <w:tcPr>
            <w:tcW w:w="1305" w:type="dxa"/>
            <w:tcBorders>
              <w:top w:val="nil"/>
              <w:left w:val="nil"/>
              <w:bottom w:val="single" w:sz="4" w:space="0" w:color="auto"/>
              <w:right w:val="single" w:sz="4" w:space="0" w:color="auto"/>
            </w:tcBorders>
            <w:shd w:val="clear" w:color="auto" w:fill="auto"/>
            <w:noWrap/>
          </w:tcPr>
          <w:p w14:paraId="5AD66F1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5 108</w:t>
            </w:r>
          </w:p>
        </w:tc>
        <w:tc>
          <w:tcPr>
            <w:tcW w:w="1306" w:type="dxa"/>
            <w:tcBorders>
              <w:top w:val="nil"/>
              <w:left w:val="nil"/>
              <w:bottom w:val="single" w:sz="4" w:space="0" w:color="auto"/>
              <w:right w:val="single" w:sz="4" w:space="0" w:color="auto"/>
            </w:tcBorders>
            <w:shd w:val="clear" w:color="auto" w:fill="auto"/>
            <w:noWrap/>
          </w:tcPr>
          <w:p w14:paraId="6F71C33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5 341</w:t>
            </w:r>
          </w:p>
        </w:tc>
      </w:tr>
      <w:tr w:rsidR="00595C1A" w:rsidRPr="001D42CA" w14:paraId="7BA4260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8F9651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Dinamarca</w:t>
            </w:r>
          </w:p>
        </w:tc>
        <w:tc>
          <w:tcPr>
            <w:tcW w:w="1111" w:type="dxa"/>
            <w:tcBorders>
              <w:top w:val="nil"/>
              <w:left w:val="nil"/>
              <w:bottom w:val="single" w:sz="4" w:space="0" w:color="auto"/>
              <w:right w:val="single" w:sz="4" w:space="0" w:color="auto"/>
            </w:tcBorders>
            <w:shd w:val="clear" w:color="auto" w:fill="auto"/>
            <w:noWrap/>
          </w:tcPr>
          <w:p w14:paraId="42A92DB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0,553</w:t>
            </w:r>
          </w:p>
        </w:tc>
        <w:tc>
          <w:tcPr>
            <w:tcW w:w="1111" w:type="dxa"/>
            <w:tcBorders>
              <w:top w:val="nil"/>
              <w:left w:val="nil"/>
              <w:bottom w:val="single" w:sz="4" w:space="0" w:color="auto"/>
              <w:right w:val="single" w:sz="4" w:space="0" w:color="auto"/>
            </w:tcBorders>
            <w:shd w:val="clear" w:color="auto" w:fill="auto"/>
            <w:noWrap/>
          </w:tcPr>
          <w:p w14:paraId="6F4B2B4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0,568 %</w:t>
            </w:r>
          </w:p>
        </w:tc>
        <w:tc>
          <w:tcPr>
            <w:tcW w:w="1305" w:type="dxa"/>
            <w:tcBorders>
              <w:top w:val="nil"/>
              <w:left w:val="nil"/>
              <w:bottom w:val="single" w:sz="4" w:space="0" w:color="auto"/>
              <w:right w:val="single" w:sz="4" w:space="0" w:color="auto"/>
            </w:tcBorders>
          </w:tcPr>
          <w:p w14:paraId="31C746C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27 076</w:t>
            </w:r>
          </w:p>
        </w:tc>
        <w:tc>
          <w:tcPr>
            <w:tcW w:w="1306" w:type="dxa"/>
            <w:tcBorders>
              <w:top w:val="nil"/>
              <w:left w:val="single" w:sz="4" w:space="0" w:color="auto"/>
              <w:bottom w:val="single" w:sz="4" w:space="0" w:color="auto"/>
              <w:right w:val="single" w:sz="4" w:space="0" w:color="auto"/>
            </w:tcBorders>
            <w:shd w:val="clear" w:color="auto" w:fill="auto"/>
            <w:noWrap/>
          </w:tcPr>
          <w:p w14:paraId="44F375B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29 670</w:t>
            </w:r>
          </w:p>
        </w:tc>
        <w:tc>
          <w:tcPr>
            <w:tcW w:w="1305" w:type="dxa"/>
            <w:tcBorders>
              <w:top w:val="nil"/>
              <w:left w:val="nil"/>
              <w:bottom w:val="single" w:sz="4" w:space="0" w:color="auto"/>
              <w:right w:val="single" w:sz="4" w:space="0" w:color="auto"/>
            </w:tcBorders>
            <w:shd w:val="clear" w:color="auto" w:fill="auto"/>
            <w:noWrap/>
          </w:tcPr>
          <w:p w14:paraId="4AF6FDF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29 736</w:t>
            </w:r>
          </w:p>
        </w:tc>
        <w:tc>
          <w:tcPr>
            <w:tcW w:w="1306" w:type="dxa"/>
            <w:tcBorders>
              <w:top w:val="nil"/>
              <w:left w:val="nil"/>
              <w:bottom w:val="single" w:sz="4" w:space="0" w:color="auto"/>
              <w:right w:val="single" w:sz="4" w:space="0" w:color="auto"/>
            </w:tcBorders>
            <w:shd w:val="clear" w:color="auto" w:fill="auto"/>
            <w:noWrap/>
          </w:tcPr>
          <w:p w14:paraId="007AA1F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31 091</w:t>
            </w:r>
          </w:p>
        </w:tc>
      </w:tr>
      <w:tr w:rsidR="00595C1A" w:rsidRPr="001D42CA" w14:paraId="56C401E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3545F5E"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Djibouti</w:t>
            </w:r>
            <w:proofErr w:type="spellEnd"/>
          </w:p>
        </w:tc>
        <w:tc>
          <w:tcPr>
            <w:tcW w:w="1111" w:type="dxa"/>
            <w:tcBorders>
              <w:top w:val="nil"/>
              <w:left w:val="nil"/>
              <w:bottom w:val="single" w:sz="4" w:space="0" w:color="auto"/>
              <w:right w:val="single" w:sz="4" w:space="0" w:color="auto"/>
            </w:tcBorders>
            <w:shd w:val="clear" w:color="auto" w:fill="auto"/>
            <w:noWrap/>
          </w:tcPr>
          <w:p w14:paraId="36DB89C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1F40FE4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1B675D4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772602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29E0BA6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D5CA8C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5997FF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88A07C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Ecuador</w:t>
            </w:r>
          </w:p>
        </w:tc>
        <w:tc>
          <w:tcPr>
            <w:tcW w:w="1111" w:type="dxa"/>
            <w:tcBorders>
              <w:top w:val="nil"/>
              <w:left w:val="nil"/>
              <w:bottom w:val="single" w:sz="4" w:space="0" w:color="auto"/>
              <w:right w:val="single" w:sz="4" w:space="0" w:color="auto"/>
            </w:tcBorders>
            <w:shd w:val="clear" w:color="auto" w:fill="auto"/>
            <w:noWrap/>
          </w:tcPr>
          <w:p w14:paraId="2259701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0,077</w:t>
            </w:r>
          </w:p>
        </w:tc>
        <w:tc>
          <w:tcPr>
            <w:tcW w:w="1111" w:type="dxa"/>
            <w:tcBorders>
              <w:top w:val="nil"/>
              <w:left w:val="nil"/>
              <w:bottom w:val="single" w:sz="4" w:space="0" w:color="auto"/>
              <w:right w:val="single" w:sz="4" w:space="0" w:color="auto"/>
            </w:tcBorders>
            <w:shd w:val="clear" w:color="auto" w:fill="auto"/>
            <w:noWrap/>
          </w:tcPr>
          <w:p w14:paraId="5C2D82B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0,079 %</w:t>
            </w:r>
          </w:p>
        </w:tc>
        <w:tc>
          <w:tcPr>
            <w:tcW w:w="1305" w:type="dxa"/>
            <w:tcBorders>
              <w:top w:val="nil"/>
              <w:left w:val="nil"/>
              <w:bottom w:val="single" w:sz="4" w:space="0" w:color="auto"/>
              <w:right w:val="single" w:sz="4" w:space="0" w:color="auto"/>
            </w:tcBorders>
          </w:tcPr>
          <w:p w14:paraId="58FD4D7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3 770</w:t>
            </w:r>
          </w:p>
        </w:tc>
        <w:tc>
          <w:tcPr>
            <w:tcW w:w="1306" w:type="dxa"/>
            <w:tcBorders>
              <w:top w:val="nil"/>
              <w:left w:val="single" w:sz="4" w:space="0" w:color="auto"/>
              <w:bottom w:val="single" w:sz="4" w:space="0" w:color="auto"/>
              <w:right w:val="single" w:sz="4" w:space="0" w:color="auto"/>
            </w:tcBorders>
            <w:shd w:val="clear" w:color="auto" w:fill="auto"/>
            <w:noWrap/>
          </w:tcPr>
          <w:p w14:paraId="0891F95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4 131</w:t>
            </w:r>
          </w:p>
        </w:tc>
        <w:tc>
          <w:tcPr>
            <w:tcW w:w="1305" w:type="dxa"/>
            <w:tcBorders>
              <w:top w:val="nil"/>
              <w:left w:val="nil"/>
              <w:bottom w:val="single" w:sz="4" w:space="0" w:color="auto"/>
              <w:right w:val="single" w:sz="4" w:space="0" w:color="auto"/>
            </w:tcBorders>
            <w:shd w:val="clear" w:color="auto" w:fill="auto"/>
            <w:noWrap/>
          </w:tcPr>
          <w:p w14:paraId="63185FE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4 141</w:t>
            </w:r>
          </w:p>
        </w:tc>
        <w:tc>
          <w:tcPr>
            <w:tcW w:w="1306" w:type="dxa"/>
            <w:tcBorders>
              <w:top w:val="nil"/>
              <w:left w:val="nil"/>
              <w:bottom w:val="single" w:sz="4" w:space="0" w:color="auto"/>
              <w:right w:val="single" w:sz="4" w:space="0" w:color="auto"/>
            </w:tcBorders>
            <w:shd w:val="clear" w:color="auto" w:fill="auto"/>
            <w:noWrap/>
          </w:tcPr>
          <w:p w14:paraId="3923986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4 329</w:t>
            </w:r>
          </w:p>
        </w:tc>
      </w:tr>
      <w:tr w:rsidR="00595C1A" w:rsidRPr="001D42CA" w14:paraId="1E56E7EE"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CCE8EC2"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Egipto</w:t>
            </w:r>
          </w:p>
        </w:tc>
        <w:tc>
          <w:tcPr>
            <w:tcW w:w="1111" w:type="dxa"/>
            <w:tcBorders>
              <w:top w:val="nil"/>
              <w:left w:val="nil"/>
              <w:bottom w:val="single" w:sz="4" w:space="0" w:color="auto"/>
              <w:right w:val="single" w:sz="4" w:space="0" w:color="auto"/>
            </w:tcBorders>
            <w:shd w:val="clear" w:color="auto" w:fill="auto"/>
            <w:noWrap/>
          </w:tcPr>
          <w:p w14:paraId="6B47572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0,139</w:t>
            </w:r>
          </w:p>
        </w:tc>
        <w:tc>
          <w:tcPr>
            <w:tcW w:w="1111" w:type="dxa"/>
            <w:tcBorders>
              <w:top w:val="nil"/>
              <w:left w:val="nil"/>
              <w:bottom w:val="single" w:sz="4" w:space="0" w:color="auto"/>
              <w:right w:val="single" w:sz="4" w:space="0" w:color="auto"/>
            </w:tcBorders>
            <w:shd w:val="clear" w:color="auto" w:fill="auto"/>
            <w:noWrap/>
          </w:tcPr>
          <w:p w14:paraId="2AE7799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0,143 %</w:t>
            </w:r>
          </w:p>
        </w:tc>
        <w:tc>
          <w:tcPr>
            <w:tcW w:w="1305" w:type="dxa"/>
            <w:tcBorders>
              <w:top w:val="nil"/>
              <w:left w:val="nil"/>
              <w:bottom w:val="single" w:sz="4" w:space="0" w:color="auto"/>
              <w:right w:val="single" w:sz="4" w:space="0" w:color="auto"/>
            </w:tcBorders>
          </w:tcPr>
          <w:p w14:paraId="0D306A9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6 806</w:t>
            </w:r>
          </w:p>
        </w:tc>
        <w:tc>
          <w:tcPr>
            <w:tcW w:w="1306" w:type="dxa"/>
            <w:tcBorders>
              <w:top w:val="nil"/>
              <w:left w:val="single" w:sz="4" w:space="0" w:color="auto"/>
              <w:bottom w:val="single" w:sz="4" w:space="0" w:color="auto"/>
              <w:right w:val="single" w:sz="4" w:space="0" w:color="auto"/>
            </w:tcBorders>
            <w:shd w:val="clear" w:color="auto" w:fill="auto"/>
            <w:noWrap/>
          </w:tcPr>
          <w:p w14:paraId="15765A2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7 458</w:t>
            </w:r>
          </w:p>
        </w:tc>
        <w:tc>
          <w:tcPr>
            <w:tcW w:w="1305" w:type="dxa"/>
            <w:tcBorders>
              <w:top w:val="nil"/>
              <w:left w:val="nil"/>
              <w:bottom w:val="single" w:sz="4" w:space="0" w:color="auto"/>
              <w:right w:val="single" w:sz="4" w:space="0" w:color="auto"/>
            </w:tcBorders>
            <w:shd w:val="clear" w:color="auto" w:fill="auto"/>
            <w:noWrap/>
          </w:tcPr>
          <w:p w14:paraId="786C891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7 474</w:t>
            </w:r>
          </w:p>
        </w:tc>
        <w:tc>
          <w:tcPr>
            <w:tcW w:w="1306" w:type="dxa"/>
            <w:tcBorders>
              <w:top w:val="nil"/>
              <w:left w:val="nil"/>
              <w:bottom w:val="single" w:sz="4" w:space="0" w:color="auto"/>
              <w:right w:val="single" w:sz="4" w:space="0" w:color="auto"/>
            </w:tcBorders>
            <w:shd w:val="clear" w:color="auto" w:fill="auto"/>
            <w:noWrap/>
          </w:tcPr>
          <w:p w14:paraId="76D32C4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7 815</w:t>
            </w:r>
          </w:p>
        </w:tc>
      </w:tr>
      <w:tr w:rsidR="00595C1A" w:rsidRPr="001D42CA" w14:paraId="4839CE0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70C4F3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El Salvador</w:t>
            </w:r>
          </w:p>
        </w:tc>
        <w:tc>
          <w:tcPr>
            <w:tcW w:w="1111" w:type="dxa"/>
            <w:tcBorders>
              <w:top w:val="nil"/>
              <w:left w:val="nil"/>
              <w:bottom w:val="single" w:sz="4" w:space="0" w:color="auto"/>
              <w:right w:val="single" w:sz="4" w:space="0" w:color="auto"/>
            </w:tcBorders>
            <w:shd w:val="clear" w:color="auto" w:fill="auto"/>
            <w:noWrap/>
          </w:tcPr>
          <w:p w14:paraId="7E4865F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0,013</w:t>
            </w:r>
          </w:p>
        </w:tc>
        <w:tc>
          <w:tcPr>
            <w:tcW w:w="1111" w:type="dxa"/>
            <w:tcBorders>
              <w:top w:val="nil"/>
              <w:left w:val="nil"/>
              <w:bottom w:val="single" w:sz="4" w:space="0" w:color="auto"/>
              <w:right w:val="single" w:sz="4" w:space="0" w:color="auto"/>
            </w:tcBorders>
            <w:shd w:val="clear" w:color="auto" w:fill="auto"/>
            <w:noWrap/>
          </w:tcPr>
          <w:p w14:paraId="3A7DC02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0,013 %</w:t>
            </w:r>
          </w:p>
        </w:tc>
        <w:tc>
          <w:tcPr>
            <w:tcW w:w="1305" w:type="dxa"/>
            <w:tcBorders>
              <w:top w:val="nil"/>
              <w:left w:val="nil"/>
              <w:bottom w:val="single" w:sz="4" w:space="0" w:color="auto"/>
              <w:right w:val="single" w:sz="4" w:space="0" w:color="auto"/>
            </w:tcBorders>
          </w:tcPr>
          <w:p w14:paraId="0540796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57DF58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1C40193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621484D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4145D44D"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CA0CD4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Emiratos Árabes Unidos</w:t>
            </w:r>
          </w:p>
        </w:tc>
        <w:tc>
          <w:tcPr>
            <w:tcW w:w="1111" w:type="dxa"/>
            <w:tcBorders>
              <w:top w:val="nil"/>
              <w:left w:val="nil"/>
              <w:bottom w:val="single" w:sz="4" w:space="0" w:color="auto"/>
              <w:right w:val="single" w:sz="4" w:space="0" w:color="auto"/>
            </w:tcBorders>
            <w:shd w:val="clear" w:color="auto" w:fill="auto"/>
            <w:noWrap/>
          </w:tcPr>
          <w:p w14:paraId="6FF049F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0,635</w:t>
            </w:r>
          </w:p>
        </w:tc>
        <w:tc>
          <w:tcPr>
            <w:tcW w:w="1111" w:type="dxa"/>
            <w:tcBorders>
              <w:top w:val="nil"/>
              <w:left w:val="nil"/>
              <w:bottom w:val="single" w:sz="4" w:space="0" w:color="auto"/>
              <w:right w:val="single" w:sz="4" w:space="0" w:color="auto"/>
            </w:tcBorders>
            <w:shd w:val="clear" w:color="auto" w:fill="auto"/>
            <w:noWrap/>
          </w:tcPr>
          <w:p w14:paraId="7051E6C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0,652 %</w:t>
            </w:r>
          </w:p>
        </w:tc>
        <w:tc>
          <w:tcPr>
            <w:tcW w:w="1305" w:type="dxa"/>
            <w:tcBorders>
              <w:top w:val="nil"/>
              <w:left w:val="nil"/>
              <w:bottom w:val="single" w:sz="4" w:space="0" w:color="auto"/>
              <w:right w:val="single" w:sz="4" w:space="0" w:color="auto"/>
            </w:tcBorders>
          </w:tcPr>
          <w:p w14:paraId="110FA26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31 091</w:t>
            </w:r>
          </w:p>
        </w:tc>
        <w:tc>
          <w:tcPr>
            <w:tcW w:w="1306" w:type="dxa"/>
            <w:tcBorders>
              <w:top w:val="nil"/>
              <w:left w:val="single" w:sz="4" w:space="0" w:color="auto"/>
              <w:bottom w:val="single" w:sz="4" w:space="0" w:color="auto"/>
              <w:right w:val="single" w:sz="4" w:space="0" w:color="auto"/>
            </w:tcBorders>
            <w:shd w:val="clear" w:color="auto" w:fill="auto"/>
            <w:noWrap/>
          </w:tcPr>
          <w:p w14:paraId="1FD7481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34 070</w:t>
            </w:r>
          </w:p>
        </w:tc>
        <w:tc>
          <w:tcPr>
            <w:tcW w:w="1305" w:type="dxa"/>
            <w:tcBorders>
              <w:top w:val="nil"/>
              <w:left w:val="nil"/>
              <w:bottom w:val="single" w:sz="4" w:space="0" w:color="auto"/>
              <w:right w:val="single" w:sz="4" w:space="0" w:color="auto"/>
            </w:tcBorders>
            <w:shd w:val="clear" w:color="auto" w:fill="auto"/>
            <w:noWrap/>
          </w:tcPr>
          <w:p w14:paraId="20F4F33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34 146</w:t>
            </w:r>
          </w:p>
        </w:tc>
        <w:tc>
          <w:tcPr>
            <w:tcW w:w="1306" w:type="dxa"/>
            <w:tcBorders>
              <w:top w:val="nil"/>
              <w:left w:val="nil"/>
              <w:bottom w:val="single" w:sz="4" w:space="0" w:color="auto"/>
              <w:right w:val="single" w:sz="4" w:space="0" w:color="auto"/>
            </w:tcBorders>
            <w:shd w:val="clear" w:color="auto" w:fill="auto"/>
            <w:noWrap/>
          </w:tcPr>
          <w:p w14:paraId="7024726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35 701</w:t>
            </w:r>
          </w:p>
        </w:tc>
      </w:tr>
      <w:tr w:rsidR="00595C1A" w:rsidRPr="001D42CA" w14:paraId="121A0DD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EEE639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Eslovaquia</w:t>
            </w:r>
          </w:p>
        </w:tc>
        <w:tc>
          <w:tcPr>
            <w:tcW w:w="1111" w:type="dxa"/>
            <w:tcBorders>
              <w:top w:val="nil"/>
              <w:left w:val="nil"/>
              <w:bottom w:val="single" w:sz="4" w:space="0" w:color="auto"/>
              <w:right w:val="single" w:sz="4" w:space="0" w:color="auto"/>
            </w:tcBorders>
            <w:shd w:val="clear" w:color="auto" w:fill="auto"/>
            <w:noWrap/>
          </w:tcPr>
          <w:p w14:paraId="0A706F7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0,155</w:t>
            </w:r>
          </w:p>
        </w:tc>
        <w:tc>
          <w:tcPr>
            <w:tcW w:w="1111" w:type="dxa"/>
            <w:tcBorders>
              <w:top w:val="nil"/>
              <w:left w:val="nil"/>
              <w:bottom w:val="single" w:sz="4" w:space="0" w:color="auto"/>
              <w:right w:val="single" w:sz="4" w:space="0" w:color="auto"/>
            </w:tcBorders>
            <w:shd w:val="clear" w:color="auto" w:fill="auto"/>
            <w:noWrap/>
          </w:tcPr>
          <w:p w14:paraId="1671755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0,159 %</w:t>
            </w:r>
          </w:p>
        </w:tc>
        <w:tc>
          <w:tcPr>
            <w:tcW w:w="1305" w:type="dxa"/>
            <w:tcBorders>
              <w:top w:val="nil"/>
              <w:left w:val="nil"/>
              <w:bottom w:val="single" w:sz="4" w:space="0" w:color="auto"/>
              <w:right w:val="single" w:sz="4" w:space="0" w:color="auto"/>
            </w:tcBorders>
          </w:tcPr>
          <w:p w14:paraId="19AE374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7 589</w:t>
            </w:r>
          </w:p>
        </w:tc>
        <w:tc>
          <w:tcPr>
            <w:tcW w:w="1306" w:type="dxa"/>
            <w:tcBorders>
              <w:top w:val="nil"/>
              <w:left w:val="single" w:sz="4" w:space="0" w:color="auto"/>
              <w:bottom w:val="single" w:sz="4" w:space="0" w:color="auto"/>
              <w:right w:val="single" w:sz="4" w:space="0" w:color="auto"/>
            </w:tcBorders>
            <w:shd w:val="clear" w:color="auto" w:fill="auto"/>
            <w:noWrap/>
          </w:tcPr>
          <w:p w14:paraId="4B8CA2D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8 316</w:t>
            </w:r>
          </w:p>
        </w:tc>
        <w:tc>
          <w:tcPr>
            <w:tcW w:w="1305" w:type="dxa"/>
            <w:tcBorders>
              <w:top w:val="nil"/>
              <w:left w:val="nil"/>
              <w:bottom w:val="single" w:sz="4" w:space="0" w:color="auto"/>
              <w:right w:val="single" w:sz="4" w:space="0" w:color="auto"/>
            </w:tcBorders>
            <w:shd w:val="clear" w:color="auto" w:fill="auto"/>
            <w:noWrap/>
          </w:tcPr>
          <w:p w14:paraId="6D502DC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8 335</w:t>
            </w:r>
          </w:p>
        </w:tc>
        <w:tc>
          <w:tcPr>
            <w:tcW w:w="1306" w:type="dxa"/>
            <w:tcBorders>
              <w:top w:val="nil"/>
              <w:left w:val="nil"/>
              <w:bottom w:val="single" w:sz="4" w:space="0" w:color="auto"/>
              <w:right w:val="single" w:sz="4" w:space="0" w:color="auto"/>
            </w:tcBorders>
            <w:shd w:val="clear" w:color="auto" w:fill="auto"/>
            <w:noWrap/>
          </w:tcPr>
          <w:p w14:paraId="37FA22E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8 714</w:t>
            </w:r>
          </w:p>
        </w:tc>
      </w:tr>
      <w:tr w:rsidR="00595C1A" w:rsidRPr="001D42CA" w14:paraId="56BD494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C92296F"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Eslovenia</w:t>
            </w:r>
          </w:p>
        </w:tc>
        <w:tc>
          <w:tcPr>
            <w:tcW w:w="1111" w:type="dxa"/>
            <w:tcBorders>
              <w:top w:val="nil"/>
              <w:left w:val="nil"/>
              <w:bottom w:val="single" w:sz="4" w:space="0" w:color="auto"/>
              <w:right w:val="single" w:sz="4" w:space="0" w:color="auto"/>
            </w:tcBorders>
            <w:shd w:val="clear" w:color="auto" w:fill="auto"/>
            <w:noWrap/>
          </w:tcPr>
          <w:p w14:paraId="5E4C348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0,079</w:t>
            </w:r>
          </w:p>
        </w:tc>
        <w:tc>
          <w:tcPr>
            <w:tcW w:w="1111" w:type="dxa"/>
            <w:tcBorders>
              <w:top w:val="nil"/>
              <w:left w:val="nil"/>
              <w:bottom w:val="single" w:sz="4" w:space="0" w:color="auto"/>
              <w:right w:val="single" w:sz="4" w:space="0" w:color="auto"/>
            </w:tcBorders>
            <w:shd w:val="clear" w:color="auto" w:fill="auto"/>
            <w:noWrap/>
          </w:tcPr>
          <w:p w14:paraId="2C87270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0,081 %</w:t>
            </w:r>
          </w:p>
        </w:tc>
        <w:tc>
          <w:tcPr>
            <w:tcW w:w="1305" w:type="dxa"/>
            <w:tcBorders>
              <w:top w:val="nil"/>
              <w:left w:val="nil"/>
              <w:bottom w:val="single" w:sz="4" w:space="0" w:color="auto"/>
              <w:right w:val="single" w:sz="4" w:space="0" w:color="auto"/>
            </w:tcBorders>
          </w:tcPr>
          <w:p w14:paraId="57F0520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3 868</w:t>
            </w:r>
          </w:p>
        </w:tc>
        <w:tc>
          <w:tcPr>
            <w:tcW w:w="1306" w:type="dxa"/>
            <w:tcBorders>
              <w:top w:val="nil"/>
              <w:left w:val="single" w:sz="4" w:space="0" w:color="auto"/>
              <w:bottom w:val="single" w:sz="4" w:space="0" w:color="auto"/>
              <w:right w:val="single" w:sz="4" w:space="0" w:color="auto"/>
            </w:tcBorders>
            <w:shd w:val="clear" w:color="auto" w:fill="auto"/>
            <w:noWrap/>
          </w:tcPr>
          <w:p w14:paraId="3987389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4 239</w:t>
            </w:r>
          </w:p>
        </w:tc>
        <w:tc>
          <w:tcPr>
            <w:tcW w:w="1305" w:type="dxa"/>
            <w:tcBorders>
              <w:top w:val="nil"/>
              <w:left w:val="nil"/>
              <w:bottom w:val="single" w:sz="4" w:space="0" w:color="auto"/>
              <w:right w:val="single" w:sz="4" w:space="0" w:color="auto"/>
            </w:tcBorders>
            <w:shd w:val="clear" w:color="auto" w:fill="auto"/>
            <w:noWrap/>
          </w:tcPr>
          <w:p w14:paraId="1392201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4 248</w:t>
            </w:r>
          </w:p>
        </w:tc>
        <w:tc>
          <w:tcPr>
            <w:tcW w:w="1306" w:type="dxa"/>
            <w:tcBorders>
              <w:top w:val="nil"/>
              <w:left w:val="nil"/>
              <w:bottom w:val="single" w:sz="4" w:space="0" w:color="auto"/>
              <w:right w:val="single" w:sz="4" w:space="0" w:color="auto"/>
            </w:tcBorders>
            <w:shd w:val="clear" w:color="auto" w:fill="auto"/>
            <w:noWrap/>
          </w:tcPr>
          <w:p w14:paraId="67E4FCA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4 442</w:t>
            </w:r>
          </w:p>
        </w:tc>
      </w:tr>
      <w:tr w:rsidR="00595C1A" w:rsidRPr="001D42CA" w14:paraId="7CF0874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6B185AF"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España</w:t>
            </w:r>
          </w:p>
        </w:tc>
        <w:tc>
          <w:tcPr>
            <w:tcW w:w="1111" w:type="dxa"/>
            <w:tcBorders>
              <w:top w:val="nil"/>
              <w:left w:val="nil"/>
              <w:bottom w:val="single" w:sz="4" w:space="0" w:color="auto"/>
              <w:right w:val="single" w:sz="4" w:space="0" w:color="auto"/>
            </w:tcBorders>
            <w:shd w:val="clear" w:color="auto" w:fill="auto"/>
            <w:noWrap/>
          </w:tcPr>
          <w:p w14:paraId="5362505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2,134</w:t>
            </w:r>
          </w:p>
        </w:tc>
        <w:tc>
          <w:tcPr>
            <w:tcW w:w="1111" w:type="dxa"/>
            <w:tcBorders>
              <w:top w:val="nil"/>
              <w:left w:val="nil"/>
              <w:bottom w:val="single" w:sz="4" w:space="0" w:color="auto"/>
              <w:right w:val="single" w:sz="4" w:space="0" w:color="auto"/>
            </w:tcBorders>
            <w:shd w:val="clear" w:color="auto" w:fill="auto"/>
            <w:noWrap/>
          </w:tcPr>
          <w:p w14:paraId="7DB0AAD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2,191 %</w:t>
            </w:r>
          </w:p>
        </w:tc>
        <w:tc>
          <w:tcPr>
            <w:tcW w:w="1305" w:type="dxa"/>
            <w:tcBorders>
              <w:top w:val="nil"/>
              <w:left w:val="nil"/>
              <w:bottom w:val="single" w:sz="4" w:space="0" w:color="auto"/>
              <w:right w:val="single" w:sz="4" w:space="0" w:color="auto"/>
            </w:tcBorders>
          </w:tcPr>
          <w:p w14:paraId="7D96CB6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104 487</w:t>
            </w:r>
          </w:p>
        </w:tc>
        <w:tc>
          <w:tcPr>
            <w:tcW w:w="1306" w:type="dxa"/>
            <w:tcBorders>
              <w:top w:val="nil"/>
              <w:left w:val="single" w:sz="4" w:space="0" w:color="auto"/>
              <w:bottom w:val="single" w:sz="4" w:space="0" w:color="auto"/>
              <w:right w:val="single" w:sz="4" w:space="0" w:color="auto"/>
            </w:tcBorders>
            <w:shd w:val="clear" w:color="auto" w:fill="auto"/>
            <w:noWrap/>
          </w:tcPr>
          <w:p w14:paraId="1D060B6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114 497</w:t>
            </w:r>
          </w:p>
        </w:tc>
        <w:tc>
          <w:tcPr>
            <w:tcW w:w="1305" w:type="dxa"/>
            <w:tcBorders>
              <w:top w:val="nil"/>
              <w:left w:val="nil"/>
              <w:bottom w:val="single" w:sz="4" w:space="0" w:color="auto"/>
              <w:right w:val="single" w:sz="4" w:space="0" w:color="auto"/>
            </w:tcBorders>
            <w:shd w:val="clear" w:color="auto" w:fill="auto"/>
            <w:noWrap/>
          </w:tcPr>
          <w:p w14:paraId="0BF0584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114 751</w:t>
            </w:r>
          </w:p>
        </w:tc>
        <w:tc>
          <w:tcPr>
            <w:tcW w:w="1306" w:type="dxa"/>
            <w:tcBorders>
              <w:top w:val="nil"/>
              <w:left w:val="nil"/>
              <w:bottom w:val="single" w:sz="4" w:space="0" w:color="auto"/>
              <w:right w:val="single" w:sz="4" w:space="0" w:color="auto"/>
            </w:tcBorders>
            <w:shd w:val="clear" w:color="auto" w:fill="auto"/>
            <w:noWrap/>
          </w:tcPr>
          <w:p w14:paraId="1E7801F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119 977</w:t>
            </w:r>
          </w:p>
        </w:tc>
      </w:tr>
      <w:tr w:rsidR="00595C1A" w:rsidRPr="001D42CA" w14:paraId="10DEDDE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2834048"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Estonia</w:t>
            </w:r>
          </w:p>
        </w:tc>
        <w:tc>
          <w:tcPr>
            <w:tcW w:w="1111" w:type="dxa"/>
            <w:tcBorders>
              <w:top w:val="nil"/>
              <w:left w:val="nil"/>
              <w:bottom w:val="single" w:sz="4" w:space="0" w:color="auto"/>
              <w:right w:val="single" w:sz="4" w:space="0" w:color="auto"/>
            </w:tcBorders>
            <w:shd w:val="clear" w:color="auto" w:fill="auto"/>
            <w:noWrap/>
          </w:tcPr>
          <w:p w14:paraId="7045E3B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0,044</w:t>
            </w:r>
          </w:p>
        </w:tc>
        <w:tc>
          <w:tcPr>
            <w:tcW w:w="1111" w:type="dxa"/>
            <w:tcBorders>
              <w:top w:val="nil"/>
              <w:left w:val="nil"/>
              <w:bottom w:val="single" w:sz="4" w:space="0" w:color="auto"/>
              <w:right w:val="single" w:sz="4" w:space="0" w:color="auto"/>
            </w:tcBorders>
            <w:shd w:val="clear" w:color="auto" w:fill="auto"/>
            <w:noWrap/>
          </w:tcPr>
          <w:p w14:paraId="443CFFD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0,045 %</w:t>
            </w:r>
          </w:p>
        </w:tc>
        <w:tc>
          <w:tcPr>
            <w:tcW w:w="1305" w:type="dxa"/>
            <w:tcBorders>
              <w:top w:val="nil"/>
              <w:left w:val="nil"/>
              <w:bottom w:val="single" w:sz="4" w:space="0" w:color="auto"/>
              <w:right w:val="single" w:sz="4" w:space="0" w:color="auto"/>
            </w:tcBorders>
          </w:tcPr>
          <w:p w14:paraId="732F2BA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2 154</w:t>
            </w:r>
          </w:p>
        </w:tc>
        <w:tc>
          <w:tcPr>
            <w:tcW w:w="1306" w:type="dxa"/>
            <w:tcBorders>
              <w:top w:val="nil"/>
              <w:left w:val="single" w:sz="4" w:space="0" w:color="auto"/>
              <w:bottom w:val="single" w:sz="4" w:space="0" w:color="auto"/>
              <w:right w:val="single" w:sz="4" w:space="0" w:color="auto"/>
            </w:tcBorders>
            <w:shd w:val="clear" w:color="auto" w:fill="auto"/>
            <w:noWrap/>
          </w:tcPr>
          <w:p w14:paraId="73AB668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2 361</w:t>
            </w:r>
          </w:p>
        </w:tc>
        <w:tc>
          <w:tcPr>
            <w:tcW w:w="1305" w:type="dxa"/>
            <w:tcBorders>
              <w:top w:val="nil"/>
              <w:left w:val="nil"/>
              <w:bottom w:val="single" w:sz="4" w:space="0" w:color="auto"/>
              <w:right w:val="single" w:sz="4" w:space="0" w:color="auto"/>
            </w:tcBorders>
            <w:shd w:val="clear" w:color="auto" w:fill="auto"/>
            <w:noWrap/>
          </w:tcPr>
          <w:p w14:paraId="1188815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2 366</w:t>
            </w:r>
          </w:p>
        </w:tc>
        <w:tc>
          <w:tcPr>
            <w:tcW w:w="1306" w:type="dxa"/>
            <w:tcBorders>
              <w:top w:val="nil"/>
              <w:left w:val="nil"/>
              <w:bottom w:val="single" w:sz="4" w:space="0" w:color="auto"/>
              <w:right w:val="single" w:sz="4" w:space="0" w:color="auto"/>
            </w:tcBorders>
            <w:shd w:val="clear" w:color="auto" w:fill="auto"/>
            <w:noWrap/>
          </w:tcPr>
          <w:p w14:paraId="3CD6A0A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2 474</w:t>
            </w:r>
          </w:p>
        </w:tc>
      </w:tr>
      <w:tr w:rsidR="00595C1A" w:rsidRPr="001D42CA" w14:paraId="7D9952C3"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0F46EBD"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Eswatini</w:t>
            </w:r>
            <w:proofErr w:type="spellEnd"/>
          </w:p>
        </w:tc>
        <w:tc>
          <w:tcPr>
            <w:tcW w:w="1111" w:type="dxa"/>
            <w:tcBorders>
              <w:top w:val="nil"/>
              <w:left w:val="nil"/>
              <w:bottom w:val="single" w:sz="4" w:space="0" w:color="auto"/>
              <w:right w:val="single" w:sz="4" w:space="0" w:color="auto"/>
            </w:tcBorders>
            <w:shd w:val="clear" w:color="auto" w:fill="auto"/>
            <w:noWrap/>
          </w:tcPr>
          <w:p w14:paraId="4C4937D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w:t>
            </w:r>
          </w:p>
        </w:tc>
        <w:tc>
          <w:tcPr>
            <w:tcW w:w="1111" w:type="dxa"/>
            <w:tcBorders>
              <w:top w:val="nil"/>
              <w:left w:val="nil"/>
              <w:bottom w:val="single" w:sz="4" w:space="0" w:color="auto"/>
              <w:right w:val="single" w:sz="4" w:space="0" w:color="auto"/>
            </w:tcBorders>
            <w:shd w:val="clear" w:color="auto" w:fill="auto"/>
            <w:noWrap/>
          </w:tcPr>
          <w:p w14:paraId="2FF0955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0,002 %</w:t>
            </w:r>
          </w:p>
        </w:tc>
        <w:tc>
          <w:tcPr>
            <w:tcW w:w="1305" w:type="dxa"/>
            <w:tcBorders>
              <w:top w:val="nil"/>
              <w:left w:val="nil"/>
              <w:bottom w:val="single" w:sz="4" w:space="0" w:color="auto"/>
              <w:right w:val="single" w:sz="4" w:space="0" w:color="auto"/>
            </w:tcBorders>
          </w:tcPr>
          <w:p w14:paraId="3B9D063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20431E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45FABD5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F3F61D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430655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E0904FD"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Federación de Rusia</w:t>
            </w:r>
          </w:p>
        </w:tc>
        <w:tc>
          <w:tcPr>
            <w:tcW w:w="1111" w:type="dxa"/>
            <w:tcBorders>
              <w:top w:val="nil"/>
              <w:left w:val="nil"/>
              <w:bottom w:val="single" w:sz="4" w:space="0" w:color="auto"/>
              <w:right w:val="single" w:sz="4" w:space="0" w:color="auto"/>
            </w:tcBorders>
            <w:shd w:val="clear" w:color="auto" w:fill="auto"/>
            <w:noWrap/>
          </w:tcPr>
          <w:p w14:paraId="3B114B6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1,866</w:t>
            </w:r>
          </w:p>
        </w:tc>
        <w:tc>
          <w:tcPr>
            <w:tcW w:w="1111" w:type="dxa"/>
            <w:tcBorders>
              <w:top w:val="nil"/>
              <w:left w:val="nil"/>
              <w:bottom w:val="single" w:sz="4" w:space="0" w:color="auto"/>
              <w:right w:val="single" w:sz="4" w:space="0" w:color="auto"/>
            </w:tcBorders>
            <w:shd w:val="clear" w:color="auto" w:fill="auto"/>
            <w:noWrap/>
          </w:tcPr>
          <w:p w14:paraId="2185B09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1,916 %</w:t>
            </w:r>
          </w:p>
        </w:tc>
        <w:tc>
          <w:tcPr>
            <w:tcW w:w="1305" w:type="dxa"/>
            <w:tcBorders>
              <w:top w:val="nil"/>
              <w:left w:val="nil"/>
              <w:bottom w:val="single" w:sz="4" w:space="0" w:color="auto"/>
              <w:right w:val="single" w:sz="4" w:space="0" w:color="auto"/>
            </w:tcBorders>
          </w:tcPr>
          <w:p w14:paraId="20D551D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91 365</w:t>
            </w:r>
          </w:p>
        </w:tc>
        <w:tc>
          <w:tcPr>
            <w:tcW w:w="1306" w:type="dxa"/>
            <w:tcBorders>
              <w:top w:val="nil"/>
              <w:left w:val="single" w:sz="4" w:space="0" w:color="auto"/>
              <w:bottom w:val="single" w:sz="4" w:space="0" w:color="auto"/>
              <w:right w:val="single" w:sz="4" w:space="0" w:color="auto"/>
            </w:tcBorders>
            <w:shd w:val="clear" w:color="auto" w:fill="auto"/>
            <w:noWrap/>
          </w:tcPr>
          <w:p w14:paraId="32B1D15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100 118</w:t>
            </w:r>
          </w:p>
        </w:tc>
        <w:tc>
          <w:tcPr>
            <w:tcW w:w="1305" w:type="dxa"/>
            <w:tcBorders>
              <w:top w:val="nil"/>
              <w:left w:val="nil"/>
              <w:bottom w:val="single" w:sz="4" w:space="0" w:color="auto"/>
              <w:right w:val="single" w:sz="4" w:space="0" w:color="auto"/>
            </w:tcBorders>
            <w:shd w:val="clear" w:color="auto" w:fill="auto"/>
            <w:noWrap/>
          </w:tcPr>
          <w:p w14:paraId="6AB9CD5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100 340</w:t>
            </w:r>
          </w:p>
        </w:tc>
        <w:tc>
          <w:tcPr>
            <w:tcW w:w="1306" w:type="dxa"/>
            <w:tcBorders>
              <w:top w:val="nil"/>
              <w:left w:val="nil"/>
              <w:bottom w:val="single" w:sz="4" w:space="0" w:color="auto"/>
              <w:right w:val="single" w:sz="4" w:space="0" w:color="auto"/>
            </w:tcBorders>
            <w:shd w:val="clear" w:color="auto" w:fill="auto"/>
            <w:noWrap/>
          </w:tcPr>
          <w:p w14:paraId="7506E29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104 910</w:t>
            </w:r>
          </w:p>
        </w:tc>
      </w:tr>
      <w:tr w:rsidR="00595C1A" w:rsidRPr="001D42CA" w14:paraId="3AA918B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FADBA29"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Fiji</w:t>
            </w:r>
            <w:proofErr w:type="spellEnd"/>
          </w:p>
        </w:tc>
        <w:tc>
          <w:tcPr>
            <w:tcW w:w="1111" w:type="dxa"/>
            <w:tcBorders>
              <w:top w:val="nil"/>
              <w:left w:val="nil"/>
              <w:bottom w:val="single" w:sz="4" w:space="0" w:color="auto"/>
              <w:right w:val="single" w:sz="4" w:space="0" w:color="auto"/>
            </w:tcBorders>
            <w:shd w:val="clear" w:color="auto" w:fill="auto"/>
            <w:noWrap/>
          </w:tcPr>
          <w:p w14:paraId="76CBB02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w:t>
            </w:r>
          </w:p>
        </w:tc>
        <w:tc>
          <w:tcPr>
            <w:tcW w:w="1111" w:type="dxa"/>
            <w:tcBorders>
              <w:top w:val="nil"/>
              <w:left w:val="nil"/>
              <w:bottom w:val="single" w:sz="4" w:space="0" w:color="auto"/>
              <w:right w:val="single" w:sz="4" w:space="0" w:color="auto"/>
            </w:tcBorders>
            <w:shd w:val="clear" w:color="auto" w:fill="auto"/>
            <w:noWrap/>
          </w:tcPr>
          <w:p w14:paraId="7F30B7E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0,004 %</w:t>
            </w:r>
          </w:p>
        </w:tc>
        <w:tc>
          <w:tcPr>
            <w:tcW w:w="1305" w:type="dxa"/>
            <w:tcBorders>
              <w:top w:val="nil"/>
              <w:left w:val="nil"/>
              <w:bottom w:val="single" w:sz="4" w:space="0" w:color="auto"/>
              <w:right w:val="single" w:sz="4" w:space="0" w:color="auto"/>
            </w:tcBorders>
          </w:tcPr>
          <w:p w14:paraId="0B0D0C7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EA4E7F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676385F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7016EDA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3D99784D"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425B232"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Filipinas</w:t>
            </w:r>
          </w:p>
        </w:tc>
        <w:tc>
          <w:tcPr>
            <w:tcW w:w="1111" w:type="dxa"/>
            <w:tcBorders>
              <w:top w:val="nil"/>
              <w:left w:val="nil"/>
              <w:bottom w:val="single" w:sz="4" w:space="0" w:color="auto"/>
              <w:right w:val="single" w:sz="4" w:space="0" w:color="auto"/>
            </w:tcBorders>
            <w:shd w:val="clear" w:color="auto" w:fill="auto"/>
            <w:noWrap/>
          </w:tcPr>
          <w:p w14:paraId="3531E4D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0,212</w:t>
            </w:r>
          </w:p>
        </w:tc>
        <w:tc>
          <w:tcPr>
            <w:tcW w:w="1111" w:type="dxa"/>
            <w:tcBorders>
              <w:top w:val="nil"/>
              <w:left w:val="nil"/>
              <w:bottom w:val="single" w:sz="4" w:space="0" w:color="auto"/>
              <w:right w:val="single" w:sz="4" w:space="0" w:color="auto"/>
            </w:tcBorders>
            <w:shd w:val="clear" w:color="auto" w:fill="auto"/>
            <w:noWrap/>
          </w:tcPr>
          <w:p w14:paraId="5625845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0,218 %</w:t>
            </w:r>
          </w:p>
        </w:tc>
        <w:tc>
          <w:tcPr>
            <w:tcW w:w="1305" w:type="dxa"/>
            <w:tcBorders>
              <w:top w:val="nil"/>
              <w:left w:val="nil"/>
              <w:bottom w:val="single" w:sz="4" w:space="0" w:color="auto"/>
              <w:right w:val="single" w:sz="4" w:space="0" w:color="auto"/>
            </w:tcBorders>
          </w:tcPr>
          <w:p w14:paraId="7852F53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10 380</w:t>
            </w:r>
          </w:p>
        </w:tc>
        <w:tc>
          <w:tcPr>
            <w:tcW w:w="1306" w:type="dxa"/>
            <w:tcBorders>
              <w:top w:val="nil"/>
              <w:left w:val="single" w:sz="4" w:space="0" w:color="auto"/>
              <w:bottom w:val="single" w:sz="4" w:space="0" w:color="auto"/>
              <w:right w:val="single" w:sz="4" w:space="0" w:color="auto"/>
            </w:tcBorders>
            <w:shd w:val="clear" w:color="auto" w:fill="auto"/>
            <w:noWrap/>
          </w:tcPr>
          <w:p w14:paraId="21952EB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11 375</w:t>
            </w:r>
          </w:p>
        </w:tc>
        <w:tc>
          <w:tcPr>
            <w:tcW w:w="1305" w:type="dxa"/>
            <w:tcBorders>
              <w:top w:val="nil"/>
              <w:left w:val="nil"/>
              <w:bottom w:val="single" w:sz="4" w:space="0" w:color="auto"/>
              <w:right w:val="single" w:sz="4" w:space="0" w:color="auto"/>
            </w:tcBorders>
            <w:shd w:val="clear" w:color="auto" w:fill="auto"/>
            <w:noWrap/>
          </w:tcPr>
          <w:p w14:paraId="732F160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11 400</w:t>
            </w:r>
          </w:p>
        </w:tc>
        <w:tc>
          <w:tcPr>
            <w:tcW w:w="1306" w:type="dxa"/>
            <w:tcBorders>
              <w:top w:val="nil"/>
              <w:left w:val="nil"/>
              <w:bottom w:val="single" w:sz="4" w:space="0" w:color="auto"/>
              <w:right w:val="single" w:sz="4" w:space="0" w:color="auto"/>
            </w:tcBorders>
            <w:shd w:val="clear" w:color="auto" w:fill="auto"/>
            <w:noWrap/>
          </w:tcPr>
          <w:p w14:paraId="706DC13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11 919</w:t>
            </w:r>
          </w:p>
        </w:tc>
      </w:tr>
      <w:tr w:rsidR="00595C1A" w:rsidRPr="001D42CA" w14:paraId="6DA65E1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3A8F36B"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Finlandia</w:t>
            </w:r>
          </w:p>
        </w:tc>
        <w:tc>
          <w:tcPr>
            <w:tcW w:w="1111" w:type="dxa"/>
            <w:tcBorders>
              <w:top w:val="nil"/>
              <w:left w:val="nil"/>
              <w:bottom w:val="single" w:sz="4" w:space="0" w:color="auto"/>
              <w:right w:val="single" w:sz="4" w:space="0" w:color="auto"/>
            </w:tcBorders>
            <w:shd w:val="clear" w:color="auto" w:fill="auto"/>
            <w:noWrap/>
          </w:tcPr>
          <w:p w14:paraId="438F3AB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0,417</w:t>
            </w:r>
          </w:p>
        </w:tc>
        <w:tc>
          <w:tcPr>
            <w:tcW w:w="1111" w:type="dxa"/>
            <w:tcBorders>
              <w:top w:val="nil"/>
              <w:left w:val="nil"/>
              <w:bottom w:val="single" w:sz="4" w:space="0" w:color="auto"/>
              <w:right w:val="single" w:sz="4" w:space="0" w:color="auto"/>
            </w:tcBorders>
            <w:shd w:val="clear" w:color="auto" w:fill="auto"/>
            <w:noWrap/>
          </w:tcPr>
          <w:p w14:paraId="68CC7F6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0,428 %</w:t>
            </w:r>
          </w:p>
        </w:tc>
        <w:tc>
          <w:tcPr>
            <w:tcW w:w="1305" w:type="dxa"/>
            <w:tcBorders>
              <w:top w:val="nil"/>
              <w:left w:val="nil"/>
              <w:bottom w:val="single" w:sz="4" w:space="0" w:color="auto"/>
              <w:right w:val="single" w:sz="4" w:space="0" w:color="auto"/>
            </w:tcBorders>
          </w:tcPr>
          <w:p w14:paraId="08418FF5"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20 417</w:t>
            </w:r>
          </w:p>
        </w:tc>
        <w:tc>
          <w:tcPr>
            <w:tcW w:w="1306" w:type="dxa"/>
            <w:tcBorders>
              <w:top w:val="nil"/>
              <w:left w:val="single" w:sz="4" w:space="0" w:color="auto"/>
              <w:bottom w:val="single" w:sz="4" w:space="0" w:color="auto"/>
              <w:right w:val="single" w:sz="4" w:space="0" w:color="auto"/>
            </w:tcBorders>
            <w:shd w:val="clear" w:color="auto" w:fill="auto"/>
            <w:noWrap/>
          </w:tcPr>
          <w:p w14:paraId="563C5A2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22 374</w:t>
            </w:r>
          </w:p>
        </w:tc>
        <w:tc>
          <w:tcPr>
            <w:tcW w:w="1305" w:type="dxa"/>
            <w:tcBorders>
              <w:top w:val="nil"/>
              <w:left w:val="nil"/>
              <w:bottom w:val="single" w:sz="4" w:space="0" w:color="auto"/>
              <w:right w:val="single" w:sz="4" w:space="0" w:color="auto"/>
            </w:tcBorders>
            <w:shd w:val="clear" w:color="auto" w:fill="auto"/>
            <w:noWrap/>
          </w:tcPr>
          <w:p w14:paraId="645C8F0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22 423</w:t>
            </w:r>
          </w:p>
        </w:tc>
        <w:tc>
          <w:tcPr>
            <w:tcW w:w="1306" w:type="dxa"/>
            <w:tcBorders>
              <w:top w:val="nil"/>
              <w:left w:val="nil"/>
              <w:bottom w:val="single" w:sz="4" w:space="0" w:color="auto"/>
              <w:right w:val="single" w:sz="4" w:space="0" w:color="auto"/>
            </w:tcBorders>
            <w:shd w:val="clear" w:color="auto" w:fill="auto"/>
            <w:noWrap/>
          </w:tcPr>
          <w:p w14:paraId="4DE88E4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23 444</w:t>
            </w:r>
          </w:p>
        </w:tc>
      </w:tr>
      <w:tr w:rsidR="00595C1A" w:rsidRPr="001D42CA" w14:paraId="31D28D53"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27418E2"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Francia</w:t>
            </w:r>
          </w:p>
        </w:tc>
        <w:tc>
          <w:tcPr>
            <w:tcW w:w="1111" w:type="dxa"/>
            <w:tcBorders>
              <w:top w:val="nil"/>
              <w:left w:val="nil"/>
              <w:bottom w:val="single" w:sz="4" w:space="0" w:color="auto"/>
              <w:right w:val="single" w:sz="4" w:space="0" w:color="auto"/>
            </w:tcBorders>
            <w:shd w:val="clear" w:color="auto" w:fill="auto"/>
            <w:noWrap/>
          </w:tcPr>
          <w:p w14:paraId="5AEB541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4,318</w:t>
            </w:r>
          </w:p>
        </w:tc>
        <w:tc>
          <w:tcPr>
            <w:tcW w:w="1111" w:type="dxa"/>
            <w:tcBorders>
              <w:top w:val="nil"/>
              <w:left w:val="nil"/>
              <w:bottom w:val="single" w:sz="4" w:space="0" w:color="auto"/>
              <w:right w:val="single" w:sz="4" w:space="0" w:color="auto"/>
            </w:tcBorders>
            <w:shd w:val="clear" w:color="auto" w:fill="auto"/>
            <w:noWrap/>
          </w:tcPr>
          <w:p w14:paraId="1104F25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4,433 %</w:t>
            </w:r>
          </w:p>
        </w:tc>
        <w:tc>
          <w:tcPr>
            <w:tcW w:w="1305" w:type="dxa"/>
            <w:tcBorders>
              <w:top w:val="nil"/>
              <w:left w:val="nil"/>
              <w:bottom w:val="single" w:sz="4" w:space="0" w:color="auto"/>
              <w:right w:val="single" w:sz="4" w:space="0" w:color="auto"/>
            </w:tcBorders>
          </w:tcPr>
          <w:p w14:paraId="05D17EC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211 421</w:t>
            </w:r>
          </w:p>
        </w:tc>
        <w:tc>
          <w:tcPr>
            <w:tcW w:w="1306" w:type="dxa"/>
            <w:tcBorders>
              <w:top w:val="nil"/>
              <w:left w:val="single" w:sz="4" w:space="0" w:color="auto"/>
              <w:bottom w:val="single" w:sz="4" w:space="0" w:color="auto"/>
              <w:right w:val="single" w:sz="4" w:space="0" w:color="auto"/>
            </w:tcBorders>
            <w:shd w:val="clear" w:color="auto" w:fill="auto"/>
            <w:noWrap/>
          </w:tcPr>
          <w:p w14:paraId="50F927E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231 677</w:t>
            </w:r>
          </w:p>
        </w:tc>
        <w:tc>
          <w:tcPr>
            <w:tcW w:w="1305" w:type="dxa"/>
            <w:tcBorders>
              <w:top w:val="nil"/>
              <w:left w:val="nil"/>
              <w:bottom w:val="single" w:sz="4" w:space="0" w:color="auto"/>
              <w:right w:val="single" w:sz="4" w:space="0" w:color="auto"/>
            </w:tcBorders>
            <w:shd w:val="clear" w:color="auto" w:fill="auto"/>
            <w:noWrap/>
          </w:tcPr>
          <w:p w14:paraId="017BB43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232 191</w:t>
            </w:r>
          </w:p>
        </w:tc>
        <w:tc>
          <w:tcPr>
            <w:tcW w:w="1306" w:type="dxa"/>
            <w:tcBorders>
              <w:top w:val="nil"/>
              <w:left w:val="nil"/>
              <w:bottom w:val="single" w:sz="4" w:space="0" w:color="auto"/>
              <w:right w:val="single" w:sz="4" w:space="0" w:color="auto"/>
            </w:tcBorders>
            <w:shd w:val="clear" w:color="auto" w:fill="auto"/>
            <w:noWrap/>
          </w:tcPr>
          <w:p w14:paraId="01BC59E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242 765</w:t>
            </w:r>
          </w:p>
        </w:tc>
      </w:tr>
      <w:tr w:rsidR="00595C1A" w:rsidRPr="001D42CA" w14:paraId="5CA4E7F3"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5847F4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Gabón</w:t>
            </w:r>
          </w:p>
        </w:tc>
        <w:tc>
          <w:tcPr>
            <w:tcW w:w="1111" w:type="dxa"/>
            <w:tcBorders>
              <w:top w:val="nil"/>
              <w:left w:val="nil"/>
              <w:bottom w:val="single" w:sz="4" w:space="0" w:color="auto"/>
              <w:right w:val="single" w:sz="4" w:space="0" w:color="auto"/>
            </w:tcBorders>
            <w:shd w:val="clear" w:color="auto" w:fill="auto"/>
            <w:noWrap/>
          </w:tcPr>
          <w:p w14:paraId="7713BB5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0,013</w:t>
            </w:r>
          </w:p>
        </w:tc>
        <w:tc>
          <w:tcPr>
            <w:tcW w:w="1111" w:type="dxa"/>
            <w:tcBorders>
              <w:top w:val="nil"/>
              <w:left w:val="nil"/>
              <w:bottom w:val="single" w:sz="4" w:space="0" w:color="auto"/>
              <w:right w:val="single" w:sz="4" w:space="0" w:color="auto"/>
            </w:tcBorders>
            <w:shd w:val="clear" w:color="auto" w:fill="auto"/>
            <w:noWrap/>
          </w:tcPr>
          <w:p w14:paraId="4B06FA7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0,013 %</w:t>
            </w:r>
          </w:p>
        </w:tc>
        <w:tc>
          <w:tcPr>
            <w:tcW w:w="1305" w:type="dxa"/>
            <w:tcBorders>
              <w:top w:val="nil"/>
              <w:left w:val="nil"/>
              <w:bottom w:val="single" w:sz="4" w:space="0" w:color="auto"/>
              <w:right w:val="single" w:sz="4" w:space="0" w:color="auto"/>
            </w:tcBorders>
          </w:tcPr>
          <w:p w14:paraId="65C32C1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B7FB3D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D241DF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D9F8B0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1081DDB3"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D634AC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Gambia</w:t>
            </w:r>
          </w:p>
        </w:tc>
        <w:tc>
          <w:tcPr>
            <w:tcW w:w="1111" w:type="dxa"/>
            <w:tcBorders>
              <w:top w:val="nil"/>
              <w:left w:val="nil"/>
              <w:bottom w:val="single" w:sz="4" w:space="0" w:color="auto"/>
              <w:right w:val="single" w:sz="4" w:space="0" w:color="auto"/>
            </w:tcBorders>
            <w:shd w:val="clear" w:color="auto" w:fill="auto"/>
            <w:noWrap/>
          </w:tcPr>
          <w:p w14:paraId="253813D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735E531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04A6320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6D9476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895EC2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7A90650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4675AE56"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122C935"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Georgia</w:t>
            </w:r>
          </w:p>
        </w:tc>
        <w:tc>
          <w:tcPr>
            <w:tcW w:w="1111" w:type="dxa"/>
            <w:tcBorders>
              <w:top w:val="nil"/>
              <w:left w:val="nil"/>
              <w:bottom w:val="single" w:sz="4" w:space="0" w:color="auto"/>
              <w:right w:val="single" w:sz="4" w:space="0" w:color="auto"/>
            </w:tcBorders>
            <w:shd w:val="clear" w:color="auto" w:fill="auto"/>
            <w:noWrap/>
          </w:tcPr>
          <w:p w14:paraId="0E8DE46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0,008</w:t>
            </w:r>
          </w:p>
        </w:tc>
        <w:tc>
          <w:tcPr>
            <w:tcW w:w="1111" w:type="dxa"/>
            <w:tcBorders>
              <w:top w:val="nil"/>
              <w:left w:val="nil"/>
              <w:bottom w:val="single" w:sz="4" w:space="0" w:color="auto"/>
              <w:right w:val="single" w:sz="4" w:space="0" w:color="auto"/>
            </w:tcBorders>
            <w:shd w:val="clear" w:color="auto" w:fill="auto"/>
            <w:noWrap/>
          </w:tcPr>
          <w:p w14:paraId="747FF75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0,008 %</w:t>
            </w:r>
          </w:p>
        </w:tc>
        <w:tc>
          <w:tcPr>
            <w:tcW w:w="1305" w:type="dxa"/>
            <w:tcBorders>
              <w:top w:val="nil"/>
              <w:left w:val="nil"/>
              <w:bottom w:val="single" w:sz="4" w:space="0" w:color="auto"/>
              <w:right w:val="single" w:sz="4" w:space="0" w:color="auto"/>
            </w:tcBorders>
          </w:tcPr>
          <w:p w14:paraId="6C40C01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B15F30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6418D75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80AEEB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06F7CAF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BAE05BD"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Ghana</w:t>
            </w:r>
          </w:p>
        </w:tc>
        <w:tc>
          <w:tcPr>
            <w:tcW w:w="1111" w:type="dxa"/>
            <w:tcBorders>
              <w:top w:val="nil"/>
              <w:left w:val="nil"/>
              <w:bottom w:val="single" w:sz="4" w:space="0" w:color="auto"/>
              <w:right w:val="single" w:sz="4" w:space="0" w:color="auto"/>
            </w:tcBorders>
            <w:shd w:val="clear" w:color="auto" w:fill="auto"/>
            <w:noWrap/>
          </w:tcPr>
          <w:p w14:paraId="4E1EFE1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0,024</w:t>
            </w:r>
          </w:p>
        </w:tc>
        <w:tc>
          <w:tcPr>
            <w:tcW w:w="1111" w:type="dxa"/>
            <w:tcBorders>
              <w:top w:val="nil"/>
              <w:left w:val="nil"/>
              <w:bottom w:val="single" w:sz="4" w:space="0" w:color="auto"/>
              <w:right w:val="single" w:sz="4" w:space="0" w:color="auto"/>
            </w:tcBorders>
            <w:shd w:val="clear" w:color="auto" w:fill="auto"/>
            <w:noWrap/>
          </w:tcPr>
          <w:p w14:paraId="1606E82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0,025 %</w:t>
            </w:r>
          </w:p>
        </w:tc>
        <w:tc>
          <w:tcPr>
            <w:tcW w:w="1305" w:type="dxa"/>
            <w:tcBorders>
              <w:top w:val="nil"/>
              <w:left w:val="nil"/>
              <w:bottom w:val="single" w:sz="4" w:space="0" w:color="auto"/>
              <w:right w:val="single" w:sz="4" w:space="0" w:color="auto"/>
            </w:tcBorders>
          </w:tcPr>
          <w:p w14:paraId="2204658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1 175</w:t>
            </w:r>
          </w:p>
        </w:tc>
        <w:tc>
          <w:tcPr>
            <w:tcW w:w="1306" w:type="dxa"/>
            <w:tcBorders>
              <w:top w:val="nil"/>
              <w:left w:val="single" w:sz="4" w:space="0" w:color="auto"/>
              <w:bottom w:val="single" w:sz="4" w:space="0" w:color="auto"/>
              <w:right w:val="single" w:sz="4" w:space="0" w:color="auto"/>
            </w:tcBorders>
            <w:shd w:val="clear" w:color="auto" w:fill="auto"/>
            <w:noWrap/>
          </w:tcPr>
          <w:p w14:paraId="1DB6B0B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1 288</w:t>
            </w:r>
          </w:p>
        </w:tc>
        <w:tc>
          <w:tcPr>
            <w:tcW w:w="1305" w:type="dxa"/>
            <w:tcBorders>
              <w:top w:val="nil"/>
              <w:left w:val="nil"/>
              <w:bottom w:val="single" w:sz="4" w:space="0" w:color="auto"/>
              <w:right w:val="single" w:sz="4" w:space="0" w:color="auto"/>
            </w:tcBorders>
            <w:shd w:val="clear" w:color="auto" w:fill="auto"/>
            <w:noWrap/>
          </w:tcPr>
          <w:p w14:paraId="04A67F2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1 291</w:t>
            </w:r>
          </w:p>
        </w:tc>
        <w:tc>
          <w:tcPr>
            <w:tcW w:w="1306" w:type="dxa"/>
            <w:tcBorders>
              <w:top w:val="nil"/>
              <w:left w:val="nil"/>
              <w:bottom w:val="single" w:sz="4" w:space="0" w:color="auto"/>
              <w:right w:val="single" w:sz="4" w:space="0" w:color="auto"/>
            </w:tcBorders>
            <w:shd w:val="clear" w:color="auto" w:fill="auto"/>
            <w:noWrap/>
          </w:tcPr>
          <w:p w14:paraId="0268BBC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1 349</w:t>
            </w:r>
          </w:p>
        </w:tc>
      </w:tr>
      <w:tr w:rsidR="00595C1A" w:rsidRPr="001D42CA" w14:paraId="202B5E9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B32E04A"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Granada</w:t>
            </w:r>
          </w:p>
        </w:tc>
        <w:tc>
          <w:tcPr>
            <w:tcW w:w="1111" w:type="dxa"/>
            <w:tcBorders>
              <w:top w:val="nil"/>
              <w:left w:val="nil"/>
              <w:bottom w:val="single" w:sz="4" w:space="0" w:color="auto"/>
              <w:right w:val="single" w:sz="4" w:space="0" w:color="auto"/>
            </w:tcBorders>
            <w:shd w:val="clear" w:color="auto" w:fill="auto"/>
            <w:noWrap/>
          </w:tcPr>
          <w:p w14:paraId="19D3774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60949C6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4041676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82791B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110CCF2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374BAB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EE37A1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AD7859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Grecia</w:t>
            </w:r>
          </w:p>
        </w:tc>
        <w:tc>
          <w:tcPr>
            <w:tcW w:w="1111" w:type="dxa"/>
            <w:tcBorders>
              <w:top w:val="nil"/>
              <w:left w:val="nil"/>
              <w:bottom w:val="single" w:sz="4" w:space="0" w:color="auto"/>
              <w:right w:val="single" w:sz="4" w:space="0" w:color="auto"/>
            </w:tcBorders>
            <w:shd w:val="clear" w:color="auto" w:fill="auto"/>
            <w:noWrap/>
          </w:tcPr>
          <w:p w14:paraId="792DC6E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0,325</w:t>
            </w:r>
          </w:p>
        </w:tc>
        <w:tc>
          <w:tcPr>
            <w:tcW w:w="1111" w:type="dxa"/>
            <w:tcBorders>
              <w:top w:val="nil"/>
              <w:left w:val="nil"/>
              <w:bottom w:val="single" w:sz="4" w:space="0" w:color="auto"/>
              <w:right w:val="single" w:sz="4" w:space="0" w:color="auto"/>
            </w:tcBorders>
            <w:shd w:val="clear" w:color="auto" w:fill="auto"/>
            <w:noWrap/>
          </w:tcPr>
          <w:p w14:paraId="6C356BB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0,334 %</w:t>
            </w:r>
          </w:p>
        </w:tc>
        <w:tc>
          <w:tcPr>
            <w:tcW w:w="1305" w:type="dxa"/>
            <w:tcBorders>
              <w:top w:val="nil"/>
              <w:left w:val="nil"/>
              <w:bottom w:val="single" w:sz="4" w:space="0" w:color="auto"/>
              <w:right w:val="single" w:sz="4" w:space="0" w:color="auto"/>
            </w:tcBorders>
          </w:tcPr>
          <w:p w14:paraId="5871D11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15 913</w:t>
            </w:r>
          </w:p>
        </w:tc>
        <w:tc>
          <w:tcPr>
            <w:tcW w:w="1306" w:type="dxa"/>
            <w:tcBorders>
              <w:top w:val="nil"/>
              <w:left w:val="single" w:sz="4" w:space="0" w:color="auto"/>
              <w:bottom w:val="single" w:sz="4" w:space="0" w:color="auto"/>
              <w:right w:val="single" w:sz="4" w:space="0" w:color="auto"/>
            </w:tcBorders>
            <w:shd w:val="clear" w:color="auto" w:fill="auto"/>
            <w:noWrap/>
          </w:tcPr>
          <w:p w14:paraId="216F9DE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17 437</w:t>
            </w:r>
          </w:p>
        </w:tc>
        <w:tc>
          <w:tcPr>
            <w:tcW w:w="1305" w:type="dxa"/>
            <w:tcBorders>
              <w:top w:val="nil"/>
              <w:left w:val="nil"/>
              <w:bottom w:val="single" w:sz="4" w:space="0" w:color="auto"/>
              <w:right w:val="single" w:sz="4" w:space="0" w:color="auto"/>
            </w:tcBorders>
            <w:shd w:val="clear" w:color="auto" w:fill="auto"/>
            <w:noWrap/>
          </w:tcPr>
          <w:p w14:paraId="5209570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17 476</w:t>
            </w:r>
          </w:p>
        </w:tc>
        <w:tc>
          <w:tcPr>
            <w:tcW w:w="1306" w:type="dxa"/>
            <w:tcBorders>
              <w:top w:val="nil"/>
              <w:left w:val="nil"/>
              <w:bottom w:val="single" w:sz="4" w:space="0" w:color="auto"/>
              <w:right w:val="single" w:sz="4" w:space="0" w:color="auto"/>
            </w:tcBorders>
            <w:shd w:val="clear" w:color="auto" w:fill="auto"/>
            <w:noWrap/>
          </w:tcPr>
          <w:p w14:paraId="4B5C4C2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18 272</w:t>
            </w:r>
          </w:p>
        </w:tc>
      </w:tr>
      <w:tr w:rsidR="00595C1A" w:rsidRPr="001D42CA" w14:paraId="5E3897F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7CFCE72"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Guatemala</w:t>
            </w:r>
          </w:p>
        </w:tc>
        <w:tc>
          <w:tcPr>
            <w:tcW w:w="1111" w:type="dxa"/>
            <w:tcBorders>
              <w:top w:val="nil"/>
              <w:left w:val="nil"/>
              <w:bottom w:val="single" w:sz="4" w:space="0" w:color="auto"/>
              <w:right w:val="single" w:sz="4" w:space="0" w:color="auto"/>
            </w:tcBorders>
            <w:shd w:val="clear" w:color="auto" w:fill="auto"/>
            <w:noWrap/>
          </w:tcPr>
          <w:p w14:paraId="2A2FE28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0,041</w:t>
            </w:r>
          </w:p>
        </w:tc>
        <w:tc>
          <w:tcPr>
            <w:tcW w:w="1111" w:type="dxa"/>
            <w:tcBorders>
              <w:top w:val="nil"/>
              <w:left w:val="nil"/>
              <w:bottom w:val="single" w:sz="4" w:space="0" w:color="auto"/>
              <w:right w:val="single" w:sz="4" w:space="0" w:color="auto"/>
            </w:tcBorders>
            <w:shd w:val="clear" w:color="auto" w:fill="auto"/>
            <w:noWrap/>
          </w:tcPr>
          <w:p w14:paraId="0A130DB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0,042 %</w:t>
            </w:r>
          </w:p>
        </w:tc>
        <w:tc>
          <w:tcPr>
            <w:tcW w:w="1305" w:type="dxa"/>
            <w:tcBorders>
              <w:top w:val="nil"/>
              <w:left w:val="nil"/>
              <w:bottom w:val="single" w:sz="4" w:space="0" w:color="auto"/>
              <w:right w:val="single" w:sz="4" w:space="0" w:color="auto"/>
            </w:tcBorders>
          </w:tcPr>
          <w:p w14:paraId="1802252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2 007</w:t>
            </w:r>
          </w:p>
        </w:tc>
        <w:tc>
          <w:tcPr>
            <w:tcW w:w="1306" w:type="dxa"/>
            <w:tcBorders>
              <w:top w:val="nil"/>
              <w:left w:val="single" w:sz="4" w:space="0" w:color="auto"/>
              <w:bottom w:val="single" w:sz="4" w:space="0" w:color="auto"/>
              <w:right w:val="single" w:sz="4" w:space="0" w:color="auto"/>
            </w:tcBorders>
            <w:shd w:val="clear" w:color="auto" w:fill="auto"/>
            <w:noWrap/>
          </w:tcPr>
          <w:p w14:paraId="25585D2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2 200</w:t>
            </w:r>
          </w:p>
        </w:tc>
        <w:tc>
          <w:tcPr>
            <w:tcW w:w="1305" w:type="dxa"/>
            <w:tcBorders>
              <w:top w:val="nil"/>
              <w:left w:val="nil"/>
              <w:bottom w:val="single" w:sz="4" w:space="0" w:color="auto"/>
              <w:right w:val="single" w:sz="4" w:space="0" w:color="auto"/>
            </w:tcBorders>
            <w:shd w:val="clear" w:color="auto" w:fill="auto"/>
            <w:noWrap/>
          </w:tcPr>
          <w:p w14:paraId="49FA710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2 205</w:t>
            </w:r>
          </w:p>
        </w:tc>
        <w:tc>
          <w:tcPr>
            <w:tcW w:w="1306" w:type="dxa"/>
            <w:tcBorders>
              <w:top w:val="nil"/>
              <w:left w:val="nil"/>
              <w:bottom w:val="single" w:sz="4" w:space="0" w:color="auto"/>
              <w:right w:val="single" w:sz="4" w:space="0" w:color="auto"/>
            </w:tcBorders>
            <w:shd w:val="clear" w:color="auto" w:fill="auto"/>
            <w:noWrap/>
          </w:tcPr>
          <w:p w14:paraId="27CF7E9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2 305</w:t>
            </w:r>
          </w:p>
        </w:tc>
      </w:tr>
      <w:tr w:rsidR="00595C1A" w:rsidRPr="001D42CA" w14:paraId="17463E36"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C2B87A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Guinea</w:t>
            </w:r>
          </w:p>
        </w:tc>
        <w:tc>
          <w:tcPr>
            <w:tcW w:w="1111" w:type="dxa"/>
            <w:tcBorders>
              <w:top w:val="nil"/>
              <w:left w:val="nil"/>
              <w:bottom w:val="single" w:sz="4" w:space="0" w:color="auto"/>
              <w:right w:val="single" w:sz="4" w:space="0" w:color="auto"/>
            </w:tcBorders>
            <w:shd w:val="clear" w:color="auto" w:fill="auto"/>
            <w:noWrap/>
          </w:tcPr>
          <w:p w14:paraId="6D00A54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w:t>
            </w:r>
          </w:p>
        </w:tc>
        <w:tc>
          <w:tcPr>
            <w:tcW w:w="1111" w:type="dxa"/>
            <w:tcBorders>
              <w:top w:val="nil"/>
              <w:left w:val="nil"/>
              <w:bottom w:val="single" w:sz="4" w:space="0" w:color="auto"/>
              <w:right w:val="single" w:sz="4" w:space="0" w:color="auto"/>
            </w:tcBorders>
            <w:shd w:val="clear" w:color="auto" w:fill="auto"/>
            <w:noWrap/>
          </w:tcPr>
          <w:p w14:paraId="4CD08B4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0,003 %</w:t>
            </w:r>
          </w:p>
        </w:tc>
        <w:tc>
          <w:tcPr>
            <w:tcW w:w="1305" w:type="dxa"/>
            <w:tcBorders>
              <w:top w:val="nil"/>
              <w:left w:val="nil"/>
              <w:bottom w:val="single" w:sz="4" w:space="0" w:color="auto"/>
              <w:right w:val="single" w:sz="4" w:space="0" w:color="auto"/>
            </w:tcBorders>
          </w:tcPr>
          <w:p w14:paraId="777CD6F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B4FEBA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1410D77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6526A9A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5D1EC3A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CCD645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Guinea Ecuatorial</w:t>
            </w:r>
          </w:p>
        </w:tc>
        <w:tc>
          <w:tcPr>
            <w:tcW w:w="1111" w:type="dxa"/>
            <w:tcBorders>
              <w:top w:val="nil"/>
              <w:left w:val="nil"/>
              <w:bottom w:val="single" w:sz="4" w:space="0" w:color="auto"/>
              <w:right w:val="single" w:sz="4" w:space="0" w:color="auto"/>
            </w:tcBorders>
            <w:shd w:val="clear" w:color="auto" w:fill="auto"/>
            <w:noWrap/>
          </w:tcPr>
          <w:p w14:paraId="6E8F962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0,012</w:t>
            </w:r>
          </w:p>
        </w:tc>
        <w:tc>
          <w:tcPr>
            <w:tcW w:w="1111" w:type="dxa"/>
            <w:tcBorders>
              <w:top w:val="nil"/>
              <w:left w:val="nil"/>
              <w:bottom w:val="single" w:sz="4" w:space="0" w:color="auto"/>
              <w:right w:val="single" w:sz="4" w:space="0" w:color="auto"/>
            </w:tcBorders>
            <w:shd w:val="clear" w:color="auto" w:fill="auto"/>
            <w:noWrap/>
          </w:tcPr>
          <w:p w14:paraId="15803EB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0,012 %</w:t>
            </w:r>
          </w:p>
        </w:tc>
        <w:tc>
          <w:tcPr>
            <w:tcW w:w="1305" w:type="dxa"/>
            <w:tcBorders>
              <w:top w:val="nil"/>
              <w:left w:val="nil"/>
              <w:bottom w:val="single" w:sz="4" w:space="0" w:color="auto"/>
              <w:right w:val="single" w:sz="4" w:space="0" w:color="auto"/>
            </w:tcBorders>
          </w:tcPr>
          <w:p w14:paraId="73F1F51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455AAE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5898D6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0903429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17A5FE4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0455A08"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Guinea-Bissau</w:t>
            </w:r>
          </w:p>
        </w:tc>
        <w:tc>
          <w:tcPr>
            <w:tcW w:w="1111" w:type="dxa"/>
            <w:tcBorders>
              <w:top w:val="nil"/>
              <w:left w:val="nil"/>
              <w:bottom w:val="single" w:sz="4" w:space="0" w:color="auto"/>
              <w:right w:val="single" w:sz="4" w:space="0" w:color="auto"/>
            </w:tcBorders>
            <w:shd w:val="clear" w:color="auto" w:fill="auto"/>
            <w:noWrap/>
          </w:tcPr>
          <w:p w14:paraId="7F9B8F6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0DD8C8C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509BF75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A6C145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6F559B6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4238C9E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7FE9AFB2"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618CA7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Honduras</w:t>
            </w:r>
          </w:p>
        </w:tc>
        <w:tc>
          <w:tcPr>
            <w:tcW w:w="1111" w:type="dxa"/>
            <w:tcBorders>
              <w:top w:val="nil"/>
              <w:left w:val="nil"/>
              <w:bottom w:val="single" w:sz="4" w:space="0" w:color="auto"/>
              <w:right w:val="single" w:sz="4" w:space="0" w:color="auto"/>
            </w:tcBorders>
            <w:shd w:val="clear" w:color="auto" w:fill="auto"/>
            <w:noWrap/>
          </w:tcPr>
          <w:p w14:paraId="101B83C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0,009</w:t>
            </w:r>
          </w:p>
        </w:tc>
        <w:tc>
          <w:tcPr>
            <w:tcW w:w="1111" w:type="dxa"/>
            <w:tcBorders>
              <w:top w:val="nil"/>
              <w:left w:val="nil"/>
              <w:bottom w:val="single" w:sz="4" w:space="0" w:color="auto"/>
              <w:right w:val="single" w:sz="4" w:space="0" w:color="auto"/>
            </w:tcBorders>
            <w:shd w:val="clear" w:color="auto" w:fill="auto"/>
            <w:noWrap/>
          </w:tcPr>
          <w:p w14:paraId="0A9A652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0,009 %</w:t>
            </w:r>
          </w:p>
        </w:tc>
        <w:tc>
          <w:tcPr>
            <w:tcW w:w="1305" w:type="dxa"/>
            <w:tcBorders>
              <w:top w:val="nil"/>
              <w:left w:val="nil"/>
              <w:bottom w:val="single" w:sz="4" w:space="0" w:color="auto"/>
              <w:right w:val="single" w:sz="4" w:space="0" w:color="auto"/>
            </w:tcBorders>
          </w:tcPr>
          <w:p w14:paraId="6026203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1AEC28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1869D27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EBC111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0BD48762"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3062CE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Hungría</w:t>
            </w:r>
          </w:p>
        </w:tc>
        <w:tc>
          <w:tcPr>
            <w:tcW w:w="1111" w:type="dxa"/>
            <w:tcBorders>
              <w:top w:val="nil"/>
              <w:left w:val="nil"/>
              <w:bottom w:val="single" w:sz="4" w:space="0" w:color="auto"/>
              <w:right w:val="single" w:sz="4" w:space="0" w:color="auto"/>
            </w:tcBorders>
            <w:shd w:val="clear" w:color="auto" w:fill="auto"/>
            <w:noWrap/>
          </w:tcPr>
          <w:p w14:paraId="5EF5BA3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0,228</w:t>
            </w:r>
          </w:p>
        </w:tc>
        <w:tc>
          <w:tcPr>
            <w:tcW w:w="1111" w:type="dxa"/>
            <w:tcBorders>
              <w:top w:val="nil"/>
              <w:left w:val="nil"/>
              <w:bottom w:val="single" w:sz="4" w:space="0" w:color="auto"/>
              <w:right w:val="single" w:sz="4" w:space="0" w:color="auto"/>
            </w:tcBorders>
            <w:shd w:val="clear" w:color="auto" w:fill="auto"/>
            <w:noWrap/>
          </w:tcPr>
          <w:p w14:paraId="13F4B19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0,234 %</w:t>
            </w:r>
          </w:p>
        </w:tc>
        <w:tc>
          <w:tcPr>
            <w:tcW w:w="1305" w:type="dxa"/>
            <w:tcBorders>
              <w:top w:val="nil"/>
              <w:left w:val="nil"/>
              <w:bottom w:val="single" w:sz="4" w:space="0" w:color="auto"/>
              <w:right w:val="single" w:sz="4" w:space="0" w:color="auto"/>
            </w:tcBorders>
          </w:tcPr>
          <w:p w14:paraId="2D4D7B6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11 164</w:t>
            </w:r>
          </w:p>
        </w:tc>
        <w:tc>
          <w:tcPr>
            <w:tcW w:w="1306" w:type="dxa"/>
            <w:tcBorders>
              <w:top w:val="nil"/>
              <w:left w:val="single" w:sz="4" w:space="0" w:color="auto"/>
              <w:bottom w:val="single" w:sz="4" w:space="0" w:color="auto"/>
              <w:right w:val="single" w:sz="4" w:space="0" w:color="auto"/>
            </w:tcBorders>
            <w:shd w:val="clear" w:color="auto" w:fill="auto"/>
            <w:noWrap/>
          </w:tcPr>
          <w:p w14:paraId="10848CF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12 233</w:t>
            </w:r>
          </w:p>
        </w:tc>
        <w:tc>
          <w:tcPr>
            <w:tcW w:w="1305" w:type="dxa"/>
            <w:tcBorders>
              <w:top w:val="nil"/>
              <w:left w:val="nil"/>
              <w:bottom w:val="single" w:sz="4" w:space="0" w:color="auto"/>
              <w:right w:val="single" w:sz="4" w:space="0" w:color="auto"/>
            </w:tcBorders>
            <w:shd w:val="clear" w:color="auto" w:fill="auto"/>
            <w:noWrap/>
          </w:tcPr>
          <w:p w14:paraId="4821ACF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12 260</w:t>
            </w:r>
          </w:p>
        </w:tc>
        <w:tc>
          <w:tcPr>
            <w:tcW w:w="1306" w:type="dxa"/>
            <w:tcBorders>
              <w:top w:val="nil"/>
              <w:left w:val="nil"/>
              <w:bottom w:val="single" w:sz="4" w:space="0" w:color="auto"/>
              <w:right w:val="single" w:sz="4" w:space="0" w:color="auto"/>
            </w:tcBorders>
            <w:shd w:val="clear" w:color="auto" w:fill="auto"/>
            <w:noWrap/>
          </w:tcPr>
          <w:p w14:paraId="4EF443A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12 819</w:t>
            </w:r>
          </w:p>
        </w:tc>
      </w:tr>
      <w:tr w:rsidR="00595C1A" w:rsidRPr="001D42CA" w14:paraId="3CB1AC2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35A7E0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India</w:t>
            </w:r>
          </w:p>
        </w:tc>
        <w:tc>
          <w:tcPr>
            <w:tcW w:w="1111" w:type="dxa"/>
            <w:tcBorders>
              <w:top w:val="nil"/>
              <w:left w:val="nil"/>
              <w:bottom w:val="single" w:sz="4" w:space="0" w:color="auto"/>
              <w:right w:val="single" w:sz="4" w:space="0" w:color="auto"/>
            </w:tcBorders>
            <w:shd w:val="clear" w:color="auto" w:fill="auto"/>
            <w:noWrap/>
          </w:tcPr>
          <w:p w14:paraId="71A20B6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1,044</w:t>
            </w:r>
          </w:p>
        </w:tc>
        <w:tc>
          <w:tcPr>
            <w:tcW w:w="1111" w:type="dxa"/>
            <w:tcBorders>
              <w:top w:val="nil"/>
              <w:left w:val="nil"/>
              <w:bottom w:val="single" w:sz="4" w:space="0" w:color="auto"/>
              <w:right w:val="single" w:sz="4" w:space="0" w:color="auto"/>
            </w:tcBorders>
            <w:shd w:val="clear" w:color="auto" w:fill="auto"/>
            <w:noWrap/>
          </w:tcPr>
          <w:p w14:paraId="709BD95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1,072 %</w:t>
            </w:r>
          </w:p>
        </w:tc>
        <w:tc>
          <w:tcPr>
            <w:tcW w:w="1305" w:type="dxa"/>
            <w:tcBorders>
              <w:top w:val="nil"/>
              <w:left w:val="nil"/>
              <w:bottom w:val="single" w:sz="4" w:space="0" w:color="auto"/>
              <w:right w:val="single" w:sz="4" w:space="0" w:color="auto"/>
            </w:tcBorders>
          </w:tcPr>
          <w:p w14:paraId="25EE9D2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51 117</w:t>
            </w:r>
          </w:p>
        </w:tc>
        <w:tc>
          <w:tcPr>
            <w:tcW w:w="1306" w:type="dxa"/>
            <w:tcBorders>
              <w:top w:val="nil"/>
              <w:left w:val="single" w:sz="4" w:space="0" w:color="auto"/>
              <w:bottom w:val="single" w:sz="4" w:space="0" w:color="auto"/>
              <w:right w:val="single" w:sz="4" w:space="0" w:color="auto"/>
            </w:tcBorders>
            <w:shd w:val="clear" w:color="auto" w:fill="auto"/>
            <w:noWrap/>
          </w:tcPr>
          <w:p w14:paraId="4E0EB47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56 014</w:t>
            </w:r>
          </w:p>
        </w:tc>
        <w:tc>
          <w:tcPr>
            <w:tcW w:w="1305" w:type="dxa"/>
            <w:tcBorders>
              <w:top w:val="nil"/>
              <w:left w:val="nil"/>
              <w:bottom w:val="single" w:sz="4" w:space="0" w:color="auto"/>
              <w:right w:val="single" w:sz="4" w:space="0" w:color="auto"/>
            </w:tcBorders>
            <w:shd w:val="clear" w:color="auto" w:fill="auto"/>
            <w:noWrap/>
          </w:tcPr>
          <w:p w14:paraId="252DD28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56 139</w:t>
            </w:r>
          </w:p>
        </w:tc>
        <w:tc>
          <w:tcPr>
            <w:tcW w:w="1306" w:type="dxa"/>
            <w:tcBorders>
              <w:top w:val="nil"/>
              <w:left w:val="nil"/>
              <w:bottom w:val="single" w:sz="4" w:space="0" w:color="auto"/>
              <w:right w:val="single" w:sz="4" w:space="0" w:color="auto"/>
            </w:tcBorders>
            <w:shd w:val="clear" w:color="auto" w:fill="auto"/>
            <w:noWrap/>
          </w:tcPr>
          <w:p w14:paraId="69F37A8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58 695</w:t>
            </w:r>
          </w:p>
        </w:tc>
      </w:tr>
      <w:tr w:rsidR="00595C1A" w:rsidRPr="001D42CA" w14:paraId="31A0D8E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725EC60"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Indonesia</w:t>
            </w:r>
          </w:p>
        </w:tc>
        <w:tc>
          <w:tcPr>
            <w:tcW w:w="1111" w:type="dxa"/>
            <w:tcBorders>
              <w:top w:val="nil"/>
              <w:left w:val="nil"/>
              <w:bottom w:val="single" w:sz="4" w:space="0" w:color="auto"/>
              <w:right w:val="single" w:sz="4" w:space="0" w:color="auto"/>
            </w:tcBorders>
            <w:shd w:val="clear" w:color="auto" w:fill="auto"/>
            <w:noWrap/>
          </w:tcPr>
          <w:p w14:paraId="54E9C5B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0,549</w:t>
            </w:r>
          </w:p>
        </w:tc>
        <w:tc>
          <w:tcPr>
            <w:tcW w:w="1111" w:type="dxa"/>
            <w:tcBorders>
              <w:top w:val="nil"/>
              <w:left w:val="nil"/>
              <w:bottom w:val="single" w:sz="4" w:space="0" w:color="auto"/>
              <w:right w:val="single" w:sz="4" w:space="0" w:color="auto"/>
            </w:tcBorders>
            <w:shd w:val="clear" w:color="auto" w:fill="auto"/>
            <w:noWrap/>
          </w:tcPr>
          <w:p w14:paraId="2751CE3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0,564 %</w:t>
            </w:r>
          </w:p>
        </w:tc>
        <w:tc>
          <w:tcPr>
            <w:tcW w:w="1305" w:type="dxa"/>
            <w:tcBorders>
              <w:top w:val="nil"/>
              <w:left w:val="nil"/>
              <w:bottom w:val="single" w:sz="4" w:space="0" w:color="auto"/>
              <w:right w:val="single" w:sz="4" w:space="0" w:color="auto"/>
            </w:tcBorders>
          </w:tcPr>
          <w:p w14:paraId="08614005"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26 881</w:t>
            </w:r>
          </w:p>
        </w:tc>
        <w:tc>
          <w:tcPr>
            <w:tcW w:w="1306" w:type="dxa"/>
            <w:tcBorders>
              <w:top w:val="nil"/>
              <w:left w:val="single" w:sz="4" w:space="0" w:color="auto"/>
              <w:bottom w:val="single" w:sz="4" w:space="0" w:color="auto"/>
              <w:right w:val="single" w:sz="4" w:space="0" w:color="auto"/>
            </w:tcBorders>
            <w:shd w:val="clear" w:color="auto" w:fill="auto"/>
            <w:noWrap/>
          </w:tcPr>
          <w:p w14:paraId="15E1B51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29 456</w:t>
            </w:r>
          </w:p>
        </w:tc>
        <w:tc>
          <w:tcPr>
            <w:tcW w:w="1305" w:type="dxa"/>
            <w:tcBorders>
              <w:top w:val="nil"/>
              <w:left w:val="nil"/>
              <w:bottom w:val="single" w:sz="4" w:space="0" w:color="auto"/>
              <w:right w:val="single" w:sz="4" w:space="0" w:color="auto"/>
            </w:tcBorders>
            <w:shd w:val="clear" w:color="auto" w:fill="auto"/>
            <w:noWrap/>
          </w:tcPr>
          <w:p w14:paraId="0EED12D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29 521</w:t>
            </w:r>
          </w:p>
        </w:tc>
        <w:tc>
          <w:tcPr>
            <w:tcW w:w="1306" w:type="dxa"/>
            <w:tcBorders>
              <w:top w:val="nil"/>
              <w:left w:val="nil"/>
              <w:bottom w:val="single" w:sz="4" w:space="0" w:color="auto"/>
              <w:right w:val="single" w:sz="4" w:space="0" w:color="auto"/>
            </w:tcBorders>
            <w:shd w:val="clear" w:color="auto" w:fill="auto"/>
            <w:noWrap/>
          </w:tcPr>
          <w:p w14:paraId="37F79F2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30 866</w:t>
            </w:r>
          </w:p>
        </w:tc>
      </w:tr>
      <w:tr w:rsidR="00595C1A" w:rsidRPr="001D42CA" w14:paraId="5E8E57DE"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2AF0CCA"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Irán (República Islámica del)</w:t>
            </w:r>
          </w:p>
        </w:tc>
        <w:tc>
          <w:tcPr>
            <w:tcW w:w="1111" w:type="dxa"/>
            <w:tcBorders>
              <w:top w:val="nil"/>
              <w:left w:val="nil"/>
              <w:bottom w:val="single" w:sz="4" w:space="0" w:color="auto"/>
              <w:right w:val="single" w:sz="4" w:space="0" w:color="auto"/>
            </w:tcBorders>
            <w:shd w:val="clear" w:color="auto" w:fill="auto"/>
            <w:noWrap/>
          </w:tcPr>
          <w:p w14:paraId="108A4B3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0,371</w:t>
            </w:r>
          </w:p>
        </w:tc>
        <w:tc>
          <w:tcPr>
            <w:tcW w:w="1111" w:type="dxa"/>
            <w:tcBorders>
              <w:top w:val="nil"/>
              <w:left w:val="nil"/>
              <w:bottom w:val="single" w:sz="4" w:space="0" w:color="auto"/>
              <w:right w:val="single" w:sz="4" w:space="0" w:color="auto"/>
            </w:tcBorders>
            <w:shd w:val="clear" w:color="auto" w:fill="auto"/>
            <w:noWrap/>
          </w:tcPr>
          <w:p w14:paraId="24737E4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0,381 %</w:t>
            </w:r>
          </w:p>
        </w:tc>
        <w:tc>
          <w:tcPr>
            <w:tcW w:w="1305" w:type="dxa"/>
            <w:tcBorders>
              <w:top w:val="nil"/>
              <w:left w:val="nil"/>
              <w:bottom w:val="single" w:sz="4" w:space="0" w:color="auto"/>
              <w:right w:val="single" w:sz="4" w:space="0" w:color="auto"/>
            </w:tcBorders>
          </w:tcPr>
          <w:p w14:paraId="7DC054B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18 165</w:t>
            </w:r>
          </w:p>
        </w:tc>
        <w:tc>
          <w:tcPr>
            <w:tcW w:w="1306" w:type="dxa"/>
            <w:tcBorders>
              <w:top w:val="nil"/>
              <w:left w:val="single" w:sz="4" w:space="0" w:color="auto"/>
              <w:bottom w:val="single" w:sz="4" w:space="0" w:color="auto"/>
              <w:right w:val="single" w:sz="4" w:space="0" w:color="auto"/>
            </w:tcBorders>
            <w:shd w:val="clear" w:color="auto" w:fill="auto"/>
            <w:noWrap/>
          </w:tcPr>
          <w:p w14:paraId="567ED20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19 906</w:t>
            </w:r>
          </w:p>
        </w:tc>
        <w:tc>
          <w:tcPr>
            <w:tcW w:w="1305" w:type="dxa"/>
            <w:tcBorders>
              <w:top w:val="nil"/>
              <w:left w:val="nil"/>
              <w:bottom w:val="single" w:sz="4" w:space="0" w:color="auto"/>
              <w:right w:val="single" w:sz="4" w:space="0" w:color="auto"/>
            </w:tcBorders>
            <w:shd w:val="clear" w:color="auto" w:fill="auto"/>
            <w:noWrap/>
          </w:tcPr>
          <w:p w14:paraId="5A4C904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19 950</w:t>
            </w:r>
          </w:p>
        </w:tc>
        <w:tc>
          <w:tcPr>
            <w:tcW w:w="1306" w:type="dxa"/>
            <w:tcBorders>
              <w:top w:val="nil"/>
              <w:left w:val="nil"/>
              <w:bottom w:val="single" w:sz="4" w:space="0" w:color="auto"/>
              <w:right w:val="single" w:sz="4" w:space="0" w:color="auto"/>
            </w:tcBorders>
            <w:shd w:val="clear" w:color="auto" w:fill="auto"/>
            <w:noWrap/>
          </w:tcPr>
          <w:p w14:paraId="46484BB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20 858</w:t>
            </w:r>
          </w:p>
        </w:tc>
      </w:tr>
      <w:tr w:rsidR="00595C1A" w:rsidRPr="001D42CA" w14:paraId="00C010C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5CDC10F"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Iraq</w:t>
            </w:r>
          </w:p>
        </w:tc>
        <w:tc>
          <w:tcPr>
            <w:tcW w:w="1111" w:type="dxa"/>
            <w:tcBorders>
              <w:top w:val="nil"/>
              <w:left w:val="nil"/>
              <w:bottom w:val="single" w:sz="4" w:space="0" w:color="auto"/>
              <w:right w:val="single" w:sz="4" w:space="0" w:color="auto"/>
            </w:tcBorders>
            <w:shd w:val="clear" w:color="auto" w:fill="auto"/>
            <w:noWrap/>
          </w:tcPr>
          <w:p w14:paraId="1174150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0,128</w:t>
            </w:r>
          </w:p>
        </w:tc>
        <w:tc>
          <w:tcPr>
            <w:tcW w:w="1111" w:type="dxa"/>
            <w:tcBorders>
              <w:top w:val="nil"/>
              <w:left w:val="nil"/>
              <w:bottom w:val="single" w:sz="4" w:space="0" w:color="auto"/>
              <w:right w:val="single" w:sz="4" w:space="0" w:color="auto"/>
            </w:tcBorders>
            <w:shd w:val="clear" w:color="auto" w:fill="auto"/>
            <w:noWrap/>
          </w:tcPr>
          <w:p w14:paraId="2D573FF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0,131 %</w:t>
            </w:r>
          </w:p>
        </w:tc>
        <w:tc>
          <w:tcPr>
            <w:tcW w:w="1305" w:type="dxa"/>
            <w:tcBorders>
              <w:top w:val="nil"/>
              <w:left w:val="nil"/>
              <w:bottom w:val="single" w:sz="4" w:space="0" w:color="auto"/>
              <w:right w:val="single" w:sz="4" w:space="0" w:color="auto"/>
            </w:tcBorders>
          </w:tcPr>
          <w:p w14:paraId="073E278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6 267</w:t>
            </w:r>
          </w:p>
        </w:tc>
        <w:tc>
          <w:tcPr>
            <w:tcW w:w="1306" w:type="dxa"/>
            <w:tcBorders>
              <w:top w:val="nil"/>
              <w:left w:val="single" w:sz="4" w:space="0" w:color="auto"/>
              <w:bottom w:val="single" w:sz="4" w:space="0" w:color="auto"/>
              <w:right w:val="single" w:sz="4" w:space="0" w:color="auto"/>
            </w:tcBorders>
            <w:shd w:val="clear" w:color="auto" w:fill="auto"/>
            <w:noWrap/>
          </w:tcPr>
          <w:p w14:paraId="767F010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6 868</w:t>
            </w:r>
          </w:p>
        </w:tc>
        <w:tc>
          <w:tcPr>
            <w:tcW w:w="1305" w:type="dxa"/>
            <w:tcBorders>
              <w:top w:val="nil"/>
              <w:left w:val="nil"/>
              <w:bottom w:val="single" w:sz="4" w:space="0" w:color="auto"/>
              <w:right w:val="single" w:sz="4" w:space="0" w:color="auto"/>
            </w:tcBorders>
            <w:shd w:val="clear" w:color="auto" w:fill="auto"/>
            <w:noWrap/>
          </w:tcPr>
          <w:p w14:paraId="0156DF4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6 883</w:t>
            </w:r>
          </w:p>
        </w:tc>
        <w:tc>
          <w:tcPr>
            <w:tcW w:w="1306" w:type="dxa"/>
            <w:tcBorders>
              <w:top w:val="nil"/>
              <w:left w:val="nil"/>
              <w:bottom w:val="single" w:sz="4" w:space="0" w:color="auto"/>
              <w:right w:val="single" w:sz="4" w:space="0" w:color="auto"/>
            </w:tcBorders>
            <w:shd w:val="clear" w:color="auto" w:fill="auto"/>
            <w:noWrap/>
          </w:tcPr>
          <w:p w14:paraId="7CC0852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7 196</w:t>
            </w:r>
          </w:p>
        </w:tc>
      </w:tr>
      <w:tr w:rsidR="00595C1A" w:rsidRPr="001D42CA" w14:paraId="4B06230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350030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Irlanda</w:t>
            </w:r>
          </w:p>
        </w:tc>
        <w:tc>
          <w:tcPr>
            <w:tcW w:w="1111" w:type="dxa"/>
            <w:tcBorders>
              <w:top w:val="nil"/>
              <w:left w:val="nil"/>
              <w:bottom w:val="single" w:sz="4" w:space="0" w:color="auto"/>
              <w:right w:val="single" w:sz="4" w:space="0" w:color="auto"/>
            </w:tcBorders>
            <w:shd w:val="clear" w:color="auto" w:fill="auto"/>
            <w:noWrap/>
          </w:tcPr>
          <w:p w14:paraId="0F91C70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0,439</w:t>
            </w:r>
          </w:p>
        </w:tc>
        <w:tc>
          <w:tcPr>
            <w:tcW w:w="1111" w:type="dxa"/>
            <w:tcBorders>
              <w:top w:val="nil"/>
              <w:left w:val="nil"/>
              <w:bottom w:val="single" w:sz="4" w:space="0" w:color="auto"/>
              <w:right w:val="single" w:sz="4" w:space="0" w:color="auto"/>
            </w:tcBorders>
            <w:shd w:val="clear" w:color="auto" w:fill="auto"/>
            <w:noWrap/>
          </w:tcPr>
          <w:p w14:paraId="668CB9B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0,451 %</w:t>
            </w:r>
          </w:p>
        </w:tc>
        <w:tc>
          <w:tcPr>
            <w:tcW w:w="1305" w:type="dxa"/>
            <w:tcBorders>
              <w:top w:val="nil"/>
              <w:left w:val="nil"/>
              <w:bottom w:val="single" w:sz="4" w:space="0" w:color="auto"/>
              <w:right w:val="single" w:sz="4" w:space="0" w:color="auto"/>
            </w:tcBorders>
          </w:tcPr>
          <w:p w14:paraId="3FBDBCC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21 495</w:t>
            </w:r>
          </w:p>
        </w:tc>
        <w:tc>
          <w:tcPr>
            <w:tcW w:w="1306" w:type="dxa"/>
            <w:tcBorders>
              <w:top w:val="nil"/>
              <w:left w:val="single" w:sz="4" w:space="0" w:color="auto"/>
              <w:bottom w:val="single" w:sz="4" w:space="0" w:color="auto"/>
              <w:right w:val="single" w:sz="4" w:space="0" w:color="auto"/>
            </w:tcBorders>
            <w:shd w:val="clear" w:color="auto" w:fill="auto"/>
            <w:noWrap/>
          </w:tcPr>
          <w:p w14:paraId="6D01196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23 554</w:t>
            </w:r>
          </w:p>
        </w:tc>
        <w:tc>
          <w:tcPr>
            <w:tcW w:w="1305" w:type="dxa"/>
            <w:tcBorders>
              <w:top w:val="nil"/>
              <w:left w:val="nil"/>
              <w:bottom w:val="single" w:sz="4" w:space="0" w:color="auto"/>
              <w:right w:val="single" w:sz="4" w:space="0" w:color="auto"/>
            </w:tcBorders>
            <w:shd w:val="clear" w:color="auto" w:fill="auto"/>
            <w:noWrap/>
          </w:tcPr>
          <w:p w14:paraId="5E396EB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23 606</w:t>
            </w:r>
          </w:p>
        </w:tc>
        <w:tc>
          <w:tcPr>
            <w:tcW w:w="1306" w:type="dxa"/>
            <w:tcBorders>
              <w:top w:val="nil"/>
              <w:left w:val="nil"/>
              <w:bottom w:val="single" w:sz="4" w:space="0" w:color="auto"/>
              <w:right w:val="single" w:sz="4" w:space="0" w:color="auto"/>
            </w:tcBorders>
            <w:shd w:val="clear" w:color="auto" w:fill="auto"/>
            <w:noWrap/>
          </w:tcPr>
          <w:p w14:paraId="5C58857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24 681</w:t>
            </w:r>
          </w:p>
        </w:tc>
      </w:tr>
      <w:tr w:rsidR="00595C1A" w:rsidRPr="001D42CA" w14:paraId="7AA0D5B1" w14:textId="77777777" w:rsidTr="00595C1A">
        <w:trPr>
          <w:trHeight w:val="276"/>
        </w:trPr>
        <w:tc>
          <w:tcPr>
            <w:tcW w:w="10113" w:type="dxa"/>
            <w:gridSpan w:val="8"/>
            <w:tcBorders>
              <w:top w:val="single" w:sz="4" w:space="0" w:color="auto"/>
            </w:tcBorders>
          </w:tcPr>
          <w:p w14:paraId="1DC0704C" w14:textId="77777777" w:rsidR="00595C1A" w:rsidRPr="000519D4" w:rsidRDefault="00595C1A" w:rsidP="00C85CAD">
            <w:pPr>
              <w:ind w:left="0" w:firstLine="0"/>
              <w:rPr>
                <w:rFonts w:asciiTheme="minorHAnsi" w:hAnsiTheme="minorHAnsi" w:cstheme="minorHAnsi"/>
                <w:sz w:val="20"/>
                <w:szCs w:val="20"/>
              </w:rPr>
            </w:pPr>
            <w:r>
              <w:rPr>
                <w:rFonts w:asciiTheme="minorHAnsi" w:hAnsiTheme="minorHAnsi"/>
                <w:color w:val="000000"/>
                <w:sz w:val="20"/>
              </w:rPr>
              <w:t>* Con arreglo a la Resolución A/RES/76/238 de las Naciones Unidas; se aplicará la escala revisada de las Naciones Unidas para el trienio cuando esta se haya publicado.</w:t>
            </w:r>
          </w:p>
        </w:tc>
      </w:tr>
      <w:tr w:rsidR="00595C1A" w:rsidRPr="001D42CA" w14:paraId="18336816"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57A2E0A"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lastRenderedPageBreak/>
              <w:t>Islandia</w:t>
            </w:r>
          </w:p>
        </w:tc>
        <w:tc>
          <w:tcPr>
            <w:tcW w:w="1111" w:type="dxa"/>
            <w:tcBorders>
              <w:top w:val="nil"/>
              <w:left w:val="nil"/>
              <w:bottom w:val="single" w:sz="4" w:space="0" w:color="auto"/>
              <w:right w:val="single" w:sz="4" w:space="0" w:color="auto"/>
            </w:tcBorders>
            <w:shd w:val="clear" w:color="auto" w:fill="auto"/>
            <w:noWrap/>
          </w:tcPr>
          <w:p w14:paraId="7B450A7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0,036</w:t>
            </w:r>
          </w:p>
        </w:tc>
        <w:tc>
          <w:tcPr>
            <w:tcW w:w="1111" w:type="dxa"/>
            <w:tcBorders>
              <w:top w:val="nil"/>
              <w:left w:val="nil"/>
              <w:bottom w:val="single" w:sz="4" w:space="0" w:color="auto"/>
              <w:right w:val="single" w:sz="4" w:space="0" w:color="auto"/>
            </w:tcBorders>
            <w:shd w:val="clear" w:color="auto" w:fill="auto"/>
            <w:noWrap/>
          </w:tcPr>
          <w:p w14:paraId="22AECF4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0,037 %</w:t>
            </w:r>
          </w:p>
        </w:tc>
        <w:tc>
          <w:tcPr>
            <w:tcW w:w="1305" w:type="dxa"/>
            <w:tcBorders>
              <w:top w:val="nil"/>
              <w:left w:val="nil"/>
              <w:bottom w:val="single" w:sz="4" w:space="0" w:color="auto"/>
              <w:right w:val="single" w:sz="4" w:space="0" w:color="auto"/>
            </w:tcBorders>
          </w:tcPr>
          <w:p w14:paraId="2753514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1 763</w:t>
            </w:r>
          </w:p>
        </w:tc>
        <w:tc>
          <w:tcPr>
            <w:tcW w:w="1306" w:type="dxa"/>
            <w:tcBorders>
              <w:top w:val="nil"/>
              <w:left w:val="single" w:sz="4" w:space="0" w:color="auto"/>
              <w:bottom w:val="single" w:sz="4" w:space="0" w:color="auto"/>
              <w:right w:val="single" w:sz="4" w:space="0" w:color="auto"/>
            </w:tcBorders>
            <w:shd w:val="clear" w:color="auto" w:fill="auto"/>
            <w:noWrap/>
          </w:tcPr>
          <w:p w14:paraId="4261F34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1 932</w:t>
            </w:r>
          </w:p>
        </w:tc>
        <w:tc>
          <w:tcPr>
            <w:tcW w:w="1305" w:type="dxa"/>
            <w:tcBorders>
              <w:top w:val="nil"/>
              <w:left w:val="nil"/>
              <w:bottom w:val="single" w:sz="4" w:space="0" w:color="auto"/>
              <w:right w:val="single" w:sz="4" w:space="0" w:color="auto"/>
            </w:tcBorders>
            <w:shd w:val="clear" w:color="auto" w:fill="auto"/>
            <w:noWrap/>
          </w:tcPr>
          <w:p w14:paraId="42BDABA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1 936</w:t>
            </w:r>
          </w:p>
        </w:tc>
        <w:tc>
          <w:tcPr>
            <w:tcW w:w="1306" w:type="dxa"/>
            <w:tcBorders>
              <w:top w:val="nil"/>
              <w:left w:val="nil"/>
              <w:bottom w:val="single" w:sz="4" w:space="0" w:color="auto"/>
              <w:right w:val="single" w:sz="4" w:space="0" w:color="auto"/>
            </w:tcBorders>
            <w:shd w:val="clear" w:color="auto" w:fill="auto"/>
            <w:noWrap/>
          </w:tcPr>
          <w:p w14:paraId="016EF18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2 024</w:t>
            </w:r>
          </w:p>
        </w:tc>
      </w:tr>
      <w:tr w:rsidR="00595C1A" w:rsidRPr="001D42CA" w14:paraId="23FE214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72CCA65"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Islas Marshall</w:t>
            </w:r>
          </w:p>
        </w:tc>
        <w:tc>
          <w:tcPr>
            <w:tcW w:w="1111" w:type="dxa"/>
            <w:tcBorders>
              <w:top w:val="nil"/>
              <w:left w:val="nil"/>
              <w:bottom w:val="single" w:sz="4" w:space="0" w:color="auto"/>
              <w:right w:val="single" w:sz="4" w:space="0" w:color="auto"/>
            </w:tcBorders>
            <w:shd w:val="clear" w:color="auto" w:fill="auto"/>
            <w:noWrap/>
          </w:tcPr>
          <w:p w14:paraId="5C5D3EB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003C1FF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1DA3970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7E5E64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9BEED0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6C98263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5E0ECD2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74FAE2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Israel</w:t>
            </w:r>
          </w:p>
        </w:tc>
        <w:tc>
          <w:tcPr>
            <w:tcW w:w="1111" w:type="dxa"/>
            <w:tcBorders>
              <w:top w:val="nil"/>
              <w:left w:val="nil"/>
              <w:bottom w:val="single" w:sz="4" w:space="0" w:color="auto"/>
              <w:right w:val="single" w:sz="4" w:space="0" w:color="auto"/>
            </w:tcBorders>
            <w:shd w:val="clear" w:color="auto" w:fill="auto"/>
            <w:noWrap/>
          </w:tcPr>
          <w:p w14:paraId="76DA118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0,561</w:t>
            </w:r>
          </w:p>
        </w:tc>
        <w:tc>
          <w:tcPr>
            <w:tcW w:w="1111" w:type="dxa"/>
            <w:tcBorders>
              <w:top w:val="nil"/>
              <w:left w:val="nil"/>
              <w:bottom w:val="single" w:sz="4" w:space="0" w:color="auto"/>
              <w:right w:val="single" w:sz="4" w:space="0" w:color="auto"/>
            </w:tcBorders>
            <w:shd w:val="clear" w:color="auto" w:fill="auto"/>
            <w:noWrap/>
          </w:tcPr>
          <w:p w14:paraId="26E004D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0,576 %</w:t>
            </w:r>
          </w:p>
        </w:tc>
        <w:tc>
          <w:tcPr>
            <w:tcW w:w="1305" w:type="dxa"/>
            <w:tcBorders>
              <w:top w:val="nil"/>
              <w:left w:val="nil"/>
              <w:bottom w:val="single" w:sz="4" w:space="0" w:color="auto"/>
              <w:right w:val="single" w:sz="4" w:space="0" w:color="auto"/>
            </w:tcBorders>
          </w:tcPr>
          <w:p w14:paraId="7B26BC5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27 468</w:t>
            </w:r>
          </w:p>
        </w:tc>
        <w:tc>
          <w:tcPr>
            <w:tcW w:w="1306" w:type="dxa"/>
            <w:tcBorders>
              <w:top w:val="nil"/>
              <w:left w:val="single" w:sz="4" w:space="0" w:color="auto"/>
              <w:bottom w:val="single" w:sz="4" w:space="0" w:color="auto"/>
              <w:right w:val="single" w:sz="4" w:space="0" w:color="auto"/>
            </w:tcBorders>
            <w:shd w:val="clear" w:color="auto" w:fill="auto"/>
            <w:noWrap/>
          </w:tcPr>
          <w:p w14:paraId="181448B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30 100</w:t>
            </w:r>
          </w:p>
        </w:tc>
        <w:tc>
          <w:tcPr>
            <w:tcW w:w="1305" w:type="dxa"/>
            <w:tcBorders>
              <w:top w:val="nil"/>
              <w:left w:val="nil"/>
              <w:bottom w:val="single" w:sz="4" w:space="0" w:color="auto"/>
              <w:right w:val="single" w:sz="4" w:space="0" w:color="auto"/>
            </w:tcBorders>
            <w:shd w:val="clear" w:color="auto" w:fill="auto"/>
            <w:noWrap/>
          </w:tcPr>
          <w:p w14:paraId="5D35AE8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30 167</w:t>
            </w:r>
          </w:p>
        </w:tc>
        <w:tc>
          <w:tcPr>
            <w:tcW w:w="1306" w:type="dxa"/>
            <w:tcBorders>
              <w:top w:val="nil"/>
              <w:left w:val="nil"/>
              <w:bottom w:val="single" w:sz="4" w:space="0" w:color="auto"/>
              <w:right w:val="single" w:sz="4" w:space="0" w:color="auto"/>
            </w:tcBorders>
            <w:shd w:val="clear" w:color="auto" w:fill="auto"/>
            <w:noWrap/>
          </w:tcPr>
          <w:p w14:paraId="6F745C8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31 540</w:t>
            </w:r>
          </w:p>
        </w:tc>
      </w:tr>
      <w:tr w:rsidR="00595C1A" w:rsidRPr="001D42CA" w14:paraId="3194E36D"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8E16C31"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Italia</w:t>
            </w:r>
          </w:p>
        </w:tc>
        <w:tc>
          <w:tcPr>
            <w:tcW w:w="1111" w:type="dxa"/>
            <w:tcBorders>
              <w:top w:val="nil"/>
              <w:left w:val="nil"/>
              <w:bottom w:val="single" w:sz="4" w:space="0" w:color="auto"/>
              <w:right w:val="single" w:sz="4" w:space="0" w:color="auto"/>
            </w:tcBorders>
            <w:shd w:val="clear" w:color="auto" w:fill="auto"/>
            <w:noWrap/>
          </w:tcPr>
          <w:p w14:paraId="7B008CE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3,189</w:t>
            </w:r>
          </w:p>
        </w:tc>
        <w:tc>
          <w:tcPr>
            <w:tcW w:w="1111" w:type="dxa"/>
            <w:tcBorders>
              <w:top w:val="nil"/>
              <w:left w:val="nil"/>
              <w:bottom w:val="single" w:sz="4" w:space="0" w:color="auto"/>
              <w:right w:val="single" w:sz="4" w:space="0" w:color="auto"/>
            </w:tcBorders>
            <w:shd w:val="clear" w:color="auto" w:fill="auto"/>
            <w:noWrap/>
          </w:tcPr>
          <w:p w14:paraId="5F29A85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3,274 %</w:t>
            </w:r>
          </w:p>
        </w:tc>
        <w:tc>
          <w:tcPr>
            <w:tcW w:w="1305" w:type="dxa"/>
            <w:tcBorders>
              <w:top w:val="nil"/>
              <w:left w:val="nil"/>
              <w:bottom w:val="single" w:sz="4" w:space="0" w:color="auto"/>
              <w:right w:val="single" w:sz="4" w:space="0" w:color="auto"/>
            </w:tcBorders>
          </w:tcPr>
          <w:p w14:paraId="5C2B331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156 142</w:t>
            </w:r>
          </w:p>
        </w:tc>
        <w:tc>
          <w:tcPr>
            <w:tcW w:w="1306" w:type="dxa"/>
            <w:tcBorders>
              <w:top w:val="nil"/>
              <w:left w:val="single" w:sz="4" w:space="0" w:color="auto"/>
              <w:bottom w:val="single" w:sz="4" w:space="0" w:color="auto"/>
              <w:right w:val="single" w:sz="4" w:space="0" w:color="auto"/>
            </w:tcBorders>
            <w:shd w:val="clear" w:color="auto" w:fill="auto"/>
            <w:noWrap/>
          </w:tcPr>
          <w:p w14:paraId="0055043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171 102</w:t>
            </w:r>
          </w:p>
        </w:tc>
        <w:tc>
          <w:tcPr>
            <w:tcW w:w="1305" w:type="dxa"/>
            <w:tcBorders>
              <w:top w:val="nil"/>
              <w:left w:val="nil"/>
              <w:bottom w:val="single" w:sz="4" w:space="0" w:color="auto"/>
              <w:right w:val="single" w:sz="4" w:space="0" w:color="auto"/>
            </w:tcBorders>
            <w:shd w:val="clear" w:color="auto" w:fill="auto"/>
            <w:noWrap/>
          </w:tcPr>
          <w:p w14:paraId="5890085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171 482</w:t>
            </w:r>
          </w:p>
        </w:tc>
        <w:tc>
          <w:tcPr>
            <w:tcW w:w="1306" w:type="dxa"/>
            <w:tcBorders>
              <w:top w:val="nil"/>
              <w:left w:val="nil"/>
              <w:bottom w:val="single" w:sz="4" w:space="0" w:color="auto"/>
              <w:right w:val="single" w:sz="4" w:space="0" w:color="auto"/>
            </w:tcBorders>
            <w:shd w:val="clear" w:color="auto" w:fill="auto"/>
            <w:noWrap/>
          </w:tcPr>
          <w:p w14:paraId="289D320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179 291</w:t>
            </w:r>
          </w:p>
        </w:tc>
      </w:tr>
      <w:tr w:rsidR="00595C1A" w:rsidRPr="001D42CA" w14:paraId="3580FF2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7E59EDF"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Jamaica</w:t>
            </w:r>
          </w:p>
        </w:tc>
        <w:tc>
          <w:tcPr>
            <w:tcW w:w="1111" w:type="dxa"/>
            <w:tcBorders>
              <w:top w:val="nil"/>
              <w:left w:val="nil"/>
              <w:bottom w:val="single" w:sz="4" w:space="0" w:color="auto"/>
              <w:right w:val="single" w:sz="4" w:space="0" w:color="auto"/>
            </w:tcBorders>
            <w:shd w:val="clear" w:color="auto" w:fill="auto"/>
            <w:noWrap/>
          </w:tcPr>
          <w:p w14:paraId="7F0C956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0,008</w:t>
            </w:r>
          </w:p>
        </w:tc>
        <w:tc>
          <w:tcPr>
            <w:tcW w:w="1111" w:type="dxa"/>
            <w:tcBorders>
              <w:top w:val="nil"/>
              <w:left w:val="nil"/>
              <w:bottom w:val="single" w:sz="4" w:space="0" w:color="auto"/>
              <w:right w:val="single" w:sz="4" w:space="0" w:color="auto"/>
            </w:tcBorders>
            <w:shd w:val="clear" w:color="auto" w:fill="auto"/>
            <w:noWrap/>
          </w:tcPr>
          <w:p w14:paraId="20CD23D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0,008 %</w:t>
            </w:r>
          </w:p>
        </w:tc>
        <w:tc>
          <w:tcPr>
            <w:tcW w:w="1305" w:type="dxa"/>
            <w:tcBorders>
              <w:top w:val="nil"/>
              <w:left w:val="nil"/>
              <w:bottom w:val="single" w:sz="4" w:space="0" w:color="auto"/>
              <w:right w:val="single" w:sz="4" w:space="0" w:color="auto"/>
            </w:tcBorders>
          </w:tcPr>
          <w:p w14:paraId="78E5574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15347D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42F8E54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6181395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0459494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0C8E7B0"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Japón</w:t>
            </w:r>
          </w:p>
        </w:tc>
        <w:tc>
          <w:tcPr>
            <w:tcW w:w="1111" w:type="dxa"/>
            <w:tcBorders>
              <w:top w:val="nil"/>
              <w:left w:val="nil"/>
              <w:bottom w:val="single" w:sz="4" w:space="0" w:color="auto"/>
              <w:right w:val="single" w:sz="4" w:space="0" w:color="auto"/>
            </w:tcBorders>
            <w:shd w:val="clear" w:color="auto" w:fill="auto"/>
            <w:noWrap/>
          </w:tcPr>
          <w:p w14:paraId="266D1C1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8,033</w:t>
            </w:r>
          </w:p>
        </w:tc>
        <w:tc>
          <w:tcPr>
            <w:tcW w:w="1111" w:type="dxa"/>
            <w:tcBorders>
              <w:top w:val="nil"/>
              <w:left w:val="nil"/>
              <w:bottom w:val="single" w:sz="4" w:space="0" w:color="auto"/>
              <w:right w:val="single" w:sz="4" w:space="0" w:color="auto"/>
            </w:tcBorders>
            <w:shd w:val="clear" w:color="auto" w:fill="auto"/>
            <w:noWrap/>
          </w:tcPr>
          <w:p w14:paraId="42DB46F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8,247 %</w:t>
            </w:r>
          </w:p>
        </w:tc>
        <w:tc>
          <w:tcPr>
            <w:tcW w:w="1305" w:type="dxa"/>
            <w:tcBorders>
              <w:top w:val="nil"/>
              <w:left w:val="nil"/>
              <w:bottom w:val="single" w:sz="4" w:space="0" w:color="auto"/>
              <w:right w:val="single" w:sz="4" w:space="0" w:color="auto"/>
            </w:tcBorders>
          </w:tcPr>
          <w:p w14:paraId="713E5CC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393 318</w:t>
            </w:r>
          </w:p>
        </w:tc>
        <w:tc>
          <w:tcPr>
            <w:tcW w:w="1306" w:type="dxa"/>
            <w:tcBorders>
              <w:top w:val="nil"/>
              <w:left w:val="single" w:sz="4" w:space="0" w:color="auto"/>
              <w:bottom w:val="single" w:sz="4" w:space="0" w:color="auto"/>
              <w:right w:val="single" w:sz="4" w:space="0" w:color="auto"/>
            </w:tcBorders>
            <w:shd w:val="clear" w:color="auto" w:fill="auto"/>
            <w:noWrap/>
          </w:tcPr>
          <w:p w14:paraId="007B13F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431 000</w:t>
            </w:r>
          </w:p>
        </w:tc>
        <w:tc>
          <w:tcPr>
            <w:tcW w:w="1305" w:type="dxa"/>
            <w:tcBorders>
              <w:top w:val="nil"/>
              <w:left w:val="nil"/>
              <w:bottom w:val="single" w:sz="4" w:space="0" w:color="auto"/>
              <w:right w:val="single" w:sz="4" w:space="0" w:color="auto"/>
            </w:tcBorders>
            <w:shd w:val="clear" w:color="auto" w:fill="auto"/>
            <w:noWrap/>
          </w:tcPr>
          <w:p w14:paraId="0CB9CF5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431 957</w:t>
            </w:r>
          </w:p>
        </w:tc>
        <w:tc>
          <w:tcPr>
            <w:tcW w:w="1306" w:type="dxa"/>
            <w:tcBorders>
              <w:top w:val="nil"/>
              <w:left w:val="nil"/>
              <w:bottom w:val="single" w:sz="4" w:space="0" w:color="auto"/>
              <w:right w:val="single" w:sz="4" w:space="0" w:color="auto"/>
            </w:tcBorders>
            <w:shd w:val="clear" w:color="auto" w:fill="auto"/>
            <w:noWrap/>
          </w:tcPr>
          <w:p w14:paraId="4F54D41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451 629</w:t>
            </w:r>
          </w:p>
        </w:tc>
      </w:tr>
      <w:tr w:rsidR="00595C1A" w:rsidRPr="001D42CA" w14:paraId="559F74F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05C7BD5"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Jordania</w:t>
            </w:r>
          </w:p>
        </w:tc>
        <w:tc>
          <w:tcPr>
            <w:tcW w:w="1111" w:type="dxa"/>
            <w:tcBorders>
              <w:top w:val="nil"/>
              <w:left w:val="nil"/>
              <w:bottom w:val="single" w:sz="4" w:space="0" w:color="auto"/>
              <w:right w:val="single" w:sz="4" w:space="0" w:color="auto"/>
            </w:tcBorders>
            <w:shd w:val="clear" w:color="auto" w:fill="auto"/>
            <w:noWrap/>
          </w:tcPr>
          <w:p w14:paraId="27079B2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0,022</w:t>
            </w:r>
          </w:p>
        </w:tc>
        <w:tc>
          <w:tcPr>
            <w:tcW w:w="1111" w:type="dxa"/>
            <w:tcBorders>
              <w:top w:val="nil"/>
              <w:left w:val="nil"/>
              <w:bottom w:val="single" w:sz="4" w:space="0" w:color="auto"/>
              <w:right w:val="single" w:sz="4" w:space="0" w:color="auto"/>
            </w:tcBorders>
            <w:shd w:val="clear" w:color="auto" w:fill="auto"/>
            <w:noWrap/>
          </w:tcPr>
          <w:p w14:paraId="69D916D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0,023 %</w:t>
            </w:r>
          </w:p>
        </w:tc>
        <w:tc>
          <w:tcPr>
            <w:tcW w:w="1305" w:type="dxa"/>
            <w:tcBorders>
              <w:top w:val="nil"/>
              <w:left w:val="nil"/>
              <w:bottom w:val="single" w:sz="4" w:space="0" w:color="auto"/>
              <w:right w:val="single" w:sz="4" w:space="0" w:color="auto"/>
            </w:tcBorders>
          </w:tcPr>
          <w:p w14:paraId="484E1BD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1 077</w:t>
            </w:r>
          </w:p>
        </w:tc>
        <w:tc>
          <w:tcPr>
            <w:tcW w:w="1306" w:type="dxa"/>
            <w:tcBorders>
              <w:top w:val="nil"/>
              <w:left w:val="single" w:sz="4" w:space="0" w:color="auto"/>
              <w:bottom w:val="single" w:sz="4" w:space="0" w:color="auto"/>
              <w:right w:val="single" w:sz="4" w:space="0" w:color="auto"/>
            </w:tcBorders>
            <w:shd w:val="clear" w:color="auto" w:fill="auto"/>
            <w:noWrap/>
          </w:tcPr>
          <w:p w14:paraId="778F940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1 180</w:t>
            </w:r>
          </w:p>
        </w:tc>
        <w:tc>
          <w:tcPr>
            <w:tcW w:w="1305" w:type="dxa"/>
            <w:tcBorders>
              <w:top w:val="nil"/>
              <w:left w:val="nil"/>
              <w:bottom w:val="single" w:sz="4" w:space="0" w:color="auto"/>
              <w:right w:val="single" w:sz="4" w:space="0" w:color="auto"/>
            </w:tcBorders>
            <w:shd w:val="clear" w:color="auto" w:fill="auto"/>
            <w:noWrap/>
          </w:tcPr>
          <w:p w14:paraId="5A2E807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1 183</w:t>
            </w:r>
          </w:p>
        </w:tc>
        <w:tc>
          <w:tcPr>
            <w:tcW w:w="1306" w:type="dxa"/>
            <w:tcBorders>
              <w:top w:val="nil"/>
              <w:left w:val="nil"/>
              <w:bottom w:val="single" w:sz="4" w:space="0" w:color="auto"/>
              <w:right w:val="single" w:sz="4" w:space="0" w:color="auto"/>
            </w:tcBorders>
            <w:shd w:val="clear" w:color="auto" w:fill="auto"/>
            <w:noWrap/>
          </w:tcPr>
          <w:p w14:paraId="45046B9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1 237</w:t>
            </w:r>
          </w:p>
        </w:tc>
      </w:tr>
      <w:tr w:rsidR="00595C1A" w:rsidRPr="001D42CA" w14:paraId="4492D8A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155FE2B"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Kazajstán</w:t>
            </w:r>
          </w:p>
        </w:tc>
        <w:tc>
          <w:tcPr>
            <w:tcW w:w="1111" w:type="dxa"/>
            <w:tcBorders>
              <w:top w:val="nil"/>
              <w:left w:val="nil"/>
              <w:bottom w:val="single" w:sz="4" w:space="0" w:color="auto"/>
              <w:right w:val="single" w:sz="4" w:space="0" w:color="auto"/>
            </w:tcBorders>
            <w:shd w:val="clear" w:color="auto" w:fill="auto"/>
            <w:noWrap/>
          </w:tcPr>
          <w:p w14:paraId="3B048F7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0,133</w:t>
            </w:r>
          </w:p>
        </w:tc>
        <w:tc>
          <w:tcPr>
            <w:tcW w:w="1111" w:type="dxa"/>
            <w:tcBorders>
              <w:top w:val="nil"/>
              <w:left w:val="nil"/>
              <w:bottom w:val="single" w:sz="4" w:space="0" w:color="auto"/>
              <w:right w:val="single" w:sz="4" w:space="0" w:color="auto"/>
            </w:tcBorders>
            <w:shd w:val="clear" w:color="auto" w:fill="auto"/>
            <w:noWrap/>
          </w:tcPr>
          <w:p w14:paraId="38FF910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0,137 %</w:t>
            </w:r>
          </w:p>
        </w:tc>
        <w:tc>
          <w:tcPr>
            <w:tcW w:w="1305" w:type="dxa"/>
            <w:tcBorders>
              <w:top w:val="nil"/>
              <w:left w:val="nil"/>
              <w:bottom w:val="single" w:sz="4" w:space="0" w:color="auto"/>
              <w:right w:val="single" w:sz="4" w:space="0" w:color="auto"/>
            </w:tcBorders>
          </w:tcPr>
          <w:p w14:paraId="3F6BB57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6 512</w:t>
            </w:r>
          </w:p>
        </w:tc>
        <w:tc>
          <w:tcPr>
            <w:tcW w:w="1306" w:type="dxa"/>
            <w:tcBorders>
              <w:top w:val="nil"/>
              <w:left w:val="single" w:sz="4" w:space="0" w:color="auto"/>
              <w:bottom w:val="single" w:sz="4" w:space="0" w:color="auto"/>
              <w:right w:val="single" w:sz="4" w:space="0" w:color="auto"/>
            </w:tcBorders>
            <w:shd w:val="clear" w:color="auto" w:fill="auto"/>
            <w:noWrap/>
          </w:tcPr>
          <w:p w14:paraId="221DCD6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7 136</w:t>
            </w:r>
          </w:p>
        </w:tc>
        <w:tc>
          <w:tcPr>
            <w:tcW w:w="1305" w:type="dxa"/>
            <w:tcBorders>
              <w:top w:val="nil"/>
              <w:left w:val="nil"/>
              <w:bottom w:val="single" w:sz="4" w:space="0" w:color="auto"/>
              <w:right w:val="single" w:sz="4" w:space="0" w:color="auto"/>
            </w:tcBorders>
            <w:shd w:val="clear" w:color="auto" w:fill="auto"/>
            <w:noWrap/>
          </w:tcPr>
          <w:p w14:paraId="6C5ED31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7 152</w:t>
            </w:r>
          </w:p>
        </w:tc>
        <w:tc>
          <w:tcPr>
            <w:tcW w:w="1306" w:type="dxa"/>
            <w:tcBorders>
              <w:top w:val="nil"/>
              <w:left w:val="nil"/>
              <w:bottom w:val="single" w:sz="4" w:space="0" w:color="auto"/>
              <w:right w:val="single" w:sz="4" w:space="0" w:color="auto"/>
            </w:tcBorders>
            <w:shd w:val="clear" w:color="auto" w:fill="auto"/>
            <w:noWrap/>
          </w:tcPr>
          <w:p w14:paraId="0CD438C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7 477</w:t>
            </w:r>
          </w:p>
        </w:tc>
      </w:tr>
      <w:tr w:rsidR="00595C1A" w:rsidRPr="001D42CA" w14:paraId="75566B1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08F2908"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Kenya</w:t>
            </w:r>
            <w:proofErr w:type="spellEnd"/>
          </w:p>
        </w:tc>
        <w:tc>
          <w:tcPr>
            <w:tcW w:w="1111" w:type="dxa"/>
            <w:tcBorders>
              <w:top w:val="nil"/>
              <w:left w:val="nil"/>
              <w:bottom w:val="single" w:sz="4" w:space="0" w:color="auto"/>
              <w:right w:val="single" w:sz="4" w:space="0" w:color="auto"/>
            </w:tcBorders>
            <w:shd w:val="clear" w:color="auto" w:fill="auto"/>
            <w:noWrap/>
          </w:tcPr>
          <w:p w14:paraId="1F25FCF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0,030</w:t>
            </w:r>
          </w:p>
        </w:tc>
        <w:tc>
          <w:tcPr>
            <w:tcW w:w="1111" w:type="dxa"/>
            <w:tcBorders>
              <w:top w:val="nil"/>
              <w:left w:val="nil"/>
              <w:bottom w:val="single" w:sz="4" w:space="0" w:color="auto"/>
              <w:right w:val="single" w:sz="4" w:space="0" w:color="auto"/>
            </w:tcBorders>
            <w:shd w:val="clear" w:color="auto" w:fill="auto"/>
            <w:noWrap/>
          </w:tcPr>
          <w:p w14:paraId="0F672AA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0,031 %</w:t>
            </w:r>
          </w:p>
        </w:tc>
        <w:tc>
          <w:tcPr>
            <w:tcW w:w="1305" w:type="dxa"/>
            <w:tcBorders>
              <w:top w:val="nil"/>
              <w:left w:val="nil"/>
              <w:bottom w:val="single" w:sz="4" w:space="0" w:color="auto"/>
              <w:right w:val="single" w:sz="4" w:space="0" w:color="auto"/>
            </w:tcBorders>
          </w:tcPr>
          <w:p w14:paraId="03DC6A7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1 469</w:t>
            </w:r>
          </w:p>
        </w:tc>
        <w:tc>
          <w:tcPr>
            <w:tcW w:w="1306" w:type="dxa"/>
            <w:tcBorders>
              <w:top w:val="nil"/>
              <w:left w:val="single" w:sz="4" w:space="0" w:color="auto"/>
              <w:bottom w:val="single" w:sz="4" w:space="0" w:color="auto"/>
              <w:right w:val="single" w:sz="4" w:space="0" w:color="auto"/>
            </w:tcBorders>
            <w:shd w:val="clear" w:color="auto" w:fill="auto"/>
            <w:noWrap/>
          </w:tcPr>
          <w:p w14:paraId="39EC2AB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1 610</w:t>
            </w:r>
          </w:p>
        </w:tc>
        <w:tc>
          <w:tcPr>
            <w:tcW w:w="1305" w:type="dxa"/>
            <w:tcBorders>
              <w:top w:val="nil"/>
              <w:left w:val="nil"/>
              <w:bottom w:val="single" w:sz="4" w:space="0" w:color="auto"/>
              <w:right w:val="single" w:sz="4" w:space="0" w:color="auto"/>
            </w:tcBorders>
            <w:shd w:val="clear" w:color="auto" w:fill="auto"/>
            <w:noWrap/>
          </w:tcPr>
          <w:p w14:paraId="3430B5F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1 613</w:t>
            </w:r>
          </w:p>
        </w:tc>
        <w:tc>
          <w:tcPr>
            <w:tcW w:w="1306" w:type="dxa"/>
            <w:tcBorders>
              <w:top w:val="nil"/>
              <w:left w:val="nil"/>
              <w:bottom w:val="single" w:sz="4" w:space="0" w:color="auto"/>
              <w:right w:val="single" w:sz="4" w:space="0" w:color="auto"/>
            </w:tcBorders>
            <w:shd w:val="clear" w:color="auto" w:fill="auto"/>
            <w:noWrap/>
          </w:tcPr>
          <w:p w14:paraId="4BC23AC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1 687</w:t>
            </w:r>
          </w:p>
        </w:tc>
      </w:tr>
      <w:tr w:rsidR="00595C1A" w:rsidRPr="001D42CA" w14:paraId="7228FC3D"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F56458B"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Kirguistán</w:t>
            </w:r>
          </w:p>
        </w:tc>
        <w:tc>
          <w:tcPr>
            <w:tcW w:w="1111" w:type="dxa"/>
            <w:tcBorders>
              <w:top w:val="nil"/>
              <w:left w:val="nil"/>
              <w:bottom w:val="single" w:sz="4" w:space="0" w:color="auto"/>
              <w:right w:val="single" w:sz="4" w:space="0" w:color="auto"/>
            </w:tcBorders>
            <w:shd w:val="clear" w:color="auto" w:fill="auto"/>
            <w:noWrap/>
          </w:tcPr>
          <w:p w14:paraId="7BB69B5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w:t>
            </w:r>
          </w:p>
        </w:tc>
        <w:tc>
          <w:tcPr>
            <w:tcW w:w="1111" w:type="dxa"/>
            <w:tcBorders>
              <w:top w:val="nil"/>
              <w:left w:val="nil"/>
              <w:bottom w:val="single" w:sz="4" w:space="0" w:color="auto"/>
              <w:right w:val="single" w:sz="4" w:space="0" w:color="auto"/>
            </w:tcBorders>
            <w:shd w:val="clear" w:color="auto" w:fill="auto"/>
            <w:noWrap/>
          </w:tcPr>
          <w:p w14:paraId="277355F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0,002 %</w:t>
            </w:r>
          </w:p>
        </w:tc>
        <w:tc>
          <w:tcPr>
            <w:tcW w:w="1305" w:type="dxa"/>
            <w:tcBorders>
              <w:top w:val="nil"/>
              <w:left w:val="nil"/>
              <w:bottom w:val="single" w:sz="4" w:space="0" w:color="auto"/>
              <w:right w:val="single" w:sz="4" w:space="0" w:color="auto"/>
            </w:tcBorders>
          </w:tcPr>
          <w:p w14:paraId="0EB6BA0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30B86B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C3B209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435D6CF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6229626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961B42F"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Kiribati</w:t>
            </w:r>
          </w:p>
        </w:tc>
        <w:tc>
          <w:tcPr>
            <w:tcW w:w="1111" w:type="dxa"/>
            <w:tcBorders>
              <w:top w:val="nil"/>
              <w:left w:val="nil"/>
              <w:bottom w:val="single" w:sz="4" w:space="0" w:color="auto"/>
              <w:right w:val="single" w:sz="4" w:space="0" w:color="auto"/>
            </w:tcBorders>
            <w:shd w:val="clear" w:color="auto" w:fill="auto"/>
            <w:noWrap/>
          </w:tcPr>
          <w:p w14:paraId="244A4B0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512C870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3446238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1CE3DD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60278A1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67E89F0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7294E883"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8B1C0B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Kuwait</w:t>
            </w:r>
          </w:p>
        </w:tc>
        <w:tc>
          <w:tcPr>
            <w:tcW w:w="1111" w:type="dxa"/>
            <w:tcBorders>
              <w:top w:val="nil"/>
              <w:left w:val="nil"/>
              <w:bottom w:val="single" w:sz="4" w:space="0" w:color="auto"/>
              <w:right w:val="single" w:sz="4" w:space="0" w:color="auto"/>
            </w:tcBorders>
            <w:shd w:val="clear" w:color="auto" w:fill="auto"/>
            <w:noWrap/>
          </w:tcPr>
          <w:p w14:paraId="063C2E5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0,234</w:t>
            </w:r>
          </w:p>
        </w:tc>
        <w:tc>
          <w:tcPr>
            <w:tcW w:w="1111" w:type="dxa"/>
            <w:tcBorders>
              <w:top w:val="nil"/>
              <w:left w:val="nil"/>
              <w:bottom w:val="single" w:sz="4" w:space="0" w:color="auto"/>
              <w:right w:val="single" w:sz="4" w:space="0" w:color="auto"/>
            </w:tcBorders>
            <w:shd w:val="clear" w:color="auto" w:fill="auto"/>
            <w:noWrap/>
          </w:tcPr>
          <w:p w14:paraId="4DCB6A7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0,240 %</w:t>
            </w:r>
          </w:p>
        </w:tc>
        <w:tc>
          <w:tcPr>
            <w:tcW w:w="1305" w:type="dxa"/>
            <w:tcBorders>
              <w:top w:val="nil"/>
              <w:left w:val="nil"/>
              <w:bottom w:val="single" w:sz="4" w:space="0" w:color="auto"/>
              <w:right w:val="single" w:sz="4" w:space="0" w:color="auto"/>
            </w:tcBorders>
          </w:tcPr>
          <w:p w14:paraId="0FC15345"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11 457</w:t>
            </w:r>
          </w:p>
        </w:tc>
        <w:tc>
          <w:tcPr>
            <w:tcW w:w="1306" w:type="dxa"/>
            <w:tcBorders>
              <w:top w:val="nil"/>
              <w:left w:val="single" w:sz="4" w:space="0" w:color="auto"/>
              <w:bottom w:val="single" w:sz="4" w:space="0" w:color="auto"/>
              <w:right w:val="single" w:sz="4" w:space="0" w:color="auto"/>
            </w:tcBorders>
            <w:shd w:val="clear" w:color="auto" w:fill="auto"/>
            <w:noWrap/>
          </w:tcPr>
          <w:p w14:paraId="06A43C5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12 555</w:t>
            </w:r>
          </w:p>
        </w:tc>
        <w:tc>
          <w:tcPr>
            <w:tcW w:w="1305" w:type="dxa"/>
            <w:tcBorders>
              <w:top w:val="nil"/>
              <w:left w:val="nil"/>
              <w:bottom w:val="single" w:sz="4" w:space="0" w:color="auto"/>
              <w:right w:val="single" w:sz="4" w:space="0" w:color="auto"/>
            </w:tcBorders>
            <w:shd w:val="clear" w:color="auto" w:fill="auto"/>
            <w:noWrap/>
          </w:tcPr>
          <w:p w14:paraId="65AB608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12 583</w:t>
            </w:r>
          </w:p>
        </w:tc>
        <w:tc>
          <w:tcPr>
            <w:tcW w:w="1306" w:type="dxa"/>
            <w:tcBorders>
              <w:top w:val="nil"/>
              <w:left w:val="nil"/>
              <w:bottom w:val="single" w:sz="4" w:space="0" w:color="auto"/>
              <w:right w:val="single" w:sz="4" w:space="0" w:color="auto"/>
            </w:tcBorders>
            <w:shd w:val="clear" w:color="auto" w:fill="auto"/>
            <w:noWrap/>
          </w:tcPr>
          <w:p w14:paraId="7AA3A24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13 156</w:t>
            </w:r>
          </w:p>
        </w:tc>
      </w:tr>
      <w:tr w:rsidR="00595C1A" w:rsidRPr="001D42CA" w14:paraId="71736B7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5A8D350"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Lesotho</w:t>
            </w:r>
            <w:proofErr w:type="spellEnd"/>
          </w:p>
        </w:tc>
        <w:tc>
          <w:tcPr>
            <w:tcW w:w="1111" w:type="dxa"/>
            <w:tcBorders>
              <w:top w:val="nil"/>
              <w:left w:val="nil"/>
              <w:bottom w:val="single" w:sz="4" w:space="0" w:color="auto"/>
              <w:right w:val="single" w:sz="4" w:space="0" w:color="auto"/>
            </w:tcBorders>
            <w:shd w:val="clear" w:color="auto" w:fill="auto"/>
            <w:noWrap/>
          </w:tcPr>
          <w:p w14:paraId="48BF894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7702C4E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4049D1A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AFBC80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5834C93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7C194B8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71D454C7"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3EF4E2F"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Letonia</w:t>
            </w:r>
          </w:p>
        </w:tc>
        <w:tc>
          <w:tcPr>
            <w:tcW w:w="1111" w:type="dxa"/>
            <w:tcBorders>
              <w:top w:val="nil"/>
              <w:left w:val="nil"/>
              <w:bottom w:val="single" w:sz="4" w:space="0" w:color="auto"/>
              <w:right w:val="single" w:sz="4" w:space="0" w:color="auto"/>
            </w:tcBorders>
            <w:shd w:val="clear" w:color="auto" w:fill="auto"/>
            <w:noWrap/>
          </w:tcPr>
          <w:p w14:paraId="3E974EB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0,050</w:t>
            </w:r>
          </w:p>
        </w:tc>
        <w:tc>
          <w:tcPr>
            <w:tcW w:w="1111" w:type="dxa"/>
            <w:tcBorders>
              <w:top w:val="nil"/>
              <w:left w:val="nil"/>
              <w:bottom w:val="single" w:sz="4" w:space="0" w:color="auto"/>
              <w:right w:val="single" w:sz="4" w:space="0" w:color="auto"/>
            </w:tcBorders>
            <w:shd w:val="clear" w:color="auto" w:fill="auto"/>
            <w:noWrap/>
          </w:tcPr>
          <w:p w14:paraId="4DB2D29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0,051 %</w:t>
            </w:r>
          </w:p>
        </w:tc>
        <w:tc>
          <w:tcPr>
            <w:tcW w:w="1305" w:type="dxa"/>
            <w:tcBorders>
              <w:top w:val="nil"/>
              <w:left w:val="nil"/>
              <w:bottom w:val="single" w:sz="4" w:space="0" w:color="auto"/>
              <w:right w:val="single" w:sz="4" w:space="0" w:color="auto"/>
            </w:tcBorders>
          </w:tcPr>
          <w:p w14:paraId="6046A39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2 448</w:t>
            </w:r>
          </w:p>
        </w:tc>
        <w:tc>
          <w:tcPr>
            <w:tcW w:w="1306" w:type="dxa"/>
            <w:tcBorders>
              <w:top w:val="nil"/>
              <w:left w:val="single" w:sz="4" w:space="0" w:color="auto"/>
              <w:bottom w:val="single" w:sz="4" w:space="0" w:color="auto"/>
              <w:right w:val="single" w:sz="4" w:space="0" w:color="auto"/>
            </w:tcBorders>
            <w:shd w:val="clear" w:color="auto" w:fill="auto"/>
            <w:noWrap/>
          </w:tcPr>
          <w:p w14:paraId="10FF519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2 683</w:t>
            </w:r>
          </w:p>
        </w:tc>
        <w:tc>
          <w:tcPr>
            <w:tcW w:w="1305" w:type="dxa"/>
            <w:tcBorders>
              <w:top w:val="nil"/>
              <w:left w:val="nil"/>
              <w:bottom w:val="single" w:sz="4" w:space="0" w:color="auto"/>
              <w:right w:val="single" w:sz="4" w:space="0" w:color="auto"/>
            </w:tcBorders>
            <w:shd w:val="clear" w:color="auto" w:fill="auto"/>
            <w:noWrap/>
          </w:tcPr>
          <w:p w14:paraId="2DE9F75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2 689</w:t>
            </w:r>
          </w:p>
        </w:tc>
        <w:tc>
          <w:tcPr>
            <w:tcW w:w="1306" w:type="dxa"/>
            <w:tcBorders>
              <w:top w:val="nil"/>
              <w:left w:val="nil"/>
              <w:bottom w:val="single" w:sz="4" w:space="0" w:color="auto"/>
              <w:right w:val="single" w:sz="4" w:space="0" w:color="auto"/>
            </w:tcBorders>
            <w:shd w:val="clear" w:color="auto" w:fill="auto"/>
            <w:noWrap/>
          </w:tcPr>
          <w:p w14:paraId="03C32E5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2 811</w:t>
            </w:r>
          </w:p>
        </w:tc>
      </w:tr>
      <w:tr w:rsidR="00595C1A" w:rsidRPr="001D42CA" w14:paraId="4C97F63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9C54C7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Líbano</w:t>
            </w:r>
          </w:p>
        </w:tc>
        <w:tc>
          <w:tcPr>
            <w:tcW w:w="1111" w:type="dxa"/>
            <w:tcBorders>
              <w:top w:val="nil"/>
              <w:left w:val="nil"/>
              <w:bottom w:val="single" w:sz="4" w:space="0" w:color="auto"/>
              <w:right w:val="single" w:sz="4" w:space="0" w:color="auto"/>
            </w:tcBorders>
            <w:shd w:val="clear" w:color="auto" w:fill="auto"/>
            <w:noWrap/>
          </w:tcPr>
          <w:p w14:paraId="2112E93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0,036</w:t>
            </w:r>
          </w:p>
        </w:tc>
        <w:tc>
          <w:tcPr>
            <w:tcW w:w="1111" w:type="dxa"/>
            <w:tcBorders>
              <w:top w:val="nil"/>
              <w:left w:val="nil"/>
              <w:bottom w:val="single" w:sz="4" w:space="0" w:color="auto"/>
              <w:right w:val="single" w:sz="4" w:space="0" w:color="auto"/>
            </w:tcBorders>
            <w:shd w:val="clear" w:color="auto" w:fill="auto"/>
            <w:noWrap/>
          </w:tcPr>
          <w:p w14:paraId="6D89AC2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0,037 %</w:t>
            </w:r>
          </w:p>
        </w:tc>
        <w:tc>
          <w:tcPr>
            <w:tcW w:w="1305" w:type="dxa"/>
            <w:tcBorders>
              <w:top w:val="nil"/>
              <w:left w:val="nil"/>
              <w:bottom w:val="single" w:sz="4" w:space="0" w:color="auto"/>
              <w:right w:val="single" w:sz="4" w:space="0" w:color="auto"/>
            </w:tcBorders>
          </w:tcPr>
          <w:p w14:paraId="559F72A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1 763</w:t>
            </w:r>
          </w:p>
        </w:tc>
        <w:tc>
          <w:tcPr>
            <w:tcW w:w="1306" w:type="dxa"/>
            <w:tcBorders>
              <w:top w:val="nil"/>
              <w:left w:val="single" w:sz="4" w:space="0" w:color="auto"/>
              <w:bottom w:val="single" w:sz="4" w:space="0" w:color="auto"/>
              <w:right w:val="single" w:sz="4" w:space="0" w:color="auto"/>
            </w:tcBorders>
            <w:shd w:val="clear" w:color="auto" w:fill="auto"/>
            <w:noWrap/>
          </w:tcPr>
          <w:p w14:paraId="60FF040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1 932</w:t>
            </w:r>
          </w:p>
        </w:tc>
        <w:tc>
          <w:tcPr>
            <w:tcW w:w="1305" w:type="dxa"/>
            <w:tcBorders>
              <w:top w:val="nil"/>
              <w:left w:val="nil"/>
              <w:bottom w:val="single" w:sz="4" w:space="0" w:color="auto"/>
              <w:right w:val="single" w:sz="4" w:space="0" w:color="auto"/>
            </w:tcBorders>
            <w:shd w:val="clear" w:color="auto" w:fill="auto"/>
            <w:noWrap/>
          </w:tcPr>
          <w:p w14:paraId="324A6EB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1 936</w:t>
            </w:r>
          </w:p>
        </w:tc>
        <w:tc>
          <w:tcPr>
            <w:tcW w:w="1306" w:type="dxa"/>
            <w:tcBorders>
              <w:top w:val="nil"/>
              <w:left w:val="nil"/>
              <w:bottom w:val="single" w:sz="4" w:space="0" w:color="auto"/>
              <w:right w:val="single" w:sz="4" w:space="0" w:color="auto"/>
            </w:tcBorders>
            <w:shd w:val="clear" w:color="auto" w:fill="auto"/>
            <w:noWrap/>
          </w:tcPr>
          <w:p w14:paraId="6C85303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2 024</w:t>
            </w:r>
          </w:p>
        </w:tc>
      </w:tr>
      <w:tr w:rsidR="00595C1A" w:rsidRPr="001D42CA" w14:paraId="5FDDC1E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CCC7676"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Liberia</w:t>
            </w:r>
          </w:p>
        </w:tc>
        <w:tc>
          <w:tcPr>
            <w:tcW w:w="1111" w:type="dxa"/>
            <w:tcBorders>
              <w:top w:val="nil"/>
              <w:left w:val="nil"/>
              <w:bottom w:val="single" w:sz="4" w:space="0" w:color="auto"/>
              <w:right w:val="single" w:sz="4" w:space="0" w:color="auto"/>
            </w:tcBorders>
            <w:shd w:val="clear" w:color="auto" w:fill="auto"/>
            <w:noWrap/>
          </w:tcPr>
          <w:p w14:paraId="4AE983B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7B6E6D8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566CA56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112B78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6617EF6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F489DE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52D2DF1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9650D8A" w14:textId="77777777" w:rsidR="00595C1A" w:rsidRPr="003914F9" w:rsidRDefault="00595C1A" w:rsidP="006F3288">
            <w:pPr>
              <w:ind w:left="0" w:firstLine="0"/>
              <w:rPr>
                <w:rFonts w:asciiTheme="minorHAnsi" w:eastAsia="Times New Roman" w:hAnsiTheme="minorHAnsi" w:cstheme="minorHAnsi"/>
                <w:sz w:val="20"/>
                <w:szCs w:val="20"/>
              </w:rPr>
            </w:pPr>
            <w:r>
              <w:rPr>
                <w:rFonts w:asciiTheme="minorHAnsi" w:hAnsiTheme="minorHAnsi"/>
                <w:sz w:val="20"/>
              </w:rPr>
              <w:t>Libia</w:t>
            </w:r>
          </w:p>
        </w:tc>
        <w:tc>
          <w:tcPr>
            <w:tcW w:w="1111" w:type="dxa"/>
            <w:tcBorders>
              <w:top w:val="nil"/>
              <w:left w:val="nil"/>
              <w:bottom w:val="single" w:sz="4" w:space="0" w:color="auto"/>
              <w:right w:val="single" w:sz="4" w:space="0" w:color="auto"/>
            </w:tcBorders>
            <w:shd w:val="clear" w:color="auto" w:fill="auto"/>
            <w:noWrap/>
          </w:tcPr>
          <w:p w14:paraId="14C557AE"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0,018</w:t>
            </w:r>
          </w:p>
        </w:tc>
        <w:tc>
          <w:tcPr>
            <w:tcW w:w="1111" w:type="dxa"/>
            <w:tcBorders>
              <w:top w:val="nil"/>
              <w:left w:val="nil"/>
              <w:bottom w:val="single" w:sz="4" w:space="0" w:color="auto"/>
              <w:right w:val="single" w:sz="4" w:space="0" w:color="auto"/>
            </w:tcBorders>
            <w:shd w:val="clear" w:color="auto" w:fill="auto"/>
            <w:noWrap/>
          </w:tcPr>
          <w:p w14:paraId="71C15AF1"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0,018 %</w:t>
            </w:r>
          </w:p>
        </w:tc>
        <w:tc>
          <w:tcPr>
            <w:tcW w:w="1305" w:type="dxa"/>
            <w:tcBorders>
              <w:top w:val="nil"/>
              <w:left w:val="nil"/>
              <w:bottom w:val="single" w:sz="4" w:space="0" w:color="auto"/>
              <w:right w:val="single" w:sz="4" w:space="0" w:color="auto"/>
            </w:tcBorders>
          </w:tcPr>
          <w:p w14:paraId="21CABA40" w14:textId="77777777" w:rsidR="00595C1A" w:rsidRPr="00E4084B" w:rsidRDefault="00595C1A" w:rsidP="006F3288">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957F5E6"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E8171CA"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06F72854"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1 012</w:t>
            </w:r>
          </w:p>
        </w:tc>
      </w:tr>
      <w:tr w:rsidR="00595C1A" w:rsidRPr="001D42CA" w14:paraId="509E3BC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EC5D84F"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Liechtenstein</w:t>
            </w:r>
          </w:p>
        </w:tc>
        <w:tc>
          <w:tcPr>
            <w:tcW w:w="1111" w:type="dxa"/>
            <w:tcBorders>
              <w:top w:val="nil"/>
              <w:left w:val="nil"/>
              <w:bottom w:val="single" w:sz="4" w:space="0" w:color="auto"/>
              <w:right w:val="single" w:sz="4" w:space="0" w:color="auto"/>
            </w:tcBorders>
            <w:shd w:val="clear" w:color="auto" w:fill="auto"/>
            <w:noWrap/>
          </w:tcPr>
          <w:p w14:paraId="0708562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w:t>
            </w:r>
          </w:p>
        </w:tc>
        <w:tc>
          <w:tcPr>
            <w:tcW w:w="1111" w:type="dxa"/>
            <w:tcBorders>
              <w:top w:val="nil"/>
              <w:left w:val="nil"/>
              <w:bottom w:val="single" w:sz="4" w:space="0" w:color="auto"/>
              <w:right w:val="single" w:sz="4" w:space="0" w:color="auto"/>
            </w:tcBorders>
            <w:shd w:val="clear" w:color="auto" w:fill="auto"/>
            <w:noWrap/>
          </w:tcPr>
          <w:p w14:paraId="65DE990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0,010 %</w:t>
            </w:r>
          </w:p>
        </w:tc>
        <w:tc>
          <w:tcPr>
            <w:tcW w:w="1305" w:type="dxa"/>
            <w:tcBorders>
              <w:top w:val="nil"/>
              <w:left w:val="nil"/>
              <w:bottom w:val="single" w:sz="4" w:space="0" w:color="auto"/>
              <w:right w:val="single" w:sz="4" w:space="0" w:color="auto"/>
            </w:tcBorders>
          </w:tcPr>
          <w:p w14:paraId="27A22AA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34AA1C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12D451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0BFFEC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162CA3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16874E5"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Lituania</w:t>
            </w:r>
          </w:p>
        </w:tc>
        <w:tc>
          <w:tcPr>
            <w:tcW w:w="1111" w:type="dxa"/>
            <w:tcBorders>
              <w:top w:val="nil"/>
              <w:left w:val="nil"/>
              <w:bottom w:val="single" w:sz="4" w:space="0" w:color="auto"/>
              <w:right w:val="single" w:sz="4" w:space="0" w:color="auto"/>
            </w:tcBorders>
            <w:shd w:val="clear" w:color="auto" w:fill="auto"/>
            <w:noWrap/>
          </w:tcPr>
          <w:p w14:paraId="7F595E1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0,077</w:t>
            </w:r>
          </w:p>
        </w:tc>
        <w:tc>
          <w:tcPr>
            <w:tcW w:w="1111" w:type="dxa"/>
            <w:tcBorders>
              <w:top w:val="nil"/>
              <w:left w:val="nil"/>
              <w:bottom w:val="single" w:sz="4" w:space="0" w:color="auto"/>
              <w:right w:val="single" w:sz="4" w:space="0" w:color="auto"/>
            </w:tcBorders>
            <w:shd w:val="clear" w:color="auto" w:fill="auto"/>
            <w:noWrap/>
          </w:tcPr>
          <w:p w14:paraId="227B7D9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0,079 %</w:t>
            </w:r>
          </w:p>
        </w:tc>
        <w:tc>
          <w:tcPr>
            <w:tcW w:w="1305" w:type="dxa"/>
            <w:tcBorders>
              <w:top w:val="nil"/>
              <w:left w:val="nil"/>
              <w:bottom w:val="single" w:sz="4" w:space="0" w:color="auto"/>
              <w:right w:val="single" w:sz="4" w:space="0" w:color="auto"/>
            </w:tcBorders>
          </w:tcPr>
          <w:p w14:paraId="768DA64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3 770</w:t>
            </w:r>
          </w:p>
        </w:tc>
        <w:tc>
          <w:tcPr>
            <w:tcW w:w="1306" w:type="dxa"/>
            <w:tcBorders>
              <w:top w:val="nil"/>
              <w:left w:val="single" w:sz="4" w:space="0" w:color="auto"/>
              <w:bottom w:val="single" w:sz="4" w:space="0" w:color="auto"/>
              <w:right w:val="single" w:sz="4" w:space="0" w:color="auto"/>
            </w:tcBorders>
            <w:shd w:val="clear" w:color="auto" w:fill="auto"/>
            <w:noWrap/>
          </w:tcPr>
          <w:p w14:paraId="332FDF6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4 131</w:t>
            </w:r>
          </w:p>
        </w:tc>
        <w:tc>
          <w:tcPr>
            <w:tcW w:w="1305" w:type="dxa"/>
            <w:tcBorders>
              <w:top w:val="nil"/>
              <w:left w:val="nil"/>
              <w:bottom w:val="single" w:sz="4" w:space="0" w:color="auto"/>
              <w:right w:val="single" w:sz="4" w:space="0" w:color="auto"/>
            </w:tcBorders>
            <w:shd w:val="clear" w:color="auto" w:fill="auto"/>
            <w:noWrap/>
          </w:tcPr>
          <w:p w14:paraId="4E998F7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4 141</w:t>
            </w:r>
          </w:p>
        </w:tc>
        <w:tc>
          <w:tcPr>
            <w:tcW w:w="1306" w:type="dxa"/>
            <w:tcBorders>
              <w:top w:val="nil"/>
              <w:left w:val="nil"/>
              <w:bottom w:val="single" w:sz="4" w:space="0" w:color="auto"/>
              <w:right w:val="single" w:sz="4" w:space="0" w:color="auto"/>
            </w:tcBorders>
            <w:shd w:val="clear" w:color="auto" w:fill="auto"/>
            <w:noWrap/>
          </w:tcPr>
          <w:p w14:paraId="7420978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4 329</w:t>
            </w:r>
          </w:p>
        </w:tc>
      </w:tr>
      <w:tr w:rsidR="00595C1A" w:rsidRPr="001D42CA" w14:paraId="75BB94B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5F4C9F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Luxemburgo</w:t>
            </w:r>
          </w:p>
        </w:tc>
        <w:tc>
          <w:tcPr>
            <w:tcW w:w="1111" w:type="dxa"/>
            <w:tcBorders>
              <w:top w:val="nil"/>
              <w:left w:val="nil"/>
              <w:bottom w:val="single" w:sz="4" w:space="0" w:color="auto"/>
              <w:right w:val="single" w:sz="4" w:space="0" w:color="auto"/>
            </w:tcBorders>
            <w:shd w:val="clear" w:color="auto" w:fill="auto"/>
            <w:noWrap/>
          </w:tcPr>
          <w:p w14:paraId="7AF5F49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0,068</w:t>
            </w:r>
          </w:p>
        </w:tc>
        <w:tc>
          <w:tcPr>
            <w:tcW w:w="1111" w:type="dxa"/>
            <w:tcBorders>
              <w:top w:val="nil"/>
              <w:left w:val="nil"/>
              <w:bottom w:val="single" w:sz="4" w:space="0" w:color="auto"/>
              <w:right w:val="single" w:sz="4" w:space="0" w:color="auto"/>
            </w:tcBorders>
            <w:shd w:val="clear" w:color="auto" w:fill="auto"/>
            <w:noWrap/>
          </w:tcPr>
          <w:p w14:paraId="48B4D3C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0,070 %</w:t>
            </w:r>
          </w:p>
        </w:tc>
        <w:tc>
          <w:tcPr>
            <w:tcW w:w="1305" w:type="dxa"/>
            <w:tcBorders>
              <w:top w:val="nil"/>
              <w:left w:val="nil"/>
              <w:bottom w:val="single" w:sz="4" w:space="0" w:color="auto"/>
              <w:right w:val="single" w:sz="4" w:space="0" w:color="auto"/>
            </w:tcBorders>
          </w:tcPr>
          <w:p w14:paraId="5C2CE5B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3 329</w:t>
            </w:r>
          </w:p>
        </w:tc>
        <w:tc>
          <w:tcPr>
            <w:tcW w:w="1306" w:type="dxa"/>
            <w:tcBorders>
              <w:top w:val="nil"/>
              <w:left w:val="single" w:sz="4" w:space="0" w:color="auto"/>
              <w:bottom w:val="single" w:sz="4" w:space="0" w:color="auto"/>
              <w:right w:val="single" w:sz="4" w:space="0" w:color="auto"/>
            </w:tcBorders>
            <w:shd w:val="clear" w:color="auto" w:fill="auto"/>
            <w:noWrap/>
          </w:tcPr>
          <w:p w14:paraId="41764DD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3 648</w:t>
            </w:r>
          </w:p>
        </w:tc>
        <w:tc>
          <w:tcPr>
            <w:tcW w:w="1305" w:type="dxa"/>
            <w:tcBorders>
              <w:top w:val="nil"/>
              <w:left w:val="nil"/>
              <w:bottom w:val="single" w:sz="4" w:space="0" w:color="auto"/>
              <w:right w:val="single" w:sz="4" w:space="0" w:color="auto"/>
            </w:tcBorders>
            <w:shd w:val="clear" w:color="auto" w:fill="auto"/>
            <w:noWrap/>
          </w:tcPr>
          <w:p w14:paraId="7295043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3 657</w:t>
            </w:r>
          </w:p>
        </w:tc>
        <w:tc>
          <w:tcPr>
            <w:tcW w:w="1306" w:type="dxa"/>
            <w:tcBorders>
              <w:top w:val="nil"/>
              <w:left w:val="nil"/>
              <w:bottom w:val="single" w:sz="4" w:space="0" w:color="auto"/>
              <w:right w:val="single" w:sz="4" w:space="0" w:color="auto"/>
            </w:tcBorders>
            <w:shd w:val="clear" w:color="auto" w:fill="auto"/>
            <w:noWrap/>
          </w:tcPr>
          <w:p w14:paraId="59CF033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3 823</w:t>
            </w:r>
          </w:p>
        </w:tc>
      </w:tr>
      <w:tr w:rsidR="00595C1A" w:rsidRPr="001D42CA" w14:paraId="00F4B3D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8455014" w14:textId="77777777" w:rsidR="00595C1A" w:rsidRPr="003914F9" w:rsidRDefault="00595C1A" w:rsidP="006F3288">
            <w:pPr>
              <w:ind w:left="0" w:firstLine="0"/>
              <w:rPr>
                <w:rFonts w:asciiTheme="minorHAnsi" w:eastAsia="Times New Roman" w:hAnsiTheme="minorHAnsi" w:cstheme="minorHAnsi"/>
                <w:sz w:val="20"/>
                <w:szCs w:val="20"/>
              </w:rPr>
            </w:pPr>
            <w:r>
              <w:rPr>
                <w:rFonts w:asciiTheme="minorHAnsi" w:hAnsiTheme="minorHAnsi"/>
                <w:sz w:val="20"/>
              </w:rPr>
              <w:t>Macedonia del Norte</w:t>
            </w:r>
          </w:p>
        </w:tc>
        <w:tc>
          <w:tcPr>
            <w:tcW w:w="1111" w:type="dxa"/>
            <w:tcBorders>
              <w:top w:val="nil"/>
              <w:left w:val="nil"/>
              <w:bottom w:val="single" w:sz="4" w:space="0" w:color="auto"/>
              <w:right w:val="single" w:sz="4" w:space="0" w:color="auto"/>
            </w:tcBorders>
            <w:shd w:val="clear" w:color="auto" w:fill="auto"/>
            <w:noWrap/>
          </w:tcPr>
          <w:p w14:paraId="561DE535"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0,007</w:t>
            </w:r>
          </w:p>
        </w:tc>
        <w:tc>
          <w:tcPr>
            <w:tcW w:w="1111" w:type="dxa"/>
            <w:tcBorders>
              <w:top w:val="nil"/>
              <w:left w:val="nil"/>
              <w:bottom w:val="single" w:sz="4" w:space="0" w:color="auto"/>
              <w:right w:val="single" w:sz="4" w:space="0" w:color="auto"/>
            </w:tcBorders>
            <w:shd w:val="clear" w:color="auto" w:fill="auto"/>
            <w:noWrap/>
          </w:tcPr>
          <w:p w14:paraId="53EF0934"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0,007 %</w:t>
            </w:r>
          </w:p>
        </w:tc>
        <w:tc>
          <w:tcPr>
            <w:tcW w:w="1305" w:type="dxa"/>
            <w:tcBorders>
              <w:top w:val="nil"/>
              <w:left w:val="nil"/>
              <w:bottom w:val="single" w:sz="4" w:space="0" w:color="auto"/>
              <w:right w:val="single" w:sz="4" w:space="0" w:color="auto"/>
            </w:tcBorders>
          </w:tcPr>
          <w:p w14:paraId="1440FFC3" w14:textId="77777777" w:rsidR="00595C1A" w:rsidRPr="00E4084B" w:rsidRDefault="00595C1A" w:rsidP="006F3288">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CA09696"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57BDBB8D"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4D0FFDE"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65C1898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6A4819F"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Madagascar</w:t>
            </w:r>
          </w:p>
        </w:tc>
        <w:tc>
          <w:tcPr>
            <w:tcW w:w="1111" w:type="dxa"/>
            <w:tcBorders>
              <w:top w:val="nil"/>
              <w:left w:val="nil"/>
              <w:bottom w:val="single" w:sz="4" w:space="0" w:color="auto"/>
              <w:right w:val="single" w:sz="4" w:space="0" w:color="auto"/>
            </w:tcBorders>
            <w:shd w:val="clear" w:color="auto" w:fill="auto"/>
            <w:noWrap/>
          </w:tcPr>
          <w:p w14:paraId="300D78E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w:t>
            </w:r>
          </w:p>
        </w:tc>
        <w:tc>
          <w:tcPr>
            <w:tcW w:w="1111" w:type="dxa"/>
            <w:tcBorders>
              <w:top w:val="nil"/>
              <w:left w:val="nil"/>
              <w:bottom w:val="single" w:sz="4" w:space="0" w:color="auto"/>
              <w:right w:val="single" w:sz="4" w:space="0" w:color="auto"/>
            </w:tcBorders>
            <w:shd w:val="clear" w:color="auto" w:fill="auto"/>
            <w:noWrap/>
          </w:tcPr>
          <w:p w14:paraId="0FE4B19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0,004 %</w:t>
            </w:r>
          </w:p>
        </w:tc>
        <w:tc>
          <w:tcPr>
            <w:tcW w:w="1305" w:type="dxa"/>
            <w:tcBorders>
              <w:top w:val="nil"/>
              <w:left w:val="nil"/>
              <w:bottom w:val="single" w:sz="4" w:space="0" w:color="auto"/>
              <w:right w:val="single" w:sz="4" w:space="0" w:color="auto"/>
            </w:tcBorders>
          </w:tcPr>
          <w:p w14:paraId="537E3FC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D629A0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ABBD05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5235671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67CDDD5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CC57FD1"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Malasia</w:t>
            </w:r>
          </w:p>
        </w:tc>
        <w:tc>
          <w:tcPr>
            <w:tcW w:w="1111" w:type="dxa"/>
            <w:tcBorders>
              <w:top w:val="nil"/>
              <w:left w:val="nil"/>
              <w:bottom w:val="single" w:sz="4" w:space="0" w:color="auto"/>
              <w:right w:val="single" w:sz="4" w:space="0" w:color="auto"/>
            </w:tcBorders>
            <w:shd w:val="clear" w:color="auto" w:fill="auto"/>
            <w:noWrap/>
          </w:tcPr>
          <w:p w14:paraId="4FC5603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0,348</w:t>
            </w:r>
          </w:p>
        </w:tc>
        <w:tc>
          <w:tcPr>
            <w:tcW w:w="1111" w:type="dxa"/>
            <w:tcBorders>
              <w:top w:val="nil"/>
              <w:left w:val="nil"/>
              <w:bottom w:val="single" w:sz="4" w:space="0" w:color="auto"/>
              <w:right w:val="single" w:sz="4" w:space="0" w:color="auto"/>
            </w:tcBorders>
            <w:shd w:val="clear" w:color="auto" w:fill="auto"/>
            <w:noWrap/>
          </w:tcPr>
          <w:p w14:paraId="620948B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0,357 %</w:t>
            </w:r>
          </w:p>
        </w:tc>
        <w:tc>
          <w:tcPr>
            <w:tcW w:w="1305" w:type="dxa"/>
            <w:tcBorders>
              <w:top w:val="nil"/>
              <w:left w:val="nil"/>
              <w:bottom w:val="single" w:sz="4" w:space="0" w:color="auto"/>
              <w:right w:val="single" w:sz="4" w:space="0" w:color="auto"/>
            </w:tcBorders>
          </w:tcPr>
          <w:p w14:paraId="1938794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17 039</w:t>
            </w:r>
          </w:p>
        </w:tc>
        <w:tc>
          <w:tcPr>
            <w:tcW w:w="1306" w:type="dxa"/>
            <w:tcBorders>
              <w:top w:val="nil"/>
              <w:left w:val="single" w:sz="4" w:space="0" w:color="auto"/>
              <w:bottom w:val="single" w:sz="4" w:space="0" w:color="auto"/>
              <w:right w:val="single" w:sz="4" w:space="0" w:color="auto"/>
            </w:tcBorders>
            <w:shd w:val="clear" w:color="auto" w:fill="auto"/>
            <w:noWrap/>
          </w:tcPr>
          <w:p w14:paraId="2691E4A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18 671</w:t>
            </w:r>
          </w:p>
        </w:tc>
        <w:tc>
          <w:tcPr>
            <w:tcW w:w="1305" w:type="dxa"/>
            <w:tcBorders>
              <w:top w:val="nil"/>
              <w:left w:val="nil"/>
              <w:bottom w:val="single" w:sz="4" w:space="0" w:color="auto"/>
              <w:right w:val="single" w:sz="4" w:space="0" w:color="auto"/>
            </w:tcBorders>
            <w:shd w:val="clear" w:color="auto" w:fill="auto"/>
            <w:noWrap/>
          </w:tcPr>
          <w:p w14:paraId="45FE7DB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18 713</w:t>
            </w:r>
          </w:p>
        </w:tc>
        <w:tc>
          <w:tcPr>
            <w:tcW w:w="1306" w:type="dxa"/>
            <w:tcBorders>
              <w:top w:val="nil"/>
              <w:left w:val="nil"/>
              <w:bottom w:val="single" w:sz="4" w:space="0" w:color="auto"/>
              <w:right w:val="single" w:sz="4" w:space="0" w:color="auto"/>
            </w:tcBorders>
            <w:shd w:val="clear" w:color="auto" w:fill="auto"/>
            <w:noWrap/>
          </w:tcPr>
          <w:p w14:paraId="4F28B5A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19 565</w:t>
            </w:r>
          </w:p>
        </w:tc>
      </w:tr>
      <w:tr w:rsidR="00595C1A" w:rsidRPr="001D42CA" w14:paraId="130CA98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FB28291"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Malawi</w:t>
            </w:r>
          </w:p>
        </w:tc>
        <w:tc>
          <w:tcPr>
            <w:tcW w:w="1111" w:type="dxa"/>
            <w:tcBorders>
              <w:top w:val="nil"/>
              <w:left w:val="nil"/>
              <w:bottom w:val="single" w:sz="4" w:space="0" w:color="auto"/>
              <w:right w:val="single" w:sz="4" w:space="0" w:color="auto"/>
            </w:tcBorders>
            <w:shd w:val="clear" w:color="auto" w:fill="auto"/>
            <w:noWrap/>
          </w:tcPr>
          <w:p w14:paraId="5E47D49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w:t>
            </w:r>
          </w:p>
        </w:tc>
        <w:tc>
          <w:tcPr>
            <w:tcW w:w="1111" w:type="dxa"/>
            <w:tcBorders>
              <w:top w:val="nil"/>
              <w:left w:val="nil"/>
              <w:bottom w:val="single" w:sz="4" w:space="0" w:color="auto"/>
              <w:right w:val="single" w:sz="4" w:space="0" w:color="auto"/>
            </w:tcBorders>
            <w:shd w:val="clear" w:color="auto" w:fill="auto"/>
            <w:noWrap/>
          </w:tcPr>
          <w:p w14:paraId="04B3452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0,002 %</w:t>
            </w:r>
          </w:p>
        </w:tc>
        <w:tc>
          <w:tcPr>
            <w:tcW w:w="1305" w:type="dxa"/>
            <w:tcBorders>
              <w:top w:val="nil"/>
              <w:left w:val="nil"/>
              <w:bottom w:val="single" w:sz="4" w:space="0" w:color="auto"/>
              <w:right w:val="single" w:sz="4" w:space="0" w:color="auto"/>
            </w:tcBorders>
          </w:tcPr>
          <w:p w14:paraId="6C70A7A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8DCC49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86F296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B95208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C1767E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7D0E135"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Malí</w:t>
            </w:r>
          </w:p>
        </w:tc>
        <w:tc>
          <w:tcPr>
            <w:tcW w:w="1111" w:type="dxa"/>
            <w:tcBorders>
              <w:top w:val="nil"/>
              <w:left w:val="nil"/>
              <w:bottom w:val="single" w:sz="4" w:space="0" w:color="auto"/>
              <w:right w:val="single" w:sz="4" w:space="0" w:color="auto"/>
            </w:tcBorders>
            <w:shd w:val="clear" w:color="auto" w:fill="auto"/>
            <w:noWrap/>
          </w:tcPr>
          <w:p w14:paraId="535C926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0,005</w:t>
            </w:r>
          </w:p>
        </w:tc>
        <w:tc>
          <w:tcPr>
            <w:tcW w:w="1111" w:type="dxa"/>
            <w:tcBorders>
              <w:top w:val="nil"/>
              <w:left w:val="nil"/>
              <w:bottom w:val="single" w:sz="4" w:space="0" w:color="auto"/>
              <w:right w:val="single" w:sz="4" w:space="0" w:color="auto"/>
            </w:tcBorders>
            <w:shd w:val="clear" w:color="auto" w:fill="auto"/>
            <w:noWrap/>
          </w:tcPr>
          <w:p w14:paraId="216A808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0,005 %</w:t>
            </w:r>
          </w:p>
        </w:tc>
        <w:tc>
          <w:tcPr>
            <w:tcW w:w="1305" w:type="dxa"/>
            <w:tcBorders>
              <w:top w:val="nil"/>
              <w:left w:val="nil"/>
              <w:bottom w:val="single" w:sz="4" w:space="0" w:color="auto"/>
              <w:right w:val="single" w:sz="4" w:space="0" w:color="auto"/>
            </w:tcBorders>
          </w:tcPr>
          <w:p w14:paraId="0DD234A2"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439E00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4B552B3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1D67A45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1C4FD393"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8F9F6C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Malta</w:t>
            </w:r>
          </w:p>
        </w:tc>
        <w:tc>
          <w:tcPr>
            <w:tcW w:w="1111" w:type="dxa"/>
            <w:tcBorders>
              <w:top w:val="nil"/>
              <w:left w:val="nil"/>
              <w:bottom w:val="single" w:sz="4" w:space="0" w:color="auto"/>
              <w:right w:val="single" w:sz="4" w:space="0" w:color="auto"/>
            </w:tcBorders>
            <w:shd w:val="clear" w:color="auto" w:fill="auto"/>
            <w:noWrap/>
          </w:tcPr>
          <w:p w14:paraId="487C7B9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0,019</w:t>
            </w:r>
          </w:p>
        </w:tc>
        <w:tc>
          <w:tcPr>
            <w:tcW w:w="1111" w:type="dxa"/>
            <w:tcBorders>
              <w:top w:val="nil"/>
              <w:left w:val="nil"/>
              <w:bottom w:val="single" w:sz="4" w:space="0" w:color="auto"/>
              <w:right w:val="single" w:sz="4" w:space="0" w:color="auto"/>
            </w:tcBorders>
            <w:shd w:val="clear" w:color="auto" w:fill="auto"/>
            <w:noWrap/>
          </w:tcPr>
          <w:p w14:paraId="6A9F420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0,020 %</w:t>
            </w:r>
          </w:p>
        </w:tc>
        <w:tc>
          <w:tcPr>
            <w:tcW w:w="1305" w:type="dxa"/>
            <w:tcBorders>
              <w:top w:val="nil"/>
              <w:left w:val="nil"/>
              <w:bottom w:val="single" w:sz="4" w:space="0" w:color="auto"/>
              <w:right w:val="single" w:sz="4" w:space="0" w:color="auto"/>
            </w:tcBorders>
          </w:tcPr>
          <w:p w14:paraId="7AB3DF8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1931C9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1 019</w:t>
            </w:r>
          </w:p>
        </w:tc>
        <w:tc>
          <w:tcPr>
            <w:tcW w:w="1305" w:type="dxa"/>
            <w:tcBorders>
              <w:top w:val="nil"/>
              <w:left w:val="nil"/>
              <w:bottom w:val="single" w:sz="4" w:space="0" w:color="auto"/>
              <w:right w:val="single" w:sz="4" w:space="0" w:color="auto"/>
            </w:tcBorders>
            <w:shd w:val="clear" w:color="auto" w:fill="auto"/>
            <w:noWrap/>
          </w:tcPr>
          <w:p w14:paraId="63BD22C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1 022</w:t>
            </w:r>
          </w:p>
        </w:tc>
        <w:tc>
          <w:tcPr>
            <w:tcW w:w="1306" w:type="dxa"/>
            <w:tcBorders>
              <w:top w:val="nil"/>
              <w:left w:val="nil"/>
              <w:bottom w:val="single" w:sz="4" w:space="0" w:color="auto"/>
              <w:right w:val="single" w:sz="4" w:space="0" w:color="auto"/>
            </w:tcBorders>
            <w:shd w:val="clear" w:color="auto" w:fill="auto"/>
            <w:noWrap/>
          </w:tcPr>
          <w:p w14:paraId="69EBF62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1 068</w:t>
            </w:r>
          </w:p>
        </w:tc>
      </w:tr>
      <w:tr w:rsidR="00595C1A" w:rsidRPr="001D42CA" w14:paraId="2316622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D745CD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Marruecos</w:t>
            </w:r>
          </w:p>
        </w:tc>
        <w:tc>
          <w:tcPr>
            <w:tcW w:w="1111" w:type="dxa"/>
            <w:tcBorders>
              <w:top w:val="nil"/>
              <w:left w:val="nil"/>
              <w:bottom w:val="single" w:sz="4" w:space="0" w:color="auto"/>
              <w:right w:val="single" w:sz="4" w:space="0" w:color="auto"/>
            </w:tcBorders>
            <w:shd w:val="clear" w:color="auto" w:fill="auto"/>
            <w:noWrap/>
          </w:tcPr>
          <w:p w14:paraId="341B2F1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0,055</w:t>
            </w:r>
          </w:p>
        </w:tc>
        <w:tc>
          <w:tcPr>
            <w:tcW w:w="1111" w:type="dxa"/>
            <w:tcBorders>
              <w:top w:val="nil"/>
              <w:left w:val="nil"/>
              <w:bottom w:val="single" w:sz="4" w:space="0" w:color="auto"/>
              <w:right w:val="single" w:sz="4" w:space="0" w:color="auto"/>
            </w:tcBorders>
            <w:shd w:val="clear" w:color="auto" w:fill="auto"/>
            <w:noWrap/>
          </w:tcPr>
          <w:p w14:paraId="11E9CCD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0,056 %</w:t>
            </w:r>
          </w:p>
        </w:tc>
        <w:tc>
          <w:tcPr>
            <w:tcW w:w="1305" w:type="dxa"/>
            <w:tcBorders>
              <w:top w:val="nil"/>
              <w:left w:val="nil"/>
              <w:bottom w:val="single" w:sz="4" w:space="0" w:color="auto"/>
              <w:right w:val="single" w:sz="4" w:space="0" w:color="auto"/>
            </w:tcBorders>
          </w:tcPr>
          <w:p w14:paraId="5164EF6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2 693</w:t>
            </w:r>
          </w:p>
        </w:tc>
        <w:tc>
          <w:tcPr>
            <w:tcW w:w="1306" w:type="dxa"/>
            <w:tcBorders>
              <w:top w:val="nil"/>
              <w:left w:val="single" w:sz="4" w:space="0" w:color="auto"/>
              <w:bottom w:val="single" w:sz="4" w:space="0" w:color="auto"/>
              <w:right w:val="single" w:sz="4" w:space="0" w:color="auto"/>
            </w:tcBorders>
            <w:shd w:val="clear" w:color="auto" w:fill="auto"/>
            <w:noWrap/>
          </w:tcPr>
          <w:p w14:paraId="284160A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2 951</w:t>
            </w:r>
          </w:p>
        </w:tc>
        <w:tc>
          <w:tcPr>
            <w:tcW w:w="1305" w:type="dxa"/>
            <w:tcBorders>
              <w:top w:val="nil"/>
              <w:left w:val="nil"/>
              <w:bottom w:val="single" w:sz="4" w:space="0" w:color="auto"/>
              <w:right w:val="single" w:sz="4" w:space="0" w:color="auto"/>
            </w:tcBorders>
            <w:shd w:val="clear" w:color="auto" w:fill="auto"/>
            <w:noWrap/>
          </w:tcPr>
          <w:p w14:paraId="6F264B9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2 958</w:t>
            </w:r>
          </w:p>
        </w:tc>
        <w:tc>
          <w:tcPr>
            <w:tcW w:w="1306" w:type="dxa"/>
            <w:tcBorders>
              <w:top w:val="nil"/>
              <w:left w:val="nil"/>
              <w:bottom w:val="single" w:sz="4" w:space="0" w:color="auto"/>
              <w:right w:val="single" w:sz="4" w:space="0" w:color="auto"/>
            </w:tcBorders>
            <w:shd w:val="clear" w:color="auto" w:fill="auto"/>
            <w:noWrap/>
          </w:tcPr>
          <w:p w14:paraId="2B2E1CD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3 092</w:t>
            </w:r>
          </w:p>
        </w:tc>
      </w:tr>
      <w:tr w:rsidR="00595C1A" w:rsidRPr="001D42CA" w14:paraId="690C9D1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CC0C63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Mauricio</w:t>
            </w:r>
          </w:p>
        </w:tc>
        <w:tc>
          <w:tcPr>
            <w:tcW w:w="1111" w:type="dxa"/>
            <w:tcBorders>
              <w:top w:val="nil"/>
              <w:left w:val="nil"/>
              <w:bottom w:val="single" w:sz="4" w:space="0" w:color="auto"/>
              <w:right w:val="single" w:sz="4" w:space="0" w:color="auto"/>
            </w:tcBorders>
            <w:shd w:val="clear" w:color="auto" w:fill="auto"/>
            <w:noWrap/>
          </w:tcPr>
          <w:p w14:paraId="7A81077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0,019</w:t>
            </w:r>
          </w:p>
        </w:tc>
        <w:tc>
          <w:tcPr>
            <w:tcW w:w="1111" w:type="dxa"/>
            <w:tcBorders>
              <w:top w:val="nil"/>
              <w:left w:val="nil"/>
              <w:bottom w:val="single" w:sz="4" w:space="0" w:color="auto"/>
              <w:right w:val="single" w:sz="4" w:space="0" w:color="auto"/>
            </w:tcBorders>
            <w:shd w:val="clear" w:color="auto" w:fill="auto"/>
            <w:noWrap/>
          </w:tcPr>
          <w:p w14:paraId="4308581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0,020 %</w:t>
            </w:r>
          </w:p>
        </w:tc>
        <w:tc>
          <w:tcPr>
            <w:tcW w:w="1305" w:type="dxa"/>
            <w:tcBorders>
              <w:top w:val="nil"/>
              <w:left w:val="nil"/>
              <w:bottom w:val="single" w:sz="4" w:space="0" w:color="auto"/>
              <w:right w:val="single" w:sz="4" w:space="0" w:color="auto"/>
            </w:tcBorders>
          </w:tcPr>
          <w:p w14:paraId="3229425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3E34D2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1 019</w:t>
            </w:r>
          </w:p>
        </w:tc>
        <w:tc>
          <w:tcPr>
            <w:tcW w:w="1305" w:type="dxa"/>
            <w:tcBorders>
              <w:top w:val="nil"/>
              <w:left w:val="nil"/>
              <w:bottom w:val="single" w:sz="4" w:space="0" w:color="auto"/>
              <w:right w:val="single" w:sz="4" w:space="0" w:color="auto"/>
            </w:tcBorders>
            <w:shd w:val="clear" w:color="auto" w:fill="auto"/>
            <w:noWrap/>
          </w:tcPr>
          <w:p w14:paraId="72140F4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1 022</w:t>
            </w:r>
          </w:p>
        </w:tc>
        <w:tc>
          <w:tcPr>
            <w:tcW w:w="1306" w:type="dxa"/>
            <w:tcBorders>
              <w:top w:val="nil"/>
              <w:left w:val="nil"/>
              <w:bottom w:val="single" w:sz="4" w:space="0" w:color="auto"/>
              <w:right w:val="single" w:sz="4" w:space="0" w:color="auto"/>
            </w:tcBorders>
            <w:shd w:val="clear" w:color="auto" w:fill="auto"/>
            <w:noWrap/>
          </w:tcPr>
          <w:p w14:paraId="069A507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1 068</w:t>
            </w:r>
          </w:p>
        </w:tc>
      </w:tr>
      <w:tr w:rsidR="00595C1A" w:rsidRPr="001D42CA" w14:paraId="67CF392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3F39BB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Mauritania</w:t>
            </w:r>
          </w:p>
        </w:tc>
        <w:tc>
          <w:tcPr>
            <w:tcW w:w="1111" w:type="dxa"/>
            <w:tcBorders>
              <w:top w:val="nil"/>
              <w:left w:val="nil"/>
              <w:bottom w:val="single" w:sz="4" w:space="0" w:color="auto"/>
              <w:right w:val="single" w:sz="4" w:space="0" w:color="auto"/>
            </w:tcBorders>
            <w:shd w:val="clear" w:color="auto" w:fill="auto"/>
            <w:noWrap/>
          </w:tcPr>
          <w:p w14:paraId="53A9172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w:t>
            </w:r>
          </w:p>
        </w:tc>
        <w:tc>
          <w:tcPr>
            <w:tcW w:w="1111" w:type="dxa"/>
            <w:tcBorders>
              <w:top w:val="nil"/>
              <w:left w:val="nil"/>
              <w:bottom w:val="single" w:sz="4" w:space="0" w:color="auto"/>
              <w:right w:val="single" w:sz="4" w:space="0" w:color="auto"/>
            </w:tcBorders>
            <w:shd w:val="clear" w:color="auto" w:fill="auto"/>
            <w:noWrap/>
          </w:tcPr>
          <w:p w14:paraId="18E9964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0,002 %</w:t>
            </w:r>
          </w:p>
        </w:tc>
        <w:tc>
          <w:tcPr>
            <w:tcW w:w="1305" w:type="dxa"/>
            <w:tcBorders>
              <w:top w:val="nil"/>
              <w:left w:val="nil"/>
              <w:bottom w:val="single" w:sz="4" w:space="0" w:color="auto"/>
              <w:right w:val="single" w:sz="4" w:space="0" w:color="auto"/>
            </w:tcBorders>
          </w:tcPr>
          <w:p w14:paraId="5435C46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DBBA0B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12127B4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6A0F4B7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3D239D5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3D038A1"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México</w:t>
            </w:r>
          </w:p>
        </w:tc>
        <w:tc>
          <w:tcPr>
            <w:tcW w:w="1111" w:type="dxa"/>
            <w:tcBorders>
              <w:top w:val="nil"/>
              <w:left w:val="nil"/>
              <w:bottom w:val="single" w:sz="4" w:space="0" w:color="auto"/>
              <w:right w:val="single" w:sz="4" w:space="0" w:color="auto"/>
            </w:tcBorders>
            <w:shd w:val="clear" w:color="auto" w:fill="auto"/>
            <w:noWrap/>
          </w:tcPr>
          <w:p w14:paraId="3619397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1,221</w:t>
            </w:r>
          </w:p>
        </w:tc>
        <w:tc>
          <w:tcPr>
            <w:tcW w:w="1111" w:type="dxa"/>
            <w:tcBorders>
              <w:top w:val="nil"/>
              <w:left w:val="nil"/>
              <w:bottom w:val="single" w:sz="4" w:space="0" w:color="auto"/>
              <w:right w:val="single" w:sz="4" w:space="0" w:color="auto"/>
            </w:tcBorders>
            <w:shd w:val="clear" w:color="auto" w:fill="auto"/>
            <w:noWrap/>
          </w:tcPr>
          <w:p w14:paraId="00BDDD2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1,253 %</w:t>
            </w:r>
          </w:p>
        </w:tc>
        <w:tc>
          <w:tcPr>
            <w:tcW w:w="1305" w:type="dxa"/>
            <w:tcBorders>
              <w:top w:val="nil"/>
              <w:left w:val="nil"/>
              <w:bottom w:val="single" w:sz="4" w:space="0" w:color="auto"/>
              <w:right w:val="single" w:sz="4" w:space="0" w:color="auto"/>
            </w:tcBorders>
          </w:tcPr>
          <w:p w14:paraId="0ED8E12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59 784</w:t>
            </w:r>
          </w:p>
        </w:tc>
        <w:tc>
          <w:tcPr>
            <w:tcW w:w="1306" w:type="dxa"/>
            <w:tcBorders>
              <w:top w:val="nil"/>
              <w:left w:val="single" w:sz="4" w:space="0" w:color="auto"/>
              <w:bottom w:val="single" w:sz="4" w:space="0" w:color="auto"/>
              <w:right w:val="single" w:sz="4" w:space="0" w:color="auto"/>
            </w:tcBorders>
            <w:shd w:val="clear" w:color="auto" w:fill="auto"/>
            <w:noWrap/>
          </w:tcPr>
          <w:p w14:paraId="314173E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65 511</w:t>
            </w:r>
          </w:p>
        </w:tc>
        <w:tc>
          <w:tcPr>
            <w:tcW w:w="1305" w:type="dxa"/>
            <w:tcBorders>
              <w:top w:val="nil"/>
              <w:left w:val="nil"/>
              <w:bottom w:val="single" w:sz="4" w:space="0" w:color="auto"/>
              <w:right w:val="single" w:sz="4" w:space="0" w:color="auto"/>
            </w:tcBorders>
            <w:shd w:val="clear" w:color="auto" w:fill="auto"/>
            <w:noWrap/>
          </w:tcPr>
          <w:p w14:paraId="37090E4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65 657</w:t>
            </w:r>
          </w:p>
        </w:tc>
        <w:tc>
          <w:tcPr>
            <w:tcW w:w="1306" w:type="dxa"/>
            <w:tcBorders>
              <w:top w:val="nil"/>
              <w:left w:val="nil"/>
              <w:bottom w:val="single" w:sz="4" w:space="0" w:color="auto"/>
              <w:right w:val="single" w:sz="4" w:space="0" w:color="auto"/>
            </w:tcBorders>
            <w:shd w:val="clear" w:color="auto" w:fill="auto"/>
            <w:noWrap/>
          </w:tcPr>
          <w:p w14:paraId="717553F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68 647</w:t>
            </w:r>
          </w:p>
        </w:tc>
      </w:tr>
      <w:tr w:rsidR="00595C1A" w:rsidRPr="001D42CA" w14:paraId="41FDE5C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A583F2B"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Mónaco</w:t>
            </w:r>
          </w:p>
        </w:tc>
        <w:tc>
          <w:tcPr>
            <w:tcW w:w="1111" w:type="dxa"/>
            <w:tcBorders>
              <w:top w:val="nil"/>
              <w:left w:val="nil"/>
              <w:bottom w:val="single" w:sz="4" w:space="0" w:color="auto"/>
              <w:right w:val="single" w:sz="4" w:space="0" w:color="auto"/>
            </w:tcBorders>
            <w:shd w:val="clear" w:color="auto" w:fill="auto"/>
            <w:noWrap/>
          </w:tcPr>
          <w:p w14:paraId="467C144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0,011</w:t>
            </w:r>
          </w:p>
        </w:tc>
        <w:tc>
          <w:tcPr>
            <w:tcW w:w="1111" w:type="dxa"/>
            <w:tcBorders>
              <w:top w:val="nil"/>
              <w:left w:val="nil"/>
              <w:bottom w:val="single" w:sz="4" w:space="0" w:color="auto"/>
              <w:right w:val="single" w:sz="4" w:space="0" w:color="auto"/>
            </w:tcBorders>
            <w:shd w:val="clear" w:color="auto" w:fill="auto"/>
            <w:noWrap/>
          </w:tcPr>
          <w:p w14:paraId="212403A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0,011 %</w:t>
            </w:r>
          </w:p>
        </w:tc>
        <w:tc>
          <w:tcPr>
            <w:tcW w:w="1305" w:type="dxa"/>
            <w:tcBorders>
              <w:top w:val="nil"/>
              <w:left w:val="nil"/>
              <w:bottom w:val="single" w:sz="4" w:space="0" w:color="auto"/>
              <w:right w:val="single" w:sz="4" w:space="0" w:color="auto"/>
            </w:tcBorders>
          </w:tcPr>
          <w:p w14:paraId="7DADC9A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F1EFD2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2E21B5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73F49C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5E1F523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463F920"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Mongolia</w:t>
            </w:r>
          </w:p>
        </w:tc>
        <w:tc>
          <w:tcPr>
            <w:tcW w:w="1111" w:type="dxa"/>
            <w:tcBorders>
              <w:top w:val="nil"/>
              <w:left w:val="nil"/>
              <w:bottom w:val="single" w:sz="4" w:space="0" w:color="auto"/>
              <w:right w:val="single" w:sz="4" w:space="0" w:color="auto"/>
            </w:tcBorders>
            <w:shd w:val="clear" w:color="auto" w:fill="auto"/>
            <w:noWrap/>
          </w:tcPr>
          <w:p w14:paraId="4A591C9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w:t>
            </w:r>
          </w:p>
        </w:tc>
        <w:tc>
          <w:tcPr>
            <w:tcW w:w="1111" w:type="dxa"/>
            <w:tcBorders>
              <w:top w:val="nil"/>
              <w:left w:val="nil"/>
              <w:bottom w:val="single" w:sz="4" w:space="0" w:color="auto"/>
              <w:right w:val="single" w:sz="4" w:space="0" w:color="auto"/>
            </w:tcBorders>
            <w:shd w:val="clear" w:color="auto" w:fill="auto"/>
            <w:noWrap/>
          </w:tcPr>
          <w:p w14:paraId="57A9954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0,004 %</w:t>
            </w:r>
          </w:p>
        </w:tc>
        <w:tc>
          <w:tcPr>
            <w:tcW w:w="1305" w:type="dxa"/>
            <w:tcBorders>
              <w:top w:val="nil"/>
              <w:left w:val="nil"/>
              <w:bottom w:val="single" w:sz="4" w:space="0" w:color="auto"/>
              <w:right w:val="single" w:sz="4" w:space="0" w:color="auto"/>
            </w:tcBorders>
          </w:tcPr>
          <w:p w14:paraId="1FD0C44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7057D9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18B0592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405A2A8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463A4D9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2A0FC0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Montenegro</w:t>
            </w:r>
          </w:p>
        </w:tc>
        <w:tc>
          <w:tcPr>
            <w:tcW w:w="1111" w:type="dxa"/>
            <w:tcBorders>
              <w:top w:val="nil"/>
              <w:left w:val="nil"/>
              <w:bottom w:val="single" w:sz="4" w:space="0" w:color="auto"/>
              <w:right w:val="single" w:sz="4" w:space="0" w:color="auto"/>
            </w:tcBorders>
            <w:shd w:val="clear" w:color="auto" w:fill="auto"/>
            <w:noWrap/>
          </w:tcPr>
          <w:p w14:paraId="24F0F39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w:t>
            </w:r>
          </w:p>
        </w:tc>
        <w:tc>
          <w:tcPr>
            <w:tcW w:w="1111" w:type="dxa"/>
            <w:tcBorders>
              <w:top w:val="nil"/>
              <w:left w:val="nil"/>
              <w:bottom w:val="single" w:sz="4" w:space="0" w:color="auto"/>
              <w:right w:val="single" w:sz="4" w:space="0" w:color="auto"/>
            </w:tcBorders>
            <w:shd w:val="clear" w:color="auto" w:fill="auto"/>
            <w:noWrap/>
          </w:tcPr>
          <w:p w14:paraId="4ABE462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0,004 %</w:t>
            </w:r>
          </w:p>
        </w:tc>
        <w:tc>
          <w:tcPr>
            <w:tcW w:w="1305" w:type="dxa"/>
            <w:tcBorders>
              <w:top w:val="nil"/>
              <w:left w:val="nil"/>
              <w:bottom w:val="single" w:sz="4" w:space="0" w:color="auto"/>
              <w:right w:val="single" w:sz="4" w:space="0" w:color="auto"/>
            </w:tcBorders>
          </w:tcPr>
          <w:p w14:paraId="0096B6B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0EB5A5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4FF4FA9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043D7EE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4E63534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5BE91D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Mozambique</w:t>
            </w:r>
          </w:p>
        </w:tc>
        <w:tc>
          <w:tcPr>
            <w:tcW w:w="1111" w:type="dxa"/>
            <w:tcBorders>
              <w:top w:val="nil"/>
              <w:left w:val="nil"/>
              <w:bottom w:val="single" w:sz="4" w:space="0" w:color="auto"/>
              <w:right w:val="single" w:sz="4" w:space="0" w:color="auto"/>
            </w:tcBorders>
            <w:shd w:val="clear" w:color="auto" w:fill="auto"/>
            <w:noWrap/>
          </w:tcPr>
          <w:p w14:paraId="3AEE8B2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w:t>
            </w:r>
          </w:p>
        </w:tc>
        <w:tc>
          <w:tcPr>
            <w:tcW w:w="1111" w:type="dxa"/>
            <w:tcBorders>
              <w:top w:val="nil"/>
              <w:left w:val="nil"/>
              <w:bottom w:val="single" w:sz="4" w:space="0" w:color="auto"/>
              <w:right w:val="single" w:sz="4" w:space="0" w:color="auto"/>
            </w:tcBorders>
            <w:shd w:val="clear" w:color="auto" w:fill="auto"/>
            <w:noWrap/>
          </w:tcPr>
          <w:p w14:paraId="6C5C1B2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0,004 %</w:t>
            </w:r>
          </w:p>
        </w:tc>
        <w:tc>
          <w:tcPr>
            <w:tcW w:w="1305" w:type="dxa"/>
            <w:tcBorders>
              <w:top w:val="nil"/>
              <w:left w:val="nil"/>
              <w:bottom w:val="single" w:sz="4" w:space="0" w:color="auto"/>
              <w:right w:val="single" w:sz="4" w:space="0" w:color="auto"/>
            </w:tcBorders>
          </w:tcPr>
          <w:p w14:paraId="248B4AF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EC6BF0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799AD08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433E76E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5E0460C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37DC352"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Myanmar</w:t>
            </w:r>
          </w:p>
        </w:tc>
        <w:tc>
          <w:tcPr>
            <w:tcW w:w="1111" w:type="dxa"/>
            <w:tcBorders>
              <w:top w:val="nil"/>
              <w:left w:val="nil"/>
              <w:bottom w:val="single" w:sz="4" w:space="0" w:color="auto"/>
              <w:right w:val="single" w:sz="4" w:space="0" w:color="auto"/>
            </w:tcBorders>
            <w:shd w:val="clear" w:color="auto" w:fill="auto"/>
            <w:noWrap/>
          </w:tcPr>
          <w:p w14:paraId="1ABB116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w:t>
            </w:r>
          </w:p>
        </w:tc>
        <w:tc>
          <w:tcPr>
            <w:tcW w:w="1111" w:type="dxa"/>
            <w:tcBorders>
              <w:top w:val="nil"/>
              <w:left w:val="nil"/>
              <w:bottom w:val="single" w:sz="4" w:space="0" w:color="auto"/>
              <w:right w:val="single" w:sz="4" w:space="0" w:color="auto"/>
            </w:tcBorders>
            <w:shd w:val="clear" w:color="auto" w:fill="auto"/>
            <w:noWrap/>
          </w:tcPr>
          <w:p w14:paraId="15979CD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0,010 %</w:t>
            </w:r>
          </w:p>
        </w:tc>
        <w:tc>
          <w:tcPr>
            <w:tcW w:w="1305" w:type="dxa"/>
            <w:tcBorders>
              <w:top w:val="nil"/>
              <w:left w:val="nil"/>
              <w:bottom w:val="single" w:sz="4" w:space="0" w:color="auto"/>
              <w:right w:val="single" w:sz="4" w:space="0" w:color="auto"/>
            </w:tcBorders>
          </w:tcPr>
          <w:p w14:paraId="7468F10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8F4266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4971735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061ABB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654A2E5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9022E20"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Namibia</w:t>
            </w:r>
          </w:p>
        </w:tc>
        <w:tc>
          <w:tcPr>
            <w:tcW w:w="1111" w:type="dxa"/>
            <w:tcBorders>
              <w:top w:val="nil"/>
              <w:left w:val="nil"/>
              <w:bottom w:val="single" w:sz="4" w:space="0" w:color="auto"/>
              <w:right w:val="single" w:sz="4" w:space="0" w:color="auto"/>
            </w:tcBorders>
            <w:shd w:val="clear" w:color="auto" w:fill="auto"/>
            <w:noWrap/>
          </w:tcPr>
          <w:p w14:paraId="13B06E6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0,009</w:t>
            </w:r>
          </w:p>
        </w:tc>
        <w:tc>
          <w:tcPr>
            <w:tcW w:w="1111" w:type="dxa"/>
            <w:tcBorders>
              <w:top w:val="nil"/>
              <w:left w:val="nil"/>
              <w:bottom w:val="single" w:sz="4" w:space="0" w:color="auto"/>
              <w:right w:val="single" w:sz="4" w:space="0" w:color="auto"/>
            </w:tcBorders>
            <w:shd w:val="clear" w:color="auto" w:fill="auto"/>
            <w:noWrap/>
          </w:tcPr>
          <w:p w14:paraId="7288F52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0,009 %</w:t>
            </w:r>
          </w:p>
        </w:tc>
        <w:tc>
          <w:tcPr>
            <w:tcW w:w="1305" w:type="dxa"/>
            <w:tcBorders>
              <w:top w:val="nil"/>
              <w:left w:val="nil"/>
              <w:bottom w:val="single" w:sz="4" w:space="0" w:color="auto"/>
              <w:right w:val="single" w:sz="4" w:space="0" w:color="auto"/>
            </w:tcBorders>
          </w:tcPr>
          <w:p w14:paraId="0B32DEA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994406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77673F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664AF94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61BBA0B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9E0FB7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Nepal</w:t>
            </w:r>
          </w:p>
        </w:tc>
        <w:tc>
          <w:tcPr>
            <w:tcW w:w="1111" w:type="dxa"/>
            <w:tcBorders>
              <w:top w:val="nil"/>
              <w:left w:val="nil"/>
              <w:bottom w:val="single" w:sz="4" w:space="0" w:color="auto"/>
              <w:right w:val="single" w:sz="4" w:space="0" w:color="auto"/>
            </w:tcBorders>
            <w:shd w:val="clear" w:color="auto" w:fill="auto"/>
            <w:noWrap/>
          </w:tcPr>
          <w:p w14:paraId="771B52E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w:t>
            </w:r>
          </w:p>
        </w:tc>
        <w:tc>
          <w:tcPr>
            <w:tcW w:w="1111" w:type="dxa"/>
            <w:tcBorders>
              <w:top w:val="nil"/>
              <w:left w:val="nil"/>
              <w:bottom w:val="single" w:sz="4" w:space="0" w:color="auto"/>
              <w:right w:val="single" w:sz="4" w:space="0" w:color="auto"/>
            </w:tcBorders>
            <w:shd w:val="clear" w:color="auto" w:fill="auto"/>
            <w:noWrap/>
          </w:tcPr>
          <w:p w14:paraId="6E493A5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0,010 %</w:t>
            </w:r>
          </w:p>
        </w:tc>
        <w:tc>
          <w:tcPr>
            <w:tcW w:w="1305" w:type="dxa"/>
            <w:tcBorders>
              <w:top w:val="nil"/>
              <w:left w:val="nil"/>
              <w:bottom w:val="single" w:sz="4" w:space="0" w:color="auto"/>
              <w:right w:val="single" w:sz="4" w:space="0" w:color="auto"/>
            </w:tcBorders>
          </w:tcPr>
          <w:p w14:paraId="0A51142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37DB95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693CDEE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5F41288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3C7F2C2"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612AEF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Nicaragua</w:t>
            </w:r>
          </w:p>
        </w:tc>
        <w:tc>
          <w:tcPr>
            <w:tcW w:w="1111" w:type="dxa"/>
            <w:tcBorders>
              <w:top w:val="nil"/>
              <w:left w:val="nil"/>
              <w:bottom w:val="single" w:sz="4" w:space="0" w:color="auto"/>
              <w:right w:val="single" w:sz="4" w:space="0" w:color="auto"/>
            </w:tcBorders>
            <w:shd w:val="clear" w:color="auto" w:fill="auto"/>
            <w:noWrap/>
          </w:tcPr>
          <w:p w14:paraId="45CEB23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0,005</w:t>
            </w:r>
          </w:p>
        </w:tc>
        <w:tc>
          <w:tcPr>
            <w:tcW w:w="1111" w:type="dxa"/>
            <w:tcBorders>
              <w:top w:val="nil"/>
              <w:left w:val="nil"/>
              <w:bottom w:val="single" w:sz="4" w:space="0" w:color="auto"/>
              <w:right w:val="single" w:sz="4" w:space="0" w:color="auto"/>
            </w:tcBorders>
            <w:shd w:val="clear" w:color="auto" w:fill="auto"/>
            <w:noWrap/>
          </w:tcPr>
          <w:p w14:paraId="2598A1B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0,005 %</w:t>
            </w:r>
          </w:p>
        </w:tc>
        <w:tc>
          <w:tcPr>
            <w:tcW w:w="1305" w:type="dxa"/>
            <w:tcBorders>
              <w:top w:val="nil"/>
              <w:left w:val="nil"/>
              <w:bottom w:val="single" w:sz="4" w:space="0" w:color="auto"/>
              <w:right w:val="single" w:sz="4" w:space="0" w:color="auto"/>
            </w:tcBorders>
          </w:tcPr>
          <w:p w14:paraId="6B80648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79DB60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85E32A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10C9AB9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543A7C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8B8B37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Níger</w:t>
            </w:r>
          </w:p>
        </w:tc>
        <w:tc>
          <w:tcPr>
            <w:tcW w:w="1111" w:type="dxa"/>
            <w:tcBorders>
              <w:top w:val="nil"/>
              <w:left w:val="nil"/>
              <w:bottom w:val="single" w:sz="4" w:space="0" w:color="auto"/>
              <w:right w:val="single" w:sz="4" w:space="0" w:color="auto"/>
            </w:tcBorders>
            <w:shd w:val="clear" w:color="auto" w:fill="auto"/>
            <w:noWrap/>
          </w:tcPr>
          <w:p w14:paraId="70CA0F3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w:t>
            </w:r>
          </w:p>
        </w:tc>
        <w:tc>
          <w:tcPr>
            <w:tcW w:w="1111" w:type="dxa"/>
            <w:tcBorders>
              <w:top w:val="nil"/>
              <w:left w:val="nil"/>
              <w:bottom w:val="single" w:sz="4" w:space="0" w:color="auto"/>
              <w:right w:val="single" w:sz="4" w:space="0" w:color="auto"/>
            </w:tcBorders>
            <w:shd w:val="clear" w:color="auto" w:fill="auto"/>
            <w:noWrap/>
          </w:tcPr>
          <w:p w14:paraId="12B7485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0,003 %</w:t>
            </w:r>
          </w:p>
        </w:tc>
        <w:tc>
          <w:tcPr>
            <w:tcW w:w="1305" w:type="dxa"/>
            <w:tcBorders>
              <w:top w:val="nil"/>
              <w:left w:val="nil"/>
              <w:bottom w:val="single" w:sz="4" w:space="0" w:color="auto"/>
              <w:right w:val="single" w:sz="4" w:space="0" w:color="auto"/>
            </w:tcBorders>
          </w:tcPr>
          <w:p w14:paraId="1C5E04E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DEEAB3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282C528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4765BE5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43786E3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F897D60"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Nigeria</w:t>
            </w:r>
          </w:p>
        </w:tc>
        <w:tc>
          <w:tcPr>
            <w:tcW w:w="1111" w:type="dxa"/>
            <w:tcBorders>
              <w:top w:val="nil"/>
              <w:left w:val="nil"/>
              <w:bottom w:val="single" w:sz="4" w:space="0" w:color="auto"/>
              <w:right w:val="single" w:sz="4" w:space="0" w:color="auto"/>
            </w:tcBorders>
            <w:shd w:val="clear" w:color="auto" w:fill="auto"/>
            <w:noWrap/>
          </w:tcPr>
          <w:p w14:paraId="489BA92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0,182</w:t>
            </w:r>
          </w:p>
        </w:tc>
        <w:tc>
          <w:tcPr>
            <w:tcW w:w="1111" w:type="dxa"/>
            <w:tcBorders>
              <w:top w:val="nil"/>
              <w:left w:val="nil"/>
              <w:bottom w:val="single" w:sz="4" w:space="0" w:color="auto"/>
              <w:right w:val="single" w:sz="4" w:space="0" w:color="auto"/>
            </w:tcBorders>
            <w:shd w:val="clear" w:color="auto" w:fill="auto"/>
            <w:noWrap/>
          </w:tcPr>
          <w:p w14:paraId="16B5693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0,187 %</w:t>
            </w:r>
          </w:p>
        </w:tc>
        <w:tc>
          <w:tcPr>
            <w:tcW w:w="1305" w:type="dxa"/>
            <w:tcBorders>
              <w:top w:val="nil"/>
              <w:left w:val="nil"/>
              <w:bottom w:val="single" w:sz="4" w:space="0" w:color="auto"/>
              <w:right w:val="single" w:sz="4" w:space="0" w:color="auto"/>
            </w:tcBorders>
          </w:tcPr>
          <w:p w14:paraId="4891CB8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8 911</w:t>
            </w:r>
          </w:p>
        </w:tc>
        <w:tc>
          <w:tcPr>
            <w:tcW w:w="1306" w:type="dxa"/>
            <w:tcBorders>
              <w:top w:val="nil"/>
              <w:left w:val="single" w:sz="4" w:space="0" w:color="auto"/>
              <w:bottom w:val="single" w:sz="4" w:space="0" w:color="auto"/>
              <w:right w:val="single" w:sz="4" w:space="0" w:color="auto"/>
            </w:tcBorders>
            <w:shd w:val="clear" w:color="auto" w:fill="auto"/>
            <w:noWrap/>
          </w:tcPr>
          <w:p w14:paraId="1C39D98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9 765</w:t>
            </w:r>
          </w:p>
        </w:tc>
        <w:tc>
          <w:tcPr>
            <w:tcW w:w="1305" w:type="dxa"/>
            <w:tcBorders>
              <w:top w:val="nil"/>
              <w:left w:val="nil"/>
              <w:bottom w:val="single" w:sz="4" w:space="0" w:color="auto"/>
              <w:right w:val="single" w:sz="4" w:space="0" w:color="auto"/>
            </w:tcBorders>
            <w:shd w:val="clear" w:color="auto" w:fill="auto"/>
            <w:noWrap/>
          </w:tcPr>
          <w:p w14:paraId="7259ED1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9 787</w:t>
            </w:r>
          </w:p>
        </w:tc>
        <w:tc>
          <w:tcPr>
            <w:tcW w:w="1306" w:type="dxa"/>
            <w:tcBorders>
              <w:top w:val="nil"/>
              <w:left w:val="nil"/>
              <w:bottom w:val="single" w:sz="4" w:space="0" w:color="auto"/>
              <w:right w:val="single" w:sz="4" w:space="0" w:color="auto"/>
            </w:tcBorders>
            <w:shd w:val="clear" w:color="auto" w:fill="auto"/>
            <w:noWrap/>
          </w:tcPr>
          <w:p w14:paraId="7EE8C91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10 232</w:t>
            </w:r>
          </w:p>
        </w:tc>
      </w:tr>
      <w:tr w:rsidR="00595C1A" w:rsidRPr="001D42CA" w14:paraId="313BDE9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E2950F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Noruega</w:t>
            </w:r>
          </w:p>
        </w:tc>
        <w:tc>
          <w:tcPr>
            <w:tcW w:w="1111" w:type="dxa"/>
            <w:tcBorders>
              <w:top w:val="nil"/>
              <w:left w:val="nil"/>
              <w:bottom w:val="single" w:sz="4" w:space="0" w:color="auto"/>
              <w:right w:val="single" w:sz="4" w:space="0" w:color="auto"/>
            </w:tcBorders>
            <w:shd w:val="clear" w:color="auto" w:fill="auto"/>
            <w:noWrap/>
          </w:tcPr>
          <w:p w14:paraId="12138F1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0,679</w:t>
            </w:r>
          </w:p>
        </w:tc>
        <w:tc>
          <w:tcPr>
            <w:tcW w:w="1111" w:type="dxa"/>
            <w:tcBorders>
              <w:top w:val="nil"/>
              <w:left w:val="nil"/>
              <w:bottom w:val="single" w:sz="4" w:space="0" w:color="auto"/>
              <w:right w:val="single" w:sz="4" w:space="0" w:color="auto"/>
            </w:tcBorders>
            <w:shd w:val="clear" w:color="auto" w:fill="auto"/>
            <w:noWrap/>
          </w:tcPr>
          <w:p w14:paraId="13650EF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0,697 %</w:t>
            </w:r>
          </w:p>
        </w:tc>
        <w:tc>
          <w:tcPr>
            <w:tcW w:w="1305" w:type="dxa"/>
            <w:tcBorders>
              <w:top w:val="nil"/>
              <w:left w:val="nil"/>
              <w:bottom w:val="single" w:sz="4" w:space="0" w:color="auto"/>
              <w:right w:val="single" w:sz="4" w:space="0" w:color="auto"/>
            </w:tcBorders>
          </w:tcPr>
          <w:p w14:paraId="26FB062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33 246</w:t>
            </w:r>
          </w:p>
        </w:tc>
        <w:tc>
          <w:tcPr>
            <w:tcW w:w="1306" w:type="dxa"/>
            <w:tcBorders>
              <w:top w:val="nil"/>
              <w:left w:val="single" w:sz="4" w:space="0" w:color="auto"/>
              <w:bottom w:val="single" w:sz="4" w:space="0" w:color="auto"/>
              <w:right w:val="single" w:sz="4" w:space="0" w:color="auto"/>
            </w:tcBorders>
            <w:shd w:val="clear" w:color="auto" w:fill="auto"/>
            <w:noWrap/>
          </w:tcPr>
          <w:p w14:paraId="0726B38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36 431</w:t>
            </w:r>
          </w:p>
        </w:tc>
        <w:tc>
          <w:tcPr>
            <w:tcW w:w="1305" w:type="dxa"/>
            <w:tcBorders>
              <w:top w:val="nil"/>
              <w:left w:val="nil"/>
              <w:bottom w:val="single" w:sz="4" w:space="0" w:color="auto"/>
              <w:right w:val="single" w:sz="4" w:space="0" w:color="auto"/>
            </w:tcBorders>
            <w:shd w:val="clear" w:color="auto" w:fill="auto"/>
            <w:noWrap/>
          </w:tcPr>
          <w:p w14:paraId="72C2C4F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36 512</w:t>
            </w:r>
          </w:p>
        </w:tc>
        <w:tc>
          <w:tcPr>
            <w:tcW w:w="1306" w:type="dxa"/>
            <w:tcBorders>
              <w:top w:val="nil"/>
              <w:left w:val="nil"/>
              <w:bottom w:val="single" w:sz="4" w:space="0" w:color="auto"/>
              <w:right w:val="single" w:sz="4" w:space="0" w:color="auto"/>
            </w:tcBorders>
            <w:shd w:val="clear" w:color="auto" w:fill="auto"/>
            <w:noWrap/>
          </w:tcPr>
          <w:p w14:paraId="350C3AE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38 175</w:t>
            </w:r>
          </w:p>
        </w:tc>
      </w:tr>
      <w:tr w:rsidR="00595C1A" w:rsidRPr="001D42CA" w14:paraId="7EF8DD3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0D8508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Nueva Zelandia</w:t>
            </w:r>
          </w:p>
        </w:tc>
        <w:tc>
          <w:tcPr>
            <w:tcW w:w="1111" w:type="dxa"/>
            <w:tcBorders>
              <w:top w:val="nil"/>
              <w:left w:val="nil"/>
              <w:bottom w:val="single" w:sz="4" w:space="0" w:color="auto"/>
              <w:right w:val="single" w:sz="4" w:space="0" w:color="auto"/>
            </w:tcBorders>
            <w:shd w:val="clear" w:color="auto" w:fill="auto"/>
            <w:noWrap/>
          </w:tcPr>
          <w:p w14:paraId="659631E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0,309</w:t>
            </w:r>
          </w:p>
        </w:tc>
        <w:tc>
          <w:tcPr>
            <w:tcW w:w="1111" w:type="dxa"/>
            <w:tcBorders>
              <w:top w:val="nil"/>
              <w:left w:val="nil"/>
              <w:bottom w:val="single" w:sz="4" w:space="0" w:color="auto"/>
              <w:right w:val="single" w:sz="4" w:space="0" w:color="auto"/>
            </w:tcBorders>
            <w:shd w:val="clear" w:color="auto" w:fill="auto"/>
            <w:noWrap/>
          </w:tcPr>
          <w:p w14:paraId="4E05ED4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0,317 %</w:t>
            </w:r>
          </w:p>
        </w:tc>
        <w:tc>
          <w:tcPr>
            <w:tcW w:w="1305" w:type="dxa"/>
            <w:tcBorders>
              <w:top w:val="nil"/>
              <w:left w:val="nil"/>
              <w:bottom w:val="single" w:sz="4" w:space="0" w:color="auto"/>
              <w:right w:val="single" w:sz="4" w:space="0" w:color="auto"/>
            </w:tcBorders>
          </w:tcPr>
          <w:p w14:paraId="546C554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15 130</w:t>
            </w:r>
          </w:p>
        </w:tc>
        <w:tc>
          <w:tcPr>
            <w:tcW w:w="1306" w:type="dxa"/>
            <w:tcBorders>
              <w:top w:val="nil"/>
              <w:left w:val="single" w:sz="4" w:space="0" w:color="auto"/>
              <w:bottom w:val="single" w:sz="4" w:space="0" w:color="auto"/>
              <w:right w:val="single" w:sz="4" w:space="0" w:color="auto"/>
            </w:tcBorders>
            <w:shd w:val="clear" w:color="auto" w:fill="auto"/>
            <w:noWrap/>
          </w:tcPr>
          <w:p w14:paraId="5B11074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16 579</w:t>
            </w:r>
          </w:p>
        </w:tc>
        <w:tc>
          <w:tcPr>
            <w:tcW w:w="1305" w:type="dxa"/>
            <w:tcBorders>
              <w:top w:val="nil"/>
              <w:left w:val="nil"/>
              <w:bottom w:val="single" w:sz="4" w:space="0" w:color="auto"/>
              <w:right w:val="single" w:sz="4" w:space="0" w:color="auto"/>
            </w:tcBorders>
            <w:shd w:val="clear" w:color="auto" w:fill="auto"/>
            <w:noWrap/>
          </w:tcPr>
          <w:p w14:paraId="3751BB6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16 616</w:t>
            </w:r>
          </w:p>
        </w:tc>
        <w:tc>
          <w:tcPr>
            <w:tcW w:w="1306" w:type="dxa"/>
            <w:tcBorders>
              <w:top w:val="nil"/>
              <w:left w:val="nil"/>
              <w:bottom w:val="single" w:sz="4" w:space="0" w:color="auto"/>
              <w:right w:val="single" w:sz="4" w:space="0" w:color="auto"/>
            </w:tcBorders>
            <w:shd w:val="clear" w:color="auto" w:fill="auto"/>
            <w:noWrap/>
          </w:tcPr>
          <w:p w14:paraId="558F8BF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17 373</w:t>
            </w:r>
          </w:p>
        </w:tc>
      </w:tr>
      <w:tr w:rsidR="00595C1A" w:rsidRPr="001D42CA" w14:paraId="00A44607" w14:textId="77777777" w:rsidTr="00595C1A">
        <w:trPr>
          <w:trHeight w:val="276"/>
        </w:trPr>
        <w:tc>
          <w:tcPr>
            <w:tcW w:w="10113" w:type="dxa"/>
            <w:gridSpan w:val="8"/>
            <w:tcBorders>
              <w:top w:val="single" w:sz="4" w:space="0" w:color="auto"/>
            </w:tcBorders>
          </w:tcPr>
          <w:p w14:paraId="666D0D4E" w14:textId="77777777" w:rsidR="00595C1A" w:rsidRPr="000519D4" w:rsidRDefault="00595C1A" w:rsidP="00C85CAD">
            <w:pPr>
              <w:ind w:left="0" w:firstLine="0"/>
              <w:rPr>
                <w:rFonts w:asciiTheme="minorHAnsi" w:hAnsiTheme="minorHAnsi" w:cstheme="minorHAnsi"/>
                <w:sz w:val="20"/>
                <w:szCs w:val="20"/>
              </w:rPr>
            </w:pPr>
            <w:r>
              <w:rPr>
                <w:rFonts w:asciiTheme="minorHAnsi" w:hAnsiTheme="minorHAnsi"/>
                <w:color w:val="000000"/>
                <w:sz w:val="20"/>
              </w:rPr>
              <w:t>* Con arreglo a la Resolución A/RES/76/238 de las Naciones Unidas; se aplicará la escala revisada de las Naciones Unidas para el trienio cuando esta se haya publicado.</w:t>
            </w:r>
          </w:p>
        </w:tc>
      </w:tr>
      <w:tr w:rsidR="00595C1A" w:rsidRPr="001D42CA" w14:paraId="3C71248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C4A7A91"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lastRenderedPageBreak/>
              <w:t>Omán</w:t>
            </w:r>
          </w:p>
        </w:tc>
        <w:tc>
          <w:tcPr>
            <w:tcW w:w="1111" w:type="dxa"/>
            <w:tcBorders>
              <w:top w:val="nil"/>
              <w:left w:val="nil"/>
              <w:bottom w:val="single" w:sz="4" w:space="0" w:color="auto"/>
              <w:right w:val="single" w:sz="4" w:space="0" w:color="auto"/>
            </w:tcBorders>
            <w:shd w:val="clear" w:color="auto" w:fill="auto"/>
            <w:noWrap/>
          </w:tcPr>
          <w:p w14:paraId="404CD78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0,111</w:t>
            </w:r>
          </w:p>
        </w:tc>
        <w:tc>
          <w:tcPr>
            <w:tcW w:w="1111" w:type="dxa"/>
            <w:tcBorders>
              <w:top w:val="nil"/>
              <w:left w:val="nil"/>
              <w:bottom w:val="single" w:sz="4" w:space="0" w:color="auto"/>
              <w:right w:val="single" w:sz="4" w:space="0" w:color="auto"/>
            </w:tcBorders>
            <w:shd w:val="clear" w:color="auto" w:fill="auto"/>
            <w:noWrap/>
          </w:tcPr>
          <w:p w14:paraId="5EF5417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0,114 %</w:t>
            </w:r>
          </w:p>
        </w:tc>
        <w:tc>
          <w:tcPr>
            <w:tcW w:w="1305" w:type="dxa"/>
            <w:tcBorders>
              <w:top w:val="nil"/>
              <w:left w:val="nil"/>
              <w:bottom w:val="single" w:sz="4" w:space="0" w:color="auto"/>
              <w:right w:val="single" w:sz="4" w:space="0" w:color="auto"/>
            </w:tcBorders>
          </w:tcPr>
          <w:p w14:paraId="01DE446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5 435</w:t>
            </w:r>
          </w:p>
        </w:tc>
        <w:tc>
          <w:tcPr>
            <w:tcW w:w="1306" w:type="dxa"/>
            <w:tcBorders>
              <w:top w:val="nil"/>
              <w:left w:val="single" w:sz="4" w:space="0" w:color="auto"/>
              <w:bottom w:val="single" w:sz="4" w:space="0" w:color="auto"/>
              <w:right w:val="single" w:sz="4" w:space="0" w:color="auto"/>
            </w:tcBorders>
            <w:shd w:val="clear" w:color="auto" w:fill="auto"/>
            <w:noWrap/>
          </w:tcPr>
          <w:p w14:paraId="46F233A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5 956</w:t>
            </w:r>
          </w:p>
        </w:tc>
        <w:tc>
          <w:tcPr>
            <w:tcW w:w="1305" w:type="dxa"/>
            <w:tcBorders>
              <w:top w:val="nil"/>
              <w:left w:val="nil"/>
              <w:bottom w:val="single" w:sz="4" w:space="0" w:color="auto"/>
              <w:right w:val="single" w:sz="4" w:space="0" w:color="auto"/>
            </w:tcBorders>
            <w:shd w:val="clear" w:color="auto" w:fill="auto"/>
            <w:noWrap/>
          </w:tcPr>
          <w:p w14:paraId="54B35AA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5 969</w:t>
            </w:r>
          </w:p>
        </w:tc>
        <w:tc>
          <w:tcPr>
            <w:tcW w:w="1306" w:type="dxa"/>
            <w:tcBorders>
              <w:top w:val="nil"/>
              <w:left w:val="nil"/>
              <w:bottom w:val="single" w:sz="4" w:space="0" w:color="auto"/>
              <w:right w:val="single" w:sz="4" w:space="0" w:color="auto"/>
            </w:tcBorders>
            <w:shd w:val="clear" w:color="auto" w:fill="auto"/>
            <w:noWrap/>
          </w:tcPr>
          <w:p w14:paraId="7FAA1EE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6 241</w:t>
            </w:r>
          </w:p>
        </w:tc>
      </w:tr>
      <w:tr w:rsidR="00595C1A" w:rsidRPr="001D42CA" w14:paraId="50FCE112"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B93B60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Países Bajos (Reino de los)</w:t>
            </w:r>
          </w:p>
        </w:tc>
        <w:tc>
          <w:tcPr>
            <w:tcW w:w="1111" w:type="dxa"/>
            <w:tcBorders>
              <w:top w:val="nil"/>
              <w:left w:val="nil"/>
              <w:bottom w:val="single" w:sz="4" w:space="0" w:color="auto"/>
              <w:right w:val="single" w:sz="4" w:space="0" w:color="auto"/>
            </w:tcBorders>
            <w:shd w:val="clear" w:color="auto" w:fill="auto"/>
            <w:noWrap/>
          </w:tcPr>
          <w:p w14:paraId="4CBBC41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1,377</w:t>
            </w:r>
          </w:p>
        </w:tc>
        <w:tc>
          <w:tcPr>
            <w:tcW w:w="1111" w:type="dxa"/>
            <w:tcBorders>
              <w:top w:val="nil"/>
              <w:left w:val="nil"/>
              <w:bottom w:val="single" w:sz="4" w:space="0" w:color="auto"/>
              <w:right w:val="single" w:sz="4" w:space="0" w:color="auto"/>
            </w:tcBorders>
            <w:shd w:val="clear" w:color="auto" w:fill="auto"/>
            <w:noWrap/>
          </w:tcPr>
          <w:p w14:paraId="5A5FCA5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1,414 %</w:t>
            </w:r>
          </w:p>
        </w:tc>
        <w:tc>
          <w:tcPr>
            <w:tcW w:w="1305" w:type="dxa"/>
            <w:tcBorders>
              <w:top w:val="nil"/>
              <w:left w:val="nil"/>
              <w:bottom w:val="single" w:sz="4" w:space="0" w:color="auto"/>
              <w:right w:val="single" w:sz="4" w:space="0" w:color="auto"/>
            </w:tcBorders>
          </w:tcPr>
          <w:p w14:paraId="27E1D60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67 422</w:t>
            </w:r>
          </w:p>
        </w:tc>
        <w:tc>
          <w:tcPr>
            <w:tcW w:w="1306" w:type="dxa"/>
            <w:tcBorders>
              <w:top w:val="nil"/>
              <w:left w:val="single" w:sz="4" w:space="0" w:color="auto"/>
              <w:bottom w:val="single" w:sz="4" w:space="0" w:color="auto"/>
              <w:right w:val="single" w:sz="4" w:space="0" w:color="auto"/>
            </w:tcBorders>
            <w:shd w:val="clear" w:color="auto" w:fill="auto"/>
            <w:noWrap/>
          </w:tcPr>
          <w:p w14:paraId="1DDC986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73 881</w:t>
            </w:r>
          </w:p>
        </w:tc>
        <w:tc>
          <w:tcPr>
            <w:tcW w:w="1305" w:type="dxa"/>
            <w:tcBorders>
              <w:top w:val="nil"/>
              <w:left w:val="nil"/>
              <w:bottom w:val="single" w:sz="4" w:space="0" w:color="auto"/>
              <w:right w:val="single" w:sz="4" w:space="0" w:color="auto"/>
            </w:tcBorders>
            <w:shd w:val="clear" w:color="auto" w:fill="auto"/>
            <w:noWrap/>
          </w:tcPr>
          <w:p w14:paraId="32CF29F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74 045</w:t>
            </w:r>
          </w:p>
        </w:tc>
        <w:tc>
          <w:tcPr>
            <w:tcW w:w="1306" w:type="dxa"/>
            <w:tcBorders>
              <w:top w:val="nil"/>
              <w:left w:val="nil"/>
              <w:bottom w:val="single" w:sz="4" w:space="0" w:color="auto"/>
              <w:right w:val="single" w:sz="4" w:space="0" w:color="auto"/>
            </w:tcBorders>
            <w:shd w:val="clear" w:color="auto" w:fill="auto"/>
            <w:noWrap/>
          </w:tcPr>
          <w:p w14:paraId="5089C95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77 417</w:t>
            </w:r>
          </w:p>
        </w:tc>
      </w:tr>
      <w:tr w:rsidR="00595C1A" w:rsidRPr="001D42CA" w14:paraId="33F4E8C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05355AB"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Pakistán</w:t>
            </w:r>
          </w:p>
        </w:tc>
        <w:tc>
          <w:tcPr>
            <w:tcW w:w="1111" w:type="dxa"/>
            <w:tcBorders>
              <w:top w:val="nil"/>
              <w:left w:val="nil"/>
              <w:bottom w:val="single" w:sz="4" w:space="0" w:color="auto"/>
              <w:right w:val="single" w:sz="4" w:space="0" w:color="auto"/>
            </w:tcBorders>
            <w:shd w:val="clear" w:color="auto" w:fill="auto"/>
            <w:noWrap/>
          </w:tcPr>
          <w:p w14:paraId="680A4AB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0,114</w:t>
            </w:r>
          </w:p>
        </w:tc>
        <w:tc>
          <w:tcPr>
            <w:tcW w:w="1111" w:type="dxa"/>
            <w:tcBorders>
              <w:top w:val="nil"/>
              <w:left w:val="nil"/>
              <w:bottom w:val="single" w:sz="4" w:space="0" w:color="auto"/>
              <w:right w:val="single" w:sz="4" w:space="0" w:color="auto"/>
            </w:tcBorders>
            <w:shd w:val="clear" w:color="auto" w:fill="auto"/>
            <w:noWrap/>
          </w:tcPr>
          <w:p w14:paraId="6DE09D1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0,117 %</w:t>
            </w:r>
          </w:p>
        </w:tc>
        <w:tc>
          <w:tcPr>
            <w:tcW w:w="1305" w:type="dxa"/>
            <w:tcBorders>
              <w:top w:val="nil"/>
              <w:left w:val="nil"/>
              <w:bottom w:val="single" w:sz="4" w:space="0" w:color="auto"/>
              <w:right w:val="single" w:sz="4" w:space="0" w:color="auto"/>
            </w:tcBorders>
          </w:tcPr>
          <w:p w14:paraId="5CF7D3B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5 582</w:t>
            </w:r>
          </w:p>
        </w:tc>
        <w:tc>
          <w:tcPr>
            <w:tcW w:w="1306" w:type="dxa"/>
            <w:tcBorders>
              <w:top w:val="nil"/>
              <w:left w:val="single" w:sz="4" w:space="0" w:color="auto"/>
              <w:bottom w:val="single" w:sz="4" w:space="0" w:color="auto"/>
              <w:right w:val="single" w:sz="4" w:space="0" w:color="auto"/>
            </w:tcBorders>
            <w:shd w:val="clear" w:color="auto" w:fill="auto"/>
            <w:noWrap/>
          </w:tcPr>
          <w:p w14:paraId="2A83366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6 117</w:t>
            </w:r>
          </w:p>
        </w:tc>
        <w:tc>
          <w:tcPr>
            <w:tcW w:w="1305" w:type="dxa"/>
            <w:tcBorders>
              <w:top w:val="nil"/>
              <w:left w:val="nil"/>
              <w:bottom w:val="single" w:sz="4" w:space="0" w:color="auto"/>
              <w:right w:val="single" w:sz="4" w:space="0" w:color="auto"/>
            </w:tcBorders>
            <w:shd w:val="clear" w:color="auto" w:fill="auto"/>
            <w:noWrap/>
          </w:tcPr>
          <w:p w14:paraId="06CAFC7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6 130</w:t>
            </w:r>
          </w:p>
        </w:tc>
        <w:tc>
          <w:tcPr>
            <w:tcW w:w="1306" w:type="dxa"/>
            <w:tcBorders>
              <w:top w:val="nil"/>
              <w:left w:val="nil"/>
              <w:bottom w:val="single" w:sz="4" w:space="0" w:color="auto"/>
              <w:right w:val="single" w:sz="4" w:space="0" w:color="auto"/>
            </w:tcBorders>
            <w:shd w:val="clear" w:color="auto" w:fill="auto"/>
            <w:noWrap/>
          </w:tcPr>
          <w:p w14:paraId="34441C0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6 409</w:t>
            </w:r>
          </w:p>
        </w:tc>
      </w:tr>
      <w:tr w:rsidR="00595C1A" w:rsidRPr="001D42CA" w14:paraId="0099998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591F945" w14:textId="77777777" w:rsidR="00595C1A" w:rsidRPr="003914F9" w:rsidRDefault="00595C1A" w:rsidP="006F3288">
            <w:pPr>
              <w:ind w:left="0" w:firstLine="0"/>
              <w:rPr>
                <w:rFonts w:asciiTheme="minorHAnsi" w:eastAsia="Times New Roman" w:hAnsiTheme="minorHAnsi" w:cstheme="minorHAnsi"/>
                <w:sz w:val="20"/>
                <w:szCs w:val="20"/>
              </w:rPr>
            </w:pPr>
            <w:r>
              <w:rPr>
                <w:rFonts w:asciiTheme="minorHAnsi" w:hAnsiTheme="minorHAnsi"/>
                <w:sz w:val="20"/>
              </w:rPr>
              <w:t>Palau</w:t>
            </w:r>
          </w:p>
        </w:tc>
        <w:tc>
          <w:tcPr>
            <w:tcW w:w="1111" w:type="dxa"/>
            <w:tcBorders>
              <w:top w:val="nil"/>
              <w:left w:val="nil"/>
              <w:bottom w:val="single" w:sz="4" w:space="0" w:color="auto"/>
              <w:right w:val="single" w:sz="4" w:space="0" w:color="auto"/>
            </w:tcBorders>
            <w:shd w:val="clear" w:color="auto" w:fill="auto"/>
            <w:noWrap/>
          </w:tcPr>
          <w:p w14:paraId="5C14BF01"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22F07BA2"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7EC3A966" w14:textId="77777777" w:rsidR="00595C1A" w:rsidRPr="00E4084B" w:rsidRDefault="00595C1A" w:rsidP="006F3288">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346AD0F"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969EDCB"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FD45A51" w14:textId="77777777" w:rsidR="00595C1A" w:rsidRPr="00E4084B" w:rsidRDefault="00595C1A" w:rsidP="006F3288">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789C96A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FA3FAE2"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Panamá</w:t>
            </w:r>
          </w:p>
        </w:tc>
        <w:tc>
          <w:tcPr>
            <w:tcW w:w="1111" w:type="dxa"/>
            <w:tcBorders>
              <w:top w:val="nil"/>
              <w:left w:val="nil"/>
              <w:bottom w:val="single" w:sz="4" w:space="0" w:color="auto"/>
              <w:right w:val="single" w:sz="4" w:space="0" w:color="auto"/>
            </w:tcBorders>
            <w:shd w:val="clear" w:color="auto" w:fill="auto"/>
            <w:noWrap/>
          </w:tcPr>
          <w:p w14:paraId="70DC68F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0,090</w:t>
            </w:r>
          </w:p>
        </w:tc>
        <w:tc>
          <w:tcPr>
            <w:tcW w:w="1111" w:type="dxa"/>
            <w:tcBorders>
              <w:top w:val="nil"/>
              <w:left w:val="nil"/>
              <w:bottom w:val="single" w:sz="4" w:space="0" w:color="auto"/>
              <w:right w:val="single" w:sz="4" w:space="0" w:color="auto"/>
            </w:tcBorders>
            <w:shd w:val="clear" w:color="auto" w:fill="auto"/>
            <w:noWrap/>
          </w:tcPr>
          <w:p w14:paraId="52B3F8A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0,092 %</w:t>
            </w:r>
          </w:p>
        </w:tc>
        <w:tc>
          <w:tcPr>
            <w:tcW w:w="1305" w:type="dxa"/>
            <w:tcBorders>
              <w:top w:val="nil"/>
              <w:left w:val="nil"/>
              <w:bottom w:val="single" w:sz="4" w:space="0" w:color="auto"/>
              <w:right w:val="single" w:sz="4" w:space="0" w:color="auto"/>
            </w:tcBorders>
          </w:tcPr>
          <w:p w14:paraId="5D56046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4 407</w:t>
            </w:r>
          </w:p>
        </w:tc>
        <w:tc>
          <w:tcPr>
            <w:tcW w:w="1306" w:type="dxa"/>
            <w:tcBorders>
              <w:top w:val="nil"/>
              <w:left w:val="single" w:sz="4" w:space="0" w:color="auto"/>
              <w:bottom w:val="single" w:sz="4" w:space="0" w:color="auto"/>
              <w:right w:val="single" w:sz="4" w:space="0" w:color="auto"/>
            </w:tcBorders>
            <w:shd w:val="clear" w:color="auto" w:fill="auto"/>
            <w:noWrap/>
          </w:tcPr>
          <w:p w14:paraId="47F34A3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4 829</w:t>
            </w:r>
          </w:p>
        </w:tc>
        <w:tc>
          <w:tcPr>
            <w:tcW w:w="1305" w:type="dxa"/>
            <w:tcBorders>
              <w:top w:val="nil"/>
              <w:left w:val="nil"/>
              <w:bottom w:val="single" w:sz="4" w:space="0" w:color="auto"/>
              <w:right w:val="single" w:sz="4" w:space="0" w:color="auto"/>
            </w:tcBorders>
            <w:shd w:val="clear" w:color="auto" w:fill="auto"/>
            <w:noWrap/>
          </w:tcPr>
          <w:p w14:paraId="5B74052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4 840</w:t>
            </w:r>
          </w:p>
        </w:tc>
        <w:tc>
          <w:tcPr>
            <w:tcW w:w="1306" w:type="dxa"/>
            <w:tcBorders>
              <w:top w:val="nil"/>
              <w:left w:val="nil"/>
              <w:bottom w:val="single" w:sz="4" w:space="0" w:color="auto"/>
              <w:right w:val="single" w:sz="4" w:space="0" w:color="auto"/>
            </w:tcBorders>
            <w:shd w:val="clear" w:color="auto" w:fill="auto"/>
            <w:noWrap/>
          </w:tcPr>
          <w:p w14:paraId="0CF6F18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5 060</w:t>
            </w:r>
          </w:p>
        </w:tc>
      </w:tr>
      <w:tr w:rsidR="00595C1A" w:rsidRPr="001D42CA" w14:paraId="50469DE2"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A4C002D"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Papua</w:t>
            </w:r>
            <w:proofErr w:type="spellEnd"/>
            <w:r>
              <w:rPr>
                <w:rFonts w:asciiTheme="minorHAnsi" w:hAnsiTheme="minorHAnsi"/>
                <w:sz w:val="20"/>
              </w:rPr>
              <w:t xml:space="preserve"> Nueva Guinea</w:t>
            </w:r>
          </w:p>
        </w:tc>
        <w:tc>
          <w:tcPr>
            <w:tcW w:w="1111" w:type="dxa"/>
            <w:tcBorders>
              <w:top w:val="nil"/>
              <w:left w:val="nil"/>
              <w:bottom w:val="single" w:sz="4" w:space="0" w:color="auto"/>
              <w:right w:val="single" w:sz="4" w:space="0" w:color="auto"/>
            </w:tcBorders>
            <w:shd w:val="clear" w:color="auto" w:fill="auto"/>
            <w:noWrap/>
          </w:tcPr>
          <w:p w14:paraId="40AF75B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w:t>
            </w:r>
          </w:p>
        </w:tc>
        <w:tc>
          <w:tcPr>
            <w:tcW w:w="1111" w:type="dxa"/>
            <w:tcBorders>
              <w:top w:val="nil"/>
              <w:left w:val="nil"/>
              <w:bottom w:val="single" w:sz="4" w:space="0" w:color="auto"/>
              <w:right w:val="single" w:sz="4" w:space="0" w:color="auto"/>
            </w:tcBorders>
            <w:shd w:val="clear" w:color="auto" w:fill="auto"/>
            <w:noWrap/>
          </w:tcPr>
          <w:p w14:paraId="2643F69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0,010 %</w:t>
            </w:r>
          </w:p>
        </w:tc>
        <w:tc>
          <w:tcPr>
            <w:tcW w:w="1305" w:type="dxa"/>
            <w:tcBorders>
              <w:top w:val="nil"/>
              <w:left w:val="nil"/>
              <w:bottom w:val="single" w:sz="4" w:space="0" w:color="auto"/>
              <w:right w:val="single" w:sz="4" w:space="0" w:color="auto"/>
            </w:tcBorders>
          </w:tcPr>
          <w:p w14:paraId="185834D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AF0974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4AE7E02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C8EE07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5906A9A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023C0B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Paraguay</w:t>
            </w:r>
          </w:p>
        </w:tc>
        <w:tc>
          <w:tcPr>
            <w:tcW w:w="1111" w:type="dxa"/>
            <w:tcBorders>
              <w:top w:val="nil"/>
              <w:left w:val="nil"/>
              <w:bottom w:val="single" w:sz="4" w:space="0" w:color="auto"/>
              <w:right w:val="single" w:sz="4" w:space="0" w:color="auto"/>
            </w:tcBorders>
            <w:shd w:val="clear" w:color="auto" w:fill="auto"/>
            <w:noWrap/>
          </w:tcPr>
          <w:p w14:paraId="36A50F9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0,026</w:t>
            </w:r>
          </w:p>
        </w:tc>
        <w:tc>
          <w:tcPr>
            <w:tcW w:w="1111" w:type="dxa"/>
            <w:tcBorders>
              <w:top w:val="nil"/>
              <w:left w:val="nil"/>
              <w:bottom w:val="single" w:sz="4" w:space="0" w:color="auto"/>
              <w:right w:val="single" w:sz="4" w:space="0" w:color="auto"/>
            </w:tcBorders>
            <w:shd w:val="clear" w:color="auto" w:fill="auto"/>
            <w:noWrap/>
          </w:tcPr>
          <w:p w14:paraId="7554B96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0,027 %</w:t>
            </w:r>
          </w:p>
        </w:tc>
        <w:tc>
          <w:tcPr>
            <w:tcW w:w="1305" w:type="dxa"/>
            <w:tcBorders>
              <w:top w:val="nil"/>
              <w:left w:val="nil"/>
              <w:bottom w:val="single" w:sz="4" w:space="0" w:color="auto"/>
              <w:right w:val="single" w:sz="4" w:space="0" w:color="auto"/>
            </w:tcBorders>
          </w:tcPr>
          <w:p w14:paraId="4E5A57B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1 273</w:t>
            </w:r>
          </w:p>
        </w:tc>
        <w:tc>
          <w:tcPr>
            <w:tcW w:w="1306" w:type="dxa"/>
            <w:tcBorders>
              <w:top w:val="nil"/>
              <w:left w:val="single" w:sz="4" w:space="0" w:color="auto"/>
              <w:bottom w:val="single" w:sz="4" w:space="0" w:color="auto"/>
              <w:right w:val="single" w:sz="4" w:space="0" w:color="auto"/>
            </w:tcBorders>
            <w:shd w:val="clear" w:color="auto" w:fill="auto"/>
            <w:noWrap/>
          </w:tcPr>
          <w:p w14:paraId="7AE3446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1 395</w:t>
            </w:r>
          </w:p>
        </w:tc>
        <w:tc>
          <w:tcPr>
            <w:tcW w:w="1305" w:type="dxa"/>
            <w:tcBorders>
              <w:top w:val="nil"/>
              <w:left w:val="nil"/>
              <w:bottom w:val="single" w:sz="4" w:space="0" w:color="auto"/>
              <w:right w:val="single" w:sz="4" w:space="0" w:color="auto"/>
            </w:tcBorders>
            <w:shd w:val="clear" w:color="auto" w:fill="auto"/>
            <w:noWrap/>
          </w:tcPr>
          <w:p w14:paraId="7BC4A74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1 398</w:t>
            </w:r>
          </w:p>
        </w:tc>
        <w:tc>
          <w:tcPr>
            <w:tcW w:w="1306" w:type="dxa"/>
            <w:tcBorders>
              <w:top w:val="nil"/>
              <w:left w:val="nil"/>
              <w:bottom w:val="single" w:sz="4" w:space="0" w:color="auto"/>
              <w:right w:val="single" w:sz="4" w:space="0" w:color="auto"/>
            </w:tcBorders>
            <w:shd w:val="clear" w:color="auto" w:fill="auto"/>
            <w:noWrap/>
          </w:tcPr>
          <w:p w14:paraId="4251D93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1 462</w:t>
            </w:r>
          </w:p>
        </w:tc>
      </w:tr>
      <w:tr w:rsidR="00595C1A" w:rsidRPr="001D42CA" w14:paraId="097ADC8D"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FA879D6"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Perú</w:t>
            </w:r>
          </w:p>
        </w:tc>
        <w:tc>
          <w:tcPr>
            <w:tcW w:w="1111" w:type="dxa"/>
            <w:tcBorders>
              <w:top w:val="nil"/>
              <w:left w:val="nil"/>
              <w:bottom w:val="single" w:sz="4" w:space="0" w:color="auto"/>
              <w:right w:val="single" w:sz="4" w:space="0" w:color="auto"/>
            </w:tcBorders>
            <w:shd w:val="clear" w:color="auto" w:fill="auto"/>
            <w:noWrap/>
          </w:tcPr>
          <w:p w14:paraId="2D56E9B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0,163</w:t>
            </w:r>
          </w:p>
        </w:tc>
        <w:tc>
          <w:tcPr>
            <w:tcW w:w="1111" w:type="dxa"/>
            <w:tcBorders>
              <w:top w:val="nil"/>
              <w:left w:val="nil"/>
              <w:bottom w:val="single" w:sz="4" w:space="0" w:color="auto"/>
              <w:right w:val="single" w:sz="4" w:space="0" w:color="auto"/>
            </w:tcBorders>
            <w:shd w:val="clear" w:color="auto" w:fill="auto"/>
            <w:noWrap/>
          </w:tcPr>
          <w:p w14:paraId="7A51361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0,167 %</w:t>
            </w:r>
          </w:p>
        </w:tc>
        <w:tc>
          <w:tcPr>
            <w:tcW w:w="1305" w:type="dxa"/>
            <w:tcBorders>
              <w:top w:val="nil"/>
              <w:left w:val="nil"/>
              <w:bottom w:val="single" w:sz="4" w:space="0" w:color="auto"/>
              <w:right w:val="single" w:sz="4" w:space="0" w:color="auto"/>
            </w:tcBorders>
          </w:tcPr>
          <w:p w14:paraId="18953965"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7 981</w:t>
            </w:r>
          </w:p>
        </w:tc>
        <w:tc>
          <w:tcPr>
            <w:tcW w:w="1306" w:type="dxa"/>
            <w:tcBorders>
              <w:top w:val="nil"/>
              <w:left w:val="single" w:sz="4" w:space="0" w:color="auto"/>
              <w:bottom w:val="single" w:sz="4" w:space="0" w:color="auto"/>
              <w:right w:val="single" w:sz="4" w:space="0" w:color="auto"/>
            </w:tcBorders>
            <w:shd w:val="clear" w:color="auto" w:fill="auto"/>
            <w:noWrap/>
          </w:tcPr>
          <w:p w14:paraId="2FC7A92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8 746</w:t>
            </w:r>
          </w:p>
        </w:tc>
        <w:tc>
          <w:tcPr>
            <w:tcW w:w="1305" w:type="dxa"/>
            <w:tcBorders>
              <w:top w:val="nil"/>
              <w:left w:val="nil"/>
              <w:bottom w:val="single" w:sz="4" w:space="0" w:color="auto"/>
              <w:right w:val="single" w:sz="4" w:space="0" w:color="auto"/>
            </w:tcBorders>
            <w:shd w:val="clear" w:color="auto" w:fill="auto"/>
            <w:noWrap/>
          </w:tcPr>
          <w:p w14:paraId="19B08E9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8 765</w:t>
            </w:r>
          </w:p>
        </w:tc>
        <w:tc>
          <w:tcPr>
            <w:tcW w:w="1306" w:type="dxa"/>
            <w:tcBorders>
              <w:top w:val="nil"/>
              <w:left w:val="nil"/>
              <w:bottom w:val="single" w:sz="4" w:space="0" w:color="auto"/>
              <w:right w:val="single" w:sz="4" w:space="0" w:color="auto"/>
            </w:tcBorders>
            <w:shd w:val="clear" w:color="auto" w:fill="auto"/>
            <w:noWrap/>
          </w:tcPr>
          <w:p w14:paraId="255A04E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9 164</w:t>
            </w:r>
          </w:p>
        </w:tc>
      </w:tr>
      <w:tr w:rsidR="00595C1A" w:rsidRPr="001D42CA" w14:paraId="3E0C8E2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96BBD6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Polonia</w:t>
            </w:r>
          </w:p>
        </w:tc>
        <w:tc>
          <w:tcPr>
            <w:tcW w:w="1111" w:type="dxa"/>
            <w:tcBorders>
              <w:top w:val="nil"/>
              <w:left w:val="nil"/>
              <w:bottom w:val="single" w:sz="4" w:space="0" w:color="auto"/>
              <w:right w:val="single" w:sz="4" w:space="0" w:color="auto"/>
            </w:tcBorders>
            <w:shd w:val="clear" w:color="auto" w:fill="auto"/>
            <w:noWrap/>
          </w:tcPr>
          <w:p w14:paraId="454DEA6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0,837</w:t>
            </w:r>
          </w:p>
        </w:tc>
        <w:tc>
          <w:tcPr>
            <w:tcW w:w="1111" w:type="dxa"/>
            <w:tcBorders>
              <w:top w:val="nil"/>
              <w:left w:val="nil"/>
              <w:bottom w:val="single" w:sz="4" w:space="0" w:color="auto"/>
              <w:right w:val="single" w:sz="4" w:space="0" w:color="auto"/>
            </w:tcBorders>
            <w:shd w:val="clear" w:color="auto" w:fill="auto"/>
            <w:noWrap/>
          </w:tcPr>
          <w:p w14:paraId="5925CD3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0,859 %</w:t>
            </w:r>
          </w:p>
        </w:tc>
        <w:tc>
          <w:tcPr>
            <w:tcW w:w="1305" w:type="dxa"/>
            <w:tcBorders>
              <w:top w:val="nil"/>
              <w:left w:val="nil"/>
              <w:bottom w:val="single" w:sz="4" w:space="0" w:color="auto"/>
              <w:right w:val="single" w:sz="4" w:space="0" w:color="auto"/>
            </w:tcBorders>
          </w:tcPr>
          <w:p w14:paraId="1A3F0E2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40 982</w:t>
            </w:r>
          </w:p>
        </w:tc>
        <w:tc>
          <w:tcPr>
            <w:tcW w:w="1306" w:type="dxa"/>
            <w:tcBorders>
              <w:top w:val="nil"/>
              <w:left w:val="single" w:sz="4" w:space="0" w:color="auto"/>
              <w:bottom w:val="single" w:sz="4" w:space="0" w:color="auto"/>
              <w:right w:val="single" w:sz="4" w:space="0" w:color="auto"/>
            </w:tcBorders>
            <w:shd w:val="clear" w:color="auto" w:fill="auto"/>
            <w:noWrap/>
          </w:tcPr>
          <w:p w14:paraId="000FA19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44 908</w:t>
            </w:r>
          </w:p>
        </w:tc>
        <w:tc>
          <w:tcPr>
            <w:tcW w:w="1305" w:type="dxa"/>
            <w:tcBorders>
              <w:top w:val="nil"/>
              <w:left w:val="nil"/>
              <w:bottom w:val="single" w:sz="4" w:space="0" w:color="auto"/>
              <w:right w:val="single" w:sz="4" w:space="0" w:color="auto"/>
            </w:tcBorders>
            <w:shd w:val="clear" w:color="auto" w:fill="auto"/>
            <w:noWrap/>
          </w:tcPr>
          <w:p w14:paraId="72B74ED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45 008</w:t>
            </w:r>
          </w:p>
        </w:tc>
        <w:tc>
          <w:tcPr>
            <w:tcW w:w="1306" w:type="dxa"/>
            <w:tcBorders>
              <w:top w:val="nil"/>
              <w:left w:val="nil"/>
              <w:bottom w:val="single" w:sz="4" w:space="0" w:color="auto"/>
              <w:right w:val="single" w:sz="4" w:space="0" w:color="auto"/>
            </w:tcBorders>
            <w:shd w:val="clear" w:color="auto" w:fill="auto"/>
            <w:noWrap/>
          </w:tcPr>
          <w:p w14:paraId="7D5842E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47 058</w:t>
            </w:r>
          </w:p>
        </w:tc>
      </w:tr>
      <w:tr w:rsidR="00595C1A" w:rsidRPr="001D42CA" w14:paraId="01A93EF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2B7864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Portugal</w:t>
            </w:r>
          </w:p>
        </w:tc>
        <w:tc>
          <w:tcPr>
            <w:tcW w:w="1111" w:type="dxa"/>
            <w:tcBorders>
              <w:top w:val="nil"/>
              <w:left w:val="nil"/>
              <w:bottom w:val="single" w:sz="4" w:space="0" w:color="auto"/>
              <w:right w:val="single" w:sz="4" w:space="0" w:color="auto"/>
            </w:tcBorders>
            <w:shd w:val="clear" w:color="auto" w:fill="auto"/>
            <w:noWrap/>
          </w:tcPr>
          <w:p w14:paraId="55A8210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0,353</w:t>
            </w:r>
          </w:p>
        </w:tc>
        <w:tc>
          <w:tcPr>
            <w:tcW w:w="1111" w:type="dxa"/>
            <w:tcBorders>
              <w:top w:val="nil"/>
              <w:left w:val="nil"/>
              <w:bottom w:val="single" w:sz="4" w:space="0" w:color="auto"/>
              <w:right w:val="single" w:sz="4" w:space="0" w:color="auto"/>
            </w:tcBorders>
            <w:shd w:val="clear" w:color="auto" w:fill="auto"/>
            <w:noWrap/>
          </w:tcPr>
          <w:p w14:paraId="2E07AFF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0,362 %</w:t>
            </w:r>
          </w:p>
        </w:tc>
        <w:tc>
          <w:tcPr>
            <w:tcW w:w="1305" w:type="dxa"/>
            <w:tcBorders>
              <w:top w:val="nil"/>
              <w:left w:val="nil"/>
              <w:bottom w:val="single" w:sz="4" w:space="0" w:color="auto"/>
              <w:right w:val="single" w:sz="4" w:space="0" w:color="auto"/>
            </w:tcBorders>
          </w:tcPr>
          <w:p w14:paraId="77F727F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17 284</w:t>
            </w:r>
          </w:p>
        </w:tc>
        <w:tc>
          <w:tcPr>
            <w:tcW w:w="1306" w:type="dxa"/>
            <w:tcBorders>
              <w:top w:val="nil"/>
              <w:left w:val="single" w:sz="4" w:space="0" w:color="auto"/>
              <w:bottom w:val="single" w:sz="4" w:space="0" w:color="auto"/>
              <w:right w:val="single" w:sz="4" w:space="0" w:color="auto"/>
            </w:tcBorders>
            <w:shd w:val="clear" w:color="auto" w:fill="auto"/>
            <w:noWrap/>
          </w:tcPr>
          <w:p w14:paraId="5FC6261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18 940</w:t>
            </w:r>
          </w:p>
        </w:tc>
        <w:tc>
          <w:tcPr>
            <w:tcW w:w="1305" w:type="dxa"/>
            <w:tcBorders>
              <w:top w:val="nil"/>
              <w:left w:val="nil"/>
              <w:bottom w:val="single" w:sz="4" w:space="0" w:color="auto"/>
              <w:right w:val="single" w:sz="4" w:space="0" w:color="auto"/>
            </w:tcBorders>
            <w:shd w:val="clear" w:color="auto" w:fill="auto"/>
            <w:noWrap/>
          </w:tcPr>
          <w:p w14:paraId="4FB14E0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18 982</w:t>
            </w:r>
          </w:p>
        </w:tc>
        <w:tc>
          <w:tcPr>
            <w:tcW w:w="1306" w:type="dxa"/>
            <w:tcBorders>
              <w:top w:val="nil"/>
              <w:left w:val="nil"/>
              <w:bottom w:val="single" w:sz="4" w:space="0" w:color="auto"/>
              <w:right w:val="single" w:sz="4" w:space="0" w:color="auto"/>
            </w:tcBorders>
            <w:shd w:val="clear" w:color="auto" w:fill="auto"/>
            <w:noWrap/>
          </w:tcPr>
          <w:p w14:paraId="600A2E9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19 846</w:t>
            </w:r>
          </w:p>
        </w:tc>
      </w:tr>
      <w:tr w:rsidR="00595C1A" w:rsidRPr="001D42CA" w14:paraId="582298A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4E1CF8A"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Reino Unido</w:t>
            </w:r>
          </w:p>
        </w:tc>
        <w:tc>
          <w:tcPr>
            <w:tcW w:w="1111" w:type="dxa"/>
            <w:tcBorders>
              <w:top w:val="nil"/>
              <w:left w:val="nil"/>
              <w:bottom w:val="single" w:sz="4" w:space="0" w:color="auto"/>
              <w:right w:val="single" w:sz="4" w:space="0" w:color="auto"/>
            </w:tcBorders>
            <w:shd w:val="clear" w:color="auto" w:fill="auto"/>
            <w:noWrap/>
          </w:tcPr>
          <w:p w14:paraId="75E3CF5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4,375</w:t>
            </w:r>
          </w:p>
        </w:tc>
        <w:tc>
          <w:tcPr>
            <w:tcW w:w="1111" w:type="dxa"/>
            <w:tcBorders>
              <w:top w:val="nil"/>
              <w:left w:val="nil"/>
              <w:bottom w:val="single" w:sz="4" w:space="0" w:color="auto"/>
              <w:right w:val="single" w:sz="4" w:space="0" w:color="auto"/>
            </w:tcBorders>
            <w:shd w:val="clear" w:color="auto" w:fill="auto"/>
            <w:noWrap/>
          </w:tcPr>
          <w:p w14:paraId="3F969C6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4,491 %</w:t>
            </w:r>
          </w:p>
        </w:tc>
        <w:tc>
          <w:tcPr>
            <w:tcW w:w="1305" w:type="dxa"/>
            <w:tcBorders>
              <w:top w:val="nil"/>
              <w:left w:val="nil"/>
              <w:bottom w:val="single" w:sz="4" w:space="0" w:color="auto"/>
              <w:right w:val="single" w:sz="4" w:space="0" w:color="auto"/>
            </w:tcBorders>
          </w:tcPr>
          <w:p w14:paraId="0FFB7DE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214 212</w:t>
            </w:r>
          </w:p>
        </w:tc>
        <w:tc>
          <w:tcPr>
            <w:tcW w:w="1306" w:type="dxa"/>
            <w:tcBorders>
              <w:top w:val="nil"/>
              <w:left w:val="single" w:sz="4" w:space="0" w:color="auto"/>
              <w:bottom w:val="single" w:sz="4" w:space="0" w:color="auto"/>
              <w:right w:val="single" w:sz="4" w:space="0" w:color="auto"/>
            </w:tcBorders>
            <w:shd w:val="clear" w:color="auto" w:fill="auto"/>
            <w:noWrap/>
          </w:tcPr>
          <w:p w14:paraId="3E1ACAC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234 735</w:t>
            </w:r>
          </w:p>
        </w:tc>
        <w:tc>
          <w:tcPr>
            <w:tcW w:w="1305" w:type="dxa"/>
            <w:tcBorders>
              <w:top w:val="nil"/>
              <w:left w:val="nil"/>
              <w:bottom w:val="single" w:sz="4" w:space="0" w:color="auto"/>
              <w:right w:val="single" w:sz="4" w:space="0" w:color="auto"/>
            </w:tcBorders>
            <w:shd w:val="clear" w:color="auto" w:fill="auto"/>
            <w:noWrap/>
          </w:tcPr>
          <w:p w14:paraId="24E1504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235 256</w:t>
            </w:r>
          </w:p>
        </w:tc>
        <w:tc>
          <w:tcPr>
            <w:tcW w:w="1306" w:type="dxa"/>
            <w:tcBorders>
              <w:top w:val="nil"/>
              <w:left w:val="nil"/>
              <w:bottom w:val="single" w:sz="4" w:space="0" w:color="auto"/>
              <w:right w:val="single" w:sz="4" w:space="0" w:color="auto"/>
            </w:tcBorders>
            <w:shd w:val="clear" w:color="auto" w:fill="auto"/>
            <w:noWrap/>
          </w:tcPr>
          <w:p w14:paraId="72D107B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245 970</w:t>
            </w:r>
          </w:p>
        </w:tc>
      </w:tr>
      <w:tr w:rsidR="00595C1A" w:rsidRPr="001D42CA" w14:paraId="07C2042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246308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República Árabe Siria</w:t>
            </w:r>
          </w:p>
        </w:tc>
        <w:tc>
          <w:tcPr>
            <w:tcW w:w="1111" w:type="dxa"/>
            <w:tcBorders>
              <w:top w:val="nil"/>
              <w:left w:val="nil"/>
              <w:bottom w:val="single" w:sz="4" w:space="0" w:color="auto"/>
              <w:right w:val="single" w:sz="4" w:space="0" w:color="auto"/>
            </w:tcBorders>
            <w:shd w:val="clear" w:color="auto" w:fill="auto"/>
            <w:noWrap/>
          </w:tcPr>
          <w:p w14:paraId="19C0954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0,009</w:t>
            </w:r>
          </w:p>
        </w:tc>
        <w:tc>
          <w:tcPr>
            <w:tcW w:w="1111" w:type="dxa"/>
            <w:tcBorders>
              <w:top w:val="nil"/>
              <w:left w:val="nil"/>
              <w:bottom w:val="single" w:sz="4" w:space="0" w:color="auto"/>
              <w:right w:val="single" w:sz="4" w:space="0" w:color="auto"/>
            </w:tcBorders>
            <w:shd w:val="clear" w:color="auto" w:fill="auto"/>
            <w:noWrap/>
          </w:tcPr>
          <w:p w14:paraId="0C2C277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0,009 %</w:t>
            </w:r>
          </w:p>
        </w:tc>
        <w:tc>
          <w:tcPr>
            <w:tcW w:w="1305" w:type="dxa"/>
            <w:tcBorders>
              <w:top w:val="nil"/>
              <w:left w:val="nil"/>
              <w:bottom w:val="single" w:sz="4" w:space="0" w:color="auto"/>
              <w:right w:val="single" w:sz="4" w:space="0" w:color="auto"/>
            </w:tcBorders>
          </w:tcPr>
          <w:p w14:paraId="14F2526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F4F006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4CFF70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9442EB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697269C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925C01B"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República Centroafricana</w:t>
            </w:r>
          </w:p>
        </w:tc>
        <w:tc>
          <w:tcPr>
            <w:tcW w:w="1111" w:type="dxa"/>
            <w:tcBorders>
              <w:top w:val="nil"/>
              <w:left w:val="nil"/>
              <w:bottom w:val="single" w:sz="4" w:space="0" w:color="auto"/>
              <w:right w:val="single" w:sz="4" w:space="0" w:color="auto"/>
            </w:tcBorders>
            <w:shd w:val="clear" w:color="auto" w:fill="auto"/>
            <w:noWrap/>
          </w:tcPr>
          <w:p w14:paraId="78479C4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w:t>
            </w:r>
          </w:p>
        </w:tc>
        <w:tc>
          <w:tcPr>
            <w:tcW w:w="1111" w:type="dxa"/>
            <w:tcBorders>
              <w:top w:val="nil"/>
              <w:left w:val="nil"/>
              <w:bottom w:val="single" w:sz="4" w:space="0" w:color="auto"/>
              <w:right w:val="single" w:sz="4" w:space="0" w:color="auto"/>
            </w:tcBorders>
            <w:shd w:val="clear" w:color="auto" w:fill="auto"/>
            <w:noWrap/>
          </w:tcPr>
          <w:p w14:paraId="6E43532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0,001 %</w:t>
            </w:r>
          </w:p>
        </w:tc>
        <w:tc>
          <w:tcPr>
            <w:tcW w:w="1305" w:type="dxa"/>
            <w:tcBorders>
              <w:top w:val="nil"/>
              <w:left w:val="nil"/>
              <w:bottom w:val="single" w:sz="4" w:space="0" w:color="auto"/>
              <w:right w:val="single" w:sz="4" w:space="0" w:color="auto"/>
            </w:tcBorders>
          </w:tcPr>
          <w:p w14:paraId="27D975F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C8EDE7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6FF875D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6" w:type="dxa"/>
            <w:tcBorders>
              <w:top w:val="nil"/>
              <w:left w:val="nil"/>
              <w:bottom w:val="single" w:sz="4" w:space="0" w:color="auto"/>
              <w:right w:val="single" w:sz="4" w:space="0" w:color="auto"/>
            </w:tcBorders>
            <w:shd w:val="clear" w:color="auto" w:fill="auto"/>
            <w:noWrap/>
          </w:tcPr>
          <w:p w14:paraId="29CE467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r>
      <w:tr w:rsidR="00595C1A" w:rsidRPr="001D42CA" w14:paraId="20BC41A8"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55188C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República de Corea</w:t>
            </w:r>
          </w:p>
        </w:tc>
        <w:tc>
          <w:tcPr>
            <w:tcW w:w="1111" w:type="dxa"/>
            <w:tcBorders>
              <w:top w:val="nil"/>
              <w:left w:val="nil"/>
              <w:bottom w:val="single" w:sz="4" w:space="0" w:color="auto"/>
              <w:right w:val="single" w:sz="4" w:space="0" w:color="auto"/>
            </w:tcBorders>
            <w:shd w:val="clear" w:color="auto" w:fill="auto"/>
            <w:noWrap/>
          </w:tcPr>
          <w:p w14:paraId="03F93A0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2,574</w:t>
            </w:r>
          </w:p>
        </w:tc>
        <w:tc>
          <w:tcPr>
            <w:tcW w:w="1111" w:type="dxa"/>
            <w:tcBorders>
              <w:top w:val="nil"/>
              <w:left w:val="nil"/>
              <w:bottom w:val="single" w:sz="4" w:space="0" w:color="auto"/>
              <w:right w:val="single" w:sz="4" w:space="0" w:color="auto"/>
            </w:tcBorders>
            <w:shd w:val="clear" w:color="auto" w:fill="auto"/>
            <w:noWrap/>
          </w:tcPr>
          <w:p w14:paraId="0B34AC9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2,643 %</w:t>
            </w:r>
          </w:p>
        </w:tc>
        <w:tc>
          <w:tcPr>
            <w:tcW w:w="1305" w:type="dxa"/>
            <w:tcBorders>
              <w:top w:val="nil"/>
              <w:left w:val="nil"/>
              <w:bottom w:val="single" w:sz="4" w:space="0" w:color="auto"/>
              <w:right w:val="single" w:sz="4" w:space="0" w:color="auto"/>
            </w:tcBorders>
          </w:tcPr>
          <w:p w14:paraId="7ECDC23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126 030</w:t>
            </w:r>
          </w:p>
        </w:tc>
        <w:tc>
          <w:tcPr>
            <w:tcW w:w="1306" w:type="dxa"/>
            <w:tcBorders>
              <w:top w:val="nil"/>
              <w:left w:val="single" w:sz="4" w:space="0" w:color="auto"/>
              <w:bottom w:val="single" w:sz="4" w:space="0" w:color="auto"/>
              <w:right w:val="single" w:sz="4" w:space="0" w:color="auto"/>
            </w:tcBorders>
            <w:shd w:val="clear" w:color="auto" w:fill="auto"/>
            <w:noWrap/>
          </w:tcPr>
          <w:p w14:paraId="36A1B6D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138 105</w:t>
            </w:r>
          </w:p>
        </w:tc>
        <w:tc>
          <w:tcPr>
            <w:tcW w:w="1305" w:type="dxa"/>
            <w:tcBorders>
              <w:top w:val="nil"/>
              <w:left w:val="nil"/>
              <w:bottom w:val="single" w:sz="4" w:space="0" w:color="auto"/>
              <w:right w:val="single" w:sz="4" w:space="0" w:color="auto"/>
            </w:tcBorders>
            <w:shd w:val="clear" w:color="auto" w:fill="auto"/>
            <w:noWrap/>
          </w:tcPr>
          <w:p w14:paraId="74F11D5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138 411</w:t>
            </w:r>
          </w:p>
        </w:tc>
        <w:tc>
          <w:tcPr>
            <w:tcW w:w="1306" w:type="dxa"/>
            <w:tcBorders>
              <w:top w:val="nil"/>
              <w:left w:val="nil"/>
              <w:bottom w:val="single" w:sz="4" w:space="0" w:color="auto"/>
              <w:right w:val="single" w:sz="4" w:space="0" w:color="auto"/>
            </w:tcBorders>
            <w:shd w:val="clear" w:color="auto" w:fill="auto"/>
            <w:noWrap/>
          </w:tcPr>
          <w:p w14:paraId="60FE8EE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144 715</w:t>
            </w:r>
          </w:p>
        </w:tc>
      </w:tr>
      <w:tr w:rsidR="00595C1A" w:rsidRPr="001D42CA" w14:paraId="5AE72D0D"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12F7D6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 xml:space="preserve">República de Moldova </w:t>
            </w:r>
          </w:p>
        </w:tc>
        <w:tc>
          <w:tcPr>
            <w:tcW w:w="1111" w:type="dxa"/>
            <w:tcBorders>
              <w:top w:val="nil"/>
              <w:left w:val="nil"/>
              <w:bottom w:val="single" w:sz="4" w:space="0" w:color="auto"/>
              <w:right w:val="single" w:sz="4" w:space="0" w:color="auto"/>
            </w:tcBorders>
            <w:shd w:val="clear" w:color="auto" w:fill="auto"/>
            <w:noWrap/>
          </w:tcPr>
          <w:p w14:paraId="45EBD60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0,005</w:t>
            </w:r>
          </w:p>
        </w:tc>
        <w:tc>
          <w:tcPr>
            <w:tcW w:w="1111" w:type="dxa"/>
            <w:tcBorders>
              <w:top w:val="nil"/>
              <w:left w:val="nil"/>
              <w:bottom w:val="single" w:sz="4" w:space="0" w:color="auto"/>
              <w:right w:val="single" w:sz="4" w:space="0" w:color="auto"/>
            </w:tcBorders>
            <w:shd w:val="clear" w:color="auto" w:fill="auto"/>
            <w:noWrap/>
          </w:tcPr>
          <w:p w14:paraId="037EA82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0,005 %</w:t>
            </w:r>
          </w:p>
        </w:tc>
        <w:tc>
          <w:tcPr>
            <w:tcW w:w="1305" w:type="dxa"/>
            <w:tcBorders>
              <w:top w:val="nil"/>
              <w:left w:val="nil"/>
              <w:bottom w:val="single" w:sz="4" w:space="0" w:color="auto"/>
              <w:right w:val="single" w:sz="4" w:space="0" w:color="auto"/>
            </w:tcBorders>
          </w:tcPr>
          <w:p w14:paraId="2D04CEC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C7EA65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11C0ABA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2786012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3E075F8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1B83D8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República Democrática del Congo</w:t>
            </w:r>
          </w:p>
        </w:tc>
        <w:tc>
          <w:tcPr>
            <w:tcW w:w="1111" w:type="dxa"/>
            <w:tcBorders>
              <w:top w:val="nil"/>
              <w:left w:val="nil"/>
              <w:bottom w:val="single" w:sz="4" w:space="0" w:color="auto"/>
              <w:right w:val="single" w:sz="4" w:space="0" w:color="auto"/>
            </w:tcBorders>
            <w:shd w:val="clear" w:color="auto" w:fill="auto"/>
            <w:noWrap/>
          </w:tcPr>
          <w:p w14:paraId="441DAD9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w:t>
            </w:r>
          </w:p>
        </w:tc>
        <w:tc>
          <w:tcPr>
            <w:tcW w:w="1111" w:type="dxa"/>
            <w:tcBorders>
              <w:top w:val="nil"/>
              <w:left w:val="nil"/>
              <w:bottom w:val="single" w:sz="4" w:space="0" w:color="auto"/>
              <w:right w:val="single" w:sz="4" w:space="0" w:color="auto"/>
            </w:tcBorders>
            <w:shd w:val="clear" w:color="auto" w:fill="auto"/>
            <w:noWrap/>
          </w:tcPr>
          <w:p w14:paraId="4199B81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0,010 %</w:t>
            </w:r>
          </w:p>
        </w:tc>
        <w:tc>
          <w:tcPr>
            <w:tcW w:w="1305" w:type="dxa"/>
            <w:tcBorders>
              <w:top w:val="nil"/>
              <w:left w:val="nil"/>
              <w:bottom w:val="single" w:sz="4" w:space="0" w:color="auto"/>
              <w:right w:val="single" w:sz="4" w:space="0" w:color="auto"/>
            </w:tcBorders>
          </w:tcPr>
          <w:p w14:paraId="4138780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E61F31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7EB8BDC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1055937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658D5B8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BE7837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República Democrática Popular Lao</w:t>
            </w:r>
          </w:p>
        </w:tc>
        <w:tc>
          <w:tcPr>
            <w:tcW w:w="1111" w:type="dxa"/>
            <w:tcBorders>
              <w:top w:val="nil"/>
              <w:left w:val="nil"/>
              <w:bottom w:val="single" w:sz="4" w:space="0" w:color="auto"/>
              <w:right w:val="single" w:sz="4" w:space="0" w:color="auto"/>
            </w:tcBorders>
            <w:shd w:val="clear" w:color="auto" w:fill="auto"/>
            <w:noWrap/>
          </w:tcPr>
          <w:p w14:paraId="3BAB87D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0,007</w:t>
            </w:r>
          </w:p>
        </w:tc>
        <w:tc>
          <w:tcPr>
            <w:tcW w:w="1111" w:type="dxa"/>
            <w:tcBorders>
              <w:top w:val="nil"/>
              <w:left w:val="nil"/>
              <w:bottom w:val="single" w:sz="4" w:space="0" w:color="auto"/>
              <w:right w:val="single" w:sz="4" w:space="0" w:color="auto"/>
            </w:tcBorders>
            <w:shd w:val="clear" w:color="auto" w:fill="auto"/>
            <w:noWrap/>
          </w:tcPr>
          <w:p w14:paraId="3E87C0A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0,007 %</w:t>
            </w:r>
          </w:p>
        </w:tc>
        <w:tc>
          <w:tcPr>
            <w:tcW w:w="1305" w:type="dxa"/>
            <w:tcBorders>
              <w:top w:val="nil"/>
              <w:left w:val="nil"/>
              <w:bottom w:val="single" w:sz="4" w:space="0" w:color="auto"/>
              <w:right w:val="single" w:sz="4" w:space="0" w:color="auto"/>
            </w:tcBorders>
          </w:tcPr>
          <w:p w14:paraId="78F7070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7D4BBF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773C678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635C434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0694AF4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AFDED8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República Dominicana</w:t>
            </w:r>
          </w:p>
        </w:tc>
        <w:tc>
          <w:tcPr>
            <w:tcW w:w="1111" w:type="dxa"/>
            <w:tcBorders>
              <w:top w:val="nil"/>
              <w:left w:val="nil"/>
              <w:bottom w:val="single" w:sz="4" w:space="0" w:color="auto"/>
              <w:right w:val="single" w:sz="4" w:space="0" w:color="auto"/>
            </w:tcBorders>
            <w:shd w:val="clear" w:color="auto" w:fill="auto"/>
            <w:noWrap/>
          </w:tcPr>
          <w:p w14:paraId="7A8DAAC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0,067</w:t>
            </w:r>
          </w:p>
        </w:tc>
        <w:tc>
          <w:tcPr>
            <w:tcW w:w="1111" w:type="dxa"/>
            <w:tcBorders>
              <w:top w:val="nil"/>
              <w:left w:val="nil"/>
              <w:bottom w:val="single" w:sz="4" w:space="0" w:color="auto"/>
              <w:right w:val="single" w:sz="4" w:space="0" w:color="auto"/>
            </w:tcBorders>
            <w:shd w:val="clear" w:color="auto" w:fill="auto"/>
            <w:noWrap/>
          </w:tcPr>
          <w:p w14:paraId="27DCAB2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0,069 %</w:t>
            </w:r>
          </w:p>
        </w:tc>
        <w:tc>
          <w:tcPr>
            <w:tcW w:w="1305" w:type="dxa"/>
            <w:tcBorders>
              <w:top w:val="nil"/>
              <w:left w:val="nil"/>
              <w:bottom w:val="single" w:sz="4" w:space="0" w:color="auto"/>
              <w:right w:val="single" w:sz="4" w:space="0" w:color="auto"/>
            </w:tcBorders>
          </w:tcPr>
          <w:p w14:paraId="579F709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3 281</w:t>
            </w:r>
          </w:p>
        </w:tc>
        <w:tc>
          <w:tcPr>
            <w:tcW w:w="1306" w:type="dxa"/>
            <w:tcBorders>
              <w:top w:val="nil"/>
              <w:left w:val="single" w:sz="4" w:space="0" w:color="auto"/>
              <w:bottom w:val="single" w:sz="4" w:space="0" w:color="auto"/>
              <w:right w:val="single" w:sz="4" w:space="0" w:color="auto"/>
            </w:tcBorders>
            <w:shd w:val="clear" w:color="auto" w:fill="auto"/>
            <w:noWrap/>
          </w:tcPr>
          <w:p w14:paraId="1AAFB7F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3 595</w:t>
            </w:r>
          </w:p>
        </w:tc>
        <w:tc>
          <w:tcPr>
            <w:tcW w:w="1305" w:type="dxa"/>
            <w:tcBorders>
              <w:top w:val="nil"/>
              <w:left w:val="nil"/>
              <w:bottom w:val="single" w:sz="4" w:space="0" w:color="auto"/>
              <w:right w:val="single" w:sz="4" w:space="0" w:color="auto"/>
            </w:tcBorders>
            <w:shd w:val="clear" w:color="auto" w:fill="auto"/>
            <w:noWrap/>
          </w:tcPr>
          <w:p w14:paraId="62302C8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3 603</w:t>
            </w:r>
          </w:p>
        </w:tc>
        <w:tc>
          <w:tcPr>
            <w:tcW w:w="1306" w:type="dxa"/>
            <w:tcBorders>
              <w:top w:val="nil"/>
              <w:left w:val="nil"/>
              <w:bottom w:val="single" w:sz="4" w:space="0" w:color="auto"/>
              <w:right w:val="single" w:sz="4" w:space="0" w:color="auto"/>
            </w:tcBorders>
            <w:shd w:val="clear" w:color="auto" w:fill="auto"/>
            <w:noWrap/>
          </w:tcPr>
          <w:p w14:paraId="6D2A308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3 767</w:t>
            </w:r>
          </w:p>
        </w:tc>
      </w:tr>
      <w:tr w:rsidR="00595C1A" w:rsidRPr="001D42CA" w14:paraId="1A96C50E"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1159AA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República Popular Democrática de Corea</w:t>
            </w:r>
          </w:p>
        </w:tc>
        <w:tc>
          <w:tcPr>
            <w:tcW w:w="1111" w:type="dxa"/>
            <w:tcBorders>
              <w:top w:val="nil"/>
              <w:left w:val="nil"/>
              <w:bottom w:val="single" w:sz="4" w:space="0" w:color="auto"/>
              <w:right w:val="single" w:sz="4" w:space="0" w:color="auto"/>
            </w:tcBorders>
            <w:shd w:val="clear" w:color="auto" w:fill="auto"/>
            <w:noWrap/>
          </w:tcPr>
          <w:p w14:paraId="04DABA4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0,005</w:t>
            </w:r>
          </w:p>
        </w:tc>
        <w:tc>
          <w:tcPr>
            <w:tcW w:w="1111" w:type="dxa"/>
            <w:tcBorders>
              <w:top w:val="nil"/>
              <w:left w:val="nil"/>
              <w:bottom w:val="single" w:sz="4" w:space="0" w:color="auto"/>
              <w:right w:val="single" w:sz="4" w:space="0" w:color="auto"/>
            </w:tcBorders>
            <w:shd w:val="clear" w:color="auto" w:fill="auto"/>
            <w:noWrap/>
          </w:tcPr>
          <w:p w14:paraId="562A20A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0,005 %</w:t>
            </w:r>
          </w:p>
        </w:tc>
        <w:tc>
          <w:tcPr>
            <w:tcW w:w="1305" w:type="dxa"/>
            <w:tcBorders>
              <w:top w:val="nil"/>
              <w:left w:val="nil"/>
              <w:bottom w:val="single" w:sz="4" w:space="0" w:color="auto"/>
              <w:right w:val="single" w:sz="4" w:space="0" w:color="auto"/>
            </w:tcBorders>
          </w:tcPr>
          <w:p w14:paraId="2934344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2C5B6A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5FCBCA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4BDDE49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68DE77C2"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51261E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 xml:space="preserve">República Unida de </w:t>
            </w:r>
            <w:proofErr w:type="spellStart"/>
            <w:r>
              <w:rPr>
                <w:rFonts w:asciiTheme="minorHAnsi" w:hAnsiTheme="minorHAnsi"/>
                <w:sz w:val="20"/>
              </w:rPr>
              <w:t>Tanzanía</w:t>
            </w:r>
            <w:proofErr w:type="spellEnd"/>
          </w:p>
        </w:tc>
        <w:tc>
          <w:tcPr>
            <w:tcW w:w="1111" w:type="dxa"/>
            <w:tcBorders>
              <w:top w:val="nil"/>
              <w:left w:val="nil"/>
              <w:bottom w:val="single" w:sz="4" w:space="0" w:color="auto"/>
              <w:right w:val="single" w:sz="4" w:space="0" w:color="auto"/>
            </w:tcBorders>
            <w:shd w:val="clear" w:color="auto" w:fill="auto"/>
            <w:noWrap/>
          </w:tcPr>
          <w:p w14:paraId="4D42E77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w:t>
            </w:r>
          </w:p>
        </w:tc>
        <w:tc>
          <w:tcPr>
            <w:tcW w:w="1111" w:type="dxa"/>
            <w:tcBorders>
              <w:top w:val="nil"/>
              <w:left w:val="nil"/>
              <w:bottom w:val="single" w:sz="4" w:space="0" w:color="auto"/>
              <w:right w:val="single" w:sz="4" w:space="0" w:color="auto"/>
            </w:tcBorders>
            <w:shd w:val="clear" w:color="auto" w:fill="auto"/>
            <w:noWrap/>
          </w:tcPr>
          <w:p w14:paraId="1AB7509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0,010 %</w:t>
            </w:r>
          </w:p>
        </w:tc>
        <w:tc>
          <w:tcPr>
            <w:tcW w:w="1305" w:type="dxa"/>
            <w:tcBorders>
              <w:top w:val="nil"/>
              <w:left w:val="nil"/>
              <w:bottom w:val="single" w:sz="4" w:space="0" w:color="auto"/>
              <w:right w:val="single" w:sz="4" w:space="0" w:color="auto"/>
            </w:tcBorders>
          </w:tcPr>
          <w:p w14:paraId="059BBB2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2686CA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B1D7BE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7526B44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1D4854D3"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9A52C6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Rumanía</w:t>
            </w:r>
          </w:p>
        </w:tc>
        <w:tc>
          <w:tcPr>
            <w:tcW w:w="1111" w:type="dxa"/>
            <w:tcBorders>
              <w:top w:val="nil"/>
              <w:left w:val="nil"/>
              <w:bottom w:val="single" w:sz="4" w:space="0" w:color="auto"/>
              <w:right w:val="single" w:sz="4" w:space="0" w:color="auto"/>
            </w:tcBorders>
            <w:shd w:val="clear" w:color="auto" w:fill="auto"/>
            <w:noWrap/>
          </w:tcPr>
          <w:p w14:paraId="10A5974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0,312</w:t>
            </w:r>
          </w:p>
        </w:tc>
        <w:tc>
          <w:tcPr>
            <w:tcW w:w="1111" w:type="dxa"/>
            <w:tcBorders>
              <w:top w:val="nil"/>
              <w:left w:val="nil"/>
              <w:bottom w:val="single" w:sz="4" w:space="0" w:color="auto"/>
              <w:right w:val="single" w:sz="4" w:space="0" w:color="auto"/>
            </w:tcBorders>
            <w:shd w:val="clear" w:color="auto" w:fill="auto"/>
            <w:noWrap/>
          </w:tcPr>
          <w:p w14:paraId="3BAA590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0,320 %</w:t>
            </w:r>
          </w:p>
        </w:tc>
        <w:tc>
          <w:tcPr>
            <w:tcW w:w="1305" w:type="dxa"/>
            <w:tcBorders>
              <w:top w:val="nil"/>
              <w:left w:val="nil"/>
              <w:bottom w:val="single" w:sz="4" w:space="0" w:color="auto"/>
              <w:right w:val="single" w:sz="4" w:space="0" w:color="auto"/>
            </w:tcBorders>
          </w:tcPr>
          <w:p w14:paraId="112695F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15 276</w:t>
            </w:r>
          </w:p>
        </w:tc>
        <w:tc>
          <w:tcPr>
            <w:tcW w:w="1306" w:type="dxa"/>
            <w:tcBorders>
              <w:top w:val="nil"/>
              <w:left w:val="single" w:sz="4" w:space="0" w:color="auto"/>
              <w:bottom w:val="single" w:sz="4" w:space="0" w:color="auto"/>
              <w:right w:val="single" w:sz="4" w:space="0" w:color="auto"/>
            </w:tcBorders>
            <w:shd w:val="clear" w:color="auto" w:fill="auto"/>
            <w:noWrap/>
          </w:tcPr>
          <w:p w14:paraId="105433E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16 740</w:t>
            </w:r>
          </w:p>
        </w:tc>
        <w:tc>
          <w:tcPr>
            <w:tcW w:w="1305" w:type="dxa"/>
            <w:tcBorders>
              <w:top w:val="nil"/>
              <w:left w:val="nil"/>
              <w:bottom w:val="single" w:sz="4" w:space="0" w:color="auto"/>
              <w:right w:val="single" w:sz="4" w:space="0" w:color="auto"/>
            </w:tcBorders>
            <w:shd w:val="clear" w:color="auto" w:fill="auto"/>
            <w:noWrap/>
          </w:tcPr>
          <w:p w14:paraId="09589CA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16 777</w:t>
            </w:r>
          </w:p>
        </w:tc>
        <w:tc>
          <w:tcPr>
            <w:tcW w:w="1306" w:type="dxa"/>
            <w:tcBorders>
              <w:top w:val="nil"/>
              <w:left w:val="nil"/>
              <w:bottom w:val="single" w:sz="4" w:space="0" w:color="auto"/>
              <w:right w:val="single" w:sz="4" w:space="0" w:color="auto"/>
            </w:tcBorders>
            <w:shd w:val="clear" w:color="auto" w:fill="auto"/>
            <w:noWrap/>
          </w:tcPr>
          <w:p w14:paraId="277DB9A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17 541</w:t>
            </w:r>
          </w:p>
        </w:tc>
      </w:tr>
      <w:tr w:rsidR="00595C1A" w:rsidRPr="001D42CA" w14:paraId="64BFA49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AEAE09D"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Rwanda</w:t>
            </w:r>
            <w:proofErr w:type="spellEnd"/>
          </w:p>
        </w:tc>
        <w:tc>
          <w:tcPr>
            <w:tcW w:w="1111" w:type="dxa"/>
            <w:tcBorders>
              <w:top w:val="nil"/>
              <w:left w:val="nil"/>
              <w:bottom w:val="single" w:sz="4" w:space="0" w:color="auto"/>
              <w:right w:val="single" w:sz="4" w:space="0" w:color="auto"/>
            </w:tcBorders>
            <w:shd w:val="clear" w:color="auto" w:fill="auto"/>
            <w:noWrap/>
          </w:tcPr>
          <w:p w14:paraId="1FB7EF8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w:t>
            </w:r>
          </w:p>
        </w:tc>
        <w:tc>
          <w:tcPr>
            <w:tcW w:w="1111" w:type="dxa"/>
            <w:tcBorders>
              <w:top w:val="nil"/>
              <w:left w:val="nil"/>
              <w:bottom w:val="single" w:sz="4" w:space="0" w:color="auto"/>
              <w:right w:val="single" w:sz="4" w:space="0" w:color="auto"/>
            </w:tcBorders>
            <w:shd w:val="clear" w:color="auto" w:fill="auto"/>
            <w:noWrap/>
          </w:tcPr>
          <w:p w14:paraId="6E6DF2A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0,003 %</w:t>
            </w:r>
          </w:p>
        </w:tc>
        <w:tc>
          <w:tcPr>
            <w:tcW w:w="1305" w:type="dxa"/>
            <w:tcBorders>
              <w:top w:val="nil"/>
              <w:left w:val="nil"/>
              <w:bottom w:val="single" w:sz="4" w:space="0" w:color="auto"/>
              <w:right w:val="single" w:sz="4" w:space="0" w:color="auto"/>
            </w:tcBorders>
          </w:tcPr>
          <w:p w14:paraId="0B01CE6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F57023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27FD649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F09599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98EC77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71921E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Samoa</w:t>
            </w:r>
          </w:p>
        </w:tc>
        <w:tc>
          <w:tcPr>
            <w:tcW w:w="1111" w:type="dxa"/>
            <w:tcBorders>
              <w:top w:val="nil"/>
              <w:left w:val="nil"/>
              <w:bottom w:val="single" w:sz="4" w:space="0" w:color="auto"/>
              <w:right w:val="single" w:sz="4" w:space="0" w:color="auto"/>
            </w:tcBorders>
            <w:shd w:val="clear" w:color="auto" w:fill="auto"/>
            <w:noWrap/>
          </w:tcPr>
          <w:p w14:paraId="0A372D0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01C66A2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33E2945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66175F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3F87E7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5F17A7D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512B745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585CF7A"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Santa Lucía</w:t>
            </w:r>
          </w:p>
        </w:tc>
        <w:tc>
          <w:tcPr>
            <w:tcW w:w="1111" w:type="dxa"/>
            <w:tcBorders>
              <w:top w:val="nil"/>
              <w:left w:val="nil"/>
              <w:bottom w:val="single" w:sz="4" w:space="0" w:color="auto"/>
              <w:right w:val="single" w:sz="4" w:space="0" w:color="auto"/>
            </w:tcBorders>
            <w:shd w:val="clear" w:color="auto" w:fill="auto"/>
            <w:noWrap/>
          </w:tcPr>
          <w:p w14:paraId="5975799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w:t>
            </w:r>
          </w:p>
        </w:tc>
        <w:tc>
          <w:tcPr>
            <w:tcW w:w="1111" w:type="dxa"/>
            <w:tcBorders>
              <w:top w:val="nil"/>
              <w:left w:val="nil"/>
              <w:bottom w:val="single" w:sz="4" w:space="0" w:color="auto"/>
              <w:right w:val="single" w:sz="4" w:space="0" w:color="auto"/>
            </w:tcBorders>
            <w:shd w:val="clear" w:color="auto" w:fill="auto"/>
            <w:noWrap/>
          </w:tcPr>
          <w:p w14:paraId="0AC5D8B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0,002 %</w:t>
            </w:r>
          </w:p>
        </w:tc>
        <w:tc>
          <w:tcPr>
            <w:tcW w:w="1305" w:type="dxa"/>
            <w:tcBorders>
              <w:top w:val="nil"/>
              <w:left w:val="nil"/>
              <w:bottom w:val="single" w:sz="4" w:space="0" w:color="auto"/>
              <w:right w:val="single" w:sz="4" w:space="0" w:color="auto"/>
            </w:tcBorders>
          </w:tcPr>
          <w:p w14:paraId="6317B5E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FAB2FF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55B318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1686EC7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046F255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B1A196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Santo Tomé y Príncipe</w:t>
            </w:r>
          </w:p>
        </w:tc>
        <w:tc>
          <w:tcPr>
            <w:tcW w:w="1111" w:type="dxa"/>
            <w:tcBorders>
              <w:top w:val="nil"/>
              <w:left w:val="nil"/>
              <w:bottom w:val="single" w:sz="4" w:space="0" w:color="auto"/>
              <w:right w:val="single" w:sz="4" w:space="0" w:color="auto"/>
            </w:tcBorders>
            <w:shd w:val="clear" w:color="auto" w:fill="auto"/>
            <w:noWrap/>
          </w:tcPr>
          <w:p w14:paraId="034D2CF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42C270B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386C1CA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693947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6B3B81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7A9B41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AE2C9E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6F715B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Senegal</w:t>
            </w:r>
          </w:p>
        </w:tc>
        <w:tc>
          <w:tcPr>
            <w:tcW w:w="1111" w:type="dxa"/>
            <w:tcBorders>
              <w:top w:val="nil"/>
              <w:left w:val="nil"/>
              <w:bottom w:val="single" w:sz="4" w:space="0" w:color="auto"/>
              <w:right w:val="single" w:sz="4" w:space="0" w:color="auto"/>
            </w:tcBorders>
            <w:shd w:val="clear" w:color="auto" w:fill="auto"/>
            <w:noWrap/>
          </w:tcPr>
          <w:p w14:paraId="4008513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0,007</w:t>
            </w:r>
          </w:p>
        </w:tc>
        <w:tc>
          <w:tcPr>
            <w:tcW w:w="1111" w:type="dxa"/>
            <w:tcBorders>
              <w:top w:val="nil"/>
              <w:left w:val="nil"/>
              <w:bottom w:val="single" w:sz="4" w:space="0" w:color="auto"/>
              <w:right w:val="single" w:sz="4" w:space="0" w:color="auto"/>
            </w:tcBorders>
            <w:shd w:val="clear" w:color="auto" w:fill="auto"/>
            <w:noWrap/>
          </w:tcPr>
          <w:p w14:paraId="1A21698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0,007 %</w:t>
            </w:r>
          </w:p>
        </w:tc>
        <w:tc>
          <w:tcPr>
            <w:tcW w:w="1305" w:type="dxa"/>
            <w:tcBorders>
              <w:top w:val="nil"/>
              <w:left w:val="nil"/>
              <w:bottom w:val="single" w:sz="4" w:space="0" w:color="auto"/>
              <w:right w:val="single" w:sz="4" w:space="0" w:color="auto"/>
            </w:tcBorders>
          </w:tcPr>
          <w:p w14:paraId="0ED9334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D904A1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63760E8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4318D65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0ABCC23"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9677828"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Serbia</w:t>
            </w:r>
          </w:p>
        </w:tc>
        <w:tc>
          <w:tcPr>
            <w:tcW w:w="1111" w:type="dxa"/>
            <w:tcBorders>
              <w:top w:val="nil"/>
              <w:left w:val="nil"/>
              <w:bottom w:val="single" w:sz="4" w:space="0" w:color="auto"/>
              <w:right w:val="single" w:sz="4" w:space="0" w:color="auto"/>
            </w:tcBorders>
            <w:shd w:val="clear" w:color="auto" w:fill="auto"/>
            <w:noWrap/>
          </w:tcPr>
          <w:p w14:paraId="717971F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0,032</w:t>
            </w:r>
          </w:p>
        </w:tc>
        <w:tc>
          <w:tcPr>
            <w:tcW w:w="1111" w:type="dxa"/>
            <w:tcBorders>
              <w:top w:val="nil"/>
              <w:left w:val="nil"/>
              <w:bottom w:val="single" w:sz="4" w:space="0" w:color="auto"/>
              <w:right w:val="single" w:sz="4" w:space="0" w:color="auto"/>
            </w:tcBorders>
            <w:shd w:val="clear" w:color="auto" w:fill="auto"/>
            <w:noWrap/>
          </w:tcPr>
          <w:p w14:paraId="5B151B7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0,033 %</w:t>
            </w:r>
          </w:p>
        </w:tc>
        <w:tc>
          <w:tcPr>
            <w:tcW w:w="1305" w:type="dxa"/>
            <w:tcBorders>
              <w:top w:val="nil"/>
              <w:left w:val="nil"/>
              <w:bottom w:val="single" w:sz="4" w:space="0" w:color="auto"/>
              <w:right w:val="single" w:sz="4" w:space="0" w:color="auto"/>
            </w:tcBorders>
          </w:tcPr>
          <w:p w14:paraId="53CB9A3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1 567</w:t>
            </w:r>
          </w:p>
        </w:tc>
        <w:tc>
          <w:tcPr>
            <w:tcW w:w="1306" w:type="dxa"/>
            <w:tcBorders>
              <w:top w:val="nil"/>
              <w:left w:val="single" w:sz="4" w:space="0" w:color="auto"/>
              <w:bottom w:val="single" w:sz="4" w:space="0" w:color="auto"/>
              <w:right w:val="single" w:sz="4" w:space="0" w:color="auto"/>
            </w:tcBorders>
            <w:shd w:val="clear" w:color="auto" w:fill="auto"/>
            <w:noWrap/>
          </w:tcPr>
          <w:p w14:paraId="44E9199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1 717</w:t>
            </w:r>
          </w:p>
        </w:tc>
        <w:tc>
          <w:tcPr>
            <w:tcW w:w="1305" w:type="dxa"/>
            <w:tcBorders>
              <w:top w:val="nil"/>
              <w:left w:val="nil"/>
              <w:bottom w:val="single" w:sz="4" w:space="0" w:color="auto"/>
              <w:right w:val="single" w:sz="4" w:space="0" w:color="auto"/>
            </w:tcBorders>
            <w:shd w:val="clear" w:color="auto" w:fill="auto"/>
            <w:noWrap/>
          </w:tcPr>
          <w:p w14:paraId="3D8759E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1 721</w:t>
            </w:r>
          </w:p>
        </w:tc>
        <w:tc>
          <w:tcPr>
            <w:tcW w:w="1306" w:type="dxa"/>
            <w:tcBorders>
              <w:top w:val="nil"/>
              <w:left w:val="nil"/>
              <w:bottom w:val="single" w:sz="4" w:space="0" w:color="auto"/>
              <w:right w:val="single" w:sz="4" w:space="0" w:color="auto"/>
            </w:tcBorders>
            <w:shd w:val="clear" w:color="auto" w:fill="auto"/>
            <w:noWrap/>
          </w:tcPr>
          <w:p w14:paraId="0C908E3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1 799</w:t>
            </w:r>
          </w:p>
        </w:tc>
      </w:tr>
      <w:tr w:rsidR="00595C1A" w:rsidRPr="001D42CA" w14:paraId="2CBB911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9C3287D"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Seychelles</w:t>
            </w:r>
          </w:p>
        </w:tc>
        <w:tc>
          <w:tcPr>
            <w:tcW w:w="1111" w:type="dxa"/>
            <w:tcBorders>
              <w:top w:val="nil"/>
              <w:left w:val="nil"/>
              <w:bottom w:val="single" w:sz="4" w:space="0" w:color="auto"/>
              <w:right w:val="single" w:sz="4" w:space="0" w:color="auto"/>
            </w:tcBorders>
            <w:shd w:val="clear" w:color="auto" w:fill="auto"/>
            <w:noWrap/>
          </w:tcPr>
          <w:p w14:paraId="4EF5321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w:t>
            </w:r>
          </w:p>
        </w:tc>
        <w:tc>
          <w:tcPr>
            <w:tcW w:w="1111" w:type="dxa"/>
            <w:tcBorders>
              <w:top w:val="nil"/>
              <w:left w:val="nil"/>
              <w:bottom w:val="single" w:sz="4" w:space="0" w:color="auto"/>
              <w:right w:val="single" w:sz="4" w:space="0" w:color="auto"/>
            </w:tcBorders>
            <w:shd w:val="clear" w:color="auto" w:fill="auto"/>
            <w:noWrap/>
          </w:tcPr>
          <w:p w14:paraId="2F8F0E0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0,002 %</w:t>
            </w:r>
          </w:p>
        </w:tc>
        <w:tc>
          <w:tcPr>
            <w:tcW w:w="1305" w:type="dxa"/>
            <w:tcBorders>
              <w:top w:val="nil"/>
              <w:left w:val="nil"/>
              <w:bottom w:val="single" w:sz="4" w:space="0" w:color="auto"/>
              <w:right w:val="single" w:sz="4" w:space="0" w:color="auto"/>
            </w:tcBorders>
          </w:tcPr>
          <w:p w14:paraId="1E1AA19A"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EB6501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332C20B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EF088C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6C742167"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2B9B037"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Sierra Leona</w:t>
            </w:r>
          </w:p>
        </w:tc>
        <w:tc>
          <w:tcPr>
            <w:tcW w:w="1111" w:type="dxa"/>
            <w:tcBorders>
              <w:top w:val="nil"/>
              <w:left w:val="nil"/>
              <w:bottom w:val="single" w:sz="4" w:space="0" w:color="auto"/>
              <w:right w:val="single" w:sz="4" w:space="0" w:color="auto"/>
            </w:tcBorders>
            <w:shd w:val="clear" w:color="auto" w:fill="auto"/>
            <w:noWrap/>
          </w:tcPr>
          <w:p w14:paraId="18AA02C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4D3A3DA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4E5B0415"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4B8751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371D16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407BE7B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370D28D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E325DC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Sri Lanka</w:t>
            </w:r>
          </w:p>
        </w:tc>
        <w:tc>
          <w:tcPr>
            <w:tcW w:w="1111" w:type="dxa"/>
            <w:tcBorders>
              <w:top w:val="nil"/>
              <w:left w:val="nil"/>
              <w:bottom w:val="single" w:sz="4" w:space="0" w:color="auto"/>
              <w:right w:val="single" w:sz="4" w:space="0" w:color="auto"/>
            </w:tcBorders>
            <w:shd w:val="clear" w:color="auto" w:fill="auto"/>
            <w:noWrap/>
          </w:tcPr>
          <w:p w14:paraId="2D44BB1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0,045</w:t>
            </w:r>
          </w:p>
        </w:tc>
        <w:tc>
          <w:tcPr>
            <w:tcW w:w="1111" w:type="dxa"/>
            <w:tcBorders>
              <w:top w:val="nil"/>
              <w:left w:val="nil"/>
              <w:bottom w:val="single" w:sz="4" w:space="0" w:color="auto"/>
              <w:right w:val="single" w:sz="4" w:space="0" w:color="auto"/>
            </w:tcBorders>
            <w:shd w:val="clear" w:color="auto" w:fill="auto"/>
            <w:noWrap/>
          </w:tcPr>
          <w:p w14:paraId="40CB323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0,046 %</w:t>
            </w:r>
          </w:p>
        </w:tc>
        <w:tc>
          <w:tcPr>
            <w:tcW w:w="1305" w:type="dxa"/>
            <w:tcBorders>
              <w:top w:val="nil"/>
              <w:left w:val="nil"/>
              <w:bottom w:val="single" w:sz="4" w:space="0" w:color="auto"/>
              <w:right w:val="single" w:sz="4" w:space="0" w:color="auto"/>
            </w:tcBorders>
          </w:tcPr>
          <w:p w14:paraId="4E52F47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2 203</w:t>
            </w:r>
          </w:p>
        </w:tc>
        <w:tc>
          <w:tcPr>
            <w:tcW w:w="1306" w:type="dxa"/>
            <w:tcBorders>
              <w:top w:val="nil"/>
              <w:left w:val="single" w:sz="4" w:space="0" w:color="auto"/>
              <w:bottom w:val="single" w:sz="4" w:space="0" w:color="auto"/>
              <w:right w:val="single" w:sz="4" w:space="0" w:color="auto"/>
            </w:tcBorders>
            <w:shd w:val="clear" w:color="auto" w:fill="auto"/>
            <w:noWrap/>
          </w:tcPr>
          <w:p w14:paraId="5F78B2A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2 414</w:t>
            </w:r>
          </w:p>
        </w:tc>
        <w:tc>
          <w:tcPr>
            <w:tcW w:w="1305" w:type="dxa"/>
            <w:tcBorders>
              <w:top w:val="nil"/>
              <w:left w:val="nil"/>
              <w:bottom w:val="single" w:sz="4" w:space="0" w:color="auto"/>
              <w:right w:val="single" w:sz="4" w:space="0" w:color="auto"/>
            </w:tcBorders>
            <w:shd w:val="clear" w:color="auto" w:fill="auto"/>
            <w:noWrap/>
          </w:tcPr>
          <w:p w14:paraId="346A601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2 420</w:t>
            </w:r>
          </w:p>
        </w:tc>
        <w:tc>
          <w:tcPr>
            <w:tcW w:w="1306" w:type="dxa"/>
            <w:tcBorders>
              <w:top w:val="nil"/>
              <w:left w:val="nil"/>
              <w:bottom w:val="single" w:sz="4" w:space="0" w:color="auto"/>
              <w:right w:val="single" w:sz="4" w:space="0" w:color="auto"/>
            </w:tcBorders>
            <w:shd w:val="clear" w:color="auto" w:fill="auto"/>
            <w:noWrap/>
          </w:tcPr>
          <w:p w14:paraId="6FF5781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2 530</w:t>
            </w:r>
          </w:p>
        </w:tc>
      </w:tr>
      <w:tr w:rsidR="00595C1A" w:rsidRPr="001D42CA" w14:paraId="4888639B"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EE42D7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Sudáfrica</w:t>
            </w:r>
          </w:p>
        </w:tc>
        <w:tc>
          <w:tcPr>
            <w:tcW w:w="1111" w:type="dxa"/>
            <w:tcBorders>
              <w:top w:val="nil"/>
              <w:left w:val="nil"/>
              <w:bottom w:val="single" w:sz="4" w:space="0" w:color="auto"/>
              <w:right w:val="single" w:sz="4" w:space="0" w:color="auto"/>
            </w:tcBorders>
            <w:shd w:val="clear" w:color="auto" w:fill="auto"/>
            <w:noWrap/>
          </w:tcPr>
          <w:p w14:paraId="62B065D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0,244</w:t>
            </w:r>
          </w:p>
        </w:tc>
        <w:tc>
          <w:tcPr>
            <w:tcW w:w="1111" w:type="dxa"/>
            <w:tcBorders>
              <w:top w:val="nil"/>
              <w:left w:val="nil"/>
              <w:bottom w:val="single" w:sz="4" w:space="0" w:color="auto"/>
              <w:right w:val="single" w:sz="4" w:space="0" w:color="auto"/>
            </w:tcBorders>
            <w:shd w:val="clear" w:color="auto" w:fill="auto"/>
            <w:noWrap/>
          </w:tcPr>
          <w:p w14:paraId="2440243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0,250 %</w:t>
            </w:r>
          </w:p>
        </w:tc>
        <w:tc>
          <w:tcPr>
            <w:tcW w:w="1305" w:type="dxa"/>
            <w:tcBorders>
              <w:top w:val="nil"/>
              <w:left w:val="nil"/>
              <w:bottom w:val="single" w:sz="4" w:space="0" w:color="auto"/>
              <w:right w:val="single" w:sz="4" w:space="0" w:color="auto"/>
            </w:tcBorders>
          </w:tcPr>
          <w:p w14:paraId="4BB9A7B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11 947</w:t>
            </w:r>
          </w:p>
        </w:tc>
        <w:tc>
          <w:tcPr>
            <w:tcW w:w="1306" w:type="dxa"/>
            <w:tcBorders>
              <w:top w:val="nil"/>
              <w:left w:val="single" w:sz="4" w:space="0" w:color="auto"/>
              <w:bottom w:val="single" w:sz="4" w:space="0" w:color="auto"/>
              <w:right w:val="single" w:sz="4" w:space="0" w:color="auto"/>
            </w:tcBorders>
            <w:shd w:val="clear" w:color="auto" w:fill="auto"/>
            <w:noWrap/>
          </w:tcPr>
          <w:p w14:paraId="2C642CF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13 092</w:t>
            </w:r>
          </w:p>
        </w:tc>
        <w:tc>
          <w:tcPr>
            <w:tcW w:w="1305" w:type="dxa"/>
            <w:tcBorders>
              <w:top w:val="nil"/>
              <w:left w:val="nil"/>
              <w:bottom w:val="single" w:sz="4" w:space="0" w:color="auto"/>
              <w:right w:val="single" w:sz="4" w:space="0" w:color="auto"/>
            </w:tcBorders>
            <w:shd w:val="clear" w:color="auto" w:fill="auto"/>
            <w:noWrap/>
          </w:tcPr>
          <w:p w14:paraId="1A1DC18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13 121</w:t>
            </w:r>
          </w:p>
        </w:tc>
        <w:tc>
          <w:tcPr>
            <w:tcW w:w="1306" w:type="dxa"/>
            <w:tcBorders>
              <w:top w:val="nil"/>
              <w:left w:val="nil"/>
              <w:bottom w:val="single" w:sz="4" w:space="0" w:color="auto"/>
              <w:right w:val="single" w:sz="4" w:space="0" w:color="auto"/>
            </w:tcBorders>
            <w:shd w:val="clear" w:color="auto" w:fill="auto"/>
            <w:noWrap/>
          </w:tcPr>
          <w:p w14:paraId="0295D13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13 718</w:t>
            </w:r>
          </w:p>
        </w:tc>
      </w:tr>
      <w:tr w:rsidR="00595C1A" w:rsidRPr="001D42CA" w14:paraId="6796F22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361FA5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Sudán</w:t>
            </w:r>
          </w:p>
        </w:tc>
        <w:tc>
          <w:tcPr>
            <w:tcW w:w="1111" w:type="dxa"/>
            <w:tcBorders>
              <w:top w:val="nil"/>
              <w:left w:val="nil"/>
              <w:bottom w:val="single" w:sz="4" w:space="0" w:color="auto"/>
              <w:right w:val="single" w:sz="4" w:space="0" w:color="auto"/>
            </w:tcBorders>
            <w:shd w:val="clear" w:color="auto" w:fill="auto"/>
            <w:noWrap/>
          </w:tcPr>
          <w:p w14:paraId="50CEB67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w:t>
            </w:r>
          </w:p>
        </w:tc>
        <w:tc>
          <w:tcPr>
            <w:tcW w:w="1111" w:type="dxa"/>
            <w:tcBorders>
              <w:top w:val="nil"/>
              <w:left w:val="nil"/>
              <w:bottom w:val="single" w:sz="4" w:space="0" w:color="auto"/>
              <w:right w:val="single" w:sz="4" w:space="0" w:color="auto"/>
            </w:tcBorders>
            <w:shd w:val="clear" w:color="auto" w:fill="auto"/>
            <w:noWrap/>
          </w:tcPr>
          <w:p w14:paraId="253A2C8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0,010 %</w:t>
            </w:r>
          </w:p>
        </w:tc>
        <w:tc>
          <w:tcPr>
            <w:tcW w:w="1305" w:type="dxa"/>
            <w:tcBorders>
              <w:top w:val="nil"/>
              <w:left w:val="nil"/>
              <w:bottom w:val="single" w:sz="4" w:space="0" w:color="auto"/>
              <w:right w:val="single" w:sz="4" w:space="0" w:color="auto"/>
            </w:tcBorders>
          </w:tcPr>
          <w:p w14:paraId="43C9F25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5636E5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428BEA6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0CAD18A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7DFAA70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4D52401"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Sudán del Sur</w:t>
            </w:r>
          </w:p>
        </w:tc>
        <w:tc>
          <w:tcPr>
            <w:tcW w:w="1111" w:type="dxa"/>
            <w:tcBorders>
              <w:top w:val="nil"/>
              <w:left w:val="nil"/>
              <w:bottom w:val="single" w:sz="4" w:space="0" w:color="auto"/>
              <w:right w:val="single" w:sz="4" w:space="0" w:color="auto"/>
            </w:tcBorders>
            <w:shd w:val="clear" w:color="auto" w:fill="auto"/>
            <w:noWrap/>
          </w:tcPr>
          <w:p w14:paraId="1FD2FFA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w:t>
            </w:r>
          </w:p>
        </w:tc>
        <w:tc>
          <w:tcPr>
            <w:tcW w:w="1111" w:type="dxa"/>
            <w:tcBorders>
              <w:top w:val="nil"/>
              <w:left w:val="nil"/>
              <w:bottom w:val="single" w:sz="4" w:space="0" w:color="auto"/>
              <w:right w:val="single" w:sz="4" w:space="0" w:color="auto"/>
            </w:tcBorders>
            <w:shd w:val="clear" w:color="auto" w:fill="auto"/>
            <w:noWrap/>
          </w:tcPr>
          <w:p w14:paraId="7CA743F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0,002 %</w:t>
            </w:r>
          </w:p>
        </w:tc>
        <w:tc>
          <w:tcPr>
            <w:tcW w:w="1305" w:type="dxa"/>
            <w:tcBorders>
              <w:top w:val="nil"/>
              <w:left w:val="nil"/>
              <w:bottom w:val="single" w:sz="4" w:space="0" w:color="auto"/>
              <w:right w:val="single" w:sz="4" w:space="0" w:color="auto"/>
            </w:tcBorders>
          </w:tcPr>
          <w:p w14:paraId="37E877A9"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C43692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712515E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6C6A6D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01CA66E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3E657C4"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Suecia</w:t>
            </w:r>
          </w:p>
        </w:tc>
        <w:tc>
          <w:tcPr>
            <w:tcW w:w="1111" w:type="dxa"/>
            <w:tcBorders>
              <w:top w:val="nil"/>
              <w:left w:val="nil"/>
              <w:bottom w:val="single" w:sz="4" w:space="0" w:color="auto"/>
              <w:right w:val="single" w:sz="4" w:space="0" w:color="auto"/>
            </w:tcBorders>
            <w:shd w:val="clear" w:color="auto" w:fill="auto"/>
            <w:noWrap/>
          </w:tcPr>
          <w:p w14:paraId="06C1B1E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0,871</w:t>
            </w:r>
          </w:p>
        </w:tc>
        <w:tc>
          <w:tcPr>
            <w:tcW w:w="1111" w:type="dxa"/>
            <w:tcBorders>
              <w:top w:val="nil"/>
              <w:left w:val="nil"/>
              <w:bottom w:val="single" w:sz="4" w:space="0" w:color="auto"/>
              <w:right w:val="single" w:sz="4" w:space="0" w:color="auto"/>
            </w:tcBorders>
            <w:shd w:val="clear" w:color="auto" w:fill="auto"/>
            <w:noWrap/>
          </w:tcPr>
          <w:p w14:paraId="4FD1B6A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0,894 %</w:t>
            </w:r>
          </w:p>
        </w:tc>
        <w:tc>
          <w:tcPr>
            <w:tcW w:w="1305" w:type="dxa"/>
            <w:tcBorders>
              <w:top w:val="nil"/>
              <w:left w:val="nil"/>
              <w:bottom w:val="single" w:sz="4" w:space="0" w:color="auto"/>
              <w:right w:val="single" w:sz="4" w:space="0" w:color="auto"/>
            </w:tcBorders>
          </w:tcPr>
          <w:p w14:paraId="3B588A5E"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42 647</w:t>
            </w:r>
          </w:p>
        </w:tc>
        <w:tc>
          <w:tcPr>
            <w:tcW w:w="1306" w:type="dxa"/>
            <w:tcBorders>
              <w:top w:val="nil"/>
              <w:left w:val="single" w:sz="4" w:space="0" w:color="auto"/>
              <w:bottom w:val="single" w:sz="4" w:space="0" w:color="auto"/>
              <w:right w:val="single" w:sz="4" w:space="0" w:color="auto"/>
            </w:tcBorders>
            <w:shd w:val="clear" w:color="auto" w:fill="auto"/>
            <w:noWrap/>
          </w:tcPr>
          <w:p w14:paraId="4EC11B5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46 732</w:t>
            </w:r>
          </w:p>
        </w:tc>
        <w:tc>
          <w:tcPr>
            <w:tcW w:w="1305" w:type="dxa"/>
            <w:tcBorders>
              <w:top w:val="nil"/>
              <w:left w:val="nil"/>
              <w:bottom w:val="single" w:sz="4" w:space="0" w:color="auto"/>
              <w:right w:val="single" w:sz="4" w:space="0" w:color="auto"/>
            </w:tcBorders>
            <w:shd w:val="clear" w:color="auto" w:fill="auto"/>
            <w:noWrap/>
          </w:tcPr>
          <w:p w14:paraId="6143386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46 836</w:t>
            </w:r>
          </w:p>
        </w:tc>
        <w:tc>
          <w:tcPr>
            <w:tcW w:w="1306" w:type="dxa"/>
            <w:tcBorders>
              <w:top w:val="nil"/>
              <w:left w:val="nil"/>
              <w:bottom w:val="single" w:sz="4" w:space="0" w:color="auto"/>
              <w:right w:val="single" w:sz="4" w:space="0" w:color="auto"/>
            </w:tcBorders>
            <w:shd w:val="clear" w:color="auto" w:fill="auto"/>
            <w:noWrap/>
          </w:tcPr>
          <w:p w14:paraId="6AD829D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48 969</w:t>
            </w:r>
          </w:p>
        </w:tc>
      </w:tr>
      <w:tr w:rsidR="00595C1A" w:rsidRPr="001D42CA" w14:paraId="6A6721A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CD9F27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Suiza</w:t>
            </w:r>
          </w:p>
        </w:tc>
        <w:tc>
          <w:tcPr>
            <w:tcW w:w="1111" w:type="dxa"/>
            <w:tcBorders>
              <w:top w:val="nil"/>
              <w:left w:val="nil"/>
              <w:bottom w:val="single" w:sz="4" w:space="0" w:color="auto"/>
              <w:right w:val="single" w:sz="4" w:space="0" w:color="auto"/>
            </w:tcBorders>
            <w:shd w:val="clear" w:color="auto" w:fill="auto"/>
            <w:noWrap/>
          </w:tcPr>
          <w:p w14:paraId="6036F36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1,134</w:t>
            </w:r>
          </w:p>
        </w:tc>
        <w:tc>
          <w:tcPr>
            <w:tcW w:w="1111" w:type="dxa"/>
            <w:tcBorders>
              <w:top w:val="nil"/>
              <w:left w:val="nil"/>
              <w:bottom w:val="single" w:sz="4" w:space="0" w:color="auto"/>
              <w:right w:val="single" w:sz="4" w:space="0" w:color="auto"/>
            </w:tcBorders>
            <w:shd w:val="clear" w:color="auto" w:fill="auto"/>
            <w:noWrap/>
          </w:tcPr>
          <w:p w14:paraId="3724AE2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1,164 %</w:t>
            </w:r>
          </w:p>
        </w:tc>
        <w:tc>
          <w:tcPr>
            <w:tcW w:w="1305" w:type="dxa"/>
            <w:tcBorders>
              <w:top w:val="nil"/>
              <w:left w:val="nil"/>
              <w:bottom w:val="single" w:sz="4" w:space="0" w:color="auto"/>
              <w:right w:val="single" w:sz="4" w:space="0" w:color="auto"/>
            </w:tcBorders>
          </w:tcPr>
          <w:p w14:paraId="1539F20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55 524</w:t>
            </w:r>
          </w:p>
        </w:tc>
        <w:tc>
          <w:tcPr>
            <w:tcW w:w="1306" w:type="dxa"/>
            <w:tcBorders>
              <w:top w:val="nil"/>
              <w:left w:val="single" w:sz="4" w:space="0" w:color="auto"/>
              <w:bottom w:val="single" w:sz="4" w:space="0" w:color="auto"/>
              <w:right w:val="single" w:sz="4" w:space="0" w:color="auto"/>
            </w:tcBorders>
            <w:shd w:val="clear" w:color="auto" w:fill="auto"/>
            <w:noWrap/>
          </w:tcPr>
          <w:p w14:paraId="6B07951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60 843</w:t>
            </w:r>
          </w:p>
        </w:tc>
        <w:tc>
          <w:tcPr>
            <w:tcW w:w="1305" w:type="dxa"/>
            <w:tcBorders>
              <w:top w:val="nil"/>
              <w:left w:val="nil"/>
              <w:bottom w:val="single" w:sz="4" w:space="0" w:color="auto"/>
              <w:right w:val="single" w:sz="4" w:space="0" w:color="auto"/>
            </w:tcBorders>
            <w:shd w:val="clear" w:color="auto" w:fill="auto"/>
            <w:noWrap/>
          </w:tcPr>
          <w:p w14:paraId="1CEE9DC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60 978</w:t>
            </w:r>
          </w:p>
        </w:tc>
        <w:tc>
          <w:tcPr>
            <w:tcW w:w="1306" w:type="dxa"/>
            <w:tcBorders>
              <w:top w:val="nil"/>
              <w:left w:val="nil"/>
              <w:bottom w:val="single" w:sz="4" w:space="0" w:color="auto"/>
              <w:right w:val="single" w:sz="4" w:space="0" w:color="auto"/>
            </w:tcBorders>
            <w:shd w:val="clear" w:color="auto" w:fill="auto"/>
            <w:noWrap/>
          </w:tcPr>
          <w:p w14:paraId="09284EE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63 755</w:t>
            </w:r>
          </w:p>
        </w:tc>
      </w:tr>
      <w:tr w:rsidR="00595C1A" w:rsidRPr="001D42CA" w14:paraId="5BD6F5D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182A637" w14:textId="77777777" w:rsidR="00595C1A" w:rsidRPr="003914F9"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Suriname</w:t>
            </w:r>
            <w:proofErr w:type="spellEnd"/>
          </w:p>
        </w:tc>
        <w:tc>
          <w:tcPr>
            <w:tcW w:w="1111" w:type="dxa"/>
            <w:tcBorders>
              <w:top w:val="nil"/>
              <w:left w:val="nil"/>
              <w:bottom w:val="single" w:sz="4" w:space="0" w:color="auto"/>
              <w:right w:val="single" w:sz="4" w:space="0" w:color="auto"/>
            </w:tcBorders>
            <w:shd w:val="clear" w:color="auto" w:fill="auto"/>
            <w:noWrap/>
          </w:tcPr>
          <w:p w14:paraId="5C2F355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w:t>
            </w:r>
          </w:p>
        </w:tc>
        <w:tc>
          <w:tcPr>
            <w:tcW w:w="1111" w:type="dxa"/>
            <w:tcBorders>
              <w:top w:val="nil"/>
              <w:left w:val="nil"/>
              <w:bottom w:val="single" w:sz="4" w:space="0" w:color="auto"/>
              <w:right w:val="single" w:sz="4" w:space="0" w:color="auto"/>
            </w:tcBorders>
            <w:shd w:val="clear" w:color="auto" w:fill="auto"/>
            <w:noWrap/>
          </w:tcPr>
          <w:p w14:paraId="1A1E2EA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0,003 %</w:t>
            </w:r>
          </w:p>
        </w:tc>
        <w:tc>
          <w:tcPr>
            <w:tcW w:w="1305" w:type="dxa"/>
            <w:tcBorders>
              <w:top w:val="nil"/>
              <w:left w:val="nil"/>
              <w:bottom w:val="single" w:sz="4" w:space="0" w:color="auto"/>
              <w:right w:val="single" w:sz="4" w:space="0" w:color="auto"/>
            </w:tcBorders>
          </w:tcPr>
          <w:p w14:paraId="12EFE98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8DD958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7BD9D6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104C57F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05D0630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0A14C62"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Tailandia</w:t>
            </w:r>
          </w:p>
        </w:tc>
        <w:tc>
          <w:tcPr>
            <w:tcW w:w="1111" w:type="dxa"/>
            <w:tcBorders>
              <w:top w:val="nil"/>
              <w:left w:val="nil"/>
              <w:bottom w:val="single" w:sz="4" w:space="0" w:color="auto"/>
              <w:right w:val="single" w:sz="4" w:space="0" w:color="auto"/>
            </w:tcBorders>
            <w:shd w:val="clear" w:color="auto" w:fill="auto"/>
            <w:noWrap/>
          </w:tcPr>
          <w:p w14:paraId="26FC364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0,368</w:t>
            </w:r>
          </w:p>
        </w:tc>
        <w:tc>
          <w:tcPr>
            <w:tcW w:w="1111" w:type="dxa"/>
            <w:tcBorders>
              <w:top w:val="nil"/>
              <w:left w:val="nil"/>
              <w:bottom w:val="single" w:sz="4" w:space="0" w:color="auto"/>
              <w:right w:val="single" w:sz="4" w:space="0" w:color="auto"/>
            </w:tcBorders>
            <w:shd w:val="clear" w:color="auto" w:fill="auto"/>
            <w:noWrap/>
          </w:tcPr>
          <w:p w14:paraId="34BBF4A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0,378 %</w:t>
            </w:r>
          </w:p>
        </w:tc>
        <w:tc>
          <w:tcPr>
            <w:tcW w:w="1305" w:type="dxa"/>
            <w:tcBorders>
              <w:top w:val="nil"/>
              <w:left w:val="nil"/>
              <w:bottom w:val="single" w:sz="4" w:space="0" w:color="auto"/>
              <w:right w:val="single" w:sz="4" w:space="0" w:color="auto"/>
            </w:tcBorders>
          </w:tcPr>
          <w:p w14:paraId="29A470F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18 018</w:t>
            </w:r>
          </w:p>
        </w:tc>
        <w:tc>
          <w:tcPr>
            <w:tcW w:w="1306" w:type="dxa"/>
            <w:tcBorders>
              <w:top w:val="nil"/>
              <w:left w:val="single" w:sz="4" w:space="0" w:color="auto"/>
              <w:bottom w:val="single" w:sz="4" w:space="0" w:color="auto"/>
              <w:right w:val="single" w:sz="4" w:space="0" w:color="auto"/>
            </w:tcBorders>
            <w:shd w:val="clear" w:color="auto" w:fill="auto"/>
            <w:noWrap/>
          </w:tcPr>
          <w:p w14:paraId="248FBC6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19 745</w:t>
            </w:r>
          </w:p>
        </w:tc>
        <w:tc>
          <w:tcPr>
            <w:tcW w:w="1305" w:type="dxa"/>
            <w:tcBorders>
              <w:top w:val="nil"/>
              <w:left w:val="nil"/>
              <w:bottom w:val="single" w:sz="4" w:space="0" w:color="auto"/>
              <w:right w:val="single" w:sz="4" w:space="0" w:color="auto"/>
            </w:tcBorders>
            <w:shd w:val="clear" w:color="auto" w:fill="auto"/>
            <w:noWrap/>
          </w:tcPr>
          <w:p w14:paraId="393CA0F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19 788</w:t>
            </w:r>
          </w:p>
        </w:tc>
        <w:tc>
          <w:tcPr>
            <w:tcW w:w="1306" w:type="dxa"/>
            <w:tcBorders>
              <w:top w:val="nil"/>
              <w:left w:val="nil"/>
              <w:bottom w:val="single" w:sz="4" w:space="0" w:color="auto"/>
              <w:right w:val="single" w:sz="4" w:space="0" w:color="auto"/>
            </w:tcBorders>
            <w:shd w:val="clear" w:color="auto" w:fill="auto"/>
            <w:noWrap/>
          </w:tcPr>
          <w:p w14:paraId="65F8689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20 690</w:t>
            </w:r>
          </w:p>
        </w:tc>
      </w:tr>
      <w:tr w:rsidR="00595C1A" w:rsidRPr="001D42CA" w14:paraId="519A6BD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6741A60"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Tayikistán</w:t>
            </w:r>
          </w:p>
        </w:tc>
        <w:tc>
          <w:tcPr>
            <w:tcW w:w="1111" w:type="dxa"/>
            <w:tcBorders>
              <w:top w:val="nil"/>
              <w:left w:val="nil"/>
              <w:bottom w:val="single" w:sz="4" w:space="0" w:color="auto"/>
              <w:right w:val="single" w:sz="4" w:space="0" w:color="auto"/>
            </w:tcBorders>
            <w:shd w:val="clear" w:color="auto" w:fill="auto"/>
            <w:noWrap/>
          </w:tcPr>
          <w:p w14:paraId="4F24A10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w:t>
            </w:r>
          </w:p>
        </w:tc>
        <w:tc>
          <w:tcPr>
            <w:tcW w:w="1111" w:type="dxa"/>
            <w:tcBorders>
              <w:top w:val="nil"/>
              <w:left w:val="nil"/>
              <w:bottom w:val="single" w:sz="4" w:space="0" w:color="auto"/>
              <w:right w:val="single" w:sz="4" w:space="0" w:color="auto"/>
            </w:tcBorders>
            <w:shd w:val="clear" w:color="auto" w:fill="auto"/>
            <w:noWrap/>
          </w:tcPr>
          <w:p w14:paraId="4B416BD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0,003 %</w:t>
            </w:r>
          </w:p>
        </w:tc>
        <w:tc>
          <w:tcPr>
            <w:tcW w:w="1305" w:type="dxa"/>
            <w:tcBorders>
              <w:top w:val="nil"/>
              <w:left w:val="nil"/>
              <w:bottom w:val="single" w:sz="4" w:space="0" w:color="auto"/>
              <w:right w:val="single" w:sz="4" w:space="0" w:color="auto"/>
            </w:tcBorders>
          </w:tcPr>
          <w:p w14:paraId="27D22391"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3AB481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1CF89E9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08E8448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33172CD6"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C285E7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Togo</w:t>
            </w:r>
          </w:p>
        </w:tc>
        <w:tc>
          <w:tcPr>
            <w:tcW w:w="1111" w:type="dxa"/>
            <w:tcBorders>
              <w:top w:val="nil"/>
              <w:left w:val="nil"/>
              <w:bottom w:val="single" w:sz="4" w:space="0" w:color="auto"/>
              <w:right w:val="single" w:sz="4" w:space="0" w:color="auto"/>
            </w:tcBorders>
            <w:shd w:val="clear" w:color="auto" w:fill="auto"/>
            <w:noWrap/>
          </w:tcPr>
          <w:p w14:paraId="23BDC88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w:t>
            </w:r>
          </w:p>
        </w:tc>
        <w:tc>
          <w:tcPr>
            <w:tcW w:w="1111" w:type="dxa"/>
            <w:tcBorders>
              <w:top w:val="nil"/>
              <w:left w:val="nil"/>
              <w:bottom w:val="single" w:sz="4" w:space="0" w:color="auto"/>
              <w:right w:val="single" w:sz="4" w:space="0" w:color="auto"/>
            </w:tcBorders>
            <w:shd w:val="clear" w:color="auto" w:fill="auto"/>
            <w:noWrap/>
          </w:tcPr>
          <w:p w14:paraId="42C2210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0,002 %</w:t>
            </w:r>
          </w:p>
        </w:tc>
        <w:tc>
          <w:tcPr>
            <w:tcW w:w="1305" w:type="dxa"/>
            <w:tcBorders>
              <w:top w:val="nil"/>
              <w:left w:val="nil"/>
              <w:bottom w:val="single" w:sz="4" w:space="0" w:color="auto"/>
              <w:right w:val="single" w:sz="4" w:space="0" w:color="auto"/>
            </w:tcBorders>
          </w:tcPr>
          <w:p w14:paraId="2C7A08C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0AF57B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41C5D64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5DB991B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31A41C8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B1FD90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 xml:space="preserve">Trinidad y </w:t>
            </w:r>
            <w:proofErr w:type="spellStart"/>
            <w:r>
              <w:rPr>
                <w:rFonts w:asciiTheme="minorHAnsi" w:hAnsiTheme="minorHAnsi"/>
                <w:sz w:val="20"/>
              </w:rPr>
              <w:t>Tabago</w:t>
            </w:r>
            <w:proofErr w:type="spellEnd"/>
          </w:p>
        </w:tc>
        <w:tc>
          <w:tcPr>
            <w:tcW w:w="1111" w:type="dxa"/>
            <w:tcBorders>
              <w:top w:val="nil"/>
              <w:left w:val="nil"/>
              <w:bottom w:val="single" w:sz="4" w:space="0" w:color="auto"/>
              <w:right w:val="single" w:sz="4" w:space="0" w:color="auto"/>
            </w:tcBorders>
            <w:shd w:val="clear" w:color="auto" w:fill="auto"/>
            <w:noWrap/>
          </w:tcPr>
          <w:p w14:paraId="2FD669E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0,037</w:t>
            </w:r>
          </w:p>
        </w:tc>
        <w:tc>
          <w:tcPr>
            <w:tcW w:w="1111" w:type="dxa"/>
            <w:tcBorders>
              <w:top w:val="nil"/>
              <w:left w:val="nil"/>
              <w:bottom w:val="single" w:sz="4" w:space="0" w:color="auto"/>
              <w:right w:val="single" w:sz="4" w:space="0" w:color="auto"/>
            </w:tcBorders>
            <w:shd w:val="clear" w:color="auto" w:fill="auto"/>
            <w:noWrap/>
          </w:tcPr>
          <w:p w14:paraId="4FA9231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0,038 %</w:t>
            </w:r>
          </w:p>
        </w:tc>
        <w:tc>
          <w:tcPr>
            <w:tcW w:w="1305" w:type="dxa"/>
            <w:tcBorders>
              <w:top w:val="nil"/>
              <w:left w:val="nil"/>
              <w:bottom w:val="single" w:sz="4" w:space="0" w:color="auto"/>
              <w:right w:val="single" w:sz="4" w:space="0" w:color="auto"/>
            </w:tcBorders>
          </w:tcPr>
          <w:p w14:paraId="26B3622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1 812</w:t>
            </w:r>
          </w:p>
        </w:tc>
        <w:tc>
          <w:tcPr>
            <w:tcW w:w="1306" w:type="dxa"/>
            <w:tcBorders>
              <w:top w:val="nil"/>
              <w:left w:val="single" w:sz="4" w:space="0" w:color="auto"/>
              <w:bottom w:val="single" w:sz="4" w:space="0" w:color="auto"/>
              <w:right w:val="single" w:sz="4" w:space="0" w:color="auto"/>
            </w:tcBorders>
            <w:shd w:val="clear" w:color="auto" w:fill="auto"/>
            <w:noWrap/>
          </w:tcPr>
          <w:p w14:paraId="4ACA1CC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1 985</w:t>
            </w:r>
          </w:p>
        </w:tc>
        <w:tc>
          <w:tcPr>
            <w:tcW w:w="1305" w:type="dxa"/>
            <w:tcBorders>
              <w:top w:val="nil"/>
              <w:left w:val="nil"/>
              <w:bottom w:val="single" w:sz="4" w:space="0" w:color="auto"/>
              <w:right w:val="single" w:sz="4" w:space="0" w:color="auto"/>
            </w:tcBorders>
            <w:shd w:val="clear" w:color="auto" w:fill="auto"/>
            <w:noWrap/>
          </w:tcPr>
          <w:p w14:paraId="46BE121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1 990</w:t>
            </w:r>
          </w:p>
        </w:tc>
        <w:tc>
          <w:tcPr>
            <w:tcW w:w="1306" w:type="dxa"/>
            <w:tcBorders>
              <w:top w:val="nil"/>
              <w:left w:val="nil"/>
              <w:bottom w:val="single" w:sz="4" w:space="0" w:color="auto"/>
              <w:right w:val="single" w:sz="4" w:space="0" w:color="auto"/>
            </w:tcBorders>
            <w:shd w:val="clear" w:color="auto" w:fill="auto"/>
            <w:noWrap/>
          </w:tcPr>
          <w:p w14:paraId="04C917D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2 080</w:t>
            </w:r>
          </w:p>
        </w:tc>
      </w:tr>
      <w:tr w:rsidR="00595C1A" w:rsidRPr="001D42CA" w14:paraId="19C6A1D9" w14:textId="77777777" w:rsidTr="00595C1A">
        <w:trPr>
          <w:trHeight w:val="276"/>
        </w:trPr>
        <w:tc>
          <w:tcPr>
            <w:tcW w:w="10113" w:type="dxa"/>
            <w:gridSpan w:val="8"/>
            <w:tcBorders>
              <w:top w:val="single" w:sz="4" w:space="0" w:color="auto"/>
            </w:tcBorders>
          </w:tcPr>
          <w:p w14:paraId="141236A2" w14:textId="77777777" w:rsidR="00595C1A" w:rsidRPr="000519D4" w:rsidRDefault="00595C1A" w:rsidP="00C85CAD">
            <w:pPr>
              <w:ind w:left="0" w:firstLine="0"/>
              <w:rPr>
                <w:rFonts w:asciiTheme="minorHAnsi" w:hAnsiTheme="minorHAnsi" w:cstheme="minorHAnsi"/>
                <w:sz w:val="20"/>
                <w:szCs w:val="20"/>
              </w:rPr>
            </w:pPr>
            <w:r>
              <w:rPr>
                <w:rFonts w:asciiTheme="minorHAnsi" w:hAnsiTheme="minorHAnsi"/>
                <w:color w:val="000000"/>
                <w:sz w:val="20"/>
              </w:rPr>
              <w:t>* Con arreglo a la Resolución A/RES/76/238 de las Naciones Unidas; se aplicará la escala revisada de las Naciones Unidas para el trienio cuando esta se haya publicado.</w:t>
            </w:r>
          </w:p>
        </w:tc>
      </w:tr>
      <w:tr w:rsidR="00595C1A" w:rsidRPr="001D42CA" w14:paraId="67A679C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FE7FC59"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lastRenderedPageBreak/>
              <w:t>Túnez</w:t>
            </w:r>
          </w:p>
        </w:tc>
        <w:tc>
          <w:tcPr>
            <w:tcW w:w="1111" w:type="dxa"/>
            <w:tcBorders>
              <w:top w:val="nil"/>
              <w:left w:val="nil"/>
              <w:bottom w:val="single" w:sz="4" w:space="0" w:color="auto"/>
              <w:right w:val="single" w:sz="4" w:space="0" w:color="auto"/>
            </w:tcBorders>
            <w:shd w:val="clear" w:color="auto" w:fill="auto"/>
            <w:noWrap/>
          </w:tcPr>
          <w:p w14:paraId="01C8EC3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0,019</w:t>
            </w:r>
          </w:p>
        </w:tc>
        <w:tc>
          <w:tcPr>
            <w:tcW w:w="1111" w:type="dxa"/>
            <w:tcBorders>
              <w:top w:val="nil"/>
              <w:left w:val="nil"/>
              <w:bottom w:val="single" w:sz="4" w:space="0" w:color="auto"/>
              <w:right w:val="single" w:sz="4" w:space="0" w:color="auto"/>
            </w:tcBorders>
            <w:shd w:val="clear" w:color="auto" w:fill="auto"/>
            <w:noWrap/>
          </w:tcPr>
          <w:p w14:paraId="141A42C3"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0,020 %</w:t>
            </w:r>
          </w:p>
        </w:tc>
        <w:tc>
          <w:tcPr>
            <w:tcW w:w="1305" w:type="dxa"/>
            <w:tcBorders>
              <w:top w:val="nil"/>
              <w:left w:val="nil"/>
              <w:bottom w:val="single" w:sz="4" w:space="0" w:color="auto"/>
              <w:right w:val="single" w:sz="4" w:space="0" w:color="auto"/>
            </w:tcBorders>
          </w:tcPr>
          <w:p w14:paraId="4E7FEB5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C74317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1 019</w:t>
            </w:r>
          </w:p>
        </w:tc>
        <w:tc>
          <w:tcPr>
            <w:tcW w:w="1305" w:type="dxa"/>
            <w:tcBorders>
              <w:top w:val="nil"/>
              <w:left w:val="nil"/>
              <w:bottom w:val="single" w:sz="4" w:space="0" w:color="auto"/>
              <w:right w:val="single" w:sz="4" w:space="0" w:color="auto"/>
            </w:tcBorders>
            <w:shd w:val="clear" w:color="auto" w:fill="auto"/>
            <w:noWrap/>
          </w:tcPr>
          <w:p w14:paraId="30995E7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1 022</w:t>
            </w:r>
          </w:p>
        </w:tc>
        <w:tc>
          <w:tcPr>
            <w:tcW w:w="1306" w:type="dxa"/>
            <w:tcBorders>
              <w:top w:val="nil"/>
              <w:left w:val="nil"/>
              <w:bottom w:val="single" w:sz="4" w:space="0" w:color="auto"/>
              <w:right w:val="single" w:sz="4" w:space="0" w:color="auto"/>
            </w:tcBorders>
            <w:shd w:val="clear" w:color="auto" w:fill="auto"/>
            <w:noWrap/>
          </w:tcPr>
          <w:p w14:paraId="06C8FD3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1 068</w:t>
            </w:r>
          </w:p>
        </w:tc>
      </w:tr>
      <w:tr w:rsidR="00595C1A" w:rsidRPr="001D42CA" w14:paraId="6B6FD6DD"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89B7301" w14:textId="77777777" w:rsidR="00595C1A" w:rsidRPr="003914F9" w:rsidRDefault="00595C1A" w:rsidP="003914F9">
            <w:pPr>
              <w:ind w:left="0" w:firstLine="0"/>
              <w:rPr>
                <w:rFonts w:asciiTheme="minorHAnsi" w:eastAsia="Times New Roman" w:hAnsiTheme="minorHAnsi" w:cstheme="minorHAnsi"/>
                <w:sz w:val="20"/>
                <w:szCs w:val="20"/>
              </w:rPr>
            </w:pPr>
            <w:proofErr w:type="spellStart"/>
            <w:r>
              <w:rPr>
                <w:rFonts w:asciiTheme="minorHAnsi" w:hAnsiTheme="minorHAnsi"/>
                <w:sz w:val="20"/>
              </w:rPr>
              <w:t>Türkiye</w:t>
            </w:r>
            <w:proofErr w:type="spellEnd"/>
          </w:p>
        </w:tc>
        <w:tc>
          <w:tcPr>
            <w:tcW w:w="1111" w:type="dxa"/>
            <w:tcBorders>
              <w:top w:val="nil"/>
              <w:left w:val="nil"/>
              <w:bottom w:val="single" w:sz="4" w:space="0" w:color="auto"/>
              <w:right w:val="single" w:sz="4" w:space="0" w:color="auto"/>
            </w:tcBorders>
            <w:shd w:val="clear" w:color="auto" w:fill="auto"/>
            <w:noWrap/>
          </w:tcPr>
          <w:p w14:paraId="7E97DCC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0,845</w:t>
            </w:r>
          </w:p>
        </w:tc>
        <w:tc>
          <w:tcPr>
            <w:tcW w:w="1111" w:type="dxa"/>
            <w:tcBorders>
              <w:top w:val="nil"/>
              <w:left w:val="nil"/>
              <w:bottom w:val="single" w:sz="4" w:space="0" w:color="auto"/>
              <w:right w:val="single" w:sz="4" w:space="0" w:color="auto"/>
            </w:tcBorders>
            <w:shd w:val="clear" w:color="auto" w:fill="auto"/>
            <w:noWrap/>
          </w:tcPr>
          <w:p w14:paraId="22FDC26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0,867 %</w:t>
            </w:r>
          </w:p>
        </w:tc>
        <w:tc>
          <w:tcPr>
            <w:tcW w:w="1305" w:type="dxa"/>
            <w:tcBorders>
              <w:top w:val="nil"/>
              <w:left w:val="nil"/>
              <w:bottom w:val="single" w:sz="4" w:space="0" w:color="auto"/>
              <w:right w:val="single" w:sz="4" w:space="0" w:color="auto"/>
            </w:tcBorders>
          </w:tcPr>
          <w:p w14:paraId="7C17592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41 374</w:t>
            </w:r>
          </w:p>
        </w:tc>
        <w:tc>
          <w:tcPr>
            <w:tcW w:w="1306" w:type="dxa"/>
            <w:tcBorders>
              <w:top w:val="nil"/>
              <w:left w:val="single" w:sz="4" w:space="0" w:color="auto"/>
              <w:bottom w:val="single" w:sz="4" w:space="0" w:color="auto"/>
              <w:right w:val="single" w:sz="4" w:space="0" w:color="auto"/>
            </w:tcBorders>
            <w:shd w:val="clear" w:color="auto" w:fill="auto"/>
            <w:noWrap/>
          </w:tcPr>
          <w:p w14:paraId="26C443C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45 337</w:t>
            </w:r>
          </w:p>
        </w:tc>
        <w:tc>
          <w:tcPr>
            <w:tcW w:w="1305" w:type="dxa"/>
            <w:tcBorders>
              <w:top w:val="nil"/>
              <w:left w:val="nil"/>
              <w:bottom w:val="single" w:sz="4" w:space="0" w:color="auto"/>
              <w:right w:val="single" w:sz="4" w:space="0" w:color="auto"/>
            </w:tcBorders>
            <w:shd w:val="clear" w:color="auto" w:fill="auto"/>
            <w:noWrap/>
          </w:tcPr>
          <w:p w14:paraId="5268E0A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45 438</w:t>
            </w:r>
          </w:p>
        </w:tc>
        <w:tc>
          <w:tcPr>
            <w:tcW w:w="1306" w:type="dxa"/>
            <w:tcBorders>
              <w:top w:val="nil"/>
              <w:left w:val="nil"/>
              <w:bottom w:val="single" w:sz="4" w:space="0" w:color="auto"/>
              <w:right w:val="single" w:sz="4" w:space="0" w:color="auto"/>
            </w:tcBorders>
            <w:shd w:val="clear" w:color="auto" w:fill="auto"/>
            <w:noWrap/>
          </w:tcPr>
          <w:p w14:paraId="1C7FBC8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47 507</w:t>
            </w:r>
          </w:p>
        </w:tc>
      </w:tr>
      <w:tr w:rsidR="00595C1A" w:rsidRPr="001D42CA" w14:paraId="14E73B2A"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C92BDFE"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Turkmenistán</w:t>
            </w:r>
          </w:p>
        </w:tc>
        <w:tc>
          <w:tcPr>
            <w:tcW w:w="1111" w:type="dxa"/>
            <w:tcBorders>
              <w:top w:val="nil"/>
              <w:left w:val="nil"/>
              <w:bottom w:val="single" w:sz="4" w:space="0" w:color="auto"/>
              <w:right w:val="single" w:sz="4" w:space="0" w:color="auto"/>
            </w:tcBorders>
            <w:shd w:val="clear" w:color="auto" w:fill="auto"/>
            <w:noWrap/>
          </w:tcPr>
          <w:p w14:paraId="648F8DB7"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0,034</w:t>
            </w:r>
          </w:p>
        </w:tc>
        <w:tc>
          <w:tcPr>
            <w:tcW w:w="1111" w:type="dxa"/>
            <w:tcBorders>
              <w:top w:val="nil"/>
              <w:left w:val="nil"/>
              <w:bottom w:val="single" w:sz="4" w:space="0" w:color="auto"/>
              <w:right w:val="single" w:sz="4" w:space="0" w:color="auto"/>
            </w:tcBorders>
            <w:shd w:val="clear" w:color="auto" w:fill="auto"/>
            <w:noWrap/>
          </w:tcPr>
          <w:p w14:paraId="723C9A8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0,035 %</w:t>
            </w:r>
          </w:p>
        </w:tc>
        <w:tc>
          <w:tcPr>
            <w:tcW w:w="1305" w:type="dxa"/>
            <w:tcBorders>
              <w:top w:val="nil"/>
              <w:left w:val="nil"/>
              <w:bottom w:val="single" w:sz="4" w:space="0" w:color="auto"/>
              <w:right w:val="single" w:sz="4" w:space="0" w:color="auto"/>
            </w:tcBorders>
          </w:tcPr>
          <w:p w14:paraId="1A00AF85"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1 665</w:t>
            </w:r>
          </w:p>
        </w:tc>
        <w:tc>
          <w:tcPr>
            <w:tcW w:w="1306" w:type="dxa"/>
            <w:tcBorders>
              <w:top w:val="nil"/>
              <w:left w:val="single" w:sz="4" w:space="0" w:color="auto"/>
              <w:bottom w:val="single" w:sz="4" w:space="0" w:color="auto"/>
              <w:right w:val="single" w:sz="4" w:space="0" w:color="auto"/>
            </w:tcBorders>
            <w:shd w:val="clear" w:color="auto" w:fill="auto"/>
            <w:noWrap/>
          </w:tcPr>
          <w:p w14:paraId="275A34A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1 824</w:t>
            </w:r>
          </w:p>
        </w:tc>
        <w:tc>
          <w:tcPr>
            <w:tcW w:w="1305" w:type="dxa"/>
            <w:tcBorders>
              <w:top w:val="nil"/>
              <w:left w:val="nil"/>
              <w:bottom w:val="single" w:sz="4" w:space="0" w:color="auto"/>
              <w:right w:val="single" w:sz="4" w:space="0" w:color="auto"/>
            </w:tcBorders>
            <w:shd w:val="clear" w:color="auto" w:fill="auto"/>
            <w:noWrap/>
          </w:tcPr>
          <w:p w14:paraId="4AA261A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1 828</w:t>
            </w:r>
          </w:p>
        </w:tc>
        <w:tc>
          <w:tcPr>
            <w:tcW w:w="1306" w:type="dxa"/>
            <w:tcBorders>
              <w:top w:val="nil"/>
              <w:left w:val="nil"/>
              <w:bottom w:val="single" w:sz="4" w:space="0" w:color="auto"/>
              <w:right w:val="single" w:sz="4" w:space="0" w:color="auto"/>
            </w:tcBorders>
            <w:shd w:val="clear" w:color="auto" w:fill="auto"/>
            <w:noWrap/>
          </w:tcPr>
          <w:p w14:paraId="528A0B7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1 912</w:t>
            </w:r>
          </w:p>
        </w:tc>
      </w:tr>
      <w:tr w:rsidR="00595C1A" w:rsidRPr="001D42CA" w14:paraId="1B8DB30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5D566B2"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Ucrania</w:t>
            </w:r>
          </w:p>
        </w:tc>
        <w:tc>
          <w:tcPr>
            <w:tcW w:w="1111" w:type="dxa"/>
            <w:tcBorders>
              <w:top w:val="nil"/>
              <w:left w:val="nil"/>
              <w:bottom w:val="single" w:sz="4" w:space="0" w:color="auto"/>
              <w:right w:val="single" w:sz="4" w:space="0" w:color="auto"/>
            </w:tcBorders>
            <w:shd w:val="clear" w:color="auto" w:fill="auto"/>
            <w:noWrap/>
          </w:tcPr>
          <w:p w14:paraId="66D1632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0,056</w:t>
            </w:r>
          </w:p>
        </w:tc>
        <w:tc>
          <w:tcPr>
            <w:tcW w:w="1111" w:type="dxa"/>
            <w:tcBorders>
              <w:top w:val="nil"/>
              <w:left w:val="nil"/>
              <w:bottom w:val="single" w:sz="4" w:space="0" w:color="auto"/>
              <w:right w:val="single" w:sz="4" w:space="0" w:color="auto"/>
            </w:tcBorders>
            <w:shd w:val="clear" w:color="auto" w:fill="auto"/>
            <w:noWrap/>
          </w:tcPr>
          <w:p w14:paraId="09D49FC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0,057 %</w:t>
            </w:r>
          </w:p>
        </w:tc>
        <w:tc>
          <w:tcPr>
            <w:tcW w:w="1305" w:type="dxa"/>
            <w:tcBorders>
              <w:top w:val="nil"/>
              <w:left w:val="nil"/>
              <w:bottom w:val="single" w:sz="4" w:space="0" w:color="auto"/>
              <w:right w:val="single" w:sz="4" w:space="0" w:color="auto"/>
            </w:tcBorders>
          </w:tcPr>
          <w:p w14:paraId="3D01CD3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2 742</w:t>
            </w:r>
          </w:p>
        </w:tc>
        <w:tc>
          <w:tcPr>
            <w:tcW w:w="1306" w:type="dxa"/>
            <w:tcBorders>
              <w:top w:val="nil"/>
              <w:left w:val="single" w:sz="4" w:space="0" w:color="auto"/>
              <w:bottom w:val="single" w:sz="4" w:space="0" w:color="auto"/>
              <w:right w:val="single" w:sz="4" w:space="0" w:color="auto"/>
            </w:tcBorders>
            <w:shd w:val="clear" w:color="auto" w:fill="auto"/>
            <w:noWrap/>
          </w:tcPr>
          <w:p w14:paraId="092A748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3 005</w:t>
            </w:r>
          </w:p>
        </w:tc>
        <w:tc>
          <w:tcPr>
            <w:tcW w:w="1305" w:type="dxa"/>
            <w:tcBorders>
              <w:top w:val="nil"/>
              <w:left w:val="nil"/>
              <w:bottom w:val="single" w:sz="4" w:space="0" w:color="auto"/>
              <w:right w:val="single" w:sz="4" w:space="0" w:color="auto"/>
            </w:tcBorders>
            <w:shd w:val="clear" w:color="auto" w:fill="auto"/>
            <w:noWrap/>
          </w:tcPr>
          <w:p w14:paraId="3CC40AD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3 011</w:t>
            </w:r>
          </w:p>
        </w:tc>
        <w:tc>
          <w:tcPr>
            <w:tcW w:w="1306" w:type="dxa"/>
            <w:tcBorders>
              <w:top w:val="nil"/>
              <w:left w:val="nil"/>
              <w:bottom w:val="single" w:sz="4" w:space="0" w:color="auto"/>
              <w:right w:val="single" w:sz="4" w:space="0" w:color="auto"/>
            </w:tcBorders>
            <w:shd w:val="clear" w:color="auto" w:fill="auto"/>
            <w:noWrap/>
          </w:tcPr>
          <w:p w14:paraId="47E0F11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3 148</w:t>
            </w:r>
          </w:p>
        </w:tc>
      </w:tr>
      <w:tr w:rsidR="00595C1A" w:rsidRPr="001D42CA" w14:paraId="0963373E"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61B06AA"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Uganda</w:t>
            </w:r>
          </w:p>
        </w:tc>
        <w:tc>
          <w:tcPr>
            <w:tcW w:w="1111" w:type="dxa"/>
            <w:tcBorders>
              <w:top w:val="nil"/>
              <w:left w:val="nil"/>
              <w:bottom w:val="single" w:sz="4" w:space="0" w:color="auto"/>
              <w:right w:val="single" w:sz="4" w:space="0" w:color="auto"/>
            </w:tcBorders>
            <w:shd w:val="clear" w:color="auto" w:fill="auto"/>
            <w:noWrap/>
          </w:tcPr>
          <w:p w14:paraId="75DB74C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w:t>
            </w:r>
          </w:p>
        </w:tc>
        <w:tc>
          <w:tcPr>
            <w:tcW w:w="1111" w:type="dxa"/>
            <w:tcBorders>
              <w:top w:val="nil"/>
              <w:left w:val="nil"/>
              <w:bottom w:val="single" w:sz="4" w:space="0" w:color="auto"/>
              <w:right w:val="single" w:sz="4" w:space="0" w:color="auto"/>
            </w:tcBorders>
            <w:shd w:val="clear" w:color="auto" w:fill="auto"/>
            <w:noWrap/>
          </w:tcPr>
          <w:p w14:paraId="7F1C125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0,010 %</w:t>
            </w:r>
          </w:p>
        </w:tc>
        <w:tc>
          <w:tcPr>
            <w:tcW w:w="1305" w:type="dxa"/>
            <w:tcBorders>
              <w:top w:val="nil"/>
              <w:left w:val="nil"/>
              <w:bottom w:val="single" w:sz="4" w:space="0" w:color="auto"/>
              <w:right w:val="single" w:sz="4" w:space="0" w:color="auto"/>
            </w:tcBorders>
          </w:tcPr>
          <w:p w14:paraId="72F987C6"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9DA98D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0227195A"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104349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5B37157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E4B0596"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Uruguay</w:t>
            </w:r>
          </w:p>
        </w:tc>
        <w:tc>
          <w:tcPr>
            <w:tcW w:w="1111" w:type="dxa"/>
            <w:tcBorders>
              <w:top w:val="nil"/>
              <w:left w:val="nil"/>
              <w:bottom w:val="single" w:sz="4" w:space="0" w:color="auto"/>
              <w:right w:val="single" w:sz="4" w:space="0" w:color="auto"/>
            </w:tcBorders>
            <w:shd w:val="clear" w:color="auto" w:fill="auto"/>
            <w:noWrap/>
          </w:tcPr>
          <w:p w14:paraId="5F2230F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0,092</w:t>
            </w:r>
          </w:p>
        </w:tc>
        <w:tc>
          <w:tcPr>
            <w:tcW w:w="1111" w:type="dxa"/>
            <w:tcBorders>
              <w:top w:val="nil"/>
              <w:left w:val="nil"/>
              <w:bottom w:val="single" w:sz="4" w:space="0" w:color="auto"/>
              <w:right w:val="single" w:sz="4" w:space="0" w:color="auto"/>
            </w:tcBorders>
            <w:shd w:val="clear" w:color="auto" w:fill="auto"/>
            <w:noWrap/>
          </w:tcPr>
          <w:p w14:paraId="3DBC8B8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0,094 %</w:t>
            </w:r>
          </w:p>
        </w:tc>
        <w:tc>
          <w:tcPr>
            <w:tcW w:w="1305" w:type="dxa"/>
            <w:tcBorders>
              <w:top w:val="nil"/>
              <w:left w:val="nil"/>
              <w:bottom w:val="single" w:sz="4" w:space="0" w:color="auto"/>
              <w:right w:val="single" w:sz="4" w:space="0" w:color="auto"/>
            </w:tcBorders>
          </w:tcPr>
          <w:p w14:paraId="0540BAA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4 505</w:t>
            </w:r>
          </w:p>
        </w:tc>
        <w:tc>
          <w:tcPr>
            <w:tcW w:w="1306" w:type="dxa"/>
            <w:tcBorders>
              <w:top w:val="nil"/>
              <w:left w:val="single" w:sz="4" w:space="0" w:color="auto"/>
              <w:bottom w:val="single" w:sz="4" w:space="0" w:color="auto"/>
              <w:right w:val="single" w:sz="4" w:space="0" w:color="auto"/>
            </w:tcBorders>
            <w:shd w:val="clear" w:color="auto" w:fill="auto"/>
            <w:noWrap/>
          </w:tcPr>
          <w:p w14:paraId="1F45EDB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4 936</w:t>
            </w:r>
          </w:p>
        </w:tc>
        <w:tc>
          <w:tcPr>
            <w:tcW w:w="1305" w:type="dxa"/>
            <w:tcBorders>
              <w:top w:val="nil"/>
              <w:left w:val="nil"/>
              <w:bottom w:val="single" w:sz="4" w:space="0" w:color="auto"/>
              <w:right w:val="single" w:sz="4" w:space="0" w:color="auto"/>
            </w:tcBorders>
            <w:shd w:val="clear" w:color="auto" w:fill="auto"/>
            <w:noWrap/>
          </w:tcPr>
          <w:p w14:paraId="58BC624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4 947</w:t>
            </w:r>
          </w:p>
        </w:tc>
        <w:tc>
          <w:tcPr>
            <w:tcW w:w="1306" w:type="dxa"/>
            <w:tcBorders>
              <w:top w:val="nil"/>
              <w:left w:val="nil"/>
              <w:bottom w:val="single" w:sz="4" w:space="0" w:color="auto"/>
              <w:right w:val="single" w:sz="4" w:space="0" w:color="auto"/>
            </w:tcBorders>
            <w:shd w:val="clear" w:color="auto" w:fill="auto"/>
            <w:noWrap/>
          </w:tcPr>
          <w:p w14:paraId="4E13733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5 172</w:t>
            </w:r>
          </w:p>
        </w:tc>
      </w:tr>
      <w:tr w:rsidR="00595C1A" w:rsidRPr="001D42CA" w14:paraId="1D340B6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B402B75"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Uzbekistán</w:t>
            </w:r>
          </w:p>
        </w:tc>
        <w:tc>
          <w:tcPr>
            <w:tcW w:w="1111" w:type="dxa"/>
            <w:tcBorders>
              <w:top w:val="nil"/>
              <w:left w:val="nil"/>
              <w:bottom w:val="single" w:sz="4" w:space="0" w:color="auto"/>
              <w:right w:val="single" w:sz="4" w:space="0" w:color="auto"/>
            </w:tcBorders>
            <w:shd w:val="clear" w:color="auto" w:fill="auto"/>
            <w:noWrap/>
          </w:tcPr>
          <w:p w14:paraId="17D0198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0,027</w:t>
            </w:r>
          </w:p>
        </w:tc>
        <w:tc>
          <w:tcPr>
            <w:tcW w:w="1111" w:type="dxa"/>
            <w:tcBorders>
              <w:top w:val="nil"/>
              <w:left w:val="nil"/>
              <w:bottom w:val="single" w:sz="4" w:space="0" w:color="auto"/>
              <w:right w:val="single" w:sz="4" w:space="0" w:color="auto"/>
            </w:tcBorders>
            <w:shd w:val="clear" w:color="auto" w:fill="auto"/>
            <w:noWrap/>
          </w:tcPr>
          <w:p w14:paraId="2570D50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0,028 %</w:t>
            </w:r>
          </w:p>
        </w:tc>
        <w:tc>
          <w:tcPr>
            <w:tcW w:w="1305" w:type="dxa"/>
            <w:tcBorders>
              <w:top w:val="nil"/>
              <w:left w:val="nil"/>
              <w:bottom w:val="single" w:sz="4" w:space="0" w:color="auto"/>
              <w:right w:val="single" w:sz="4" w:space="0" w:color="auto"/>
            </w:tcBorders>
          </w:tcPr>
          <w:p w14:paraId="74A8ED64"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1 322</w:t>
            </w:r>
          </w:p>
        </w:tc>
        <w:tc>
          <w:tcPr>
            <w:tcW w:w="1306" w:type="dxa"/>
            <w:tcBorders>
              <w:top w:val="nil"/>
              <w:left w:val="single" w:sz="4" w:space="0" w:color="auto"/>
              <w:bottom w:val="single" w:sz="4" w:space="0" w:color="auto"/>
              <w:right w:val="single" w:sz="4" w:space="0" w:color="auto"/>
            </w:tcBorders>
            <w:shd w:val="clear" w:color="auto" w:fill="auto"/>
            <w:noWrap/>
          </w:tcPr>
          <w:p w14:paraId="0FA80799"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1 449</w:t>
            </w:r>
          </w:p>
        </w:tc>
        <w:tc>
          <w:tcPr>
            <w:tcW w:w="1305" w:type="dxa"/>
            <w:tcBorders>
              <w:top w:val="nil"/>
              <w:left w:val="nil"/>
              <w:bottom w:val="single" w:sz="4" w:space="0" w:color="auto"/>
              <w:right w:val="single" w:sz="4" w:space="0" w:color="auto"/>
            </w:tcBorders>
            <w:shd w:val="clear" w:color="auto" w:fill="auto"/>
            <w:noWrap/>
          </w:tcPr>
          <w:p w14:paraId="3C382C3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1 452</w:t>
            </w:r>
          </w:p>
        </w:tc>
        <w:tc>
          <w:tcPr>
            <w:tcW w:w="1306" w:type="dxa"/>
            <w:tcBorders>
              <w:top w:val="nil"/>
              <w:left w:val="nil"/>
              <w:bottom w:val="single" w:sz="4" w:space="0" w:color="auto"/>
              <w:right w:val="single" w:sz="4" w:space="0" w:color="auto"/>
            </w:tcBorders>
            <w:shd w:val="clear" w:color="auto" w:fill="auto"/>
            <w:noWrap/>
          </w:tcPr>
          <w:p w14:paraId="5204CCDD"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1 518</w:t>
            </w:r>
          </w:p>
        </w:tc>
      </w:tr>
      <w:tr w:rsidR="00595C1A" w:rsidRPr="001D42CA" w14:paraId="487AF8CC"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0A7704C"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Vanuatu</w:t>
            </w:r>
          </w:p>
        </w:tc>
        <w:tc>
          <w:tcPr>
            <w:tcW w:w="1111" w:type="dxa"/>
            <w:tcBorders>
              <w:top w:val="nil"/>
              <w:left w:val="nil"/>
              <w:bottom w:val="single" w:sz="4" w:space="0" w:color="auto"/>
              <w:right w:val="single" w:sz="4" w:space="0" w:color="auto"/>
            </w:tcBorders>
            <w:shd w:val="clear" w:color="auto" w:fill="auto"/>
            <w:noWrap/>
          </w:tcPr>
          <w:p w14:paraId="628BFEAE"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w:t>
            </w:r>
          </w:p>
        </w:tc>
        <w:tc>
          <w:tcPr>
            <w:tcW w:w="1111" w:type="dxa"/>
            <w:tcBorders>
              <w:top w:val="nil"/>
              <w:left w:val="nil"/>
              <w:bottom w:val="single" w:sz="4" w:space="0" w:color="auto"/>
              <w:right w:val="single" w:sz="4" w:space="0" w:color="auto"/>
            </w:tcBorders>
            <w:shd w:val="clear" w:color="auto" w:fill="auto"/>
            <w:noWrap/>
          </w:tcPr>
          <w:p w14:paraId="2FB648C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0,001 %</w:t>
            </w:r>
          </w:p>
        </w:tc>
        <w:tc>
          <w:tcPr>
            <w:tcW w:w="1305" w:type="dxa"/>
            <w:tcBorders>
              <w:top w:val="nil"/>
              <w:left w:val="nil"/>
              <w:bottom w:val="single" w:sz="4" w:space="0" w:color="auto"/>
              <w:right w:val="single" w:sz="4" w:space="0" w:color="auto"/>
            </w:tcBorders>
          </w:tcPr>
          <w:p w14:paraId="7F12E5E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30A2F6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sz w:val="20"/>
              </w:rPr>
              <w:t>1 000</w:t>
            </w:r>
          </w:p>
        </w:tc>
        <w:tc>
          <w:tcPr>
            <w:tcW w:w="1305" w:type="dxa"/>
            <w:tcBorders>
              <w:top w:val="nil"/>
              <w:left w:val="nil"/>
              <w:bottom w:val="single" w:sz="4" w:space="0" w:color="auto"/>
              <w:right w:val="single" w:sz="4" w:space="0" w:color="auto"/>
            </w:tcBorders>
            <w:shd w:val="clear" w:color="auto" w:fill="auto"/>
            <w:noWrap/>
          </w:tcPr>
          <w:p w14:paraId="08C83DBC"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04F51032"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7FFB409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0A79183" w14:textId="77777777" w:rsidR="00595C1A" w:rsidRPr="003914F9"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Venezuela (República Bolivariana de)</w:t>
            </w:r>
          </w:p>
        </w:tc>
        <w:tc>
          <w:tcPr>
            <w:tcW w:w="1111" w:type="dxa"/>
            <w:tcBorders>
              <w:top w:val="nil"/>
              <w:left w:val="nil"/>
              <w:bottom w:val="single" w:sz="4" w:space="0" w:color="auto"/>
              <w:right w:val="single" w:sz="4" w:space="0" w:color="auto"/>
            </w:tcBorders>
            <w:shd w:val="clear" w:color="auto" w:fill="auto"/>
            <w:noWrap/>
          </w:tcPr>
          <w:p w14:paraId="27861B8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0,175</w:t>
            </w:r>
          </w:p>
        </w:tc>
        <w:tc>
          <w:tcPr>
            <w:tcW w:w="1111" w:type="dxa"/>
            <w:tcBorders>
              <w:top w:val="nil"/>
              <w:left w:val="nil"/>
              <w:bottom w:val="single" w:sz="4" w:space="0" w:color="auto"/>
              <w:right w:val="single" w:sz="4" w:space="0" w:color="auto"/>
            </w:tcBorders>
            <w:shd w:val="clear" w:color="auto" w:fill="auto"/>
            <w:noWrap/>
          </w:tcPr>
          <w:p w14:paraId="5EDB6BE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0,180 %</w:t>
            </w:r>
          </w:p>
        </w:tc>
        <w:tc>
          <w:tcPr>
            <w:tcW w:w="1305" w:type="dxa"/>
            <w:tcBorders>
              <w:top w:val="nil"/>
              <w:left w:val="nil"/>
              <w:bottom w:val="single" w:sz="4" w:space="0" w:color="auto"/>
              <w:right w:val="single" w:sz="4" w:space="0" w:color="auto"/>
            </w:tcBorders>
          </w:tcPr>
          <w:p w14:paraId="22C65C0D"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8 568</w:t>
            </w:r>
          </w:p>
        </w:tc>
        <w:tc>
          <w:tcPr>
            <w:tcW w:w="1306" w:type="dxa"/>
            <w:tcBorders>
              <w:top w:val="nil"/>
              <w:left w:val="single" w:sz="4" w:space="0" w:color="auto"/>
              <w:bottom w:val="single" w:sz="4" w:space="0" w:color="auto"/>
              <w:right w:val="single" w:sz="4" w:space="0" w:color="auto"/>
            </w:tcBorders>
            <w:shd w:val="clear" w:color="auto" w:fill="auto"/>
            <w:noWrap/>
          </w:tcPr>
          <w:p w14:paraId="2EC612E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9 389</w:t>
            </w:r>
          </w:p>
        </w:tc>
        <w:tc>
          <w:tcPr>
            <w:tcW w:w="1305" w:type="dxa"/>
            <w:tcBorders>
              <w:top w:val="nil"/>
              <w:left w:val="nil"/>
              <w:bottom w:val="single" w:sz="4" w:space="0" w:color="auto"/>
              <w:right w:val="single" w:sz="4" w:space="0" w:color="auto"/>
            </w:tcBorders>
            <w:shd w:val="clear" w:color="auto" w:fill="auto"/>
            <w:noWrap/>
          </w:tcPr>
          <w:p w14:paraId="7FCEDF0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9 410</w:t>
            </w:r>
          </w:p>
        </w:tc>
        <w:tc>
          <w:tcPr>
            <w:tcW w:w="1306" w:type="dxa"/>
            <w:tcBorders>
              <w:top w:val="nil"/>
              <w:left w:val="nil"/>
              <w:bottom w:val="single" w:sz="4" w:space="0" w:color="auto"/>
              <w:right w:val="single" w:sz="4" w:space="0" w:color="auto"/>
            </w:tcBorders>
            <w:shd w:val="clear" w:color="auto" w:fill="auto"/>
            <w:noWrap/>
          </w:tcPr>
          <w:p w14:paraId="3E4F36E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9 839</w:t>
            </w:r>
          </w:p>
        </w:tc>
      </w:tr>
      <w:tr w:rsidR="00595C1A" w:rsidRPr="001D42CA" w14:paraId="78785559"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4E90165" w14:textId="77777777" w:rsidR="00595C1A" w:rsidRPr="00E4084B" w:rsidRDefault="00595C1A" w:rsidP="00E4084B">
            <w:pPr>
              <w:ind w:left="0" w:firstLine="0"/>
              <w:rPr>
                <w:rFonts w:asciiTheme="minorHAnsi" w:eastAsia="Times New Roman" w:hAnsiTheme="minorHAnsi" w:cstheme="minorHAnsi"/>
                <w:sz w:val="20"/>
                <w:szCs w:val="20"/>
              </w:rPr>
            </w:pPr>
            <w:proofErr w:type="spellStart"/>
            <w:r>
              <w:rPr>
                <w:rFonts w:asciiTheme="minorHAnsi" w:hAnsiTheme="minorHAnsi"/>
                <w:sz w:val="20"/>
              </w:rPr>
              <w:t>Viet</w:t>
            </w:r>
            <w:proofErr w:type="spellEnd"/>
            <w:r>
              <w:rPr>
                <w:rFonts w:asciiTheme="minorHAnsi" w:hAnsiTheme="minorHAnsi"/>
                <w:sz w:val="20"/>
              </w:rPr>
              <w:t xml:space="preserve"> </w:t>
            </w:r>
            <w:proofErr w:type="spellStart"/>
            <w:r>
              <w:rPr>
                <w:rFonts w:asciiTheme="minorHAnsi" w:hAnsiTheme="minorHAnsi"/>
                <w:sz w:val="20"/>
              </w:rPr>
              <w:t>Nam</w:t>
            </w:r>
            <w:proofErr w:type="spellEnd"/>
          </w:p>
        </w:tc>
        <w:tc>
          <w:tcPr>
            <w:tcW w:w="1111" w:type="dxa"/>
            <w:tcBorders>
              <w:top w:val="nil"/>
              <w:left w:val="nil"/>
              <w:bottom w:val="single" w:sz="4" w:space="0" w:color="auto"/>
              <w:right w:val="single" w:sz="4" w:space="0" w:color="auto"/>
            </w:tcBorders>
            <w:shd w:val="clear" w:color="auto" w:fill="auto"/>
            <w:noWrap/>
          </w:tcPr>
          <w:p w14:paraId="59E7704F"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0,093</w:t>
            </w:r>
          </w:p>
        </w:tc>
        <w:tc>
          <w:tcPr>
            <w:tcW w:w="1111" w:type="dxa"/>
            <w:tcBorders>
              <w:top w:val="nil"/>
              <w:left w:val="nil"/>
              <w:bottom w:val="single" w:sz="4" w:space="0" w:color="auto"/>
              <w:right w:val="single" w:sz="4" w:space="0" w:color="auto"/>
            </w:tcBorders>
            <w:shd w:val="clear" w:color="auto" w:fill="auto"/>
            <w:noWrap/>
          </w:tcPr>
          <w:p w14:paraId="1ECC60C4"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0,095 %</w:t>
            </w:r>
          </w:p>
        </w:tc>
        <w:tc>
          <w:tcPr>
            <w:tcW w:w="1305" w:type="dxa"/>
            <w:tcBorders>
              <w:top w:val="nil"/>
              <w:left w:val="nil"/>
              <w:bottom w:val="single" w:sz="4" w:space="0" w:color="auto"/>
              <w:right w:val="single" w:sz="4" w:space="0" w:color="auto"/>
            </w:tcBorders>
          </w:tcPr>
          <w:p w14:paraId="21A8FF6B"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4 554</w:t>
            </w:r>
          </w:p>
        </w:tc>
        <w:tc>
          <w:tcPr>
            <w:tcW w:w="1306" w:type="dxa"/>
            <w:tcBorders>
              <w:top w:val="nil"/>
              <w:left w:val="single" w:sz="4" w:space="0" w:color="auto"/>
              <w:bottom w:val="single" w:sz="4" w:space="0" w:color="auto"/>
              <w:right w:val="single" w:sz="4" w:space="0" w:color="auto"/>
            </w:tcBorders>
            <w:shd w:val="clear" w:color="auto" w:fill="auto"/>
            <w:noWrap/>
          </w:tcPr>
          <w:p w14:paraId="6B5B78E5"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4 990</w:t>
            </w:r>
          </w:p>
        </w:tc>
        <w:tc>
          <w:tcPr>
            <w:tcW w:w="1305" w:type="dxa"/>
            <w:tcBorders>
              <w:top w:val="nil"/>
              <w:left w:val="nil"/>
              <w:bottom w:val="single" w:sz="4" w:space="0" w:color="auto"/>
              <w:right w:val="single" w:sz="4" w:space="0" w:color="auto"/>
            </w:tcBorders>
            <w:shd w:val="clear" w:color="auto" w:fill="auto"/>
            <w:noWrap/>
          </w:tcPr>
          <w:p w14:paraId="2F39DEE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5 001</w:t>
            </w:r>
          </w:p>
        </w:tc>
        <w:tc>
          <w:tcPr>
            <w:tcW w:w="1306" w:type="dxa"/>
            <w:tcBorders>
              <w:top w:val="nil"/>
              <w:left w:val="nil"/>
              <w:bottom w:val="single" w:sz="4" w:space="0" w:color="auto"/>
              <w:right w:val="single" w:sz="4" w:space="0" w:color="auto"/>
            </w:tcBorders>
            <w:shd w:val="clear" w:color="auto" w:fill="auto"/>
            <w:noWrap/>
          </w:tcPr>
          <w:p w14:paraId="5A292B8B"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5 229</w:t>
            </w:r>
          </w:p>
        </w:tc>
      </w:tr>
      <w:tr w:rsidR="00595C1A" w:rsidRPr="001D42CA" w14:paraId="064F97D1"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B6F4014" w14:textId="77777777" w:rsidR="00595C1A" w:rsidRPr="00E4084B" w:rsidRDefault="00595C1A" w:rsidP="00E4084B">
            <w:pPr>
              <w:ind w:left="0" w:firstLine="0"/>
              <w:rPr>
                <w:rFonts w:asciiTheme="minorHAnsi" w:eastAsia="Times New Roman" w:hAnsiTheme="minorHAnsi" w:cstheme="minorHAnsi"/>
                <w:sz w:val="20"/>
                <w:szCs w:val="20"/>
              </w:rPr>
            </w:pPr>
            <w:r>
              <w:rPr>
                <w:rFonts w:asciiTheme="minorHAnsi" w:hAnsiTheme="minorHAnsi"/>
                <w:sz w:val="20"/>
              </w:rPr>
              <w:t>Yemen</w:t>
            </w:r>
          </w:p>
        </w:tc>
        <w:tc>
          <w:tcPr>
            <w:tcW w:w="1111" w:type="dxa"/>
            <w:tcBorders>
              <w:top w:val="nil"/>
              <w:left w:val="nil"/>
              <w:bottom w:val="single" w:sz="4" w:space="0" w:color="auto"/>
              <w:right w:val="single" w:sz="4" w:space="0" w:color="auto"/>
            </w:tcBorders>
            <w:shd w:val="clear" w:color="auto" w:fill="auto"/>
            <w:noWrap/>
          </w:tcPr>
          <w:p w14:paraId="35FA05C6"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0,008</w:t>
            </w:r>
          </w:p>
        </w:tc>
        <w:tc>
          <w:tcPr>
            <w:tcW w:w="1111" w:type="dxa"/>
            <w:tcBorders>
              <w:top w:val="nil"/>
              <w:left w:val="nil"/>
              <w:bottom w:val="single" w:sz="4" w:space="0" w:color="auto"/>
              <w:right w:val="single" w:sz="4" w:space="0" w:color="auto"/>
            </w:tcBorders>
            <w:shd w:val="clear" w:color="auto" w:fill="auto"/>
            <w:noWrap/>
          </w:tcPr>
          <w:p w14:paraId="53BC53D8"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0,008 %</w:t>
            </w:r>
          </w:p>
        </w:tc>
        <w:tc>
          <w:tcPr>
            <w:tcW w:w="1305" w:type="dxa"/>
            <w:tcBorders>
              <w:top w:val="nil"/>
              <w:left w:val="nil"/>
              <w:bottom w:val="single" w:sz="4" w:space="0" w:color="auto"/>
              <w:right w:val="single" w:sz="4" w:space="0" w:color="auto"/>
            </w:tcBorders>
          </w:tcPr>
          <w:p w14:paraId="7AE97A4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A04FCD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5C639DB0"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74A558E1" w14:textId="77777777" w:rsidR="00595C1A" w:rsidRPr="00E4084B" w:rsidRDefault="00595C1A"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1 000</w:t>
            </w:r>
          </w:p>
        </w:tc>
      </w:tr>
      <w:tr w:rsidR="00595C1A" w:rsidRPr="001D42CA" w14:paraId="229B6517"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67FEBF1" w14:textId="77777777" w:rsidR="00595C1A" w:rsidRPr="00E4084B" w:rsidRDefault="00595C1A" w:rsidP="00E4084B">
            <w:pPr>
              <w:ind w:left="0" w:firstLine="0"/>
              <w:rPr>
                <w:rFonts w:asciiTheme="minorHAnsi" w:hAnsiTheme="minorHAnsi" w:cstheme="minorHAnsi"/>
                <w:sz w:val="20"/>
                <w:szCs w:val="20"/>
              </w:rPr>
            </w:pPr>
            <w:r>
              <w:rPr>
                <w:rFonts w:asciiTheme="minorHAnsi" w:hAnsiTheme="minorHAnsi"/>
                <w:sz w:val="20"/>
              </w:rPr>
              <w:t>Zambia</w:t>
            </w:r>
          </w:p>
        </w:tc>
        <w:tc>
          <w:tcPr>
            <w:tcW w:w="1111" w:type="dxa"/>
            <w:tcBorders>
              <w:top w:val="nil"/>
              <w:left w:val="nil"/>
              <w:bottom w:val="single" w:sz="4" w:space="0" w:color="auto"/>
              <w:right w:val="single" w:sz="4" w:space="0" w:color="auto"/>
            </w:tcBorders>
            <w:shd w:val="clear" w:color="auto" w:fill="auto"/>
            <w:noWrap/>
          </w:tcPr>
          <w:p w14:paraId="648B4D2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0,008</w:t>
            </w:r>
          </w:p>
        </w:tc>
        <w:tc>
          <w:tcPr>
            <w:tcW w:w="1111" w:type="dxa"/>
            <w:tcBorders>
              <w:top w:val="nil"/>
              <w:left w:val="nil"/>
              <w:bottom w:val="single" w:sz="4" w:space="0" w:color="auto"/>
              <w:right w:val="single" w:sz="4" w:space="0" w:color="auto"/>
            </w:tcBorders>
            <w:shd w:val="clear" w:color="auto" w:fill="auto"/>
            <w:noWrap/>
          </w:tcPr>
          <w:p w14:paraId="4F1C7BE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0,008 %</w:t>
            </w:r>
          </w:p>
        </w:tc>
        <w:tc>
          <w:tcPr>
            <w:tcW w:w="1305" w:type="dxa"/>
            <w:tcBorders>
              <w:top w:val="nil"/>
              <w:left w:val="nil"/>
              <w:bottom w:val="single" w:sz="4" w:space="0" w:color="auto"/>
              <w:right w:val="single" w:sz="4" w:space="0" w:color="auto"/>
            </w:tcBorders>
          </w:tcPr>
          <w:p w14:paraId="12CA54D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725829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751097F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18A23A18"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r>
      <w:tr w:rsidR="00595C1A" w:rsidRPr="001D42CA" w14:paraId="57FFC745"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E81E9F0" w14:textId="77777777" w:rsidR="00595C1A" w:rsidRPr="00E4084B" w:rsidRDefault="00595C1A" w:rsidP="00E4084B">
            <w:pPr>
              <w:ind w:left="0" w:firstLine="0"/>
              <w:rPr>
                <w:rFonts w:asciiTheme="minorHAnsi" w:hAnsiTheme="minorHAnsi" w:cstheme="minorHAnsi"/>
                <w:sz w:val="20"/>
                <w:szCs w:val="20"/>
              </w:rPr>
            </w:pPr>
            <w:proofErr w:type="spellStart"/>
            <w:r>
              <w:rPr>
                <w:rFonts w:asciiTheme="minorHAnsi" w:hAnsiTheme="minorHAnsi"/>
                <w:sz w:val="20"/>
              </w:rPr>
              <w:t>Zimbabwe</w:t>
            </w:r>
            <w:proofErr w:type="spellEnd"/>
          </w:p>
        </w:tc>
        <w:tc>
          <w:tcPr>
            <w:tcW w:w="1111" w:type="dxa"/>
            <w:tcBorders>
              <w:top w:val="nil"/>
              <w:left w:val="nil"/>
              <w:bottom w:val="single" w:sz="4" w:space="0" w:color="auto"/>
              <w:right w:val="single" w:sz="4" w:space="0" w:color="auto"/>
            </w:tcBorders>
            <w:shd w:val="clear" w:color="auto" w:fill="auto"/>
            <w:noWrap/>
          </w:tcPr>
          <w:p w14:paraId="18F87A13"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0,007</w:t>
            </w:r>
          </w:p>
        </w:tc>
        <w:tc>
          <w:tcPr>
            <w:tcW w:w="1111" w:type="dxa"/>
            <w:tcBorders>
              <w:top w:val="nil"/>
              <w:left w:val="nil"/>
              <w:bottom w:val="single" w:sz="4" w:space="0" w:color="auto"/>
              <w:right w:val="single" w:sz="4" w:space="0" w:color="auto"/>
            </w:tcBorders>
            <w:shd w:val="clear" w:color="auto" w:fill="auto"/>
            <w:noWrap/>
          </w:tcPr>
          <w:p w14:paraId="0F6FF53C"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0,007 %</w:t>
            </w:r>
          </w:p>
        </w:tc>
        <w:tc>
          <w:tcPr>
            <w:tcW w:w="1305" w:type="dxa"/>
            <w:tcBorders>
              <w:top w:val="nil"/>
              <w:left w:val="nil"/>
              <w:bottom w:val="single" w:sz="4" w:space="0" w:color="auto"/>
              <w:right w:val="single" w:sz="4" w:space="0" w:color="auto"/>
            </w:tcBorders>
          </w:tcPr>
          <w:p w14:paraId="551FB97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D1AECB0"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5" w:type="dxa"/>
            <w:tcBorders>
              <w:top w:val="nil"/>
              <w:left w:val="nil"/>
              <w:bottom w:val="single" w:sz="4" w:space="0" w:color="auto"/>
              <w:right w:val="single" w:sz="4" w:space="0" w:color="auto"/>
            </w:tcBorders>
            <w:shd w:val="clear" w:color="auto" w:fill="auto"/>
            <w:noWrap/>
          </w:tcPr>
          <w:p w14:paraId="4CF6E957"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c>
          <w:tcPr>
            <w:tcW w:w="1306" w:type="dxa"/>
            <w:tcBorders>
              <w:top w:val="nil"/>
              <w:left w:val="nil"/>
              <w:bottom w:val="single" w:sz="4" w:space="0" w:color="auto"/>
              <w:right w:val="single" w:sz="4" w:space="0" w:color="auto"/>
            </w:tcBorders>
            <w:shd w:val="clear" w:color="auto" w:fill="auto"/>
            <w:noWrap/>
          </w:tcPr>
          <w:p w14:paraId="37627A6F" w14:textId="77777777" w:rsidR="00595C1A" w:rsidRPr="00E4084B" w:rsidRDefault="00595C1A" w:rsidP="00E4084B">
            <w:pPr>
              <w:ind w:left="0" w:firstLine="0"/>
              <w:jc w:val="right"/>
              <w:rPr>
                <w:rFonts w:asciiTheme="minorHAnsi" w:hAnsiTheme="minorHAnsi" w:cstheme="minorHAnsi"/>
                <w:sz w:val="20"/>
                <w:szCs w:val="20"/>
              </w:rPr>
            </w:pPr>
            <w:r>
              <w:rPr>
                <w:rFonts w:asciiTheme="minorHAnsi" w:hAnsiTheme="minorHAnsi"/>
                <w:color w:val="000000"/>
                <w:sz w:val="20"/>
              </w:rPr>
              <w:t>1 000</w:t>
            </w:r>
          </w:p>
        </w:tc>
      </w:tr>
      <w:tr w:rsidR="00E4084B" w:rsidRPr="001D42CA" w14:paraId="596FAB8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DBE5F1" w:themeFill="accent1" w:themeFillTint="33"/>
            <w:noWrap/>
          </w:tcPr>
          <w:p w14:paraId="755E3BB3" w14:textId="77777777" w:rsidR="00E4084B" w:rsidRPr="000519D4" w:rsidRDefault="00E4084B" w:rsidP="00E4084B">
            <w:pPr>
              <w:ind w:left="0" w:firstLine="0"/>
              <w:rPr>
                <w:rFonts w:asciiTheme="minorHAnsi" w:eastAsia="Times New Roman" w:hAnsiTheme="minorHAnsi" w:cstheme="minorHAnsi"/>
                <w:b/>
                <w:bCs/>
                <w:color w:val="000000"/>
                <w:sz w:val="20"/>
                <w:szCs w:val="20"/>
              </w:rPr>
            </w:pPr>
            <w:r>
              <w:rPr>
                <w:rFonts w:asciiTheme="minorHAnsi" w:hAnsiTheme="minorHAnsi"/>
                <w:b/>
                <w:color w:val="000000"/>
                <w:sz w:val="20"/>
              </w:rPr>
              <w:t>Total</w:t>
            </w:r>
          </w:p>
        </w:tc>
        <w:tc>
          <w:tcPr>
            <w:tcW w:w="1111" w:type="dxa"/>
            <w:tcBorders>
              <w:top w:val="nil"/>
              <w:left w:val="nil"/>
              <w:bottom w:val="single" w:sz="4" w:space="0" w:color="auto"/>
              <w:right w:val="single" w:sz="4" w:space="0" w:color="auto"/>
            </w:tcBorders>
            <w:shd w:val="clear" w:color="auto" w:fill="DBE5F1" w:themeFill="accent1" w:themeFillTint="33"/>
            <w:noWrap/>
          </w:tcPr>
          <w:p w14:paraId="3B253EA2" w14:textId="77777777" w:rsidR="00E4084B" w:rsidRPr="00E4084B" w:rsidRDefault="00E4084B" w:rsidP="00E4084B">
            <w:pPr>
              <w:ind w:left="0" w:firstLine="0"/>
              <w:jc w:val="right"/>
              <w:rPr>
                <w:rFonts w:asciiTheme="minorHAnsi" w:eastAsia="Times New Roman" w:hAnsiTheme="minorHAnsi" w:cstheme="minorHAnsi"/>
                <w:b/>
                <w:bCs/>
                <w:color w:val="000000"/>
                <w:sz w:val="20"/>
                <w:szCs w:val="20"/>
              </w:rPr>
            </w:pPr>
            <w:r>
              <w:rPr>
                <w:rFonts w:asciiTheme="minorHAnsi" w:hAnsiTheme="minorHAnsi"/>
                <w:sz w:val="20"/>
              </w:rPr>
              <w:t>75,978</w:t>
            </w:r>
          </w:p>
        </w:tc>
        <w:tc>
          <w:tcPr>
            <w:tcW w:w="1111" w:type="dxa"/>
            <w:tcBorders>
              <w:top w:val="nil"/>
              <w:left w:val="nil"/>
              <w:bottom w:val="single" w:sz="4" w:space="0" w:color="auto"/>
              <w:right w:val="single" w:sz="4" w:space="0" w:color="auto"/>
            </w:tcBorders>
            <w:shd w:val="clear" w:color="auto" w:fill="DBE5F1" w:themeFill="accent1" w:themeFillTint="33"/>
            <w:noWrap/>
          </w:tcPr>
          <w:p w14:paraId="1EE0A964" w14:textId="77777777" w:rsidR="00E4084B" w:rsidRPr="00E4084B" w:rsidRDefault="00E4084B" w:rsidP="00E4084B">
            <w:pPr>
              <w:ind w:left="0" w:firstLine="0"/>
              <w:jc w:val="right"/>
              <w:rPr>
                <w:rFonts w:asciiTheme="minorHAnsi" w:eastAsia="Times New Roman" w:hAnsiTheme="minorHAnsi" w:cstheme="minorHAnsi"/>
                <w:b/>
                <w:bCs/>
                <w:color w:val="000000"/>
                <w:sz w:val="20"/>
                <w:szCs w:val="20"/>
              </w:rPr>
            </w:pPr>
            <w:r>
              <w:rPr>
                <w:rFonts w:asciiTheme="minorHAnsi" w:hAnsiTheme="minorHAnsi"/>
                <w:sz w:val="20"/>
              </w:rPr>
              <w:t>78,0000 %</w:t>
            </w:r>
          </w:p>
        </w:tc>
        <w:tc>
          <w:tcPr>
            <w:tcW w:w="1305" w:type="dxa"/>
            <w:tcBorders>
              <w:top w:val="nil"/>
              <w:left w:val="nil"/>
              <w:bottom w:val="single" w:sz="4" w:space="0" w:color="auto"/>
              <w:right w:val="single" w:sz="4" w:space="0" w:color="auto"/>
            </w:tcBorders>
            <w:shd w:val="clear" w:color="auto" w:fill="F2DBDB" w:themeFill="accent2" w:themeFillTint="33"/>
          </w:tcPr>
          <w:p w14:paraId="2BCF2152" w14:textId="77777777" w:rsidR="00E4084B" w:rsidRPr="00E4084B" w:rsidRDefault="00E4084B" w:rsidP="00E4084B">
            <w:pPr>
              <w:ind w:left="0" w:firstLine="0"/>
              <w:jc w:val="right"/>
              <w:rPr>
                <w:rFonts w:asciiTheme="minorHAnsi" w:hAnsiTheme="minorHAnsi" w:cstheme="minorHAnsi"/>
                <w:b/>
                <w:bCs/>
                <w:color w:val="000000"/>
                <w:sz w:val="20"/>
                <w:szCs w:val="20"/>
              </w:rPr>
            </w:pPr>
            <w:r>
              <w:rPr>
                <w:rFonts w:asciiTheme="minorHAnsi" w:hAnsiTheme="minorHAnsi"/>
                <w:sz w:val="20"/>
              </w:rPr>
              <w:t>3 779 000</w:t>
            </w:r>
          </w:p>
        </w:tc>
        <w:tc>
          <w:tcPr>
            <w:tcW w:w="1306" w:type="dxa"/>
            <w:tcBorders>
              <w:top w:val="nil"/>
              <w:left w:val="single" w:sz="4" w:space="0" w:color="auto"/>
              <w:bottom w:val="single" w:sz="4" w:space="0" w:color="auto"/>
              <w:right w:val="single" w:sz="4" w:space="0" w:color="auto"/>
            </w:tcBorders>
            <w:shd w:val="clear" w:color="auto" w:fill="EAF1DD" w:themeFill="accent3" w:themeFillTint="33"/>
            <w:noWrap/>
          </w:tcPr>
          <w:p w14:paraId="443DFEE9" w14:textId="77777777" w:rsidR="00E4084B" w:rsidRPr="00E4084B" w:rsidRDefault="00E4084B" w:rsidP="00E4084B">
            <w:pPr>
              <w:ind w:left="0" w:firstLine="0"/>
              <w:jc w:val="right"/>
              <w:rPr>
                <w:rFonts w:asciiTheme="minorHAnsi" w:eastAsia="Times New Roman" w:hAnsiTheme="minorHAnsi" w:cstheme="minorHAnsi"/>
                <w:b/>
                <w:bCs/>
                <w:color w:val="000000"/>
                <w:sz w:val="20"/>
                <w:szCs w:val="20"/>
              </w:rPr>
            </w:pPr>
            <w:r>
              <w:rPr>
                <w:rFonts w:asciiTheme="minorHAnsi" w:hAnsiTheme="minorHAnsi"/>
                <w:sz w:val="20"/>
              </w:rPr>
              <w:t>4 133 000</w:t>
            </w:r>
          </w:p>
        </w:tc>
        <w:tc>
          <w:tcPr>
            <w:tcW w:w="1305" w:type="dxa"/>
            <w:tcBorders>
              <w:top w:val="nil"/>
              <w:left w:val="nil"/>
              <w:bottom w:val="single" w:sz="4" w:space="0" w:color="auto"/>
              <w:right w:val="single" w:sz="4" w:space="0" w:color="auto"/>
            </w:tcBorders>
            <w:shd w:val="clear" w:color="auto" w:fill="EAF1DD" w:themeFill="accent3" w:themeFillTint="33"/>
            <w:noWrap/>
          </w:tcPr>
          <w:p w14:paraId="19690C5C" w14:textId="77777777" w:rsidR="00E4084B" w:rsidRPr="00E4084B" w:rsidRDefault="00E4084B" w:rsidP="00E4084B">
            <w:pPr>
              <w:ind w:left="0" w:firstLine="0"/>
              <w:jc w:val="right"/>
              <w:rPr>
                <w:rFonts w:asciiTheme="minorHAnsi" w:eastAsia="Times New Roman" w:hAnsiTheme="minorHAnsi" w:cstheme="minorHAnsi"/>
                <w:b/>
                <w:bCs/>
                <w:color w:val="000000"/>
                <w:sz w:val="20"/>
                <w:szCs w:val="20"/>
              </w:rPr>
            </w:pPr>
            <w:r>
              <w:rPr>
                <w:rFonts w:asciiTheme="minorHAnsi" w:hAnsiTheme="minorHAnsi"/>
                <w:sz w:val="20"/>
              </w:rPr>
              <w:t>4 142 000</w:t>
            </w:r>
          </w:p>
        </w:tc>
        <w:tc>
          <w:tcPr>
            <w:tcW w:w="1306" w:type="dxa"/>
            <w:tcBorders>
              <w:top w:val="nil"/>
              <w:left w:val="nil"/>
              <w:bottom w:val="single" w:sz="4" w:space="0" w:color="auto"/>
              <w:right w:val="single" w:sz="4" w:space="0" w:color="auto"/>
            </w:tcBorders>
            <w:shd w:val="clear" w:color="auto" w:fill="EAF1DD" w:themeFill="accent3" w:themeFillTint="33"/>
            <w:noWrap/>
          </w:tcPr>
          <w:p w14:paraId="6E0BE57C" w14:textId="77777777" w:rsidR="00E4084B" w:rsidRPr="00E4084B" w:rsidRDefault="00E4084B" w:rsidP="00E4084B">
            <w:pPr>
              <w:ind w:left="0" w:firstLine="0"/>
              <w:jc w:val="right"/>
              <w:rPr>
                <w:rFonts w:asciiTheme="minorHAnsi" w:eastAsia="Times New Roman" w:hAnsiTheme="minorHAnsi" w:cstheme="minorHAnsi"/>
                <w:b/>
                <w:bCs/>
                <w:color w:val="000000"/>
                <w:sz w:val="20"/>
                <w:szCs w:val="20"/>
              </w:rPr>
            </w:pPr>
            <w:r>
              <w:rPr>
                <w:rFonts w:asciiTheme="minorHAnsi" w:hAnsiTheme="minorHAnsi"/>
                <w:sz w:val="20"/>
              </w:rPr>
              <w:t>4 327 000</w:t>
            </w:r>
          </w:p>
        </w:tc>
      </w:tr>
      <w:tr w:rsidR="0020791D" w:rsidRPr="001D42CA" w14:paraId="4C102E10"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C13253E" w14:textId="77777777" w:rsidR="0020791D" w:rsidRPr="000519D4" w:rsidRDefault="0020791D" w:rsidP="0020791D">
            <w:pPr>
              <w:ind w:left="0" w:firstLine="0"/>
              <w:rPr>
                <w:rFonts w:asciiTheme="minorHAnsi" w:eastAsia="Times New Roman" w:hAnsiTheme="minorHAnsi" w:cstheme="minorHAnsi"/>
                <w:color w:val="000000"/>
                <w:sz w:val="20"/>
                <w:szCs w:val="20"/>
              </w:rPr>
            </w:pPr>
            <w:r>
              <w:rPr>
                <w:rFonts w:asciiTheme="minorHAnsi" w:hAnsiTheme="minorHAnsi"/>
                <w:color w:val="000000"/>
                <w:sz w:val="20"/>
              </w:rPr>
              <w:t>Otras contribuciones**</w:t>
            </w:r>
          </w:p>
        </w:tc>
        <w:tc>
          <w:tcPr>
            <w:tcW w:w="1111" w:type="dxa"/>
            <w:tcBorders>
              <w:top w:val="nil"/>
              <w:left w:val="nil"/>
              <w:bottom w:val="single" w:sz="4" w:space="0" w:color="auto"/>
              <w:right w:val="single" w:sz="4" w:space="0" w:color="auto"/>
            </w:tcBorders>
            <w:shd w:val="clear" w:color="auto" w:fill="auto"/>
            <w:noWrap/>
          </w:tcPr>
          <w:p w14:paraId="758889E5"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111" w:type="dxa"/>
            <w:tcBorders>
              <w:top w:val="nil"/>
              <w:left w:val="nil"/>
              <w:bottom w:val="single" w:sz="4" w:space="0" w:color="auto"/>
              <w:right w:val="single" w:sz="4" w:space="0" w:color="auto"/>
            </w:tcBorders>
            <w:shd w:val="clear" w:color="auto" w:fill="auto"/>
            <w:noWrap/>
          </w:tcPr>
          <w:p w14:paraId="121F163F"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FF0000"/>
                <w:sz w:val="20"/>
              </w:rPr>
              <w:t> </w:t>
            </w:r>
          </w:p>
        </w:tc>
        <w:tc>
          <w:tcPr>
            <w:tcW w:w="1305" w:type="dxa"/>
            <w:tcBorders>
              <w:top w:val="nil"/>
              <w:left w:val="nil"/>
              <w:bottom w:val="single" w:sz="4" w:space="0" w:color="auto"/>
              <w:right w:val="single" w:sz="4" w:space="0" w:color="auto"/>
            </w:tcBorders>
          </w:tcPr>
          <w:p w14:paraId="4DA532B2" w14:textId="77777777" w:rsidR="0020791D" w:rsidRPr="000519D4" w:rsidRDefault="0020791D" w:rsidP="0020791D">
            <w:pPr>
              <w:ind w:left="0" w:firstLine="0"/>
              <w:jc w:val="right"/>
              <w:rPr>
                <w:rFonts w:asciiTheme="minorHAnsi" w:hAnsiTheme="minorHAnsi" w:cstheme="minorHAnsi"/>
                <w:color w:val="000000"/>
                <w:sz w:val="20"/>
                <w:szCs w:val="20"/>
              </w:rPr>
            </w:pPr>
          </w:p>
        </w:tc>
        <w:tc>
          <w:tcPr>
            <w:tcW w:w="1306" w:type="dxa"/>
            <w:tcBorders>
              <w:top w:val="nil"/>
              <w:left w:val="single" w:sz="4" w:space="0" w:color="auto"/>
              <w:bottom w:val="single" w:sz="4" w:space="0" w:color="auto"/>
              <w:right w:val="single" w:sz="4" w:space="0" w:color="auto"/>
            </w:tcBorders>
            <w:shd w:val="clear" w:color="auto" w:fill="auto"/>
            <w:noWrap/>
          </w:tcPr>
          <w:p w14:paraId="5596BF43"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305" w:type="dxa"/>
            <w:tcBorders>
              <w:top w:val="nil"/>
              <w:left w:val="nil"/>
              <w:bottom w:val="single" w:sz="4" w:space="0" w:color="auto"/>
              <w:right w:val="single" w:sz="4" w:space="0" w:color="auto"/>
            </w:tcBorders>
            <w:shd w:val="clear" w:color="auto" w:fill="auto"/>
            <w:noWrap/>
          </w:tcPr>
          <w:p w14:paraId="13345D10"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306" w:type="dxa"/>
            <w:tcBorders>
              <w:top w:val="nil"/>
              <w:left w:val="nil"/>
              <w:bottom w:val="single" w:sz="4" w:space="0" w:color="auto"/>
              <w:right w:val="single" w:sz="4" w:space="0" w:color="auto"/>
            </w:tcBorders>
            <w:shd w:val="clear" w:color="auto" w:fill="auto"/>
            <w:noWrap/>
          </w:tcPr>
          <w:p w14:paraId="5AE2DB9E"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 </w:t>
            </w:r>
          </w:p>
        </w:tc>
      </w:tr>
      <w:tr w:rsidR="00E4084B" w:rsidRPr="001D42CA" w14:paraId="3886AC7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3C40AB5" w14:textId="77777777" w:rsidR="00E4084B" w:rsidRPr="000519D4" w:rsidRDefault="00E4084B" w:rsidP="00E4084B">
            <w:pPr>
              <w:ind w:left="0" w:firstLine="0"/>
              <w:rPr>
                <w:rFonts w:asciiTheme="minorHAnsi" w:eastAsia="Times New Roman" w:hAnsiTheme="minorHAnsi" w:cstheme="minorHAnsi"/>
                <w:color w:val="000000"/>
                <w:sz w:val="20"/>
                <w:szCs w:val="20"/>
              </w:rPr>
            </w:pPr>
            <w:r>
              <w:rPr>
                <w:rFonts w:asciiTheme="minorHAnsi" w:hAnsiTheme="minorHAnsi"/>
                <w:color w:val="000000"/>
                <w:sz w:val="20"/>
              </w:rPr>
              <w:t>Estados Unidos de América</w:t>
            </w:r>
          </w:p>
        </w:tc>
        <w:tc>
          <w:tcPr>
            <w:tcW w:w="1111" w:type="dxa"/>
            <w:tcBorders>
              <w:top w:val="nil"/>
              <w:left w:val="nil"/>
              <w:bottom w:val="single" w:sz="4" w:space="0" w:color="auto"/>
              <w:right w:val="single" w:sz="4" w:space="0" w:color="auto"/>
            </w:tcBorders>
            <w:shd w:val="clear" w:color="auto" w:fill="auto"/>
            <w:noWrap/>
          </w:tcPr>
          <w:p w14:paraId="32DB9500" w14:textId="77777777" w:rsidR="00E4084B" w:rsidRPr="000519D4" w:rsidRDefault="00E4084B"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111" w:type="dxa"/>
            <w:tcBorders>
              <w:top w:val="nil"/>
              <w:left w:val="nil"/>
              <w:bottom w:val="single" w:sz="4" w:space="0" w:color="auto"/>
              <w:right w:val="single" w:sz="4" w:space="0" w:color="auto"/>
            </w:tcBorders>
            <w:shd w:val="clear" w:color="auto" w:fill="auto"/>
            <w:noWrap/>
          </w:tcPr>
          <w:p w14:paraId="2CEFF346" w14:textId="77777777" w:rsidR="00E4084B" w:rsidRPr="000519D4" w:rsidRDefault="00E4084B"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22 %</w:t>
            </w:r>
          </w:p>
        </w:tc>
        <w:tc>
          <w:tcPr>
            <w:tcW w:w="1305" w:type="dxa"/>
            <w:tcBorders>
              <w:top w:val="nil"/>
              <w:left w:val="nil"/>
              <w:bottom w:val="single" w:sz="4" w:space="0" w:color="auto"/>
              <w:right w:val="single" w:sz="4" w:space="0" w:color="auto"/>
            </w:tcBorders>
          </w:tcPr>
          <w:p w14:paraId="0C5488D8" w14:textId="77777777" w:rsidR="00E4084B" w:rsidRPr="000519D4" w:rsidRDefault="00E4084B" w:rsidP="00E4084B">
            <w:pPr>
              <w:ind w:left="0" w:firstLine="0"/>
              <w:jc w:val="right"/>
              <w:rPr>
                <w:rFonts w:asciiTheme="minorHAnsi" w:hAnsiTheme="minorHAnsi" w:cstheme="minorHAnsi"/>
                <w:color w:val="000000"/>
                <w:sz w:val="20"/>
                <w:szCs w:val="20"/>
              </w:rPr>
            </w:pPr>
            <w:r>
              <w:rPr>
                <w:rFonts w:asciiTheme="minorHAnsi" w:hAnsiTheme="minorHAnsi"/>
                <w:color w:val="000000"/>
                <w:sz w:val="20"/>
              </w:rPr>
              <w:t>1 065 799</w:t>
            </w:r>
          </w:p>
        </w:tc>
        <w:tc>
          <w:tcPr>
            <w:tcW w:w="1306" w:type="dxa"/>
            <w:tcBorders>
              <w:top w:val="nil"/>
              <w:left w:val="single" w:sz="4" w:space="0" w:color="auto"/>
              <w:bottom w:val="single" w:sz="4" w:space="0" w:color="auto"/>
              <w:right w:val="single" w:sz="4" w:space="0" w:color="auto"/>
            </w:tcBorders>
            <w:shd w:val="clear" w:color="auto" w:fill="auto"/>
            <w:noWrap/>
          </w:tcPr>
          <w:p w14:paraId="221273BA" w14:textId="77777777" w:rsidR="00E4084B" w:rsidRPr="00E4084B" w:rsidRDefault="00E4084B" w:rsidP="00E4084B">
            <w:pPr>
              <w:ind w:left="0" w:firstLine="0"/>
              <w:jc w:val="right"/>
              <w:rPr>
                <w:rFonts w:asciiTheme="minorHAnsi" w:eastAsia="Times New Roman" w:hAnsiTheme="minorHAnsi" w:cstheme="minorHAnsi"/>
                <w:color w:val="000000"/>
                <w:sz w:val="20"/>
                <w:szCs w:val="20"/>
              </w:rPr>
            </w:pPr>
            <w:r>
              <w:rPr>
                <w:sz w:val="20"/>
              </w:rPr>
              <w:t>1 166 000</w:t>
            </w:r>
          </w:p>
        </w:tc>
        <w:tc>
          <w:tcPr>
            <w:tcW w:w="1305" w:type="dxa"/>
            <w:tcBorders>
              <w:top w:val="nil"/>
              <w:left w:val="nil"/>
              <w:bottom w:val="single" w:sz="4" w:space="0" w:color="auto"/>
              <w:right w:val="single" w:sz="4" w:space="0" w:color="auto"/>
            </w:tcBorders>
            <w:shd w:val="clear" w:color="auto" w:fill="auto"/>
            <w:noWrap/>
          </w:tcPr>
          <w:p w14:paraId="38EE7552" w14:textId="77777777" w:rsidR="00E4084B" w:rsidRPr="00E4084B" w:rsidRDefault="00E4084B" w:rsidP="00E4084B">
            <w:pPr>
              <w:ind w:left="0" w:firstLine="0"/>
              <w:jc w:val="right"/>
              <w:rPr>
                <w:rFonts w:asciiTheme="minorHAnsi" w:eastAsia="Times New Roman" w:hAnsiTheme="minorHAnsi" w:cstheme="minorHAnsi"/>
                <w:color w:val="000000"/>
                <w:sz w:val="20"/>
                <w:szCs w:val="20"/>
              </w:rPr>
            </w:pPr>
            <w:r>
              <w:rPr>
                <w:sz w:val="20"/>
              </w:rPr>
              <w:t>1 168 000</w:t>
            </w:r>
          </w:p>
        </w:tc>
        <w:tc>
          <w:tcPr>
            <w:tcW w:w="1306" w:type="dxa"/>
            <w:tcBorders>
              <w:top w:val="nil"/>
              <w:left w:val="nil"/>
              <w:bottom w:val="single" w:sz="4" w:space="0" w:color="auto"/>
              <w:right w:val="single" w:sz="4" w:space="0" w:color="auto"/>
            </w:tcBorders>
            <w:shd w:val="clear" w:color="auto" w:fill="auto"/>
            <w:noWrap/>
          </w:tcPr>
          <w:p w14:paraId="2F17A0F5" w14:textId="77777777" w:rsidR="00E4084B" w:rsidRPr="00E4084B" w:rsidRDefault="00E4084B" w:rsidP="00E4084B">
            <w:pPr>
              <w:ind w:left="0" w:firstLine="0"/>
              <w:jc w:val="right"/>
              <w:rPr>
                <w:rFonts w:asciiTheme="minorHAnsi" w:eastAsia="Times New Roman" w:hAnsiTheme="minorHAnsi" w:cstheme="minorHAnsi"/>
                <w:color w:val="000000"/>
                <w:sz w:val="20"/>
                <w:szCs w:val="20"/>
              </w:rPr>
            </w:pPr>
            <w:r>
              <w:rPr>
                <w:sz w:val="20"/>
              </w:rPr>
              <w:t>1 219 000</w:t>
            </w:r>
          </w:p>
        </w:tc>
      </w:tr>
      <w:tr w:rsidR="0020791D" w:rsidRPr="001D42CA" w14:paraId="3E022BFF"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19467A5" w14:textId="77777777" w:rsidR="0020791D" w:rsidRPr="000519D4" w:rsidRDefault="0020791D" w:rsidP="0020791D">
            <w:pPr>
              <w:ind w:left="0" w:firstLine="0"/>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111" w:type="dxa"/>
            <w:tcBorders>
              <w:top w:val="nil"/>
              <w:left w:val="nil"/>
              <w:bottom w:val="single" w:sz="4" w:space="0" w:color="auto"/>
              <w:right w:val="single" w:sz="4" w:space="0" w:color="auto"/>
            </w:tcBorders>
            <w:shd w:val="clear" w:color="auto" w:fill="auto"/>
            <w:noWrap/>
          </w:tcPr>
          <w:p w14:paraId="5558E0CF"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111" w:type="dxa"/>
            <w:tcBorders>
              <w:top w:val="nil"/>
              <w:left w:val="nil"/>
              <w:bottom w:val="single" w:sz="4" w:space="0" w:color="auto"/>
              <w:right w:val="single" w:sz="4" w:space="0" w:color="auto"/>
            </w:tcBorders>
            <w:shd w:val="clear" w:color="auto" w:fill="auto"/>
            <w:noWrap/>
          </w:tcPr>
          <w:p w14:paraId="4DB5440F"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305" w:type="dxa"/>
            <w:tcBorders>
              <w:top w:val="nil"/>
              <w:left w:val="nil"/>
              <w:bottom w:val="single" w:sz="4" w:space="0" w:color="auto"/>
              <w:right w:val="single" w:sz="4" w:space="0" w:color="auto"/>
            </w:tcBorders>
          </w:tcPr>
          <w:p w14:paraId="3E00CBA4" w14:textId="77777777" w:rsidR="0020791D" w:rsidRPr="000519D4" w:rsidRDefault="0020791D" w:rsidP="0020791D">
            <w:pPr>
              <w:ind w:left="0" w:firstLine="0"/>
              <w:jc w:val="right"/>
              <w:rPr>
                <w:rFonts w:asciiTheme="minorHAnsi" w:hAnsiTheme="minorHAnsi" w:cstheme="minorHAnsi"/>
                <w:color w:val="FF33CC"/>
                <w:sz w:val="20"/>
                <w:szCs w:val="20"/>
              </w:rPr>
            </w:pPr>
          </w:p>
        </w:tc>
        <w:tc>
          <w:tcPr>
            <w:tcW w:w="1306" w:type="dxa"/>
            <w:tcBorders>
              <w:top w:val="nil"/>
              <w:left w:val="single" w:sz="4" w:space="0" w:color="auto"/>
              <w:bottom w:val="single" w:sz="4" w:space="0" w:color="auto"/>
              <w:right w:val="single" w:sz="4" w:space="0" w:color="auto"/>
            </w:tcBorders>
            <w:shd w:val="clear" w:color="auto" w:fill="auto"/>
            <w:noWrap/>
          </w:tcPr>
          <w:p w14:paraId="3F912466"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FF33CC"/>
                <w:sz w:val="20"/>
              </w:rPr>
              <w:t> </w:t>
            </w:r>
          </w:p>
        </w:tc>
        <w:tc>
          <w:tcPr>
            <w:tcW w:w="1305" w:type="dxa"/>
            <w:tcBorders>
              <w:top w:val="nil"/>
              <w:left w:val="nil"/>
              <w:bottom w:val="single" w:sz="4" w:space="0" w:color="auto"/>
              <w:right w:val="single" w:sz="4" w:space="0" w:color="auto"/>
            </w:tcBorders>
            <w:shd w:val="clear" w:color="auto" w:fill="auto"/>
            <w:noWrap/>
          </w:tcPr>
          <w:p w14:paraId="3E2E4462"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FF33CC"/>
                <w:sz w:val="20"/>
              </w:rPr>
              <w:t> </w:t>
            </w:r>
          </w:p>
        </w:tc>
        <w:tc>
          <w:tcPr>
            <w:tcW w:w="1306" w:type="dxa"/>
            <w:tcBorders>
              <w:top w:val="nil"/>
              <w:left w:val="nil"/>
              <w:bottom w:val="single" w:sz="4" w:space="0" w:color="auto"/>
              <w:right w:val="single" w:sz="4" w:space="0" w:color="auto"/>
            </w:tcBorders>
            <w:shd w:val="clear" w:color="auto" w:fill="auto"/>
            <w:noWrap/>
          </w:tcPr>
          <w:p w14:paraId="10022996" w14:textId="77777777" w:rsidR="0020791D" w:rsidRPr="000519D4" w:rsidRDefault="0020791D" w:rsidP="0020791D">
            <w:pPr>
              <w:ind w:left="0" w:firstLine="0"/>
              <w:jc w:val="right"/>
              <w:rPr>
                <w:rFonts w:asciiTheme="minorHAnsi" w:eastAsia="Times New Roman" w:hAnsiTheme="minorHAnsi" w:cstheme="minorHAnsi"/>
                <w:color w:val="000000"/>
                <w:sz w:val="20"/>
                <w:szCs w:val="20"/>
              </w:rPr>
            </w:pPr>
            <w:r>
              <w:rPr>
                <w:rFonts w:asciiTheme="minorHAnsi" w:hAnsiTheme="minorHAnsi"/>
                <w:color w:val="FF33CC"/>
                <w:sz w:val="20"/>
              </w:rPr>
              <w:t> </w:t>
            </w:r>
          </w:p>
        </w:tc>
      </w:tr>
      <w:tr w:rsidR="00E4084B" w:rsidRPr="001D42CA" w14:paraId="65CCDD24" w14:textId="77777777" w:rsidTr="00595C1A">
        <w:trPr>
          <w:gridBefore w:val="1"/>
          <w:wBefore w:w="10" w:type="dxa"/>
          <w:trHeight w:val="276"/>
        </w:trPr>
        <w:tc>
          <w:tcPr>
            <w:tcW w:w="2664" w:type="dxa"/>
            <w:tcBorders>
              <w:top w:val="nil"/>
              <w:left w:val="single" w:sz="4" w:space="0" w:color="auto"/>
              <w:bottom w:val="single" w:sz="4" w:space="0" w:color="auto"/>
              <w:right w:val="single" w:sz="4" w:space="0" w:color="auto"/>
            </w:tcBorders>
            <w:shd w:val="clear" w:color="auto" w:fill="C6D9F1" w:themeFill="text2" w:themeFillTint="33"/>
            <w:noWrap/>
          </w:tcPr>
          <w:p w14:paraId="745E9A91" w14:textId="77777777" w:rsidR="00E4084B" w:rsidRPr="000519D4" w:rsidRDefault="00E4084B" w:rsidP="00E4084B">
            <w:pPr>
              <w:ind w:left="0" w:firstLine="0"/>
              <w:rPr>
                <w:rFonts w:asciiTheme="minorHAnsi" w:eastAsia="Times New Roman" w:hAnsiTheme="minorHAnsi" w:cstheme="minorHAnsi"/>
                <w:b/>
                <w:bCs/>
                <w:color w:val="000000"/>
                <w:sz w:val="20"/>
                <w:szCs w:val="20"/>
              </w:rPr>
            </w:pPr>
            <w:r>
              <w:rPr>
                <w:rFonts w:asciiTheme="minorHAnsi" w:hAnsiTheme="minorHAnsi"/>
                <w:b/>
                <w:color w:val="000000"/>
                <w:sz w:val="20"/>
              </w:rPr>
              <w:t>Total general</w:t>
            </w:r>
          </w:p>
        </w:tc>
        <w:tc>
          <w:tcPr>
            <w:tcW w:w="1111" w:type="dxa"/>
            <w:tcBorders>
              <w:top w:val="nil"/>
              <w:left w:val="nil"/>
              <w:bottom w:val="single" w:sz="4" w:space="0" w:color="auto"/>
              <w:right w:val="single" w:sz="4" w:space="0" w:color="auto"/>
            </w:tcBorders>
            <w:shd w:val="clear" w:color="auto" w:fill="C6D9F1" w:themeFill="text2" w:themeFillTint="33"/>
            <w:noWrap/>
          </w:tcPr>
          <w:p w14:paraId="6C5CB112" w14:textId="77777777" w:rsidR="00E4084B" w:rsidRPr="000519D4" w:rsidRDefault="00E4084B" w:rsidP="00E4084B">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111" w:type="dxa"/>
            <w:tcBorders>
              <w:top w:val="nil"/>
              <w:left w:val="nil"/>
              <w:bottom w:val="single" w:sz="4" w:space="0" w:color="auto"/>
              <w:right w:val="single" w:sz="4" w:space="0" w:color="auto"/>
            </w:tcBorders>
            <w:shd w:val="clear" w:color="auto" w:fill="C6D9F1" w:themeFill="text2" w:themeFillTint="33"/>
            <w:noWrap/>
          </w:tcPr>
          <w:p w14:paraId="3B01FE3E" w14:textId="77777777" w:rsidR="00E4084B" w:rsidRPr="000519D4" w:rsidRDefault="00E4084B" w:rsidP="00E4084B">
            <w:pPr>
              <w:ind w:left="0" w:firstLine="0"/>
              <w:jc w:val="right"/>
              <w:rPr>
                <w:rFonts w:asciiTheme="minorHAnsi" w:eastAsia="Times New Roman" w:hAnsiTheme="minorHAnsi" w:cstheme="minorHAnsi"/>
                <w:b/>
                <w:color w:val="000000"/>
                <w:sz w:val="20"/>
                <w:szCs w:val="20"/>
              </w:rPr>
            </w:pPr>
            <w:r>
              <w:rPr>
                <w:rFonts w:asciiTheme="minorHAnsi" w:hAnsiTheme="minorHAnsi"/>
                <w:color w:val="000000"/>
                <w:sz w:val="20"/>
              </w:rPr>
              <w:t> </w:t>
            </w:r>
          </w:p>
        </w:tc>
        <w:tc>
          <w:tcPr>
            <w:tcW w:w="1305" w:type="dxa"/>
            <w:tcBorders>
              <w:top w:val="nil"/>
              <w:left w:val="nil"/>
              <w:bottom w:val="single" w:sz="4" w:space="0" w:color="auto"/>
              <w:right w:val="single" w:sz="4" w:space="0" w:color="auto"/>
            </w:tcBorders>
            <w:shd w:val="clear" w:color="auto" w:fill="F2DBDB" w:themeFill="accent2" w:themeFillTint="33"/>
          </w:tcPr>
          <w:p w14:paraId="5683705B" w14:textId="77777777" w:rsidR="00E4084B" w:rsidRPr="00E4084B" w:rsidRDefault="00E4084B" w:rsidP="00E4084B">
            <w:pPr>
              <w:ind w:left="0" w:firstLine="0"/>
              <w:jc w:val="right"/>
              <w:rPr>
                <w:rFonts w:asciiTheme="minorHAnsi" w:hAnsiTheme="minorHAnsi" w:cstheme="minorHAnsi"/>
                <w:b/>
                <w:bCs/>
                <w:color w:val="000000"/>
                <w:sz w:val="20"/>
                <w:szCs w:val="20"/>
              </w:rPr>
            </w:pPr>
            <w:r>
              <w:rPr>
                <w:rFonts w:asciiTheme="minorHAnsi" w:hAnsiTheme="minorHAnsi"/>
                <w:b/>
                <w:sz w:val="20"/>
              </w:rPr>
              <w:t>4 844 799</w:t>
            </w:r>
          </w:p>
        </w:tc>
        <w:tc>
          <w:tcPr>
            <w:tcW w:w="1306" w:type="dxa"/>
            <w:tcBorders>
              <w:top w:val="nil"/>
              <w:left w:val="single" w:sz="4" w:space="0" w:color="auto"/>
              <w:bottom w:val="single" w:sz="4" w:space="0" w:color="auto"/>
              <w:right w:val="single" w:sz="4" w:space="0" w:color="auto"/>
            </w:tcBorders>
            <w:shd w:val="clear" w:color="auto" w:fill="EAF1DD" w:themeFill="accent3" w:themeFillTint="33"/>
            <w:noWrap/>
          </w:tcPr>
          <w:p w14:paraId="0B7A391D" w14:textId="77777777" w:rsidR="00E4084B" w:rsidRPr="00E4084B" w:rsidRDefault="00E4084B" w:rsidP="00E4084B">
            <w:pPr>
              <w:ind w:left="0" w:firstLine="0"/>
              <w:jc w:val="right"/>
              <w:rPr>
                <w:rFonts w:asciiTheme="minorHAnsi" w:eastAsia="Times New Roman" w:hAnsiTheme="minorHAnsi" w:cstheme="minorHAnsi"/>
                <w:b/>
                <w:bCs/>
                <w:color w:val="000000"/>
                <w:sz w:val="20"/>
                <w:szCs w:val="20"/>
              </w:rPr>
            </w:pPr>
            <w:r>
              <w:rPr>
                <w:rFonts w:asciiTheme="minorHAnsi" w:hAnsiTheme="minorHAnsi"/>
                <w:b/>
                <w:sz w:val="20"/>
              </w:rPr>
              <w:t>5 299 000</w:t>
            </w:r>
          </w:p>
        </w:tc>
        <w:tc>
          <w:tcPr>
            <w:tcW w:w="1305" w:type="dxa"/>
            <w:tcBorders>
              <w:top w:val="nil"/>
              <w:left w:val="nil"/>
              <w:bottom w:val="single" w:sz="4" w:space="0" w:color="auto"/>
              <w:right w:val="single" w:sz="4" w:space="0" w:color="auto"/>
            </w:tcBorders>
            <w:shd w:val="clear" w:color="auto" w:fill="EAF1DD" w:themeFill="accent3" w:themeFillTint="33"/>
            <w:noWrap/>
          </w:tcPr>
          <w:p w14:paraId="6AEDD025" w14:textId="77777777" w:rsidR="00E4084B" w:rsidRPr="00E4084B" w:rsidRDefault="00E4084B" w:rsidP="00E4084B">
            <w:pPr>
              <w:ind w:left="0" w:firstLine="0"/>
              <w:jc w:val="right"/>
              <w:rPr>
                <w:rFonts w:asciiTheme="minorHAnsi" w:eastAsia="Times New Roman" w:hAnsiTheme="minorHAnsi" w:cstheme="minorHAnsi"/>
                <w:b/>
                <w:bCs/>
                <w:color w:val="000000"/>
                <w:sz w:val="20"/>
                <w:szCs w:val="20"/>
              </w:rPr>
            </w:pPr>
            <w:r>
              <w:rPr>
                <w:rFonts w:asciiTheme="minorHAnsi" w:hAnsiTheme="minorHAnsi"/>
                <w:b/>
                <w:sz w:val="20"/>
              </w:rPr>
              <w:t>5 310 000</w:t>
            </w:r>
          </w:p>
        </w:tc>
        <w:tc>
          <w:tcPr>
            <w:tcW w:w="1306" w:type="dxa"/>
            <w:tcBorders>
              <w:top w:val="nil"/>
              <w:left w:val="nil"/>
              <w:bottom w:val="single" w:sz="4" w:space="0" w:color="auto"/>
              <w:right w:val="single" w:sz="4" w:space="0" w:color="auto"/>
            </w:tcBorders>
            <w:shd w:val="clear" w:color="auto" w:fill="EAF1DD" w:themeFill="accent3" w:themeFillTint="33"/>
            <w:noWrap/>
          </w:tcPr>
          <w:p w14:paraId="405707A3" w14:textId="77777777" w:rsidR="00E4084B" w:rsidRPr="00E4084B" w:rsidRDefault="00E4084B" w:rsidP="00E4084B">
            <w:pPr>
              <w:ind w:left="0" w:firstLine="0"/>
              <w:jc w:val="right"/>
              <w:rPr>
                <w:rFonts w:asciiTheme="minorHAnsi" w:eastAsia="Times New Roman" w:hAnsiTheme="minorHAnsi" w:cstheme="minorHAnsi"/>
                <w:b/>
                <w:bCs/>
                <w:color w:val="000000"/>
                <w:sz w:val="20"/>
                <w:szCs w:val="20"/>
              </w:rPr>
            </w:pPr>
            <w:r>
              <w:rPr>
                <w:rFonts w:asciiTheme="minorHAnsi" w:hAnsiTheme="minorHAnsi"/>
                <w:b/>
                <w:sz w:val="20"/>
              </w:rPr>
              <w:t>5 546 000</w:t>
            </w:r>
          </w:p>
        </w:tc>
      </w:tr>
    </w:tbl>
    <w:p w14:paraId="7F4CA19D" w14:textId="77777777" w:rsidR="00E17A64" w:rsidRPr="00E17A64" w:rsidRDefault="00E17A64" w:rsidP="00784A64">
      <w:pPr>
        <w:ind w:left="-426" w:firstLine="0"/>
        <w:rPr>
          <w:rFonts w:asciiTheme="minorHAnsi" w:eastAsia="Times New Roman" w:hAnsiTheme="minorHAnsi" w:cs="Arial"/>
          <w:color w:val="000000"/>
          <w:sz w:val="20"/>
          <w:szCs w:val="20"/>
        </w:rPr>
      </w:pPr>
      <w:r>
        <w:rPr>
          <w:rFonts w:asciiTheme="minorHAnsi" w:hAnsiTheme="minorHAnsi"/>
          <w:color w:val="000000"/>
          <w:sz w:val="20"/>
        </w:rPr>
        <w:t>* Con arreglo a la Resolución A/RES/76/238 de las Naciones Unidas; se aplicará la escala revisada de las Naciones Unidas para el trienio cuando esta se haya publicado.</w:t>
      </w:r>
    </w:p>
    <w:p w14:paraId="39E107AF" w14:textId="77777777" w:rsidR="00E17A64" w:rsidRPr="00E17A64" w:rsidRDefault="00E17A64" w:rsidP="00784A64">
      <w:pPr>
        <w:ind w:left="-426" w:firstLine="0"/>
        <w:rPr>
          <w:rFonts w:asciiTheme="minorHAnsi" w:eastAsia="Times New Roman" w:hAnsiTheme="minorHAnsi" w:cs="Arial"/>
          <w:color w:val="000000"/>
          <w:sz w:val="20"/>
          <w:szCs w:val="20"/>
        </w:rPr>
      </w:pPr>
      <w:r>
        <w:rPr>
          <w:rFonts w:asciiTheme="minorHAnsi" w:hAnsiTheme="minorHAnsi"/>
          <w:color w:val="000000"/>
          <w:sz w:val="20"/>
        </w:rPr>
        <w:t>** Al igual que anteriormente, el 22 % de las contribuciones totales de las Partes Contratantes.</w:t>
      </w:r>
    </w:p>
    <w:p w14:paraId="08F0A3F6" w14:textId="77777777" w:rsidR="00F36A95" w:rsidRDefault="00F36A95">
      <w:pPr>
        <w:rPr>
          <w:rFonts w:cs="Arial"/>
          <w:b/>
          <w:sz w:val="24"/>
          <w:szCs w:val="24"/>
        </w:rPr>
      </w:pPr>
      <w:r>
        <w:br w:type="page"/>
      </w:r>
    </w:p>
    <w:p w14:paraId="12CED09D" w14:textId="77777777" w:rsidR="00464F8A" w:rsidRPr="00464F8A" w:rsidRDefault="00464F8A" w:rsidP="00464F8A">
      <w:pPr>
        <w:pStyle w:val="ListParagraph"/>
        <w:ind w:left="0" w:firstLine="0"/>
        <w:contextualSpacing w:val="0"/>
        <w:rPr>
          <w:rFonts w:cs="Arial"/>
          <w:b/>
          <w:sz w:val="24"/>
          <w:szCs w:val="24"/>
        </w:rPr>
      </w:pPr>
      <w:r>
        <w:rPr>
          <w:b/>
          <w:sz w:val="24"/>
        </w:rPr>
        <w:lastRenderedPageBreak/>
        <w:t>Anexo 3</w:t>
      </w:r>
    </w:p>
    <w:p w14:paraId="2325CC03" w14:textId="63B29505" w:rsidR="00464F8A" w:rsidRPr="001D42CA" w:rsidRDefault="00464F8A" w:rsidP="00464F8A">
      <w:pPr>
        <w:ind w:left="0" w:firstLine="0"/>
        <w:rPr>
          <w:rFonts w:asciiTheme="minorHAnsi" w:hAnsiTheme="minorHAnsi"/>
          <w:b/>
          <w:bCs/>
          <w:sz w:val="24"/>
          <w:szCs w:val="24"/>
        </w:rPr>
      </w:pPr>
      <w:r>
        <w:rPr>
          <w:rFonts w:asciiTheme="minorHAnsi" w:hAnsiTheme="minorHAnsi"/>
          <w:b/>
          <w:sz w:val="24"/>
        </w:rPr>
        <w:t>Personal de la Secretaría (presupuesto básico) para 2026</w:t>
      </w:r>
      <w:r w:rsidR="00D97C3B">
        <w:rPr>
          <w:rFonts w:asciiTheme="minorHAnsi" w:hAnsiTheme="minorHAnsi"/>
          <w:b/>
          <w:sz w:val="24"/>
        </w:rPr>
        <w:noBreakHyphen/>
        <w:t>20</w:t>
      </w:r>
      <w:r>
        <w:rPr>
          <w:rFonts w:asciiTheme="minorHAnsi" w:hAnsiTheme="minorHAnsi"/>
          <w:b/>
          <w:sz w:val="24"/>
        </w:rPr>
        <w:t xml:space="preserve">28 según el presupuesto </w:t>
      </w:r>
      <w:r>
        <w:rPr>
          <w:rFonts w:asciiTheme="minorHAnsi" w:hAnsiTheme="minorHAnsi"/>
          <w:b/>
          <w:sz w:val="24"/>
        </w:rPr>
        <w:br/>
        <w:t>del Anexo 1</w:t>
      </w:r>
    </w:p>
    <w:p w14:paraId="7C1052AC" w14:textId="77777777" w:rsidR="003D1E71" w:rsidRPr="001D42CA" w:rsidRDefault="003D1E71" w:rsidP="00464F8A">
      <w:pPr>
        <w:rPr>
          <w:rFonts w:ascii="Arial" w:eastAsia="Times New Roman" w:hAnsi="Arial" w:cs="Arial"/>
          <w:sz w:val="18"/>
          <w:szCs w:val="18"/>
          <w:lang w:eastAsia="en-GB"/>
        </w:rPr>
      </w:pPr>
    </w:p>
    <w:tbl>
      <w:tblPr>
        <w:tblW w:w="9072" w:type="dxa"/>
        <w:tblInd w:w="-5" w:type="dxa"/>
        <w:tblLayout w:type="fixed"/>
        <w:tblCellMar>
          <w:top w:w="57" w:type="dxa"/>
          <w:left w:w="57" w:type="dxa"/>
          <w:bottom w:w="57" w:type="dxa"/>
          <w:right w:w="57" w:type="dxa"/>
        </w:tblCellMar>
        <w:tblLook w:val="04A0" w:firstRow="1" w:lastRow="0" w:firstColumn="1" w:lastColumn="0" w:noHBand="0" w:noVBand="1"/>
      </w:tblPr>
      <w:tblGrid>
        <w:gridCol w:w="3544"/>
        <w:gridCol w:w="1842"/>
        <w:gridCol w:w="1843"/>
        <w:gridCol w:w="1843"/>
      </w:tblGrid>
      <w:tr w:rsidR="00026FC5" w:rsidRPr="001D42CA" w14:paraId="0A089256"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9408A8C" w14:textId="77777777" w:rsidR="00026FC5" w:rsidRPr="001D42CA" w:rsidRDefault="00026FC5" w:rsidP="00105E0C">
            <w:pPr>
              <w:ind w:left="0" w:firstLine="0"/>
              <w:jc w:val="center"/>
              <w:rPr>
                <w:rFonts w:asciiTheme="minorHAnsi" w:eastAsia="Times New Roman" w:hAnsiTheme="minorHAnsi" w:cs="Arial"/>
                <w:b/>
                <w:bCs/>
                <w:sz w:val="20"/>
                <w:szCs w:val="20"/>
              </w:rPr>
            </w:pPr>
            <w:r>
              <w:rPr>
                <w:rFonts w:asciiTheme="minorHAnsi" w:hAnsiTheme="minorHAnsi"/>
                <w:b/>
                <w:sz w:val="20"/>
              </w:rPr>
              <w:t>Equipo</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C0FCC4A" w14:textId="77777777" w:rsidR="00026FC5" w:rsidRPr="001D42CA" w:rsidRDefault="00026FC5" w:rsidP="00105E0C">
            <w:pPr>
              <w:ind w:left="0" w:firstLine="0"/>
              <w:jc w:val="center"/>
              <w:rPr>
                <w:rFonts w:asciiTheme="minorHAnsi" w:eastAsia="Times New Roman" w:hAnsiTheme="minorHAnsi" w:cs="Arial"/>
                <w:b/>
                <w:bCs/>
                <w:sz w:val="20"/>
                <w:szCs w:val="20"/>
              </w:rPr>
            </w:pPr>
            <w:r>
              <w:rPr>
                <w:rFonts w:asciiTheme="minorHAnsi" w:hAnsiTheme="minorHAnsi"/>
                <w:b/>
                <w:sz w:val="20"/>
              </w:rPr>
              <w:t>2026</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51D0BE5" w14:textId="77777777" w:rsidR="00026FC5" w:rsidRPr="001D42CA" w:rsidRDefault="00026FC5" w:rsidP="00105E0C">
            <w:pPr>
              <w:ind w:left="0" w:firstLine="0"/>
              <w:jc w:val="center"/>
              <w:rPr>
                <w:rFonts w:asciiTheme="minorHAnsi" w:eastAsia="Times New Roman" w:hAnsiTheme="minorHAnsi" w:cs="Arial"/>
                <w:b/>
                <w:bCs/>
                <w:sz w:val="20"/>
                <w:szCs w:val="20"/>
              </w:rPr>
            </w:pPr>
            <w:r>
              <w:rPr>
                <w:rFonts w:asciiTheme="minorHAnsi" w:hAnsiTheme="minorHAnsi"/>
                <w:b/>
                <w:sz w:val="20"/>
              </w:rPr>
              <w:t>2027</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65E484E" w14:textId="77777777" w:rsidR="00026FC5" w:rsidRPr="001D42CA" w:rsidRDefault="00026FC5" w:rsidP="00105E0C">
            <w:pPr>
              <w:ind w:left="0" w:firstLine="0"/>
              <w:jc w:val="center"/>
              <w:rPr>
                <w:rFonts w:asciiTheme="minorHAnsi" w:eastAsia="Times New Roman" w:hAnsiTheme="minorHAnsi" w:cs="Arial"/>
                <w:b/>
                <w:bCs/>
                <w:sz w:val="20"/>
                <w:szCs w:val="20"/>
              </w:rPr>
            </w:pPr>
            <w:r>
              <w:rPr>
                <w:rFonts w:asciiTheme="minorHAnsi" w:hAnsiTheme="minorHAnsi"/>
                <w:b/>
                <w:sz w:val="20"/>
              </w:rPr>
              <w:t>2028</w:t>
            </w:r>
          </w:p>
        </w:tc>
      </w:tr>
      <w:tr w:rsidR="00026FC5" w:rsidRPr="001D42CA" w14:paraId="6012E16D" w14:textId="77777777" w:rsidTr="00026FC5">
        <w:trPr>
          <w:trHeight w:val="528"/>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5E290FD"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Personal directivo de la Secretaría</w:t>
            </w:r>
          </w:p>
        </w:tc>
        <w:tc>
          <w:tcPr>
            <w:tcW w:w="1842" w:type="dxa"/>
            <w:tcBorders>
              <w:top w:val="single" w:sz="4" w:space="0" w:color="auto"/>
              <w:left w:val="nil"/>
              <w:bottom w:val="single" w:sz="4" w:space="0" w:color="auto"/>
              <w:right w:val="single" w:sz="4" w:space="0" w:color="auto"/>
            </w:tcBorders>
            <w:shd w:val="clear" w:color="auto" w:fill="auto"/>
            <w:hideMark/>
          </w:tcPr>
          <w:p w14:paraId="5FE0DFAC"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 xml:space="preserve">1 S, 1 D, 3 P2, </w:t>
            </w:r>
            <w:r>
              <w:rPr>
                <w:rFonts w:asciiTheme="minorHAnsi" w:hAnsiTheme="minorHAnsi"/>
                <w:sz w:val="20"/>
              </w:rPr>
              <w:br/>
            </w:r>
          </w:p>
        </w:tc>
        <w:tc>
          <w:tcPr>
            <w:tcW w:w="1843" w:type="dxa"/>
            <w:tcBorders>
              <w:top w:val="single" w:sz="4" w:space="0" w:color="auto"/>
              <w:left w:val="nil"/>
              <w:bottom w:val="single" w:sz="4" w:space="0" w:color="auto"/>
              <w:right w:val="single" w:sz="4" w:space="0" w:color="auto"/>
            </w:tcBorders>
            <w:shd w:val="clear" w:color="auto" w:fill="auto"/>
            <w:hideMark/>
          </w:tcPr>
          <w:p w14:paraId="50F1B84D" w14:textId="7B59DD50"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S, 1 D, 3 P2</w:t>
            </w:r>
          </w:p>
        </w:tc>
        <w:tc>
          <w:tcPr>
            <w:tcW w:w="1843" w:type="dxa"/>
            <w:tcBorders>
              <w:top w:val="single" w:sz="4" w:space="0" w:color="auto"/>
              <w:left w:val="nil"/>
              <w:bottom w:val="single" w:sz="4" w:space="0" w:color="auto"/>
              <w:right w:val="single" w:sz="4" w:space="0" w:color="auto"/>
            </w:tcBorders>
            <w:shd w:val="clear" w:color="auto" w:fill="auto"/>
            <w:hideMark/>
          </w:tcPr>
          <w:p w14:paraId="6438549C" w14:textId="1C08FA03"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S, 1 D, 3 P2</w:t>
            </w:r>
          </w:p>
        </w:tc>
      </w:tr>
      <w:tr w:rsidR="00026FC5" w:rsidRPr="001D42CA" w14:paraId="1CCE52B0"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F5EFCFF"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Movilización de recursos y promoción</w:t>
            </w:r>
          </w:p>
        </w:tc>
        <w:tc>
          <w:tcPr>
            <w:tcW w:w="1842" w:type="dxa"/>
            <w:tcBorders>
              <w:top w:val="nil"/>
              <w:left w:val="nil"/>
              <w:bottom w:val="single" w:sz="4" w:space="0" w:color="auto"/>
              <w:right w:val="single" w:sz="4" w:space="0" w:color="auto"/>
            </w:tcBorders>
            <w:shd w:val="clear" w:color="auto" w:fill="auto"/>
            <w:noWrap/>
            <w:hideMark/>
          </w:tcPr>
          <w:p w14:paraId="0A1C99C8"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2 P2, 1 P1, 1 A3</w:t>
            </w:r>
          </w:p>
        </w:tc>
        <w:tc>
          <w:tcPr>
            <w:tcW w:w="1843" w:type="dxa"/>
            <w:tcBorders>
              <w:top w:val="nil"/>
              <w:left w:val="nil"/>
              <w:bottom w:val="single" w:sz="4" w:space="0" w:color="auto"/>
              <w:right w:val="single" w:sz="4" w:space="0" w:color="auto"/>
            </w:tcBorders>
            <w:shd w:val="clear" w:color="auto" w:fill="auto"/>
            <w:hideMark/>
          </w:tcPr>
          <w:p w14:paraId="06444AA7"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2 P2, 1 P1, 1 A3</w:t>
            </w:r>
          </w:p>
        </w:tc>
        <w:tc>
          <w:tcPr>
            <w:tcW w:w="1843" w:type="dxa"/>
            <w:tcBorders>
              <w:top w:val="nil"/>
              <w:left w:val="nil"/>
              <w:bottom w:val="single" w:sz="4" w:space="0" w:color="auto"/>
              <w:right w:val="single" w:sz="4" w:space="0" w:color="auto"/>
            </w:tcBorders>
            <w:shd w:val="clear" w:color="auto" w:fill="auto"/>
            <w:noWrap/>
            <w:hideMark/>
          </w:tcPr>
          <w:p w14:paraId="04F0969A"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2 P2, 1 P1, 1 A3</w:t>
            </w:r>
          </w:p>
        </w:tc>
      </w:tr>
      <w:tr w:rsidR="00026FC5" w:rsidRPr="001D42CA" w14:paraId="2D69CC6E"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246DB04"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Asesoramiento y apoyo regionales</w:t>
            </w:r>
          </w:p>
        </w:tc>
        <w:tc>
          <w:tcPr>
            <w:tcW w:w="1842" w:type="dxa"/>
            <w:tcBorders>
              <w:top w:val="nil"/>
              <w:left w:val="nil"/>
              <w:bottom w:val="single" w:sz="4" w:space="0" w:color="auto"/>
              <w:right w:val="single" w:sz="4" w:space="0" w:color="auto"/>
            </w:tcBorders>
            <w:shd w:val="clear" w:color="auto" w:fill="auto"/>
            <w:noWrap/>
            <w:hideMark/>
          </w:tcPr>
          <w:p w14:paraId="634D0151"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4 M1, 4 pasantes</w:t>
            </w:r>
          </w:p>
        </w:tc>
        <w:tc>
          <w:tcPr>
            <w:tcW w:w="1843" w:type="dxa"/>
            <w:tcBorders>
              <w:top w:val="nil"/>
              <w:left w:val="nil"/>
              <w:bottom w:val="single" w:sz="4" w:space="0" w:color="auto"/>
              <w:right w:val="single" w:sz="4" w:space="0" w:color="auto"/>
            </w:tcBorders>
            <w:shd w:val="clear" w:color="auto" w:fill="auto"/>
            <w:hideMark/>
          </w:tcPr>
          <w:p w14:paraId="1C386A9A"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4 M1, 4 pasantes</w:t>
            </w:r>
          </w:p>
        </w:tc>
        <w:tc>
          <w:tcPr>
            <w:tcW w:w="1843" w:type="dxa"/>
            <w:tcBorders>
              <w:top w:val="nil"/>
              <w:left w:val="nil"/>
              <w:bottom w:val="single" w:sz="4" w:space="0" w:color="auto"/>
              <w:right w:val="single" w:sz="4" w:space="0" w:color="auto"/>
            </w:tcBorders>
            <w:shd w:val="clear" w:color="auto" w:fill="auto"/>
            <w:hideMark/>
          </w:tcPr>
          <w:p w14:paraId="3B5E582F"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4 M1, 4 pasantes</w:t>
            </w:r>
          </w:p>
        </w:tc>
      </w:tr>
      <w:tr w:rsidR="00026FC5" w:rsidRPr="001D42CA" w14:paraId="7FC3D238"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ED46B21"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Ciencia y políticas</w:t>
            </w:r>
          </w:p>
        </w:tc>
        <w:tc>
          <w:tcPr>
            <w:tcW w:w="1842" w:type="dxa"/>
            <w:tcBorders>
              <w:top w:val="nil"/>
              <w:left w:val="nil"/>
              <w:bottom w:val="single" w:sz="4" w:space="0" w:color="auto"/>
              <w:right w:val="single" w:sz="4" w:space="0" w:color="auto"/>
            </w:tcBorders>
            <w:shd w:val="clear" w:color="auto" w:fill="auto"/>
            <w:noWrap/>
            <w:hideMark/>
          </w:tcPr>
          <w:p w14:paraId="461EC2A8"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M1, 2 P2, 2 P1</w:t>
            </w:r>
          </w:p>
        </w:tc>
        <w:tc>
          <w:tcPr>
            <w:tcW w:w="1843" w:type="dxa"/>
            <w:tcBorders>
              <w:top w:val="nil"/>
              <w:left w:val="nil"/>
              <w:bottom w:val="single" w:sz="4" w:space="0" w:color="auto"/>
              <w:right w:val="single" w:sz="4" w:space="0" w:color="auto"/>
            </w:tcBorders>
            <w:shd w:val="clear" w:color="auto" w:fill="auto"/>
            <w:hideMark/>
          </w:tcPr>
          <w:p w14:paraId="251E6F90"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M1, 2 P2, 2 P1</w:t>
            </w:r>
          </w:p>
        </w:tc>
        <w:tc>
          <w:tcPr>
            <w:tcW w:w="1843" w:type="dxa"/>
            <w:tcBorders>
              <w:top w:val="nil"/>
              <w:left w:val="nil"/>
              <w:bottom w:val="single" w:sz="4" w:space="0" w:color="auto"/>
              <w:right w:val="single" w:sz="4" w:space="0" w:color="auto"/>
            </w:tcBorders>
            <w:shd w:val="clear" w:color="auto" w:fill="auto"/>
            <w:noWrap/>
            <w:hideMark/>
          </w:tcPr>
          <w:p w14:paraId="1BAABA8F"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M1, 2 P2, 2 P1</w:t>
            </w:r>
          </w:p>
        </w:tc>
      </w:tr>
      <w:tr w:rsidR="00026FC5" w:rsidRPr="001D42CA" w14:paraId="5C4A74BD"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1664991F"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Administración</w:t>
            </w:r>
          </w:p>
        </w:tc>
        <w:tc>
          <w:tcPr>
            <w:tcW w:w="1842" w:type="dxa"/>
            <w:tcBorders>
              <w:top w:val="nil"/>
              <w:left w:val="nil"/>
              <w:bottom w:val="single" w:sz="4" w:space="0" w:color="auto"/>
              <w:right w:val="single" w:sz="4" w:space="0" w:color="auto"/>
            </w:tcBorders>
            <w:shd w:val="clear" w:color="auto" w:fill="auto"/>
            <w:hideMark/>
          </w:tcPr>
          <w:p w14:paraId="2C52E798" w14:textId="77777777" w:rsidR="00026FC5" w:rsidRDefault="00026FC5" w:rsidP="00105E0C">
            <w:pPr>
              <w:ind w:left="0" w:firstLine="0"/>
              <w:rPr>
                <w:rFonts w:asciiTheme="minorHAnsi" w:eastAsia="Times New Roman" w:hAnsiTheme="minorHAnsi" w:cs="Arial"/>
                <w:sz w:val="20"/>
                <w:szCs w:val="20"/>
              </w:rPr>
            </w:pPr>
            <w:r>
              <w:rPr>
                <w:rFonts w:asciiTheme="minorHAnsi" w:hAnsiTheme="minorHAnsi"/>
                <w:sz w:val="20"/>
              </w:rPr>
              <w:t xml:space="preserve">1 SP, 1 P2 (50 %), </w:t>
            </w:r>
          </w:p>
          <w:p w14:paraId="038B87F1"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A3</w:t>
            </w:r>
          </w:p>
        </w:tc>
        <w:tc>
          <w:tcPr>
            <w:tcW w:w="1843" w:type="dxa"/>
            <w:tcBorders>
              <w:top w:val="nil"/>
              <w:left w:val="nil"/>
              <w:bottom w:val="single" w:sz="4" w:space="0" w:color="auto"/>
              <w:right w:val="single" w:sz="4" w:space="0" w:color="auto"/>
            </w:tcBorders>
            <w:shd w:val="clear" w:color="auto" w:fill="auto"/>
            <w:hideMark/>
          </w:tcPr>
          <w:p w14:paraId="1AEAD43D" w14:textId="1DEF9C7B"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 xml:space="preserve">1 SP, 1 P2 (50 %), </w:t>
            </w:r>
            <w:r w:rsidR="005F13D9">
              <w:rPr>
                <w:rFonts w:asciiTheme="minorHAnsi" w:hAnsiTheme="minorHAnsi"/>
                <w:sz w:val="20"/>
              </w:rPr>
              <w:br/>
            </w:r>
            <w:r>
              <w:rPr>
                <w:rFonts w:asciiTheme="minorHAnsi" w:hAnsiTheme="minorHAnsi"/>
                <w:sz w:val="20"/>
              </w:rPr>
              <w:t>1 A3</w:t>
            </w:r>
          </w:p>
        </w:tc>
        <w:tc>
          <w:tcPr>
            <w:tcW w:w="1843" w:type="dxa"/>
            <w:tcBorders>
              <w:top w:val="nil"/>
              <w:left w:val="nil"/>
              <w:bottom w:val="single" w:sz="4" w:space="0" w:color="auto"/>
              <w:right w:val="single" w:sz="4" w:space="0" w:color="auto"/>
            </w:tcBorders>
            <w:shd w:val="clear" w:color="auto" w:fill="auto"/>
            <w:hideMark/>
          </w:tcPr>
          <w:p w14:paraId="3DDCD7AA"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 xml:space="preserve">1 SP, 1 P2 (50 %), </w:t>
            </w:r>
            <w:r>
              <w:rPr>
                <w:rFonts w:asciiTheme="minorHAnsi" w:hAnsiTheme="minorHAnsi"/>
                <w:sz w:val="20"/>
              </w:rPr>
              <w:br/>
              <w:t>1 A3</w:t>
            </w:r>
          </w:p>
        </w:tc>
      </w:tr>
      <w:tr w:rsidR="00026FC5" w:rsidRPr="001D42CA" w14:paraId="2D3C22FB" w14:textId="77777777" w:rsidTr="00026FC5">
        <w:trPr>
          <w:trHeight w:val="264"/>
        </w:trPr>
        <w:tc>
          <w:tcPr>
            <w:tcW w:w="3544" w:type="dxa"/>
            <w:tcBorders>
              <w:top w:val="nil"/>
              <w:left w:val="single" w:sz="4" w:space="0" w:color="auto"/>
              <w:bottom w:val="single" w:sz="4" w:space="0" w:color="auto"/>
              <w:right w:val="single" w:sz="4" w:space="0" w:color="auto"/>
            </w:tcBorders>
            <w:shd w:val="clear" w:color="auto" w:fill="C6D9F1" w:themeFill="text2" w:themeFillTint="33"/>
            <w:noWrap/>
            <w:hideMark/>
          </w:tcPr>
          <w:p w14:paraId="2F6D6AA7"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Total</w:t>
            </w:r>
          </w:p>
        </w:tc>
        <w:tc>
          <w:tcPr>
            <w:tcW w:w="1842" w:type="dxa"/>
            <w:tcBorders>
              <w:top w:val="nil"/>
              <w:left w:val="nil"/>
              <w:bottom w:val="single" w:sz="4" w:space="0" w:color="auto"/>
              <w:right w:val="single" w:sz="4" w:space="0" w:color="auto"/>
            </w:tcBorders>
            <w:shd w:val="clear" w:color="auto" w:fill="C6D9F1" w:themeFill="text2" w:themeFillTint="33"/>
            <w:noWrap/>
            <w:hideMark/>
          </w:tcPr>
          <w:p w14:paraId="13A1430A"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24,5 miembros del personal</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2C959D37"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24,5 miembros del personal</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02BD24DF"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24,5 miembros del personal</w:t>
            </w:r>
          </w:p>
        </w:tc>
      </w:tr>
      <w:tr w:rsidR="00026FC5" w:rsidRPr="001D42CA" w14:paraId="593AFD3C"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7716B1DA"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Costos totales Escenario A y B (en miles de francos suizos)</w:t>
            </w: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CB1F1A8" w14:textId="77777777" w:rsidR="00026FC5" w:rsidRPr="001D42CA" w:rsidRDefault="00026FC5" w:rsidP="00105E0C">
            <w:pPr>
              <w:ind w:left="0" w:firstLine="0"/>
              <w:jc w:val="right"/>
              <w:rPr>
                <w:rFonts w:asciiTheme="minorHAnsi" w:eastAsia="Times New Roman" w:hAnsiTheme="minorHAnsi" w:cs="Arial"/>
                <w:b/>
                <w:bCs/>
                <w:sz w:val="20"/>
                <w:szCs w:val="20"/>
              </w:rPr>
            </w:pPr>
            <w:r>
              <w:rPr>
                <w:rFonts w:asciiTheme="minorHAnsi" w:hAnsiTheme="minorHAnsi"/>
                <w:b/>
                <w:sz w:val="20"/>
              </w:rPr>
              <w:t>4 121</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11907E72" w14:textId="77777777" w:rsidR="00026FC5" w:rsidRPr="001D42CA" w:rsidRDefault="00026FC5" w:rsidP="00105E0C">
            <w:pPr>
              <w:ind w:left="0" w:firstLine="0"/>
              <w:jc w:val="right"/>
              <w:rPr>
                <w:rFonts w:asciiTheme="minorHAnsi" w:eastAsia="Times New Roman" w:hAnsiTheme="minorHAnsi" w:cs="Arial"/>
                <w:b/>
                <w:bCs/>
                <w:sz w:val="20"/>
                <w:szCs w:val="20"/>
              </w:rPr>
            </w:pPr>
            <w:r>
              <w:rPr>
                <w:rFonts w:asciiTheme="minorHAnsi" w:hAnsiTheme="minorHAnsi"/>
                <w:b/>
                <w:sz w:val="20"/>
              </w:rPr>
              <w:t>4 159</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F4F88AB" w14:textId="77777777" w:rsidR="00026FC5" w:rsidRPr="001D42CA" w:rsidRDefault="00026FC5" w:rsidP="00105E0C">
            <w:pPr>
              <w:ind w:left="0" w:firstLine="0"/>
              <w:jc w:val="right"/>
              <w:rPr>
                <w:rFonts w:asciiTheme="minorHAnsi" w:eastAsia="Times New Roman" w:hAnsiTheme="minorHAnsi" w:cs="Arial"/>
                <w:b/>
                <w:bCs/>
                <w:sz w:val="20"/>
                <w:szCs w:val="20"/>
              </w:rPr>
            </w:pPr>
            <w:r>
              <w:rPr>
                <w:rFonts w:asciiTheme="minorHAnsi" w:hAnsiTheme="minorHAnsi"/>
                <w:b/>
                <w:sz w:val="20"/>
              </w:rPr>
              <w:t>4 201</w:t>
            </w:r>
          </w:p>
        </w:tc>
      </w:tr>
      <w:tr w:rsidR="00026FC5" w:rsidRPr="001D42CA" w14:paraId="3A0BC710"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711BD0A" w14:textId="77777777" w:rsidR="00026FC5" w:rsidRPr="001D42CA" w:rsidRDefault="00026FC5" w:rsidP="00105E0C">
            <w:pPr>
              <w:ind w:left="0" w:firstLine="0"/>
              <w:rPr>
                <w:rFonts w:asciiTheme="minorHAnsi" w:eastAsia="Times New Roman" w:hAnsiTheme="minorHAnsi" w:cs="Arial"/>
                <w:b/>
                <w:bCs/>
                <w:sz w:val="20"/>
                <w:szCs w:val="20"/>
                <w:lang w:eastAsia="en-GB"/>
              </w:rPr>
            </w:pP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E8E0519" w14:textId="77777777" w:rsidR="00026FC5" w:rsidRDefault="00026FC5" w:rsidP="00105E0C">
            <w:pPr>
              <w:ind w:left="0" w:firstLine="0"/>
              <w:jc w:val="right"/>
              <w:rPr>
                <w:rFonts w:asciiTheme="minorHAnsi" w:eastAsia="Times New Roman" w:hAnsiTheme="minorHAnsi" w:cs="Arial"/>
                <w:b/>
                <w:bCs/>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79664919" w14:textId="77777777" w:rsidR="00026FC5" w:rsidRDefault="00026FC5" w:rsidP="00105E0C">
            <w:pPr>
              <w:ind w:left="0" w:firstLine="0"/>
              <w:jc w:val="right"/>
              <w:rPr>
                <w:rFonts w:asciiTheme="minorHAnsi" w:eastAsia="Times New Roman" w:hAnsiTheme="minorHAnsi" w:cs="Arial"/>
                <w:b/>
                <w:bCs/>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640F4D0D" w14:textId="77777777" w:rsidR="00026FC5" w:rsidRDefault="00026FC5" w:rsidP="00105E0C">
            <w:pPr>
              <w:ind w:left="0" w:firstLine="0"/>
              <w:jc w:val="right"/>
              <w:rPr>
                <w:rFonts w:asciiTheme="minorHAnsi" w:eastAsia="Times New Roman" w:hAnsiTheme="minorHAnsi" w:cs="Arial"/>
                <w:b/>
                <w:bCs/>
                <w:sz w:val="20"/>
                <w:szCs w:val="20"/>
                <w:lang w:eastAsia="en-GB"/>
              </w:rPr>
            </w:pPr>
          </w:p>
        </w:tc>
      </w:tr>
    </w:tbl>
    <w:p w14:paraId="70E07465" w14:textId="77777777" w:rsidR="00464F8A" w:rsidRPr="001D42CA" w:rsidRDefault="00464F8A" w:rsidP="00464F8A">
      <w:pPr>
        <w:rPr>
          <w:rFonts w:ascii="Arial" w:eastAsia="Times New Roman" w:hAnsi="Arial" w:cs="Arial"/>
          <w:sz w:val="18"/>
          <w:szCs w:val="18"/>
          <w:lang w:eastAsia="en-GB"/>
        </w:rPr>
      </w:pPr>
    </w:p>
    <w:p w14:paraId="6DDE40BF" w14:textId="77777777" w:rsidR="00464F8A" w:rsidRPr="001D42CA" w:rsidRDefault="00464F8A" w:rsidP="00464F8A">
      <w:pPr>
        <w:autoSpaceDE w:val="0"/>
        <w:autoSpaceDN w:val="0"/>
        <w:adjustRightInd w:val="0"/>
        <w:ind w:left="0" w:firstLine="0"/>
        <w:rPr>
          <w:rFonts w:asciiTheme="minorHAnsi" w:eastAsia="Times New Roman" w:hAnsiTheme="minorHAnsi" w:cs="Arial"/>
          <w:sz w:val="20"/>
          <w:szCs w:val="20"/>
        </w:rPr>
      </w:pPr>
      <w:r>
        <w:rPr>
          <w:rFonts w:asciiTheme="minorHAnsi" w:hAnsiTheme="minorHAnsi"/>
          <w:sz w:val="20"/>
        </w:rPr>
        <w:t xml:space="preserve">Nota: </w:t>
      </w:r>
    </w:p>
    <w:p w14:paraId="0266DB8C" w14:textId="77777777" w:rsidR="00464F8A" w:rsidRPr="001D42CA" w:rsidRDefault="00464F8A" w:rsidP="04342DA5">
      <w:pPr>
        <w:autoSpaceDE w:val="0"/>
        <w:autoSpaceDN w:val="0"/>
        <w:adjustRightInd w:val="0"/>
        <w:ind w:left="0" w:firstLine="0"/>
        <w:rPr>
          <w:rFonts w:ascii="Tahoma" w:eastAsiaTheme="minorEastAsia" w:hAnsi="Tahoma" w:cs="Tahoma"/>
          <w:sz w:val="20"/>
          <w:szCs w:val="20"/>
        </w:rPr>
      </w:pPr>
      <w:r>
        <w:rPr>
          <w:rFonts w:asciiTheme="minorHAnsi" w:hAnsiTheme="minorHAnsi"/>
          <w:sz w:val="20"/>
        </w:rPr>
        <w:t xml:space="preserve">Los costos presupuestados y asignados a las partidas presupuestarias se basan en los puestos actuales y los dos puestos nuevos financiados con cargo al presupuesto básico. </w:t>
      </w:r>
      <w:r>
        <w:rPr>
          <w:sz w:val="20"/>
        </w:rPr>
        <w:t xml:space="preserve">Los equipos se refieren a la categorización de los gastos según figura en el Anexo 1. </w:t>
      </w:r>
    </w:p>
    <w:p w14:paraId="3F013C96" w14:textId="77777777" w:rsidR="00464F8A" w:rsidRPr="001D42CA" w:rsidRDefault="00464F8A" w:rsidP="00464F8A">
      <w:pPr>
        <w:ind w:left="0" w:firstLine="0"/>
        <w:rPr>
          <w:rFonts w:asciiTheme="minorHAnsi" w:eastAsia="Times New Roman" w:hAnsiTheme="minorHAnsi" w:cs="Arial"/>
          <w:sz w:val="20"/>
          <w:szCs w:val="20"/>
          <w:lang w:eastAsia="en-GB"/>
        </w:rPr>
      </w:pPr>
    </w:p>
    <w:p w14:paraId="2D7E1F36" w14:textId="77777777" w:rsidR="00464F8A" w:rsidRPr="001D42CA" w:rsidRDefault="00464F8A" w:rsidP="00464F8A">
      <w:pPr>
        <w:ind w:left="0" w:firstLine="0"/>
        <w:rPr>
          <w:rFonts w:asciiTheme="minorHAnsi" w:eastAsia="Times New Roman" w:hAnsiTheme="minorHAnsi" w:cs="Arial"/>
          <w:sz w:val="20"/>
          <w:szCs w:val="20"/>
        </w:rPr>
      </w:pPr>
      <w:r>
        <w:rPr>
          <w:rFonts w:asciiTheme="minorHAnsi" w:hAnsiTheme="minorHAnsi"/>
          <w:sz w:val="20"/>
        </w:rPr>
        <w:t>Niveles correspondientes a la política y las directrices de la UICN en materia de RR.HH. y la clasificación de los puestos de trabajo.</w:t>
      </w:r>
    </w:p>
    <w:p w14:paraId="5A80277E" w14:textId="3F5623EB" w:rsidR="00464F8A" w:rsidRPr="001D42CA" w:rsidRDefault="00464F8A" w:rsidP="00464F8A">
      <w:pPr>
        <w:ind w:left="0" w:firstLine="0"/>
        <w:rPr>
          <w:rFonts w:asciiTheme="minorHAnsi" w:eastAsia="Times New Roman" w:hAnsiTheme="minorHAnsi" w:cs="Arial"/>
          <w:sz w:val="20"/>
          <w:szCs w:val="20"/>
        </w:rPr>
      </w:pPr>
      <w:r>
        <w:rPr>
          <w:rFonts w:asciiTheme="minorHAnsi" w:hAnsiTheme="minorHAnsi"/>
          <w:sz w:val="20"/>
        </w:rPr>
        <w:t>S = Secretario/a General; D</w:t>
      </w:r>
      <w:r w:rsidR="00F22CBC">
        <w:rPr>
          <w:rFonts w:asciiTheme="minorHAnsi" w:hAnsiTheme="minorHAnsi"/>
          <w:sz w:val="20"/>
        </w:rPr>
        <w:t xml:space="preserve">, </w:t>
      </w:r>
      <w:r>
        <w:rPr>
          <w:rFonts w:asciiTheme="minorHAnsi" w:hAnsiTheme="minorHAnsi"/>
          <w:sz w:val="20"/>
        </w:rPr>
        <w:t>M1-M2 = puestos superiores; P1-P2</w:t>
      </w:r>
      <w:r w:rsidR="005F13D9">
        <w:rPr>
          <w:rFonts w:asciiTheme="minorHAnsi" w:hAnsiTheme="minorHAnsi"/>
          <w:sz w:val="20"/>
        </w:rPr>
        <w:t>, SP</w:t>
      </w:r>
      <w:r>
        <w:rPr>
          <w:rFonts w:asciiTheme="minorHAnsi" w:hAnsiTheme="minorHAnsi"/>
          <w:sz w:val="20"/>
        </w:rPr>
        <w:t xml:space="preserve"> = puestos profesionales; A1-A3 = puestos de apoyo.</w:t>
      </w:r>
    </w:p>
    <w:p w14:paraId="0177F48E" w14:textId="77777777" w:rsidR="00C26985" w:rsidRDefault="00C26985">
      <w:r>
        <w:br w:type="page"/>
      </w:r>
    </w:p>
    <w:p w14:paraId="71ED8EA6" w14:textId="77777777" w:rsidR="00C26985" w:rsidRPr="00C46339" w:rsidRDefault="00C26985" w:rsidP="00C26985">
      <w:pPr>
        <w:ind w:left="0" w:firstLine="0"/>
        <w:rPr>
          <w:b/>
          <w:bCs/>
          <w:sz w:val="24"/>
          <w:szCs w:val="24"/>
        </w:rPr>
      </w:pPr>
      <w:r>
        <w:rPr>
          <w:b/>
          <w:sz w:val="24"/>
        </w:rPr>
        <w:lastRenderedPageBreak/>
        <w:t>Anexo 4</w:t>
      </w:r>
    </w:p>
    <w:p w14:paraId="418676CF" w14:textId="040D8827" w:rsidR="00C26985" w:rsidRPr="00C46339" w:rsidRDefault="00C26985" w:rsidP="00C26985">
      <w:pPr>
        <w:ind w:left="0" w:firstLine="0"/>
        <w:rPr>
          <w:b/>
          <w:bCs/>
          <w:sz w:val="24"/>
          <w:szCs w:val="24"/>
        </w:rPr>
      </w:pPr>
      <w:r>
        <w:rPr>
          <w:b/>
          <w:sz w:val="24"/>
        </w:rPr>
        <w:t>Prioridades de recaudación de fondos complementarios para 2026</w:t>
      </w:r>
      <w:r w:rsidR="00D97C3B">
        <w:rPr>
          <w:b/>
          <w:sz w:val="24"/>
        </w:rPr>
        <w:noBreakHyphen/>
        <w:t>20</w:t>
      </w:r>
      <w:r>
        <w:rPr>
          <w:b/>
          <w:sz w:val="24"/>
        </w:rPr>
        <w:t>28</w:t>
      </w:r>
    </w:p>
    <w:p w14:paraId="5E88B5FE" w14:textId="77777777" w:rsidR="00C26985" w:rsidRDefault="00C26985" w:rsidP="00C26985">
      <w:pPr>
        <w:ind w:left="0" w:firstLine="0"/>
        <w:rPr>
          <w:i/>
          <w:iCs/>
        </w:rPr>
      </w:pPr>
    </w:p>
    <w:p w14:paraId="3DBAC676" w14:textId="77777777" w:rsidR="00464F8A" w:rsidRDefault="00C46339" w:rsidP="00C26985">
      <w:pPr>
        <w:ind w:left="0" w:firstLine="0"/>
        <w:rPr>
          <w:i/>
          <w:iCs/>
        </w:rPr>
      </w:pPr>
      <w:r>
        <w:rPr>
          <w:i/>
        </w:rPr>
        <w:t>Se finalizará en la COP15</w:t>
      </w:r>
    </w:p>
    <w:p w14:paraId="415C7A01" w14:textId="77777777" w:rsidR="00C26985" w:rsidRDefault="00C26985" w:rsidP="00C26985">
      <w:pPr>
        <w:ind w:left="0" w:firstLine="0"/>
        <w:rPr>
          <w:i/>
          <w:iCs/>
        </w:rPr>
      </w:pPr>
    </w:p>
    <w:p w14:paraId="13C149BD" w14:textId="77777777" w:rsidR="00C26985" w:rsidRPr="00C26985" w:rsidRDefault="00C26985" w:rsidP="00C26985">
      <w:pPr>
        <w:ind w:left="0" w:firstLine="0"/>
      </w:pPr>
    </w:p>
    <w:sectPr w:rsidR="00C26985" w:rsidRPr="00C26985" w:rsidSect="009F1947">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31EC5" w14:textId="77777777" w:rsidR="00ED7180" w:rsidRDefault="00ED7180" w:rsidP="00DF2386">
      <w:r>
        <w:separator/>
      </w:r>
    </w:p>
  </w:endnote>
  <w:endnote w:type="continuationSeparator" w:id="0">
    <w:p w14:paraId="5151AC4C" w14:textId="77777777" w:rsidR="00ED7180" w:rsidRDefault="00ED7180" w:rsidP="00DF2386">
      <w:r>
        <w:continuationSeparator/>
      </w:r>
    </w:p>
  </w:endnote>
  <w:endnote w:type="continuationNotice" w:id="1">
    <w:p w14:paraId="047549B2" w14:textId="77777777" w:rsidR="00ED7180" w:rsidRDefault="00ED7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4A202" w14:textId="77777777" w:rsidR="002F5B6F" w:rsidRPr="00333314" w:rsidRDefault="002F5B6F" w:rsidP="00333314">
    <w:pPr>
      <w:pStyle w:val="Header"/>
      <w:rPr>
        <w:noProof/>
        <w:sz w:val="20"/>
        <w:szCs w:val="20"/>
      </w:rPr>
    </w:pPr>
    <w:r>
      <w:rPr>
        <w:sz w:val="20"/>
      </w:rPr>
      <w:t>SC64 Doc.9.3</w:t>
    </w:r>
    <w:r>
      <w:rPr>
        <w:sz w:val="20"/>
      </w:rPr>
      <w:tab/>
    </w:r>
    <w:r>
      <w:rPr>
        <w:sz w:val="20"/>
      </w:rPr>
      <w:tab/>
    </w:r>
    <w:sdt>
      <w:sdtPr>
        <w:rPr>
          <w:sz w:val="20"/>
          <w:szCs w:val="20"/>
        </w:rPr>
        <w:id w:val="-19777698"/>
        <w:docPartObj>
          <w:docPartGallery w:val="Page Numbers (Top of Page)"/>
          <w:docPartUnique/>
        </w:docPartObj>
      </w:sdtPr>
      <w:sdtEndPr>
        <w:rPr>
          <w:noProof/>
        </w:rPr>
      </w:sdtEndPr>
      <w:sdtContent>
        <w:r w:rsidRPr="00333314">
          <w:rPr>
            <w:sz w:val="20"/>
          </w:rPr>
          <w:fldChar w:fldCharType="begin"/>
        </w:r>
        <w:r w:rsidRPr="00333314">
          <w:rPr>
            <w:sz w:val="20"/>
          </w:rPr>
          <w:instrText xml:space="preserve"> PAGE   \* MERGEFORMAT </w:instrText>
        </w:r>
        <w:r w:rsidRPr="00333314">
          <w:rPr>
            <w:sz w:val="20"/>
          </w:rPr>
          <w:fldChar w:fldCharType="separate"/>
        </w:r>
        <w:r>
          <w:rPr>
            <w:sz w:val="20"/>
          </w:rPr>
          <w:t>19</w:t>
        </w:r>
        <w:r w:rsidRPr="00333314">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ACAA2" w14:textId="77777777" w:rsidR="00ED7180" w:rsidRDefault="00ED7180" w:rsidP="00DF2386">
      <w:r>
        <w:separator/>
      </w:r>
    </w:p>
  </w:footnote>
  <w:footnote w:type="continuationSeparator" w:id="0">
    <w:p w14:paraId="381ED430" w14:textId="77777777" w:rsidR="00ED7180" w:rsidRDefault="00ED7180" w:rsidP="00DF2386">
      <w:r>
        <w:continuationSeparator/>
      </w:r>
    </w:p>
  </w:footnote>
  <w:footnote w:type="continuationNotice" w:id="1">
    <w:p w14:paraId="69A8A93D" w14:textId="77777777" w:rsidR="00ED7180" w:rsidRDefault="00ED7180"/>
  </w:footnote>
  <w:footnote w:id="2">
    <w:p w14:paraId="7D8F2890" w14:textId="3E71CBCA" w:rsidR="004A6D98" w:rsidRDefault="004A6D98" w:rsidP="004A6D98">
      <w:pPr>
        <w:pStyle w:val="FootnoteText"/>
        <w:ind w:left="0" w:firstLine="0"/>
      </w:pPr>
      <w:r>
        <w:rPr>
          <w:rStyle w:val="FootnoteReference"/>
        </w:rPr>
        <w:footnoteRef/>
      </w:r>
      <w:r>
        <w:t xml:space="preserve"> </w:t>
      </w:r>
      <w:r>
        <w:rPr>
          <w:rFonts w:asciiTheme="minorHAnsi" w:hAnsiTheme="minorHAnsi"/>
        </w:rPr>
        <w:t>Las estimaciones de las contribuciones al presupuesto básico para el trienio 2026</w:t>
      </w:r>
      <w:r w:rsidR="00D97C3B">
        <w:rPr>
          <w:rFonts w:asciiTheme="minorHAnsi" w:hAnsiTheme="minorHAnsi"/>
        </w:rPr>
        <w:noBreakHyphen/>
        <w:t>20</w:t>
      </w:r>
      <w:r>
        <w:rPr>
          <w:rFonts w:asciiTheme="minorHAnsi" w:hAnsiTheme="minorHAnsi"/>
        </w:rPr>
        <w:t>28 se presentan en el Anexo 2 de la presente resolución.</w:t>
      </w:r>
    </w:p>
  </w:footnote>
  <w:footnote w:id="3">
    <w:p w14:paraId="7814244E" w14:textId="77777777" w:rsidR="00416121" w:rsidRDefault="00416121" w:rsidP="00416121">
      <w:pPr>
        <w:pStyle w:val="FootnoteText"/>
        <w:ind w:left="0" w:firstLine="0"/>
      </w:pPr>
      <w:r>
        <w:rPr>
          <w:rStyle w:val="FootnoteReference"/>
        </w:rPr>
        <w:footnoteRef/>
      </w:r>
      <w:r>
        <w:t xml:space="preserve"> El cuadro de la resolución final guardará conformidad con el cuadro de años anteriores e incluirá únicamente los totales de las categorías principales.</w:t>
      </w:r>
    </w:p>
  </w:footnote>
  <w:footnote w:id="4">
    <w:p w14:paraId="37C1B840" w14:textId="5F070896" w:rsidR="002F5B6F" w:rsidRDefault="002F5B6F" w:rsidP="007D61FD">
      <w:pPr>
        <w:pStyle w:val="FootnoteText"/>
        <w:ind w:left="0" w:firstLine="0"/>
      </w:pPr>
      <w:r>
        <w:rPr>
          <w:rStyle w:val="FootnoteReference"/>
        </w:rPr>
        <w:footnoteRef/>
      </w:r>
      <w:r>
        <w:t xml:space="preserve"> Los cambios estimados en las contribuciones anuales se incluirán en el proyecto de resolución que se presentará a la COP15 sobre la base de los escenarios aprobados en la reunión SC64 y de la nueva escala de contribuciones de las Naciones Unidas para 2025</w:t>
      </w:r>
      <w:r w:rsidR="00D97C3B">
        <w:noBreakHyphen/>
        <w:t>20</w:t>
      </w:r>
      <w:r>
        <w:t>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681740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09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215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20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835098">
    <w:abstractNumId w:val="21"/>
  </w:num>
  <w:num w:numId="6" w16cid:durableId="2083410575">
    <w:abstractNumId w:val="31"/>
  </w:num>
  <w:num w:numId="7" w16cid:durableId="174267289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85629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10961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517045">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524473">
    <w:abstractNumId w:val="31"/>
  </w:num>
  <w:num w:numId="12" w16cid:durableId="137918101">
    <w:abstractNumId w:val="4"/>
  </w:num>
  <w:num w:numId="13" w16cid:durableId="1531603353">
    <w:abstractNumId w:val="22"/>
  </w:num>
  <w:num w:numId="14" w16cid:durableId="1520965536">
    <w:abstractNumId w:val="14"/>
  </w:num>
  <w:num w:numId="15" w16cid:durableId="1756585894">
    <w:abstractNumId w:val="2"/>
  </w:num>
  <w:num w:numId="16" w16cid:durableId="1967545656">
    <w:abstractNumId w:val="18"/>
  </w:num>
  <w:num w:numId="17" w16cid:durableId="809979560">
    <w:abstractNumId w:val="25"/>
  </w:num>
  <w:num w:numId="18" w16cid:durableId="841235163">
    <w:abstractNumId w:val="35"/>
  </w:num>
  <w:num w:numId="19" w16cid:durableId="1444571902">
    <w:abstractNumId w:val="33"/>
  </w:num>
  <w:num w:numId="20" w16cid:durableId="1626739907">
    <w:abstractNumId w:val="27"/>
  </w:num>
  <w:num w:numId="21" w16cid:durableId="1730683889">
    <w:abstractNumId w:val="29"/>
  </w:num>
  <w:num w:numId="22" w16cid:durableId="457644910">
    <w:abstractNumId w:val="20"/>
  </w:num>
  <w:num w:numId="23" w16cid:durableId="1176192572">
    <w:abstractNumId w:val="26"/>
  </w:num>
  <w:num w:numId="24" w16cid:durableId="315454004">
    <w:abstractNumId w:val="23"/>
  </w:num>
  <w:num w:numId="25" w16cid:durableId="1453212113">
    <w:abstractNumId w:val="32"/>
  </w:num>
  <w:num w:numId="26" w16cid:durableId="1532304786">
    <w:abstractNumId w:val="10"/>
  </w:num>
  <w:num w:numId="27" w16cid:durableId="1198464824">
    <w:abstractNumId w:val="0"/>
  </w:num>
  <w:num w:numId="28" w16cid:durableId="1830290568">
    <w:abstractNumId w:val="13"/>
  </w:num>
  <w:num w:numId="29" w16cid:durableId="1992325068">
    <w:abstractNumId w:val="3"/>
  </w:num>
  <w:num w:numId="30" w16cid:durableId="2048556825">
    <w:abstractNumId w:val="16"/>
  </w:num>
  <w:num w:numId="31" w16cid:durableId="1751151261">
    <w:abstractNumId w:val="15"/>
  </w:num>
  <w:num w:numId="32" w16cid:durableId="298145898">
    <w:abstractNumId w:val="30"/>
  </w:num>
  <w:num w:numId="33" w16cid:durableId="1968512752">
    <w:abstractNumId w:val="24"/>
  </w:num>
  <w:num w:numId="34" w16cid:durableId="194599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111736">
    <w:abstractNumId w:val="7"/>
  </w:num>
  <w:num w:numId="36" w16cid:durableId="428549278">
    <w:abstractNumId w:val="1"/>
  </w:num>
  <w:num w:numId="37" w16cid:durableId="202060825">
    <w:abstractNumId w:val="12"/>
  </w:num>
  <w:num w:numId="38" w16cid:durableId="1095595482">
    <w:abstractNumId w:val="19"/>
  </w:num>
  <w:num w:numId="39" w16cid:durableId="8338808">
    <w:abstractNumId w:val="6"/>
  </w:num>
  <w:num w:numId="40" w16cid:durableId="8791299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F18"/>
    <w:rsid w:val="00006F21"/>
    <w:rsid w:val="0001102A"/>
    <w:rsid w:val="0001167E"/>
    <w:rsid w:val="00012800"/>
    <w:rsid w:val="000133D1"/>
    <w:rsid w:val="00014168"/>
    <w:rsid w:val="000144FE"/>
    <w:rsid w:val="0001564A"/>
    <w:rsid w:val="00017A16"/>
    <w:rsid w:val="000235F7"/>
    <w:rsid w:val="00024026"/>
    <w:rsid w:val="000259BA"/>
    <w:rsid w:val="000260B4"/>
    <w:rsid w:val="00026E09"/>
    <w:rsid w:val="00026FC5"/>
    <w:rsid w:val="00027EFA"/>
    <w:rsid w:val="00030282"/>
    <w:rsid w:val="0003174A"/>
    <w:rsid w:val="0003596C"/>
    <w:rsid w:val="000376CE"/>
    <w:rsid w:val="00037745"/>
    <w:rsid w:val="00037CE0"/>
    <w:rsid w:val="00040DAE"/>
    <w:rsid w:val="00042785"/>
    <w:rsid w:val="0004295A"/>
    <w:rsid w:val="00042D05"/>
    <w:rsid w:val="000440A3"/>
    <w:rsid w:val="000449B8"/>
    <w:rsid w:val="000465E5"/>
    <w:rsid w:val="000467E7"/>
    <w:rsid w:val="000519D4"/>
    <w:rsid w:val="0005215D"/>
    <w:rsid w:val="00053929"/>
    <w:rsid w:val="0005615E"/>
    <w:rsid w:val="0005774E"/>
    <w:rsid w:val="00074DE8"/>
    <w:rsid w:val="00080177"/>
    <w:rsid w:val="0008262A"/>
    <w:rsid w:val="000830DE"/>
    <w:rsid w:val="0008391B"/>
    <w:rsid w:val="0008484F"/>
    <w:rsid w:val="000849DD"/>
    <w:rsid w:val="0008610A"/>
    <w:rsid w:val="000866A2"/>
    <w:rsid w:val="0008702F"/>
    <w:rsid w:val="00087C62"/>
    <w:rsid w:val="00090999"/>
    <w:rsid w:val="000930D3"/>
    <w:rsid w:val="000937A7"/>
    <w:rsid w:val="0009413F"/>
    <w:rsid w:val="00094920"/>
    <w:rsid w:val="00095CA3"/>
    <w:rsid w:val="00095F0F"/>
    <w:rsid w:val="00096371"/>
    <w:rsid w:val="000A027C"/>
    <w:rsid w:val="000A0B90"/>
    <w:rsid w:val="000A192A"/>
    <w:rsid w:val="000A2D91"/>
    <w:rsid w:val="000A3E3E"/>
    <w:rsid w:val="000A3F5A"/>
    <w:rsid w:val="000A5278"/>
    <w:rsid w:val="000A7AEC"/>
    <w:rsid w:val="000B02D3"/>
    <w:rsid w:val="000B3CAD"/>
    <w:rsid w:val="000B7E14"/>
    <w:rsid w:val="000C2489"/>
    <w:rsid w:val="000C71A7"/>
    <w:rsid w:val="000D039A"/>
    <w:rsid w:val="000D311B"/>
    <w:rsid w:val="000D5C76"/>
    <w:rsid w:val="000D70C2"/>
    <w:rsid w:val="000E2FA0"/>
    <w:rsid w:val="000E4442"/>
    <w:rsid w:val="000E47E9"/>
    <w:rsid w:val="000E603E"/>
    <w:rsid w:val="000E7BCB"/>
    <w:rsid w:val="000F0897"/>
    <w:rsid w:val="000F2F4D"/>
    <w:rsid w:val="000F745E"/>
    <w:rsid w:val="00101117"/>
    <w:rsid w:val="00102373"/>
    <w:rsid w:val="00102D6A"/>
    <w:rsid w:val="001032DC"/>
    <w:rsid w:val="0010393E"/>
    <w:rsid w:val="00104F7B"/>
    <w:rsid w:val="00105E0C"/>
    <w:rsid w:val="00106197"/>
    <w:rsid w:val="00112D3E"/>
    <w:rsid w:val="00112ED7"/>
    <w:rsid w:val="00112F3F"/>
    <w:rsid w:val="001133D9"/>
    <w:rsid w:val="00115F9A"/>
    <w:rsid w:val="00117167"/>
    <w:rsid w:val="0011732C"/>
    <w:rsid w:val="00117F06"/>
    <w:rsid w:val="0012096C"/>
    <w:rsid w:val="00120A15"/>
    <w:rsid w:val="00124BD7"/>
    <w:rsid w:val="00127828"/>
    <w:rsid w:val="001337B8"/>
    <w:rsid w:val="00135791"/>
    <w:rsid w:val="00140D08"/>
    <w:rsid w:val="00143495"/>
    <w:rsid w:val="00143B9F"/>
    <w:rsid w:val="00145BDD"/>
    <w:rsid w:val="00150BB8"/>
    <w:rsid w:val="00160035"/>
    <w:rsid w:val="00161BDA"/>
    <w:rsid w:val="00163668"/>
    <w:rsid w:val="001670B7"/>
    <w:rsid w:val="00167E31"/>
    <w:rsid w:val="0017123E"/>
    <w:rsid w:val="00171618"/>
    <w:rsid w:val="00173EAC"/>
    <w:rsid w:val="00175101"/>
    <w:rsid w:val="00176CAA"/>
    <w:rsid w:val="00177685"/>
    <w:rsid w:val="001776BD"/>
    <w:rsid w:val="001819B1"/>
    <w:rsid w:val="0018239F"/>
    <w:rsid w:val="00183021"/>
    <w:rsid w:val="001848BF"/>
    <w:rsid w:val="0018623B"/>
    <w:rsid w:val="00186D6B"/>
    <w:rsid w:val="001872F2"/>
    <w:rsid w:val="001908D1"/>
    <w:rsid w:val="00191794"/>
    <w:rsid w:val="001936D6"/>
    <w:rsid w:val="00194B1B"/>
    <w:rsid w:val="0019656D"/>
    <w:rsid w:val="00196C67"/>
    <w:rsid w:val="00197946"/>
    <w:rsid w:val="001A1285"/>
    <w:rsid w:val="001A2D10"/>
    <w:rsid w:val="001A386F"/>
    <w:rsid w:val="001A770E"/>
    <w:rsid w:val="001B0C05"/>
    <w:rsid w:val="001B1561"/>
    <w:rsid w:val="001B1F55"/>
    <w:rsid w:val="001B2C55"/>
    <w:rsid w:val="001B773B"/>
    <w:rsid w:val="001B79AE"/>
    <w:rsid w:val="001C22F2"/>
    <w:rsid w:val="001C3A25"/>
    <w:rsid w:val="001C3E87"/>
    <w:rsid w:val="001C4E70"/>
    <w:rsid w:val="001C5E41"/>
    <w:rsid w:val="001C77BC"/>
    <w:rsid w:val="001D0FDF"/>
    <w:rsid w:val="001D48BB"/>
    <w:rsid w:val="001D5FC6"/>
    <w:rsid w:val="001D684B"/>
    <w:rsid w:val="001E00E3"/>
    <w:rsid w:val="001E12A2"/>
    <w:rsid w:val="001E22DA"/>
    <w:rsid w:val="001E2C4F"/>
    <w:rsid w:val="001E5FD0"/>
    <w:rsid w:val="001F0F83"/>
    <w:rsid w:val="001F2349"/>
    <w:rsid w:val="001F3C9F"/>
    <w:rsid w:val="001F5C62"/>
    <w:rsid w:val="0020035C"/>
    <w:rsid w:val="002005D2"/>
    <w:rsid w:val="0020298B"/>
    <w:rsid w:val="00203003"/>
    <w:rsid w:val="002035D8"/>
    <w:rsid w:val="00206111"/>
    <w:rsid w:val="00206A76"/>
    <w:rsid w:val="00206AAB"/>
    <w:rsid w:val="0020791D"/>
    <w:rsid w:val="00210BFE"/>
    <w:rsid w:val="00212216"/>
    <w:rsid w:val="00212850"/>
    <w:rsid w:val="0021303C"/>
    <w:rsid w:val="002137E0"/>
    <w:rsid w:val="00213DAD"/>
    <w:rsid w:val="00214C88"/>
    <w:rsid w:val="00215ECD"/>
    <w:rsid w:val="002204B3"/>
    <w:rsid w:val="00220983"/>
    <w:rsid w:val="00223428"/>
    <w:rsid w:val="0022404A"/>
    <w:rsid w:val="002249C2"/>
    <w:rsid w:val="00227712"/>
    <w:rsid w:val="00227C59"/>
    <w:rsid w:val="00232904"/>
    <w:rsid w:val="00233EC7"/>
    <w:rsid w:val="00235147"/>
    <w:rsid w:val="0023550A"/>
    <w:rsid w:val="00236D86"/>
    <w:rsid w:val="00240E22"/>
    <w:rsid w:val="00240FEA"/>
    <w:rsid w:val="00241822"/>
    <w:rsid w:val="0024413E"/>
    <w:rsid w:val="0024521E"/>
    <w:rsid w:val="00247648"/>
    <w:rsid w:val="002517BC"/>
    <w:rsid w:val="00251F4D"/>
    <w:rsid w:val="00267C68"/>
    <w:rsid w:val="00267D03"/>
    <w:rsid w:val="00271A5C"/>
    <w:rsid w:val="002741AC"/>
    <w:rsid w:val="00275F13"/>
    <w:rsid w:val="00277A87"/>
    <w:rsid w:val="002819C0"/>
    <w:rsid w:val="00281B7E"/>
    <w:rsid w:val="00281C69"/>
    <w:rsid w:val="002822F8"/>
    <w:rsid w:val="002845BD"/>
    <w:rsid w:val="00285571"/>
    <w:rsid w:val="00285EF4"/>
    <w:rsid w:val="0029247A"/>
    <w:rsid w:val="002924B2"/>
    <w:rsid w:val="00294C6C"/>
    <w:rsid w:val="00295556"/>
    <w:rsid w:val="002957DC"/>
    <w:rsid w:val="00295BB5"/>
    <w:rsid w:val="00297841"/>
    <w:rsid w:val="002A0268"/>
    <w:rsid w:val="002A34CC"/>
    <w:rsid w:val="002A38ED"/>
    <w:rsid w:val="002A5A4D"/>
    <w:rsid w:val="002B0153"/>
    <w:rsid w:val="002B0A95"/>
    <w:rsid w:val="002B0CEF"/>
    <w:rsid w:val="002B1E20"/>
    <w:rsid w:val="002B35B0"/>
    <w:rsid w:val="002B41CC"/>
    <w:rsid w:val="002B4262"/>
    <w:rsid w:val="002B7088"/>
    <w:rsid w:val="002C1B82"/>
    <w:rsid w:val="002C3209"/>
    <w:rsid w:val="002C39E3"/>
    <w:rsid w:val="002D0315"/>
    <w:rsid w:val="002D28C5"/>
    <w:rsid w:val="002D5A4D"/>
    <w:rsid w:val="002E22AF"/>
    <w:rsid w:val="002E32A2"/>
    <w:rsid w:val="002E4926"/>
    <w:rsid w:val="002E533D"/>
    <w:rsid w:val="002E660E"/>
    <w:rsid w:val="002E69E1"/>
    <w:rsid w:val="002E70AF"/>
    <w:rsid w:val="002F0618"/>
    <w:rsid w:val="002F2FBE"/>
    <w:rsid w:val="002F484A"/>
    <w:rsid w:val="002F5B6F"/>
    <w:rsid w:val="002F7900"/>
    <w:rsid w:val="003002AC"/>
    <w:rsid w:val="00300837"/>
    <w:rsid w:val="00302B21"/>
    <w:rsid w:val="003107B5"/>
    <w:rsid w:val="003139ED"/>
    <w:rsid w:val="00314C90"/>
    <w:rsid w:val="00322C05"/>
    <w:rsid w:val="003236AF"/>
    <w:rsid w:val="00324398"/>
    <w:rsid w:val="00325685"/>
    <w:rsid w:val="003300DA"/>
    <w:rsid w:val="00331485"/>
    <w:rsid w:val="00333314"/>
    <w:rsid w:val="00333454"/>
    <w:rsid w:val="00335704"/>
    <w:rsid w:val="0033794C"/>
    <w:rsid w:val="003434EC"/>
    <w:rsid w:val="003441D3"/>
    <w:rsid w:val="0034689E"/>
    <w:rsid w:val="00352486"/>
    <w:rsid w:val="0035377D"/>
    <w:rsid w:val="003538A7"/>
    <w:rsid w:val="00355F75"/>
    <w:rsid w:val="00357919"/>
    <w:rsid w:val="003610E9"/>
    <w:rsid w:val="003615FD"/>
    <w:rsid w:val="003616BC"/>
    <w:rsid w:val="00363957"/>
    <w:rsid w:val="00364319"/>
    <w:rsid w:val="00366633"/>
    <w:rsid w:val="00367CF8"/>
    <w:rsid w:val="00371AD9"/>
    <w:rsid w:val="0037384A"/>
    <w:rsid w:val="0037514F"/>
    <w:rsid w:val="00375CB6"/>
    <w:rsid w:val="00375D6A"/>
    <w:rsid w:val="00377793"/>
    <w:rsid w:val="00377ACF"/>
    <w:rsid w:val="00382F90"/>
    <w:rsid w:val="00383D09"/>
    <w:rsid w:val="00384FC3"/>
    <w:rsid w:val="003914F9"/>
    <w:rsid w:val="0039291B"/>
    <w:rsid w:val="003932B5"/>
    <w:rsid w:val="00395057"/>
    <w:rsid w:val="00396932"/>
    <w:rsid w:val="003969AD"/>
    <w:rsid w:val="003A3804"/>
    <w:rsid w:val="003A4A3D"/>
    <w:rsid w:val="003A52BE"/>
    <w:rsid w:val="003A5809"/>
    <w:rsid w:val="003A5866"/>
    <w:rsid w:val="003A62C2"/>
    <w:rsid w:val="003A6E9F"/>
    <w:rsid w:val="003A6F6E"/>
    <w:rsid w:val="003A7B77"/>
    <w:rsid w:val="003B084D"/>
    <w:rsid w:val="003B4BEC"/>
    <w:rsid w:val="003B67B9"/>
    <w:rsid w:val="003B7342"/>
    <w:rsid w:val="003B7EF3"/>
    <w:rsid w:val="003C0BE0"/>
    <w:rsid w:val="003C0C53"/>
    <w:rsid w:val="003C0DCD"/>
    <w:rsid w:val="003C1EA0"/>
    <w:rsid w:val="003C61E9"/>
    <w:rsid w:val="003D01D9"/>
    <w:rsid w:val="003D10BB"/>
    <w:rsid w:val="003D1457"/>
    <w:rsid w:val="003D1E71"/>
    <w:rsid w:val="003D2FFA"/>
    <w:rsid w:val="003D4537"/>
    <w:rsid w:val="003D4CD6"/>
    <w:rsid w:val="003D4E02"/>
    <w:rsid w:val="003E634B"/>
    <w:rsid w:val="003F1F74"/>
    <w:rsid w:val="003F5763"/>
    <w:rsid w:val="003F7049"/>
    <w:rsid w:val="003F7105"/>
    <w:rsid w:val="0040199D"/>
    <w:rsid w:val="004029A2"/>
    <w:rsid w:val="00404FB6"/>
    <w:rsid w:val="00411C7C"/>
    <w:rsid w:val="0041311F"/>
    <w:rsid w:val="004149AD"/>
    <w:rsid w:val="00415088"/>
    <w:rsid w:val="00415BC1"/>
    <w:rsid w:val="00416121"/>
    <w:rsid w:val="004171F8"/>
    <w:rsid w:val="00417B1D"/>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42074"/>
    <w:rsid w:val="00444AC8"/>
    <w:rsid w:val="004474F8"/>
    <w:rsid w:val="00447FAD"/>
    <w:rsid w:val="0045022B"/>
    <w:rsid w:val="004510C9"/>
    <w:rsid w:val="00452DF8"/>
    <w:rsid w:val="00454034"/>
    <w:rsid w:val="00461F70"/>
    <w:rsid w:val="0046217F"/>
    <w:rsid w:val="004637E0"/>
    <w:rsid w:val="00464026"/>
    <w:rsid w:val="00464F8A"/>
    <w:rsid w:val="00466A7B"/>
    <w:rsid w:val="0046771B"/>
    <w:rsid w:val="00467A8D"/>
    <w:rsid w:val="0047104D"/>
    <w:rsid w:val="004717A4"/>
    <w:rsid w:val="00473F28"/>
    <w:rsid w:val="004743C5"/>
    <w:rsid w:val="004750E2"/>
    <w:rsid w:val="00477550"/>
    <w:rsid w:val="0047762B"/>
    <w:rsid w:val="00480CAE"/>
    <w:rsid w:val="0048153B"/>
    <w:rsid w:val="00483217"/>
    <w:rsid w:val="004844A8"/>
    <w:rsid w:val="004853F2"/>
    <w:rsid w:val="00486014"/>
    <w:rsid w:val="0048664D"/>
    <w:rsid w:val="0048682A"/>
    <w:rsid w:val="00490F20"/>
    <w:rsid w:val="00491DF5"/>
    <w:rsid w:val="004937CA"/>
    <w:rsid w:val="00495C5D"/>
    <w:rsid w:val="004962BC"/>
    <w:rsid w:val="00496803"/>
    <w:rsid w:val="0049707C"/>
    <w:rsid w:val="004A0020"/>
    <w:rsid w:val="004A01E5"/>
    <w:rsid w:val="004A0CCC"/>
    <w:rsid w:val="004A172D"/>
    <w:rsid w:val="004A50CF"/>
    <w:rsid w:val="004A6343"/>
    <w:rsid w:val="004A6D98"/>
    <w:rsid w:val="004A7294"/>
    <w:rsid w:val="004B08CD"/>
    <w:rsid w:val="004B1B80"/>
    <w:rsid w:val="004B2272"/>
    <w:rsid w:val="004B4108"/>
    <w:rsid w:val="004B420F"/>
    <w:rsid w:val="004B6688"/>
    <w:rsid w:val="004C538D"/>
    <w:rsid w:val="004C5B2F"/>
    <w:rsid w:val="004C68BD"/>
    <w:rsid w:val="004C7735"/>
    <w:rsid w:val="004C7F22"/>
    <w:rsid w:val="004D0D3D"/>
    <w:rsid w:val="004D475A"/>
    <w:rsid w:val="004D48D2"/>
    <w:rsid w:val="004D6990"/>
    <w:rsid w:val="004D7DE3"/>
    <w:rsid w:val="004E26E4"/>
    <w:rsid w:val="004E4C83"/>
    <w:rsid w:val="004F0D16"/>
    <w:rsid w:val="004F18A1"/>
    <w:rsid w:val="004F1946"/>
    <w:rsid w:val="004F1CDC"/>
    <w:rsid w:val="004F20C4"/>
    <w:rsid w:val="004F33B7"/>
    <w:rsid w:val="004F38CE"/>
    <w:rsid w:val="004F5A18"/>
    <w:rsid w:val="004F5CBC"/>
    <w:rsid w:val="00502A28"/>
    <w:rsid w:val="0050463E"/>
    <w:rsid w:val="005054FD"/>
    <w:rsid w:val="00512AA7"/>
    <w:rsid w:val="005200DD"/>
    <w:rsid w:val="00521308"/>
    <w:rsid w:val="00522533"/>
    <w:rsid w:val="00522B37"/>
    <w:rsid w:val="00523C54"/>
    <w:rsid w:val="005244A4"/>
    <w:rsid w:val="00527783"/>
    <w:rsid w:val="0053257A"/>
    <w:rsid w:val="00535AE5"/>
    <w:rsid w:val="00536EBB"/>
    <w:rsid w:val="0054046C"/>
    <w:rsid w:val="00542E5D"/>
    <w:rsid w:val="00545FF3"/>
    <w:rsid w:val="005464D2"/>
    <w:rsid w:val="00553349"/>
    <w:rsid w:val="00553DEA"/>
    <w:rsid w:val="00554DB1"/>
    <w:rsid w:val="0056092A"/>
    <w:rsid w:val="00560F74"/>
    <w:rsid w:val="00561EF7"/>
    <w:rsid w:val="00562968"/>
    <w:rsid w:val="005634D5"/>
    <w:rsid w:val="00564EFB"/>
    <w:rsid w:val="005678BE"/>
    <w:rsid w:val="00567AF8"/>
    <w:rsid w:val="0057536A"/>
    <w:rsid w:val="005814B5"/>
    <w:rsid w:val="00582E1E"/>
    <w:rsid w:val="00585A93"/>
    <w:rsid w:val="00585EA4"/>
    <w:rsid w:val="005863D6"/>
    <w:rsid w:val="00586541"/>
    <w:rsid w:val="005866E1"/>
    <w:rsid w:val="00591622"/>
    <w:rsid w:val="00591718"/>
    <w:rsid w:val="00595C1A"/>
    <w:rsid w:val="005A0797"/>
    <w:rsid w:val="005A17F8"/>
    <w:rsid w:val="005A6559"/>
    <w:rsid w:val="005A6A00"/>
    <w:rsid w:val="005A75F4"/>
    <w:rsid w:val="005B02DC"/>
    <w:rsid w:val="005B0E16"/>
    <w:rsid w:val="005B1E44"/>
    <w:rsid w:val="005B40FB"/>
    <w:rsid w:val="005B47C2"/>
    <w:rsid w:val="005B4876"/>
    <w:rsid w:val="005C0CE5"/>
    <w:rsid w:val="005C118B"/>
    <w:rsid w:val="005C2ADF"/>
    <w:rsid w:val="005D19F7"/>
    <w:rsid w:val="005D29BE"/>
    <w:rsid w:val="005D35BD"/>
    <w:rsid w:val="005D3894"/>
    <w:rsid w:val="005D3E9D"/>
    <w:rsid w:val="005D57D6"/>
    <w:rsid w:val="005D6FBF"/>
    <w:rsid w:val="005E2300"/>
    <w:rsid w:val="005E4BF4"/>
    <w:rsid w:val="005E4E6C"/>
    <w:rsid w:val="005E592E"/>
    <w:rsid w:val="005E59C2"/>
    <w:rsid w:val="005F0052"/>
    <w:rsid w:val="005F01DE"/>
    <w:rsid w:val="005F13D9"/>
    <w:rsid w:val="005F1D0B"/>
    <w:rsid w:val="005F1F89"/>
    <w:rsid w:val="005F223B"/>
    <w:rsid w:val="005F3B7A"/>
    <w:rsid w:val="005F64E0"/>
    <w:rsid w:val="005F6AE1"/>
    <w:rsid w:val="00601852"/>
    <w:rsid w:val="006020D2"/>
    <w:rsid w:val="006057C1"/>
    <w:rsid w:val="00607743"/>
    <w:rsid w:val="00607AC7"/>
    <w:rsid w:val="0061586F"/>
    <w:rsid w:val="00615DA7"/>
    <w:rsid w:val="00617276"/>
    <w:rsid w:val="00620F63"/>
    <w:rsid w:val="006211E5"/>
    <w:rsid w:val="0062231F"/>
    <w:rsid w:val="0062284A"/>
    <w:rsid w:val="00624C8F"/>
    <w:rsid w:val="006256D3"/>
    <w:rsid w:val="00627BB7"/>
    <w:rsid w:val="0063452B"/>
    <w:rsid w:val="00635D90"/>
    <w:rsid w:val="00635E05"/>
    <w:rsid w:val="00637C68"/>
    <w:rsid w:val="00641220"/>
    <w:rsid w:val="00641633"/>
    <w:rsid w:val="0064334C"/>
    <w:rsid w:val="00643C10"/>
    <w:rsid w:val="00644A13"/>
    <w:rsid w:val="0065136E"/>
    <w:rsid w:val="0065702A"/>
    <w:rsid w:val="00660A12"/>
    <w:rsid w:val="00665057"/>
    <w:rsid w:val="00665B24"/>
    <w:rsid w:val="00670D71"/>
    <w:rsid w:val="00672D6E"/>
    <w:rsid w:val="00673291"/>
    <w:rsid w:val="0067359E"/>
    <w:rsid w:val="00674248"/>
    <w:rsid w:val="00676D65"/>
    <w:rsid w:val="0068433D"/>
    <w:rsid w:val="00684E76"/>
    <w:rsid w:val="00686DC0"/>
    <w:rsid w:val="00690CFD"/>
    <w:rsid w:val="00693CBD"/>
    <w:rsid w:val="00693E3C"/>
    <w:rsid w:val="006948DC"/>
    <w:rsid w:val="00695F7A"/>
    <w:rsid w:val="00696039"/>
    <w:rsid w:val="006A0A09"/>
    <w:rsid w:val="006A2FD6"/>
    <w:rsid w:val="006A4C0F"/>
    <w:rsid w:val="006B2058"/>
    <w:rsid w:val="006B4163"/>
    <w:rsid w:val="006B7BB7"/>
    <w:rsid w:val="006C05A5"/>
    <w:rsid w:val="006C1A08"/>
    <w:rsid w:val="006C1D07"/>
    <w:rsid w:val="006C66F7"/>
    <w:rsid w:val="006C703B"/>
    <w:rsid w:val="006D2F36"/>
    <w:rsid w:val="006D3BFF"/>
    <w:rsid w:val="006D3CBA"/>
    <w:rsid w:val="006D418B"/>
    <w:rsid w:val="006D6374"/>
    <w:rsid w:val="006E4887"/>
    <w:rsid w:val="006E5181"/>
    <w:rsid w:val="006E7605"/>
    <w:rsid w:val="006E7DCE"/>
    <w:rsid w:val="006F3E3D"/>
    <w:rsid w:val="006F6E6B"/>
    <w:rsid w:val="00701048"/>
    <w:rsid w:val="00701C8A"/>
    <w:rsid w:val="0070360E"/>
    <w:rsid w:val="007050FF"/>
    <w:rsid w:val="00705A7D"/>
    <w:rsid w:val="007061A4"/>
    <w:rsid w:val="007077A8"/>
    <w:rsid w:val="00717B75"/>
    <w:rsid w:val="007204E3"/>
    <w:rsid w:val="007236B4"/>
    <w:rsid w:val="0072405F"/>
    <w:rsid w:val="00730BC4"/>
    <w:rsid w:val="00730CBE"/>
    <w:rsid w:val="00732CE6"/>
    <w:rsid w:val="00737F84"/>
    <w:rsid w:val="0074100B"/>
    <w:rsid w:val="0074102A"/>
    <w:rsid w:val="00745918"/>
    <w:rsid w:val="00745A7B"/>
    <w:rsid w:val="00746A80"/>
    <w:rsid w:val="007473CC"/>
    <w:rsid w:val="007518E1"/>
    <w:rsid w:val="00752764"/>
    <w:rsid w:val="00755495"/>
    <w:rsid w:val="007562C2"/>
    <w:rsid w:val="00756954"/>
    <w:rsid w:val="00760117"/>
    <w:rsid w:val="007629C8"/>
    <w:rsid w:val="00764209"/>
    <w:rsid w:val="00764DE8"/>
    <w:rsid w:val="00766962"/>
    <w:rsid w:val="00771610"/>
    <w:rsid w:val="00775287"/>
    <w:rsid w:val="00776105"/>
    <w:rsid w:val="0077732B"/>
    <w:rsid w:val="0078029B"/>
    <w:rsid w:val="00781BEE"/>
    <w:rsid w:val="007831E8"/>
    <w:rsid w:val="00783433"/>
    <w:rsid w:val="00783CFD"/>
    <w:rsid w:val="00784A28"/>
    <w:rsid w:val="00784A64"/>
    <w:rsid w:val="007863D1"/>
    <w:rsid w:val="00786D6D"/>
    <w:rsid w:val="007936EA"/>
    <w:rsid w:val="0079408E"/>
    <w:rsid w:val="0079524F"/>
    <w:rsid w:val="007A016E"/>
    <w:rsid w:val="007A224B"/>
    <w:rsid w:val="007A62A5"/>
    <w:rsid w:val="007A653C"/>
    <w:rsid w:val="007B3669"/>
    <w:rsid w:val="007B6EB4"/>
    <w:rsid w:val="007B7B47"/>
    <w:rsid w:val="007C1687"/>
    <w:rsid w:val="007C267F"/>
    <w:rsid w:val="007C5FA0"/>
    <w:rsid w:val="007D005B"/>
    <w:rsid w:val="007D064F"/>
    <w:rsid w:val="007D19E1"/>
    <w:rsid w:val="007D33F4"/>
    <w:rsid w:val="007D3798"/>
    <w:rsid w:val="007D61FD"/>
    <w:rsid w:val="007E087C"/>
    <w:rsid w:val="007E16F5"/>
    <w:rsid w:val="007E3E0B"/>
    <w:rsid w:val="007E73AA"/>
    <w:rsid w:val="007F0899"/>
    <w:rsid w:val="007F3ABE"/>
    <w:rsid w:val="007F59B4"/>
    <w:rsid w:val="007F6C51"/>
    <w:rsid w:val="007F7C59"/>
    <w:rsid w:val="00801BF2"/>
    <w:rsid w:val="008023CD"/>
    <w:rsid w:val="00803C20"/>
    <w:rsid w:val="00806CE0"/>
    <w:rsid w:val="00806FDA"/>
    <w:rsid w:val="00812249"/>
    <w:rsid w:val="00812F1D"/>
    <w:rsid w:val="00814323"/>
    <w:rsid w:val="00814B59"/>
    <w:rsid w:val="0081542C"/>
    <w:rsid w:val="008155A3"/>
    <w:rsid w:val="00817909"/>
    <w:rsid w:val="00817E2B"/>
    <w:rsid w:val="00821F47"/>
    <w:rsid w:val="00822F8D"/>
    <w:rsid w:val="00827551"/>
    <w:rsid w:val="008328E9"/>
    <w:rsid w:val="0083353F"/>
    <w:rsid w:val="0083370D"/>
    <w:rsid w:val="00835BCB"/>
    <w:rsid w:val="00835CDC"/>
    <w:rsid w:val="00835F19"/>
    <w:rsid w:val="00840795"/>
    <w:rsid w:val="008416FD"/>
    <w:rsid w:val="008445F1"/>
    <w:rsid w:val="008446C3"/>
    <w:rsid w:val="00847429"/>
    <w:rsid w:val="00847B3F"/>
    <w:rsid w:val="00850B09"/>
    <w:rsid w:val="008514F2"/>
    <w:rsid w:val="008536C6"/>
    <w:rsid w:val="008559A3"/>
    <w:rsid w:val="008606CC"/>
    <w:rsid w:val="00862C99"/>
    <w:rsid w:val="00863B9D"/>
    <w:rsid w:val="00863BE6"/>
    <w:rsid w:val="00870187"/>
    <w:rsid w:val="008775BC"/>
    <w:rsid w:val="00882F1B"/>
    <w:rsid w:val="008856B6"/>
    <w:rsid w:val="00886F36"/>
    <w:rsid w:val="0088758B"/>
    <w:rsid w:val="0089020B"/>
    <w:rsid w:val="008926BA"/>
    <w:rsid w:val="008927FE"/>
    <w:rsid w:val="008931AE"/>
    <w:rsid w:val="008941AA"/>
    <w:rsid w:val="00895943"/>
    <w:rsid w:val="00895C33"/>
    <w:rsid w:val="0089648B"/>
    <w:rsid w:val="00896FD6"/>
    <w:rsid w:val="008A219C"/>
    <w:rsid w:val="008A70CE"/>
    <w:rsid w:val="008B313D"/>
    <w:rsid w:val="008C0866"/>
    <w:rsid w:val="008C0B07"/>
    <w:rsid w:val="008C25E4"/>
    <w:rsid w:val="008C2C36"/>
    <w:rsid w:val="008C2DAE"/>
    <w:rsid w:val="008C3149"/>
    <w:rsid w:val="008C3FB1"/>
    <w:rsid w:val="008C5BF8"/>
    <w:rsid w:val="008C6E36"/>
    <w:rsid w:val="008C6E9B"/>
    <w:rsid w:val="008C7187"/>
    <w:rsid w:val="008D3CFC"/>
    <w:rsid w:val="008D702C"/>
    <w:rsid w:val="008D7119"/>
    <w:rsid w:val="008D713A"/>
    <w:rsid w:val="008D7727"/>
    <w:rsid w:val="008E620B"/>
    <w:rsid w:val="008E6660"/>
    <w:rsid w:val="008F43D2"/>
    <w:rsid w:val="008F481B"/>
    <w:rsid w:val="008F7E80"/>
    <w:rsid w:val="009015A7"/>
    <w:rsid w:val="00901BA8"/>
    <w:rsid w:val="00901DBE"/>
    <w:rsid w:val="009041D7"/>
    <w:rsid w:val="0090461C"/>
    <w:rsid w:val="00904F4C"/>
    <w:rsid w:val="009058AE"/>
    <w:rsid w:val="009059A9"/>
    <w:rsid w:val="009074A5"/>
    <w:rsid w:val="0090DFC5"/>
    <w:rsid w:val="009102AE"/>
    <w:rsid w:val="00913A05"/>
    <w:rsid w:val="00913CF1"/>
    <w:rsid w:val="00914232"/>
    <w:rsid w:val="00914D5D"/>
    <w:rsid w:val="0091521F"/>
    <w:rsid w:val="0092152B"/>
    <w:rsid w:val="009217EC"/>
    <w:rsid w:val="009233BB"/>
    <w:rsid w:val="0092515E"/>
    <w:rsid w:val="009261DB"/>
    <w:rsid w:val="0092640B"/>
    <w:rsid w:val="0093047A"/>
    <w:rsid w:val="00930AAE"/>
    <w:rsid w:val="009315CC"/>
    <w:rsid w:val="00933D8C"/>
    <w:rsid w:val="0094052C"/>
    <w:rsid w:val="0094061E"/>
    <w:rsid w:val="00942FBD"/>
    <w:rsid w:val="00943A84"/>
    <w:rsid w:val="0094417A"/>
    <w:rsid w:val="00944BD6"/>
    <w:rsid w:val="0094770B"/>
    <w:rsid w:val="00947D4A"/>
    <w:rsid w:val="009510EE"/>
    <w:rsid w:val="00951D88"/>
    <w:rsid w:val="009520FB"/>
    <w:rsid w:val="0095712D"/>
    <w:rsid w:val="00957260"/>
    <w:rsid w:val="009618C5"/>
    <w:rsid w:val="00963A94"/>
    <w:rsid w:val="00965BFF"/>
    <w:rsid w:val="00970C63"/>
    <w:rsid w:val="00971CD2"/>
    <w:rsid w:val="00972C4F"/>
    <w:rsid w:val="009730C7"/>
    <w:rsid w:val="0097325E"/>
    <w:rsid w:val="00977A64"/>
    <w:rsid w:val="00977E6E"/>
    <w:rsid w:val="00980840"/>
    <w:rsid w:val="00981341"/>
    <w:rsid w:val="0098426A"/>
    <w:rsid w:val="0098681C"/>
    <w:rsid w:val="00986B28"/>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F0BF5"/>
    <w:rsid w:val="009F1947"/>
    <w:rsid w:val="009F1E3B"/>
    <w:rsid w:val="009F3289"/>
    <w:rsid w:val="009F345D"/>
    <w:rsid w:val="009F7CEA"/>
    <w:rsid w:val="009F7D89"/>
    <w:rsid w:val="00A0019C"/>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3778B"/>
    <w:rsid w:val="00A42559"/>
    <w:rsid w:val="00A433E8"/>
    <w:rsid w:val="00A47FC2"/>
    <w:rsid w:val="00A508C9"/>
    <w:rsid w:val="00A550B1"/>
    <w:rsid w:val="00A60635"/>
    <w:rsid w:val="00A60B73"/>
    <w:rsid w:val="00A616A2"/>
    <w:rsid w:val="00A61FC0"/>
    <w:rsid w:val="00A62ABF"/>
    <w:rsid w:val="00A645B4"/>
    <w:rsid w:val="00A64AB1"/>
    <w:rsid w:val="00A66544"/>
    <w:rsid w:val="00A6664E"/>
    <w:rsid w:val="00A67F2E"/>
    <w:rsid w:val="00A75E4E"/>
    <w:rsid w:val="00A768EA"/>
    <w:rsid w:val="00A80080"/>
    <w:rsid w:val="00A804DE"/>
    <w:rsid w:val="00A81CC0"/>
    <w:rsid w:val="00A823E0"/>
    <w:rsid w:val="00A87DBC"/>
    <w:rsid w:val="00A90275"/>
    <w:rsid w:val="00A91565"/>
    <w:rsid w:val="00A94EED"/>
    <w:rsid w:val="00AA063C"/>
    <w:rsid w:val="00AA1858"/>
    <w:rsid w:val="00AA208F"/>
    <w:rsid w:val="00AA24E2"/>
    <w:rsid w:val="00AA26DF"/>
    <w:rsid w:val="00AA42D0"/>
    <w:rsid w:val="00AA6EAE"/>
    <w:rsid w:val="00AB0318"/>
    <w:rsid w:val="00AB1718"/>
    <w:rsid w:val="00AB3004"/>
    <w:rsid w:val="00AB3537"/>
    <w:rsid w:val="00AB4951"/>
    <w:rsid w:val="00AC2E85"/>
    <w:rsid w:val="00AD155D"/>
    <w:rsid w:val="00AD65E1"/>
    <w:rsid w:val="00AD6CAA"/>
    <w:rsid w:val="00AE45E0"/>
    <w:rsid w:val="00AE4EEA"/>
    <w:rsid w:val="00AE5603"/>
    <w:rsid w:val="00AE7A58"/>
    <w:rsid w:val="00AF2796"/>
    <w:rsid w:val="00AF3FA8"/>
    <w:rsid w:val="00AF52FD"/>
    <w:rsid w:val="00B01E93"/>
    <w:rsid w:val="00B021E0"/>
    <w:rsid w:val="00B022DB"/>
    <w:rsid w:val="00B02FB3"/>
    <w:rsid w:val="00B037AE"/>
    <w:rsid w:val="00B04521"/>
    <w:rsid w:val="00B102CA"/>
    <w:rsid w:val="00B116EA"/>
    <w:rsid w:val="00B1718B"/>
    <w:rsid w:val="00B25283"/>
    <w:rsid w:val="00B26C0D"/>
    <w:rsid w:val="00B315A0"/>
    <w:rsid w:val="00B326FB"/>
    <w:rsid w:val="00B32E40"/>
    <w:rsid w:val="00B33A19"/>
    <w:rsid w:val="00B34A18"/>
    <w:rsid w:val="00B35DEE"/>
    <w:rsid w:val="00B36736"/>
    <w:rsid w:val="00B36EC3"/>
    <w:rsid w:val="00B41164"/>
    <w:rsid w:val="00B41A85"/>
    <w:rsid w:val="00B468CE"/>
    <w:rsid w:val="00B501B3"/>
    <w:rsid w:val="00B51EBB"/>
    <w:rsid w:val="00B52CCE"/>
    <w:rsid w:val="00B54F35"/>
    <w:rsid w:val="00B579CB"/>
    <w:rsid w:val="00B603A1"/>
    <w:rsid w:val="00B618D8"/>
    <w:rsid w:val="00B626CD"/>
    <w:rsid w:val="00B63637"/>
    <w:rsid w:val="00B70083"/>
    <w:rsid w:val="00B7282A"/>
    <w:rsid w:val="00B73D0E"/>
    <w:rsid w:val="00B75F41"/>
    <w:rsid w:val="00B8058B"/>
    <w:rsid w:val="00B83B28"/>
    <w:rsid w:val="00B84252"/>
    <w:rsid w:val="00B872DF"/>
    <w:rsid w:val="00B87A76"/>
    <w:rsid w:val="00B87D61"/>
    <w:rsid w:val="00B9010D"/>
    <w:rsid w:val="00B925C8"/>
    <w:rsid w:val="00B9303A"/>
    <w:rsid w:val="00B95970"/>
    <w:rsid w:val="00B961C4"/>
    <w:rsid w:val="00B970B6"/>
    <w:rsid w:val="00B97564"/>
    <w:rsid w:val="00BA2FA0"/>
    <w:rsid w:val="00BA3F66"/>
    <w:rsid w:val="00BA72D6"/>
    <w:rsid w:val="00BB0BC6"/>
    <w:rsid w:val="00BB10D5"/>
    <w:rsid w:val="00BB1856"/>
    <w:rsid w:val="00BB28F6"/>
    <w:rsid w:val="00BB3190"/>
    <w:rsid w:val="00BB3B4B"/>
    <w:rsid w:val="00BB7B11"/>
    <w:rsid w:val="00BC2609"/>
    <w:rsid w:val="00BC26DD"/>
    <w:rsid w:val="00BC294C"/>
    <w:rsid w:val="00BC4468"/>
    <w:rsid w:val="00BD1E22"/>
    <w:rsid w:val="00BD39A9"/>
    <w:rsid w:val="00BD4CE7"/>
    <w:rsid w:val="00BD66A3"/>
    <w:rsid w:val="00BE11BE"/>
    <w:rsid w:val="00BE5629"/>
    <w:rsid w:val="00BE66BA"/>
    <w:rsid w:val="00BE764D"/>
    <w:rsid w:val="00BF11F9"/>
    <w:rsid w:val="00BF198E"/>
    <w:rsid w:val="00BF28C7"/>
    <w:rsid w:val="00BF5D3B"/>
    <w:rsid w:val="00BF5DD8"/>
    <w:rsid w:val="00BF73A0"/>
    <w:rsid w:val="00C002AE"/>
    <w:rsid w:val="00C025F8"/>
    <w:rsid w:val="00C03DD1"/>
    <w:rsid w:val="00C12DA1"/>
    <w:rsid w:val="00C13145"/>
    <w:rsid w:val="00C1364E"/>
    <w:rsid w:val="00C13A7C"/>
    <w:rsid w:val="00C13E62"/>
    <w:rsid w:val="00C16838"/>
    <w:rsid w:val="00C16975"/>
    <w:rsid w:val="00C16C80"/>
    <w:rsid w:val="00C16E6A"/>
    <w:rsid w:val="00C16FCB"/>
    <w:rsid w:val="00C20051"/>
    <w:rsid w:val="00C20813"/>
    <w:rsid w:val="00C2135F"/>
    <w:rsid w:val="00C22633"/>
    <w:rsid w:val="00C2280A"/>
    <w:rsid w:val="00C24936"/>
    <w:rsid w:val="00C24F77"/>
    <w:rsid w:val="00C26985"/>
    <w:rsid w:val="00C2760A"/>
    <w:rsid w:val="00C31D49"/>
    <w:rsid w:val="00C34785"/>
    <w:rsid w:val="00C358FE"/>
    <w:rsid w:val="00C35B9B"/>
    <w:rsid w:val="00C40DCC"/>
    <w:rsid w:val="00C4117F"/>
    <w:rsid w:val="00C41F52"/>
    <w:rsid w:val="00C431CE"/>
    <w:rsid w:val="00C46339"/>
    <w:rsid w:val="00C51843"/>
    <w:rsid w:val="00C527AA"/>
    <w:rsid w:val="00C541D6"/>
    <w:rsid w:val="00C56219"/>
    <w:rsid w:val="00C60B71"/>
    <w:rsid w:val="00C61012"/>
    <w:rsid w:val="00C6276B"/>
    <w:rsid w:val="00C6757F"/>
    <w:rsid w:val="00C6766B"/>
    <w:rsid w:val="00C67C97"/>
    <w:rsid w:val="00C703F9"/>
    <w:rsid w:val="00C70EC0"/>
    <w:rsid w:val="00C7135A"/>
    <w:rsid w:val="00C72A9C"/>
    <w:rsid w:val="00C7587C"/>
    <w:rsid w:val="00C83176"/>
    <w:rsid w:val="00C83C4D"/>
    <w:rsid w:val="00C83F07"/>
    <w:rsid w:val="00C86091"/>
    <w:rsid w:val="00C90FBC"/>
    <w:rsid w:val="00C9690F"/>
    <w:rsid w:val="00CA1CBE"/>
    <w:rsid w:val="00CA2455"/>
    <w:rsid w:val="00CA3EAA"/>
    <w:rsid w:val="00CA5A98"/>
    <w:rsid w:val="00CA66C6"/>
    <w:rsid w:val="00CA6E79"/>
    <w:rsid w:val="00CA71D7"/>
    <w:rsid w:val="00CB2537"/>
    <w:rsid w:val="00CB2EC4"/>
    <w:rsid w:val="00CC16E7"/>
    <w:rsid w:val="00CC23C3"/>
    <w:rsid w:val="00CC67FD"/>
    <w:rsid w:val="00CD1442"/>
    <w:rsid w:val="00CD5DAF"/>
    <w:rsid w:val="00CD7225"/>
    <w:rsid w:val="00CE3E0B"/>
    <w:rsid w:val="00CE3F9B"/>
    <w:rsid w:val="00CE4746"/>
    <w:rsid w:val="00CE4F89"/>
    <w:rsid w:val="00CE709C"/>
    <w:rsid w:val="00CE7104"/>
    <w:rsid w:val="00CE750F"/>
    <w:rsid w:val="00CE778B"/>
    <w:rsid w:val="00CF1498"/>
    <w:rsid w:val="00CF4437"/>
    <w:rsid w:val="00CF55B1"/>
    <w:rsid w:val="00CF6A1A"/>
    <w:rsid w:val="00CF786C"/>
    <w:rsid w:val="00D06197"/>
    <w:rsid w:val="00D07DDD"/>
    <w:rsid w:val="00D1039A"/>
    <w:rsid w:val="00D11AF8"/>
    <w:rsid w:val="00D12474"/>
    <w:rsid w:val="00D1536F"/>
    <w:rsid w:val="00D15858"/>
    <w:rsid w:val="00D160CB"/>
    <w:rsid w:val="00D214BD"/>
    <w:rsid w:val="00D220C7"/>
    <w:rsid w:val="00D245A1"/>
    <w:rsid w:val="00D24CB3"/>
    <w:rsid w:val="00D24D22"/>
    <w:rsid w:val="00D2597D"/>
    <w:rsid w:val="00D33681"/>
    <w:rsid w:val="00D351B1"/>
    <w:rsid w:val="00D36152"/>
    <w:rsid w:val="00D3680D"/>
    <w:rsid w:val="00D41049"/>
    <w:rsid w:val="00D415E2"/>
    <w:rsid w:val="00D41F92"/>
    <w:rsid w:val="00D42055"/>
    <w:rsid w:val="00D46D13"/>
    <w:rsid w:val="00D47119"/>
    <w:rsid w:val="00D522EF"/>
    <w:rsid w:val="00D53015"/>
    <w:rsid w:val="00D53D8D"/>
    <w:rsid w:val="00D55080"/>
    <w:rsid w:val="00D5668E"/>
    <w:rsid w:val="00D57741"/>
    <w:rsid w:val="00D57BC7"/>
    <w:rsid w:val="00D60B3D"/>
    <w:rsid w:val="00D6132D"/>
    <w:rsid w:val="00D647C3"/>
    <w:rsid w:val="00D657AA"/>
    <w:rsid w:val="00D6650E"/>
    <w:rsid w:val="00D7314D"/>
    <w:rsid w:val="00D77809"/>
    <w:rsid w:val="00D8263D"/>
    <w:rsid w:val="00D83D91"/>
    <w:rsid w:val="00D84AE8"/>
    <w:rsid w:val="00D86F01"/>
    <w:rsid w:val="00D9337B"/>
    <w:rsid w:val="00D9386E"/>
    <w:rsid w:val="00D9633A"/>
    <w:rsid w:val="00D97C3B"/>
    <w:rsid w:val="00DA02A6"/>
    <w:rsid w:val="00DA34C8"/>
    <w:rsid w:val="00DA4176"/>
    <w:rsid w:val="00DA5DA0"/>
    <w:rsid w:val="00DA6C88"/>
    <w:rsid w:val="00DA7027"/>
    <w:rsid w:val="00DA71FC"/>
    <w:rsid w:val="00DB151A"/>
    <w:rsid w:val="00DB2AD0"/>
    <w:rsid w:val="00DB30B4"/>
    <w:rsid w:val="00DB3F26"/>
    <w:rsid w:val="00DB4C0C"/>
    <w:rsid w:val="00DB4C5F"/>
    <w:rsid w:val="00DC0EBF"/>
    <w:rsid w:val="00DC18B2"/>
    <w:rsid w:val="00DC395A"/>
    <w:rsid w:val="00DC3D93"/>
    <w:rsid w:val="00DC5F03"/>
    <w:rsid w:val="00DD4C66"/>
    <w:rsid w:val="00DD4FC4"/>
    <w:rsid w:val="00DD5B15"/>
    <w:rsid w:val="00DE63AC"/>
    <w:rsid w:val="00DF1BDE"/>
    <w:rsid w:val="00DF219B"/>
    <w:rsid w:val="00DF2386"/>
    <w:rsid w:val="00DF435B"/>
    <w:rsid w:val="00DF64EC"/>
    <w:rsid w:val="00DF6941"/>
    <w:rsid w:val="00DF6C1E"/>
    <w:rsid w:val="00DF72E0"/>
    <w:rsid w:val="00DF7FE7"/>
    <w:rsid w:val="00E00E9F"/>
    <w:rsid w:val="00E01F30"/>
    <w:rsid w:val="00E02654"/>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7FC2"/>
    <w:rsid w:val="00E40827"/>
    <w:rsid w:val="00E4084B"/>
    <w:rsid w:val="00E4234C"/>
    <w:rsid w:val="00E43885"/>
    <w:rsid w:val="00E444FC"/>
    <w:rsid w:val="00E44F1E"/>
    <w:rsid w:val="00E45027"/>
    <w:rsid w:val="00E46367"/>
    <w:rsid w:val="00E468E6"/>
    <w:rsid w:val="00E50224"/>
    <w:rsid w:val="00E50C33"/>
    <w:rsid w:val="00E51610"/>
    <w:rsid w:val="00E52A06"/>
    <w:rsid w:val="00E52A3F"/>
    <w:rsid w:val="00E5553D"/>
    <w:rsid w:val="00E559B0"/>
    <w:rsid w:val="00E5729D"/>
    <w:rsid w:val="00E57D9D"/>
    <w:rsid w:val="00E631A8"/>
    <w:rsid w:val="00E63F0B"/>
    <w:rsid w:val="00E642B6"/>
    <w:rsid w:val="00E64901"/>
    <w:rsid w:val="00E666DB"/>
    <w:rsid w:val="00E6765B"/>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3576"/>
    <w:rsid w:val="00E94E50"/>
    <w:rsid w:val="00E96B53"/>
    <w:rsid w:val="00EA0CEE"/>
    <w:rsid w:val="00EA22B9"/>
    <w:rsid w:val="00EA3318"/>
    <w:rsid w:val="00EA3A7F"/>
    <w:rsid w:val="00EB3CA7"/>
    <w:rsid w:val="00EC588F"/>
    <w:rsid w:val="00ED01A3"/>
    <w:rsid w:val="00ED1012"/>
    <w:rsid w:val="00ED1BE8"/>
    <w:rsid w:val="00ED1CB9"/>
    <w:rsid w:val="00ED2630"/>
    <w:rsid w:val="00ED3AEB"/>
    <w:rsid w:val="00ED4036"/>
    <w:rsid w:val="00ED43D3"/>
    <w:rsid w:val="00ED664F"/>
    <w:rsid w:val="00ED7180"/>
    <w:rsid w:val="00ED7864"/>
    <w:rsid w:val="00EE2107"/>
    <w:rsid w:val="00EE3DC8"/>
    <w:rsid w:val="00EE45DC"/>
    <w:rsid w:val="00EE60AF"/>
    <w:rsid w:val="00EE7537"/>
    <w:rsid w:val="00EF0E9B"/>
    <w:rsid w:val="00EF1DBA"/>
    <w:rsid w:val="00EF42CE"/>
    <w:rsid w:val="00F04B64"/>
    <w:rsid w:val="00F068F0"/>
    <w:rsid w:val="00F078F1"/>
    <w:rsid w:val="00F126E5"/>
    <w:rsid w:val="00F12F74"/>
    <w:rsid w:val="00F136F5"/>
    <w:rsid w:val="00F14404"/>
    <w:rsid w:val="00F17514"/>
    <w:rsid w:val="00F177F1"/>
    <w:rsid w:val="00F17C29"/>
    <w:rsid w:val="00F216C7"/>
    <w:rsid w:val="00F22CBC"/>
    <w:rsid w:val="00F2372D"/>
    <w:rsid w:val="00F246D8"/>
    <w:rsid w:val="00F2630F"/>
    <w:rsid w:val="00F26C2E"/>
    <w:rsid w:val="00F32C70"/>
    <w:rsid w:val="00F32D03"/>
    <w:rsid w:val="00F336F0"/>
    <w:rsid w:val="00F344DE"/>
    <w:rsid w:val="00F35B93"/>
    <w:rsid w:val="00F36A95"/>
    <w:rsid w:val="00F376E9"/>
    <w:rsid w:val="00F407BC"/>
    <w:rsid w:val="00F43DED"/>
    <w:rsid w:val="00F44876"/>
    <w:rsid w:val="00F46B37"/>
    <w:rsid w:val="00F50631"/>
    <w:rsid w:val="00F52E89"/>
    <w:rsid w:val="00F554F1"/>
    <w:rsid w:val="00F56BB7"/>
    <w:rsid w:val="00F56E5C"/>
    <w:rsid w:val="00F64C8A"/>
    <w:rsid w:val="00F65085"/>
    <w:rsid w:val="00F7138B"/>
    <w:rsid w:val="00F72455"/>
    <w:rsid w:val="00F73E71"/>
    <w:rsid w:val="00F73EE2"/>
    <w:rsid w:val="00F776A9"/>
    <w:rsid w:val="00F82676"/>
    <w:rsid w:val="00F82BBD"/>
    <w:rsid w:val="00F847E5"/>
    <w:rsid w:val="00F85ECF"/>
    <w:rsid w:val="00F86774"/>
    <w:rsid w:val="00F92888"/>
    <w:rsid w:val="00F97628"/>
    <w:rsid w:val="00F97D89"/>
    <w:rsid w:val="00F97E9B"/>
    <w:rsid w:val="00FA282A"/>
    <w:rsid w:val="00FA2EB9"/>
    <w:rsid w:val="00FA32ED"/>
    <w:rsid w:val="00FA3BDE"/>
    <w:rsid w:val="00FA4214"/>
    <w:rsid w:val="00FB1432"/>
    <w:rsid w:val="00FB2B13"/>
    <w:rsid w:val="00FB46DF"/>
    <w:rsid w:val="00FB6EE7"/>
    <w:rsid w:val="00FB70AE"/>
    <w:rsid w:val="00FB70D8"/>
    <w:rsid w:val="00FB7A50"/>
    <w:rsid w:val="00FC0989"/>
    <w:rsid w:val="00FC0C8B"/>
    <w:rsid w:val="00FC42BB"/>
    <w:rsid w:val="00FC4DFF"/>
    <w:rsid w:val="00FC7A32"/>
    <w:rsid w:val="00FD27EB"/>
    <w:rsid w:val="00FD59B1"/>
    <w:rsid w:val="00FD5C6E"/>
    <w:rsid w:val="00FD692A"/>
    <w:rsid w:val="00FE00B5"/>
    <w:rsid w:val="00FE188B"/>
    <w:rsid w:val="00FE302B"/>
    <w:rsid w:val="00FE49DA"/>
    <w:rsid w:val="00FF1C3F"/>
    <w:rsid w:val="00FF23B7"/>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B969D"/>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rPr>
  </w:style>
  <w:style w:type="character" w:customStyle="1" w:styleId="MGfulltextChar">
    <w:name w:val="MG_fulltext Char"/>
    <w:basedOn w:val="DefaultParagraphFont"/>
    <w:link w:val="MGfulltext"/>
    <w:rsid w:val="00B32E40"/>
    <w:rPr>
      <w:rFonts w:ascii="Arial" w:eastAsia="Times New Roman" w:hAnsi="Arial" w:cs="Arial"/>
      <w:sz w:val="24"/>
      <w:szCs w:val="24"/>
      <w:lang w:val="es-E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2.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12BFF-040E-4D49-86A9-AFD354903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6549</Words>
  <Characters>37335</Characters>
  <Application>Microsoft Office Word</Application>
  <DocSecurity>0</DocSecurity>
  <Lines>311</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11</cp:revision>
  <cp:lastPrinted>2024-10-04T05:17:00Z</cp:lastPrinted>
  <dcterms:created xsi:type="dcterms:W3CDTF">2024-10-17T08:31:00Z</dcterms:created>
  <dcterms:modified xsi:type="dcterms:W3CDTF">2024-10-21T11:19:00Z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