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A7F4" w14:textId="63A73161" w:rsidR="00275F13" w:rsidRPr="001A2E55" w:rsidRDefault="007D1330" w:rsidP="00CB0FED">
      <w:pPr>
        <w:pBdr>
          <w:top w:val="single" w:sz="12" w:space="0" w:color="auto" w:shadow="1"/>
          <w:left w:val="single" w:sz="12" w:space="4" w:color="auto" w:shadow="1"/>
          <w:bottom w:val="single" w:sz="12" w:space="1" w:color="auto" w:shadow="1"/>
          <w:right w:val="single" w:sz="4" w:space="0" w:color="auto"/>
        </w:pBdr>
        <w:ind w:right="4490"/>
        <w:rPr>
          <w:rFonts w:asciiTheme="minorHAnsi" w:hAnsiTheme="minorHAnsi" w:cstheme="minorHAnsi"/>
          <w:bCs/>
          <w:noProof/>
          <w:lang w:val="es-ES"/>
        </w:rPr>
      </w:pPr>
      <w:r w:rsidRPr="00D643EF">
        <w:rPr>
          <w:bCs/>
          <w:lang w:val="es-ES"/>
        </w:rPr>
        <w:t>LA</w:t>
      </w:r>
      <w:r w:rsidRPr="001A2E55">
        <w:rPr>
          <w:rFonts w:asciiTheme="minorHAnsi" w:hAnsiTheme="minorHAnsi" w:cstheme="minorHAnsi"/>
          <w:bCs/>
          <w:noProof/>
          <w:lang w:val="es-ES"/>
        </w:rPr>
        <w:t xml:space="preserve"> CONVENCIÓN SOBRE LOS HUMEDALES</w:t>
      </w:r>
    </w:p>
    <w:p w14:paraId="1B452896" w14:textId="005B66C2" w:rsidR="00800F14" w:rsidRPr="001A2E55" w:rsidRDefault="00FF38AE" w:rsidP="00CB0FED">
      <w:pPr>
        <w:pBdr>
          <w:top w:val="single" w:sz="12" w:space="0" w:color="auto" w:shadow="1"/>
          <w:left w:val="single" w:sz="12" w:space="4" w:color="auto" w:shadow="1"/>
          <w:bottom w:val="single" w:sz="12" w:space="1" w:color="auto" w:shadow="1"/>
          <w:right w:val="single" w:sz="4" w:space="0" w:color="auto"/>
        </w:pBdr>
        <w:ind w:right="4490"/>
        <w:rPr>
          <w:rFonts w:asciiTheme="minorHAnsi" w:hAnsiTheme="minorHAnsi" w:cstheme="minorHAnsi"/>
          <w:bCs/>
          <w:noProof/>
          <w:lang w:val="es-ES"/>
        </w:rPr>
      </w:pPr>
      <w:r w:rsidRPr="001A2E55">
        <w:rPr>
          <w:rFonts w:asciiTheme="minorHAnsi" w:hAnsiTheme="minorHAnsi" w:cstheme="minorHAnsi"/>
          <w:bCs/>
          <w:noProof/>
          <w:lang w:val="es-ES"/>
        </w:rPr>
        <w:t>6</w:t>
      </w:r>
      <w:r w:rsidR="00E55CB4" w:rsidRPr="001A2E55">
        <w:rPr>
          <w:rFonts w:asciiTheme="minorHAnsi" w:hAnsiTheme="minorHAnsi" w:cstheme="minorHAnsi"/>
          <w:bCs/>
          <w:noProof/>
          <w:lang w:val="es-ES"/>
        </w:rPr>
        <w:t>4</w:t>
      </w:r>
      <w:r w:rsidR="00800F14" w:rsidRPr="001A2E55">
        <w:rPr>
          <w:rFonts w:asciiTheme="minorHAnsi" w:hAnsiTheme="minorHAnsi" w:cstheme="minorHAnsi"/>
          <w:bCs/>
          <w:noProof/>
          <w:lang w:val="es-ES"/>
        </w:rPr>
        <w:t xml:space="preserve">ª </w:t>
      </w:r>
      <w:r w:rsidRPr="001A2E55">
        <w:rPr>
          <w:rFonts w:asciiTheme="minorHAnsi" w:hAnsiTheme="minorHAnsi" w:cstheme="minorHAnsi"/>
          <w:bCs/>
          <w:noProof/>
          <w:lang w:val="es-ES"/>
        </w:rPr>
        <w:t>r</w:t>
      </w:r>
      <w:r w:rsidR="00800F14" w:rsidRPr="001A2E55">
        <w:rPr>
          <w:rFonts w:asciiTheme="minorHAnsi" w:hAnsiTheme="minorHAnsi" w:cstheme="minorHAnsi"/>
          <w:bCs/>
          <w:noProof/>
          <w:lang w:val="es-ES"/>
        </w:rPr>
        <w:t>eunión del Comité Permanente</w:t>
      </w:r>
    </w:p>
    <w:p w14:paraId="50D733C1" w14:textId="7CFF5B9E" w:rsidR="00DF2386" w:rsidRPr="001A2E55" w:rsidRDefault="00DF2386" w:rsidP="00CB0FED">
      <w:pPr>
        <w:pBdr>
          <w:top w:val="single" w:sz="12" w:space="0" w:color="auto" w:shadow="1"/>
          <w:left w:val="single" w:sz="12" w:space="4" w:color="auto" w:shadow="1"/>
          <w:bottom w:val="single" w:sz="12" w:space="1" w:color="auto" w:shadow="1"/>
          <w:right w:val="single" w:sz="4" w:space="0" w:color="auto"/>
        </w:pBdr>
        <w:ind w:right="4490"/>
        <w:rPr>
          <w:rFonts w:asciiTheme="minorHAnsi" w:hAnsiTheme="minorHAnsi" w:cstheme="minorHAnsi"/>
          <w:bCs/>
          <w:noProof/>
          <w:lang w:val="es-ES"/>
        </w:rPr>
      </w:pPr>
      <w:r w:rsidRPr="001A2E55">
        <w:rPr>
          <w:rFonts w:asciiTheme="minorHAnsi" w:hAnsiTheme="minorHAnsi" w:cstheme="minorHAnsi"/>
          <w:bCs/>
          <w:noProof/>
          <w:lang w:val="es-ES"/>
        </w:rPr>
        <w:t xml:space="preserve">Gland, </w:t>
      </w:r>
      <w:r w:rsidR="007D1330" w:rsidRPr="001A2E55">
        <w:rPr>
          <w:rFonts w:asciiTheme="minorHAnsi" w:hAnsiTheme="minorHAnsi" w:cstheme="minorHAnsi"/>
          <w:bCs/>
          <w:noProof/>
          <w:lang w:val="es-ES"/>
        </w:rPr>
        <w:t>Suiza</w:t>
      </w:r>
      <w:r w:rsidRPr="001A2E55">
        <w:rPr>
          <w:rFonts w:asciiTheme="minorHAnsi" w:hAnsiTheme="minorHAnsi" w:cstheme="minorHAnsi"/>
          <w:bCs/>
          <w:noProof/>
          <w:lang w:val="es-ES"/>
        </w:rPr>
        <w:t xml:space="preserve">, </w:t>
      </w:r>
      <w:r w:rsidR="00E55CB4" w:rsidRPr="001A2E55">
        <w:rPr>
          <w:rFonts w:asciiTheme="minorHAnsi" w:hAnsiTheme="minorHAnsi" w:cstheme="minorHAnsi"/>
          <w:bCs/>
          <w:noProof/>
          <w:lang w:val="es-ES"/>
        </w:rPr>
        <w:t>20 a 25 de enero de 2025</w:t>
      </w:r>
    </w:p>
    <w:p w14:paraId="6AE96694" w14:textId="77777777" w:rsidR="00DF2386" w:rsidRPr="001A2E55" w:rsidRDefault="00DF2386" w:rsidP="00633DD5">
      <w:pPr>
        <w:outlineLvl w:val="0"/>
        <w:rPr>
          <w:rFonts w:asciiTheme="minorHAnsi" w:hAnsiTheme="minorHAnsi" w:cstheme="minorHAnsi"/>
          <w:b/>
          <w:noProof/>
          <w:lang w:val="es-ES"/>
        </w:rPr>
      </w:pPr>
    </w:p>
    <w:p w14:paraId="17112917" w14:textId="78C0F277" w:rsidR="00DF2386" w:rsidRPr="001A2E55" w:rsidRDefault="00FF38AE" w:rsidP="00633DD5">
      <w:pPr>
        <w:jc w:val="right"/>
        <w:rPr>
          <w:rFonts w:asciiTheme="minorHAnsi" w:hAnsiTheme="minorHAnsi" w:cstheme="minorHAnsi"/>
          <w:noProof/>
          <w:sz w:val="28"/>
          <w:szCs w:val="28"/>
          <w:lang w:val="es-ES"/>
        </w:rPr>
      </w:pPr>
      <w:r w:rsidRPr="001A2E55">
        <w:rPr>
          <w:rFonts w:asciiTheme="minorHAnsi" w:hAnsiTheme="minorHAnsi" w:cstheme="minorHAnsi"/>
          <w:b/>
          <w:noProof/>
          <w:sz w:val="28"/>
          <w:szCs w:val="28"/>
          <w:lang w:val="es-ES"/>
        </w:rPr>
        <w:t>SC6</w:t>
      </w:r>
      <w:r w:rsidR="00E55CB4" w:rsidRPr="001A2E55">
        <w:rPr>
          <w:rFonts w:asciiTheme="minorHAnsi" w:hAnsiTheme="minorHAnsi" w:cstheme="minorHAnsi"/>
          <w:b/>
          <w:noProof/>
          <w:sz w:val="28"/>
          <w:szCs w:val="28"/>
          <w:lang w:val="es-ES"/>
        </w:rPr>
        <w:t>4</w:t>
      </w:r>
      <w:r w:rsidR="00FE0913" w:rsidRPr="001A2E55">
        <w:rPr>
          <w:rFonts w:asciiTheme="minorHAnsi" w:hAnsiTheme="minorHAnsi" w:cstheme="minorHAnsi"/>
          <w:b/>
          <w:noProof/>
          <w:sz w:val="28"/>
          <w:szCs w:val="28"/>
          <w:lang w:val="es-ES"/>
        </w:rPr>
        <w:t xml:space="preserve"> </w:t>
      </w:r>
      <w:r w:rsidR="009D425A" w:rsidRPr="001A2E55">
        <w:rPr>
          <w:rFonts w:asciiTheme="minorHAnsi" w:hAnsiTheme="minorHAnsi" w:cstheme="minorHAnsi"/>
          <w:b/>
          <w:noProof/>
          <w:sz w:val="28"/>
          <w:szCs w:val="28"/>
          <w:lang w:val="es-ES"/>
        </w:rPr>
        <w:t>Doc.</w:t>
      </w:r>
      <w:r w:rsidR="009A5A69" w:rsidRPr="001A2E55">
        <w:rPr>
          <w:rFonts w:asciiTheme="minorHAnsi" w:hAnsiTheme="minorHAnsi" w:cstheme="minorHAnsi"/>
          <w:b/>
          <w:noProof/>
          <w:sz w:val="28"/>
          <w:szCs w:val="28"/>
          <w:lang w:val="es-ES"/>
        </w:rPr>
        <w:t>9</w:t>
      </w:r>
      <w:r w:rsidR="00DE5D75" w:rsidRPr="001A2E55">
        <w:rPr>
          <w:rFonts w:asciiTheme="minorHAnsi" w:hAnsiTheme="minorHAnsi" w:cstheme="minorHAnsi"/>
          <w:b/>
          <w:noProof/>
          <w:sz w:val="28"/>
          <w:szCs w:val="28"/>
          <w:lang w:val="es-ES"/>
        </w:rPr>
        <w:t>.</w:t>
      </w:r>
      <w:r w:rsidR="00FE0913" w:rsidRPr="001A2E55">
        <w:rPr>
          <w:rFonts w:asciiTheme="minorHAnsi" w:hAnsiTheme="minorHAnsi" w:cstheme="minorHAnsi"/>
          <w:b/>
          <w:noProof/>
          <w:sz w:val="28"/>
          <w:szCs w:val="28"/>
          <w:lang w:val="es-ES"/>
        </w:rPr>
        <w:t>1</w:t>
      </w:r>
    </w:p>
    <w:p w14:paraId="08620B6F" w14:textId="77777777" w:rsidR="00DF2386" w:rsidRPr="001A2E55" w:rsidRDefault="00DF2386" w:rsidP="00633DD5">
      <w:pPr>
        <w:rPr>
          <w:rFonts w:asciiTheme="minorHAnsi" w:hAnsiTheme="minorHAnsi" w:cstheme="minorHAnsi"/>
          <w:b/>
          <w:noProof/>
          <w:sz w:val="28"/>
          <w:szCs w:val="28"/>
          <w:lang w:val="es-ES"/>
        </w:rPr>
      </w:pPr>
    </w:p>
    <w:p w14:paraId="2B3E6A6E" w14:textId="77777777" w:rsidR="00E83424" w:rsidRPr="001A2E55" w:rsidRDefault="00E83424" w:rsidP="00E83424">
      <w:pPr>
        <w:ind w:left="0" w:firstLine="0"/>
        <w:jc w:val="center"/>
        <w:rPr>
          <w:rFonts w:asciiTheme="minorHAnsi" w:hAnsiTheme="minorHAnsi" w:cstheme="minorHAnsi"/>
          <w:b/>
          <w:noProof/>
          <w:sz w:val="28"/>
          <w:szCs w:val="28"/>
          <w:lang w:val="es-ES"/>
        </w:rPr>
      </w:pPr>
      <w:r w:rsidRPr="001A2E55">
        <w:rPr>
          <w:rFonts w:asciiTheme="minorHAnsi" w:hAnsiTheme="minorHAnsi" w:cstheme="minorHAnsi"/>
          <w:b/>
          <w:noProof/>
          <w:sz w:val="28"/>
          <w:lang w:val="es-ES"/>
        </w:rPr>
        <w:t>Cuestiones financieras y presupuestarias:</w:t>
      </w:r>
    </w:p>
    <w:p w14:paraId="324A6EB2" w14:textId="77777777" w:rsidR="0078122C" w:rsidRPr="001A2E55" w:rsidRDefault="004E3A8B" w:rsidP="00633DD5">
      <w:pPr>
        <w:ind w:left="0" w:firstLine="0"/>
        <w:jc w:val="center"/>
        <w:rPr>
          <w:rFonts w:asciiTheme="minorHAnsi" w:hAnsiTheme="minorHAnsi" w:cstheme="minorHAnsi"/>
          <w:b/>
          <w:noProof/>
          <w:sz w:val="28"/>
          <w:szCs w:val="28"/>
          <w:lang w:val="es-ES"/>
        </w:rPr>
      </w:pPr>
      <w:r w:rsidRPr="001A2E55">
        <w:rPr>
          <w:rFonts w:asciiTheme="minorHAnsi" w:hAnsiTheme="minorHAnsi" w:cstheme="minorHAnsi"/>
          <w:b/>
          <w:noProof/>
          <w:sz w:val="28"/>
          <w:szCs w:val="28"/>
          <w:lang w:val="es-ES"/>
        </w:rPr>
        <w:t xml:space="preserve">Informe sobre cuestiones financieras para </w:t>
      </w:r>
      <w:r w:rsidR="00C03FC6" w:rsidRPr="001A2E55">
        <w:rPr>
          <w:rFonts w:asciiTheme="minorHAnsi" w:hAnsiTheme="minorHAnsi" w:cstheme="minorHAnsi"/>
          <w:b/>
          <w:noProof/>
          <w:sz w:val="28"/>
          <w:szCs w:val="28"/>
          <w:lang w:val="es-ES"/>
        </w:rPr>
        <w:t>202</w:t>
      </w:r>
      <w:r w:rsidR="00E55CB4" w:rsidRPr="001A2E55">
        <w:rPr>
          <w:rFonts w:asciiTheme="minorHAnsi" w:hAnsiTheme="minorHAnsi" w:cstheme="minorHAnsi"/>
          <w:b/>
          <w:noProof/>
          <w:sz w:val="28"/>
          <w:szCs w:val="28"/>
          <w:lang w:val="es-ES"/>
        </w:rPr>
        <w:t>4</w:t>
      </w:r>
      <w:r w:rsidR="00FF38AE" w:rsidRPr="001A2E55">
        <w:rPr>
          <w:rFonts w:asciiTheme="minorHAnsi" w:hAnsiTheme="minorHAnsi" w:cstheme="minorHAnsi"/>
          <w:b/>
          <w:noProof/>
          <w:sz w:val="28"/>
          <w:szCs w:val="28"/>
          <w:lang w:val="es-ES"/>
        </w:rPr>
        <w:t xml:space="preserve"> y 202</w:t>
      </w:r>
      <w:r w:rsidR="00E55CB4" w:rsidRPr="001A2E55">
        <w:rPr>
          <w:rFonts w:asciiTheme="minorHAnsi" w:hAnsiTheme="minorHAnsi" w:cstheme="minorHAnsi"/>
          <w:b/>
          <w:noProof/>
          <w:sz w:val="28"/>
          <w:szCs w:val="28"/>
          <w:lang w:val="es-ES"/>
        </w:rPr>
        <w:t xml:space="preserve">5 </w:t>
      </w:r>
    </w:p>
    <w:p w14:paraId="345D5E04" w14:textId="429D942E" w:rsidR="00DF2386" w:rsidRPr="001A2E55" w:rsidRDefault="00E55CB4" w:rsidP="00633DD5">
      <w:pPr>
        <w:ind w:left="0" w:firstLine="0"/>
        <w:jc w:val="center"/>
        <w:rPr>
          <w:rFonts w:asciiTheme="minorHAnsi" w:hAnsiTheme="minorHAnsi" w:cstheme="minorHAnsi"/>
          <w:b/>
          <w:noProof/>
          <w:sz w:val="28"/>
          <w:szCs w:val="28"/>
          <w:lang w:val="es-ES"/>
        </w:rPr>
      </w:pPr>
      <w:r w:rsidRPr="001A2E55">
        <w:rPr>
          <w:rFonts w:asciiTheme="minorHAnsi" w:hAnsiTheme="minorHAnsi" w:cstheme="minorHAnsi"/>
          <w:b/>
          <w:noProof/>
          <w:sz w:val="28"/>
          <w:szCs w:val="28"/>
          <w:lang w:val="es-ES"/>
        </w:rPr>
        <w:t>(a 30 de septiembre de 2024)</w:t>
      </w:r>
    </w:p>
    <w:p w14:paraId="2398D623" w14:textId="77777777" w:rsidR="009A5A69" w:rsidRPr="001A2E55" w:rsidRDefault="009A5A69" w:rsidP="00162710">
      <w:pPr>
        <w:rPr>
          <w:rFonts w:asciiTheme="minorHAnsi" w:hAnsiTheme="minorHAnsi" w:cstheme="minorHAnsi"/>
          <w:b/>
          <w:noProof/>
          <w:lang w:val="es-ES"/>
        </w:rPr>
      </w:pPr>
    </w:p>
    <w:p w14:paraId="0154D997" w14:textId="77777777" w:rsidR="005F538E" w:rsidRPr="001A2E55" w:rsidRDefault="005F538E" w:rsidP="005F538E">
      <w:pPr>
        <w:autoSpaceDE w:val="0"/>
        <w:autoSpaceDN w:val="0"/>
        <w:adjustRightInd w:val="0"/>
        <w:rPr>
          <w:rFonts w:asciiTheme="minorHAnsi" w:eastAsiaTheme="minorHAnsi" w:hAnsiTheme="minorHAnsi" w:cstheme="minorHAnsi"/>
          <w:b/>
          <w:bCs/>
          <w:noProof/>
          <w:lang w:val="es-ES"/>
        </w:rPr>
      </w:pPr>
      <w:r w:rsidRPr="001A2E55">
        <w:rPr>
          <w:rFonts w:asciiTheme="minorHAnsi" w:hAnsiTheme="minorHAnsi" w:cstheme="minorHAnsi"/>
          <w:noProof/>
          <w:lang w:val="es-ES" w:eastAsia="en-GB"/>
        </w:rPr>
        <mc:AlternateContent>
          <mc:Choice Requires="wps">
            <w:drawing>
              <wp:inline distT="0" distB="0" distL="0" distR="0" wp14:anchorId="4BB9195F" wp14:editId="44FAE42F">
                <wp:extent cx="5895975" cy="3640667"/>
                <wp:effectExtent l="0" t="0" r="952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40667"/>
                        </a:xfrm>
                        <a:prstGeom prst="rect">
                          <a:avLst/>
                        </a:prstGeom>
                        <a:solidFill>
                          <a:srgbClr val="FFFFFF"/>
                        </a:solidFill>
                        <a:ln w="9525">
                          <a:solidFill>
                            <a:srgbClr val="000000"/>
                          </a:solidFill>
                          <a:miter lim="800000"/>
                          <a:headEnd/>
                          <a:tailEnd/>
                        </a:ln>
                      </wps:spPr>
                      <wps:txbx>
                        <w:txbxContent>
                          <w:p w14:paraId="6D421FD8" w14:textId="3EB52A92" w:rsidR="00522338" w:rsidRPr="005F538E" w:rsidRDefault="00522338" w:rsidP="005F538E">
                            <w:pPr>
                              <w:rPr>
                                <w:b/>
                                <w:bCs/>
                                <w:noProof/>
                                <w:lang w:val="es-ES"/>
                              </w:rPr>
                            </w:pPr>
                            <w:r w:rsidRPr="005F538E">
                              <w:rPr>
                                <w:b/>
                                <w:bCs/>
                                <w:noProof/>
                                <w:lang w:val="es-ES"/>
                              </w:rPr>
                              <w:t xml:space="preserve">Acciones solicitadas: </w:t>
                            </w:r>
                          </w:p>
                          <w:p w14:paraId="1CCCA4D2" w14:textId="77777777" w:rsidR="00522338" w:rsidRPr="005F538E" w:rsidRDefault="00522338" w:rsidP="005F538E">
                            <w:pPr>
                              <w:pStyle w:val="ColorfulList-Accent11"/>
                              <w:ind w:left="0"/>
                              <w:rPr>
                                <w:noProof/>
                                <w:lang w:val="es-ES"/>
                              </w:rPr>
                            </w:pPr>
                          </w:p>
                          <w:p w14:paraId="71DBCFCC" w14:textId="65EC2310" w:rsidR="00522338" w:rsidRPr="005F538E" w:rsidRDefault="00522338" w:rsidP="005F538E">
                            <w:pPr>
                              <w:pStyle w:val="ColorfulList-Accent11"/>
                              <w:ind w:left="0" w:firstLine="0"/>
                              <w:rPr>
                                <w:rFonts w:cs="Calibri"/>
                                <w:noProof/>
                                <w:lang w:val="es-ES"/>
                              </w:rPr>
                            </w:pPr>
                            <w:r>
                              <w:rPr>
                                <w:noProof/>
                                <w:lang w:val="es-ES"/>
                              </w:rPr>
                              <w:t>Se invita al Comité Permanente a hacer lo siguiente</w:t>
                            </w:r>
                            <w:r w:rsidRPr="005F538E">
                              <w:rPr>
                                <w:rFonts w:cs="Calibri"/>
                                <w:noProof/>
                                <w:lang w:val="es-ES"/>
                              </w:rPr>
                              <w:t>:</w:t>
                            </w:r>
                          </w:p>
                          <w:p w14:paraId="18BFB834" w14:textId="77777777" w:rsidR="00522338" w:rsidRPr="005F538E" w:rsidRDefault="00522338" w:rsidP="005F538E">
                            <w:pPr>
                              <w:pStyle w:val="ColorfulList-Accent11"/>
                              <w:ind w:left="0"/>
                              <w:rPr>
                                <w:rFonts w:cs="Calibri"/>
                                <w:noProof/>
                                <w:lang w:val="es-ES"/>
                              </w:rPr>
                            </w:pPr>
                          </w:p>
                          <w:p w14:paraId="3DA025D2" w14:textId="6D171AD6" w:rsidR="00522338" w:rsidRDefault="00522338" w:rsidP="005F538E">
                            <w:pPr>
                              <w:pStyle w:val="ColorfulList-Accent11"/>
                              <w:ind w:left="426"/>
                              <w:rPr>
                                <w:rFonts w:cs="Calibri"/>
                                <w:noProof/>
                                <w:lang w:val="es-ES"/>
                              </w:rPr>
                            </w:pPr>
                            <w:r w:rsidRPr="005F538E">
                              <w:rPr>
                                <w:rFonts w:cs="Calibri"/>
                                <w:noProof/>
                                <w:lang w:val="es-ES"/>
                              </w:rPr>
                              <w:t>i.</w:t>
                            </w:r>
                            <w:r w:rsidRPr="005F538E">
                              <w:rPr>
                                <w:rFonts w:cs="Calibri"/>
                                <w:noProof/>
                                <w:lang w:val="es-ES"/>
                              </w:rPr>
                              <w:tab/>
                            </w:r>
                            <w:r w:rsidR="0078122C">
                              <w:rPr>
                                <w:rFonts w:cs="Calibri"/>
                                <w:noProof/>
                                <w:lang w:val="es-ES"/>
                              </w:rPr>
                              <w:t>t</w:t>
                            </w:r>
                            <w:r w:rsidR="0078122C" w:rsidRPr="0078122C">
                              <w:rPr>
                                <w:rFonts w:cs="Calibri"/>
                                <w:noProof/>
                                <w:lang w:val="es-ES"/>
                              </w:rPr>
                              <w:t>omar nota de las estimaciones provisionales de los resultados del presupuesto básico para 2024;</w:t>
                            </w:r>
                          </w:p>
                          <w:p w14:paraId="565CEC2F" w14:textId="77777777" w:rsidR="0078122C" w:rsidRPr="005F538E" w:rsidRDefault="0078122C" w:rsidP="005F538E">
                            <w:pPr>
                              <w:pStyle w:val="ColorfulList-Accent11"/>
                              <w:ind w:left="426"/>
                              <w:rPr>
                                <w:rFonts w:cs="Calibri"/>
                                <w:noProof/>
                                <w:lang w:val="es-ES"/>
                              </w:rPr>
                            </w:pPr>
                          </w:p>
                          <w:p w14:paraId="0D98366A" w14:textId="1732EB08" w:rsidR="00522338" w:rsidRDefault="00522338" w:rsidP="005F538E">
                            <w:pPr>
                              <w:pStyle w:val="ColorfulList-Accent11"/>
                              <w:ind w:left="426"/>
                              <w:rPr>
                                <w:rFonts w:cs="Calibri"/>
                                <w:noProof/>
                                <w:lang w:val="es-ES"/>
                              </w:rPr>
                            </w:pPr>
                            <w:r w:rsidRPr="005F538E">
                              <w:rPr>
                                <w:rFonts w:cs="Calibri"/>
                                <w:noProof/>
                                <w:lang w:val="es-ES"/>
                              </w:rPr>
                              <w:t>ii.</w:t>
                            </w:r>
                            <w:r w:rsidRPr="005F538E">
                              <w:rPr>
                                <w:rFonts w:cs="Calibri"/>
                                <w:noProof/>
                                <w:lang w:val="es-ES"/>
                              </w:rPr>
                              <w:tab/>
                            </w:r>
                            <w:r w:rsidR="0078122C" w:rsidRPr="0078122C">
                              <w:rPr>
                                <w:rFonts w:cs="Calibri"/>
                                <w:noProof/>
                                <w:lang w:val="es-ES"/>
                              </w:rPr>
                              <w:t xml:space="preserve">tomar nota de las estimaciones provisionales </w:t>
                            </w:r>
                            <w:r w:rsidR="0078122C">
                              <w:rPr>
                                <w:rFonts w:cs="Calibri"/>
                                <w:noProof/>
                                <w:lang w:val="es-ES"/>
                              </w:rPr>
                              <w:t>sobre</w:t>
                            </w:r>
                            <w:r w:rsidR="0078122C" w:rsidRPr="0078122C">
                              <w:rPr>
                                <w:rFonts w:cs="Calibri"/>
                                <w:noProof/>
                                <w:lang w:val="es-ES"/>
                              </w:rPr>
                              <w:t xml:space="preserve"> la situación de </w:t>
                            </w:r>
                            <w:r w:rsidR="0078122C">
                              <w:rPr>
                                <w:rFonts w:cs="Calibri"/>
                                <w:noProof/>
                                <w:lang w:val="es-ES"/>
                              </w:rPr>
                              <w:t>los fondos</w:t>
                            </w:r>
                            <w:r w:rsidR="0078122C" w:rsidRPr="0078122C">
                              <w:rPr>
                                <w:rFonts w:cs="Calibri"/>
                                <w:noProof/>
                                <w:lang w:val="es-ES"/>
                              </w:rPr>
                              <w:t xml:space="preserve"> complementari</w:t>
                            </w:r>
                            <w:r w:rsidR="0078122C">
                              <w:rPr>
                                <w:rFonts w:cs="Calibri"/>
                                <w:noProof/>
                                <w:lang w:val="es-ES"/>
                              </w:rPr>
                              <w:t>os</w:t>
                            </w:r>
                            <w:r w:rsidR="0078122C" w:rsidRPr="0078122C">
                              <w:rPr>
                                <w:rFonts w:cs="Calibri"/>
                                <w:noProof/>
                                <w:lang w:val="es-ES"/>
                              </w:rPr>
                              <w:t xml:space="preserve"> y las contribuciones voluntarias para 2024</w:t>
                            </w:r>
                            <w:r>
                              <w:rPr>
                                <w:rFonts w:cs="Calibri"/>
                                <w:noProof/>
                                <w:lang w:val="es-ES"/>
                              </w:rPr>
                              <w:t>;</w:t>
                            </w:r>
                          </w:p>
                          <w:p w14:paraId="47545B70" w14:textId="77777777" w:rsidR="00522338" w:rsidRPr="005F538E" w:rsidRDefault="00522338" w:rsidP="005F538E">
                            <w:pPr>
                              <w:pStyle w:val="ColorfulList-Accent11"/>
                              <w:ind w:left="426"/>
                              <w:rPr>
                                <w:rFonts w:cs="Calibri"/>
                                <w:noProof/>
                                <w:lang w:val="es-ES"/>
                              </w:rPr>
                            </w:pPr>
                          </w:p>
                          <w:p w14:paraId="39DB2D61" w14:textId="707DA9CA" w:rsidR="00522338" w:rsidRDefault="00522338" w:rsidP="005F538E">
                            <w:pPr>
                              <w:pStyle w:val="ColorfulList-Accent11"/>
                              <w:ind w:left="426"/>
                              <w:rPr>
                                <w:rFonts w:cs="Calibri"/>
                                <w:noProof/>
                                <w:lang w:val="es-ES"/>
                              </w:rPr>
                            </w:pPr>
                            <w:r w:rsidRPr="005F538E">
                              <w:rPr>
                                <w:rFonts w:cs="Calibri"/>
                                <w:noProof/>
                                <w:lang w:val="es-ES"/>
                              </w:rPr>
                              <w:t>iii.</w:t>
                            </w:r>
                            <w:r w:rsidRPr="005F538E">
                              <w:rPr>
                                <w:rFonts w:cs="Calibri"/>
                                <w:noProof/>
                                <w:lang w:val="es-ES"/>
                              </w:rPr>
                              <w:tab/>
                            </w:r>
                            <w:r w:rsidR="0078122C" w:rsidRPr="0078122C">
                              <w:rPr>
                                <w:rFonts w:cs="Calibri"/>
                                <w:noProof/>
                                <w:lang w:val="es-ES"/>
                              </w:rPr>
                              <w:t xml:space="preserve">tomar nota del traspaso estimado de fondos de 2024 a 2025, tal como se describe en el </w:t>
                            </w:r>
                            <w:r w:rsidR="0078122C">
                              <w:rPr>
                                <w:rFonts w:cs="Calibri"/>
                                <w:noProof/>
                                <w:lang w:val="es-ES"/>
                              </w:rPr>
                              <w:t>párrafo</w:t>
                            </w:r>
                            <w:r w:rsidR="0078122C" w:rsidRPr="0078122C">
                              <w:rPr>
                                <w:rFonts w:cs="Calibri"/>
                                <w:noProof/>
                                <w:lang w:val="es-ES"/>
                              </w:rPr>
                              <w:t xml:space="preserve"> 8 y se presenta en la columna C </w:t>
                            </w:r>
                            <w:r w:rsidR="0078122C">
                              <w:rPr>
                                <w:rFonts w:cs="Calibri"/>
                                <w:noProof/>
                                <w:lang w:val="es-ES"/>
                              </w:rPr>
                              <w:t>del cuadro</w:t>
                            </w:r>
                            <w:r w:rsidR="0078122C" w:rsidRPr="0078122C">
                              <w:rPr>
                                <w:rFonts w:cs="Calibri"/>
                                <w:noProof/>
                                <w:lang w:val="es-ES"/>
                              </w:rPr>
                              <w:t xml:space="preserve"> del </w:t>
                            </w:r>
                            <w:r w:rsidR="0078122C">
                              <w:rPr>
                                <w:rFonts w:cs="Calibri"/>
                                <w:noProof/>
                                <w:lang w:val="es-ES"/>
                              </w:rPr>
                              <w:t>a</w:t>
                            </w:r>
                            <w:r w:rsidR="0078122C" w:rsidRPr="0078122C">
                              <w:rPr>
                                <w:rFonts w:cs="Calibri"/>
                                <w:noProof/>
                                <w:lang w:val="es-ES"/>
                              </w:rPr>
                              <w:t>nexo 3</w:t>
                            </w:r>
                            <w:r w:rsidRPr="006D2AA2">
                              <w:rPr>
                                <w:rFonts w:cs="Calibri"/>
                                <w:noProof/>
                                <w:lang w:val="es-ES"/>
                              </w:rPr>
                              <w:t>;</w:t>
                            </w:r>
                          </w:p>
                          <w:p w14:paraId="063EF208" w14:textId="77777777" w:rsidR="00522338" w:rsidRPr="005F538E" w:rsidRDefault="00522338" w:rsidP="005F538E">
                            <w:pPr>
                              <w:pStyle w:val="ColorfulList-Accent11"/>
                              <w:ind w:left="426"/>
                              <w:rPr>
                                <w:rFonts w:cs="Calibri"/>
                                <w:noProof/>
                                <w:lang w:val="es-ES"/>
                              </w:rPr>
                            </w:pPr>
                            <w:r w:rsidRPr="005F538E">
                              <w:rPr>
                                <w:rFonts w:cs="Calibri"/>
                                <w:noProof/>
                                <w:lang w:val="es-ES"/>
                              </w:rPr>
                              <w:tab/>
                            </w:r>
                          </w:p>
                          <w:p w14:paraId="1F20FFB4" w14:textId="6B2F1BB6" w:rsidR="00522338" w:rsidRDefault="00522338" w:rsidP="0078122C">
                            <w:pPr>
                              <w:pStyle w:val="ColorfulList-Accent11"/>
                              <w:ind w:left="426"/>
                              <w:rPr>
                                <w:rFonts w:cs="Calibri"/>
                                <w:noProof/>
                                <w:lang w:val="es-ES"/>
                              </w:rPr>
                            </w:pPr>
                            <w:r w:rsidRPr="005F538E">
                              <w:rPr>
                                <w:rFonts w:cs="Calibri"/>
                                <w:noProof/>
                                <w:lang w:val="es-ES"/>
                              </w:rPr>
                              <w:t>iv.</w:t>
                            </w:r>
                            <w:r w:rsidRPr="005F538E">
                              <w:rPr>
                                <w:rFonts w:cs="Calibri"/>
                                <w:noProof/>
                                <w:lang w:val="es-ES"/>
                              </w:rPr>
                              <w:tab/>
                            </w:r>
                            <w:r w:rsidR="0078122C" w:rsidRPr="0078122C">
                              <w:rPr>
                                <w:rFonts w:cs="Calibri"/>
                                <w:noProof/>
                                <w:lang w:val="es-ES"/>
                              </w:rPr>
                              <w:t xml:space="preserve">aprobar el uso temporal de los fondos de reserva como préstamo para complementar la financiación voluntaria para el apoyo a los delegados patrocinados </w:t>
                            </w:r>
                            <w:r w:rsidR="00530444">
                              <w:rPr>
                                <w:rFonts w:cs="Calibri"/>
                                <w:noProof/>
                                <w:lang w:val="es-ES"/>
                              </w:rPr>
                              <w:t>para</w:t>
                            </w:r>
                            <w:r w:rsidR="0078122C" w:rsidRPr="0078122C">
                              <w:rPr>
                                <w:rFonts w:cs="Calibri"/>
                                <w:noProof/>
                                <w:lang w:val="es-ES"/>
                              </w:rPr>
                              <w:t xml:space="preserve"> la COP15, tal como se describe en los </w:t>
                            </w:r>
                            <w:r w:rsidR="0078122C">
                              <w:rPr>
                                <w:rFonts w:cs="Calibri"/>
                                <w:noProof/>
                                <w:lang w:val="es-ES"/>
                              </w:rPr>
                              <w:t>párrafos</w:t>
                            </w:r>
                            <w:r w:rsidR="0078122C" w:rsidRPr="0078122C">
                              <w:rPr>
                                <w:rFonts w:cs="Calibri"/>
                                <w:noProof/>
                                <w:lang w:val="es-ES"/>
                              </w:rPr>
                              <w:t xml:space="preserve"> 13, 14 y 20</w:t>
                            </w:r>
                            <w:r w:rsidR="0078122C">
                              <w:rPr>
                                <w:rFonts w:cs="Calibri"/>
                                <w:noProof/>
                                <w:lang w:val="es-ES"/>
                              </w:rPr>
                              <w:t>;</w:t>
                            </w:r>
                          </w:p>
                          <w:p w14:paraId="6E70451D" w14:textId="77777777" w:rsidR="00522338" w:rsidRPr="005F538E" w:rsidRDefault="00522338" w:rsidP="005F538E">
                            <w:pPr>
                              <w:pStyle w:val="ColorfulList-Accent11"/>
                              <w:ind w:left="426"/>
                              <w:rPr>
                                <w:rFonts w:cs="Calibri"/>
                                <w:noProof/>
                                <w:lang w:val="es-ES"/>
                              </w:rPr>
                            </w:pPr>
                          </w:p>
                          <w:p w14:paraId="78FD0142" w14:textId="333A88A2" w:rsidR="00522338" w:rsidRDefault="00522338" w:rsidP="00CC6F63">
                            <w:pPr>
                              <w:pStyle w:val="ColorfulList-Accent11"/>
                              <w:ind w:left="426"/>
                              <w:rPr>
                                <w:rFonts w:cs="Calibri"/>
                                <w:noProof/>
                                <w:lang w:val="es-ES"/>
                              </w:rPr>
                            </w:pPr>
                            <w:r w:rsidRPr="005F538E">
                              <w:rPr>
                                <w:rFonts w:cs="Calibri"/>
                                <w:noProof/>
                                <w:lang w:val="es-ES"/>
                              </w:rPr>
                              <w:t>v.</w:t>
                            </w:r>
                            <w:r w:rsidRPr="005F538E">
                              <w:rPr>
                                <w:rFonts w:cs="Calibri"/>
                                <w:noProof/>
                                <w:lang w:val="es-ES"/>
                              </w:rPr>
                              <w:tab/>
                            </w:r>
                            <w:r w:rsidR="0078122C" w:rsidRPr="0078122C">
                              <w:rPr>
                                <w:rFonts w:cs="Calibri"/>
                                <w:noProof/>
                                <w:lang w:val="es-ES"/>
                              </w:rPr>
                              <w:t>tomar nota de los saldos excedent</w:t>
                            </w:r>
                            <w:r w:rsidR="0078122C">
                              <w:rPr>
                                <w:rFonts w:cs="Calibri"/>
                                <w:noProof/>
                                <w:lang w:val="es-ES"/>
                              </w:rPr>
                              <w:t>e</w:t>
                            </w:r>
                            <w:r w:rsidR="0078122C" w:rsidRPr="0078122C">
                              <w:rPr>
                                <w:rFonts w:cs="Calibri"/>
                                <w:noProof/>
                                <w:lang w:val="es-ES"/>
                              </w:rPr>
                              <w:t>s estimados</w:t>
                            </w:r>
                            <w:r w:rsidR="0078122C">
                              <w:rPr>
                                <w:rFonts w:cs="Calibri"/>
                                <w:noProof/>
                                <w:lang w:val="es-ES"/>
                              </w:rPr>
                              <w:t>,</w:t>
                            </w:r>
                            <w:r w:rsidR="0078122C" w:rsidRPr="0078122C">
                              <w:rPr>
                                <w:rFonts w:cs="Calibri"/>
                                <w:noProof/>
                                <w:lang w:val="es-ES"/>
                              </w:rPr>
                              <w:t xml:space="preserve"> descritos en el </w:t>
                            </w:r>
                            <w:r w:rsidR="0078122C">
                              <w:rPr>
                                <w:rFonts w:cs="Calibri"/>
                                <w:noProof/>
                                <w:lang w:val="es-ES"/>
                              </w:rPr>
                              <w:t>párrafo</w:t>
                            </w:r>
                            <w:r w:rsidR="0078122C" w:rsidRPr="0078122C">
                              <w:rPr>
                                <w:rFonts w:cs="Calibri"/>
                                <w:noProof/>
                                <w:lang w:val="es-ES"/>
                              </w:rPr>
                              <w:t xml:space="preserve"> 15</w:t>
                            </w:r>
                            <w:r w:rsidR="009E6D84">
                              <w:rPr>
                                <w:rFonts w:cs="Calibri"/>
                                <w:noProof/>
                                <w:lang w:val="es-ES"/>
                              </w:rPr>
                              <w:t>.</w:t>
                            </w:r>
                          </w:p>
                          <w:p w14:paraId="159ED2D5" w14:textId="77777777" w:rsidR="00522338" w:rsidRPr="005F538E" w:rsidRDefault="00522338" w:rsidP="0078122C">
                            <w:pPr>
                              <w:pStyle w:val="ColorfulList-Accent11"/>
                              <w:ind w:left="0" w:firstLine="0"/>
                              <w:rPr>
                                <w:rFonts w:cs="Calibri"/>
                                <w:noProof/>
                                <w:lang w:val="es-ES"/>
                              </w:rPr>
                            </w:pPr>
                          </w:p>
                          <w:p w14:paraId="3B61CD4D" w14:textId="30D4B391" w:rsidR="00522338" w:rsidRPr="0033631B" w:rsidRDefault="00522338" w:rsidP="009E6D84">
                            <w:pPr>
                              <w:pStyle w:val="ColorfulList-Accent11"/>
                              <w:ind w:left="426"/>
                              <w:rPr>
                                <w:lang w:val="es-ES"/>
                              </w:rPr>
                            </w:pPr>
                            <w:r>
                              <w:rPr>
                                <w:rFonts w:cs="Calibri"/>
                                <w:noProof/>
                                <w:lang w:val="es-ES"/>
                              </w:rPr>
                              <w:t>vi</w:t>
                            </w:r>
                            <w:r w:rsidRPr="005F538E">
                              <w:rPr>
                                <w:rFonts w:cs="Calibri"/>
                                <w:noProof/>
                                <w:lang w:val="es-ES"/>
                              </w:rPr>
                              <w:t>.</w:t>
                            </w:r>
                            <w:r w:rsidRPr="005F538E">
                              <w:rPr>
                                <w:rFonts w:cs="Calibri"/>
                                <w:noProof/>
                                <w:lang w:val="es-ES"/>
                              </w:rPr>
                              <w:tab/>
                            </w:r>
                            <w:r w:rsidR="009E6D84" w:rsidRPr="009E6D84">
                              <w:rPr>
                                <w:rFonts w:cs="Calibri"/>
                                <w:noProof/>
                                <w:lang w:val="es-ES"/>
                              </w:rPr>
                              <w:t xml:space="preserve">tomar nota del presupuesto estimado para 2025, </w:t>
                            </w:r>
                            <w:r w:rsidR="009E6D84">
                              <w:rPr>
                                <w:rFonts w:cs="Calibri"/>
                                <w:noProof/>
                                <w:lang w:val="es-ES"/>
                              </w:rPr>
                              <w:t>descrito</w:t>
                            </w:r>
                            <w:r w:rsidR="009E6D84" w:rsidRPr="009E6D84">
                              <w:rPr>
                                <w:rFonts w:cs="Calibri"/>
                                <w:noProof/>
                                <w:lang w:val="es-ES"/>
                              </w:rPr>
                              <w:t xml:space="preserve"> en el </w:t>
                            </w:r>
                            <w:r w:rsidR="009E6D84">
                              <w:rPr>
                                <w:rFonts w:cs="Calibri"/>
                                <w:noProof/>
                                <w:lang w:val="es-ES"/>
                              </w:rPr>
                              <w:t>párrafo</w:t>
                            </w:r>
                            <w:r w:rsidR="009E6D84" w:rsidRPr="009E6D84">
                              <w:rPr>
                                <w:rFonts w:cs="Calibri"/>
                                <w:noProof/>
                                <w:lang w:val="es-ES"/>
                              </w:rPr>
                              <w:t xml:space="preserve"> 23.</w:t>
                            </w:r>
                          </w:p>
                        </w:txbxContent>
                      </wps:txbx>
                      <wps:bodyPr rot="0" vert="horz" wrap="square" lIns="91440" tIns="45720" rIns="91440" bIns="45720" anchor="t" anchorCtr="0" upright="1">
                        <a:noAutofit/>
                      </wps:bodyPr>
                    </wps:wsp>
                  </a:graphicData>
                </a:graphic>
              </wp:inline>
            </w:drawing>
          </mc:Choice>
          <mc:Fallback>
            <w:pict>
              <v:shapetype w14:anchorId="4BB9195F" id="_x0000_t202" coordsize="21600,21600" o:spt="202" path="m,l,21600r21600,l21600,xe">
                <v:stroke joinstyle="miter"/>
                <v:path gradientshapeok="t" o:connecttype="rect"/>
              </v:shapetype>
              <v:shape id="Text Box 1" o:spid="_x0000_s1026" type="#_x0000_t202" style="width:464.25pt;height:28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L3FwIAACw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">
                <v:textbox>
                  <w:txbxContent>
                    <w:p w14:paraId="6D421FD8" w14:textId="3EB52A92" w:rsidR="00522338" w:rsidRPr="005F538E" w:rsidRDefault="00522338" w:rsidP="005F538E">
                      <w:pPr>
                        <w:rPr>
                          <w:b/>
                          <w:bCs/>
                          <w:noProof/>
                          <w:lang w:val="es-ES"/>
                        </w:rPr>
                      </w:pPr>
                      <w:r w:rsidRPr="005F538E">
                        <w:rPr>
                          <w:b/>
                          <w:bCs/>
                          <w:noProof/>
                          <w:lang w:val="es-ES"/>
                        </w:rPr>
                        <w:t xml:space="preserve">Acciones solicitadas: </w:t>
                      </w:r>
                    </w:p>
                    <w:p w14:paraId="1CCCA4D2" w14:textId="77777777" w:rsidR="00522338" w:rsidRPr="005F538E" w:rsidRDefault="00522338" w:rsidP="005F538E">
                      <w:pPr>
                        <w:pStyle w:val="ColorfulList-Accent11"/>
                        <w:ind w:left="0"/>
                        <w:rPr>
                          <w:noProof/>
                          <w:lang w:val="es-ES"/>
                        </w:rPr>
                      </w:pPr>
                    </w:p>
                    <w:p w14:paraId="71DBCFCC" w14:textId="65EC2310" w:rsidR="00522338" w:rsidRPr="005F538E" w:rsidRDefault="00522338" w:rsidP="005F538E">
                      <w:pPr>
                        <w:pStyle w:val="ColorfulList-Accent11"/>
                        <w:ind w:left="0" w:firstLine="0"/>
                        <w:rPr>
                          <w:rFonts w:cs="Calibri"/>
                          <w:noProof/>
                          <w:lang w:val="es-ES"/>
                        </w:rPr>
                      </w:pPr>
                      <w:r>
                        <w:rPr>
                          <w:noProof/>
                          <w:lang w:val="es-ES"/>
                        </w:rPr>
                        <w:t>Se invita al Comité Permanente a hacer lo siguiente</w:t>
                      </w:r>
                      <w:r w:rsidRPr="005F538E">
                        <w:rPr>
                          <w:rFonts w:cs="Calibri"/>
                          <w:noProof/>
                          <w:lang w:val="es-ES"/>
                        </w:rPr>
                        <w:t>:</w:t>
                      </w:r>
                    </w:p>
                    <w:p w14:paraId="18BFB834" w14:textId="77777777" w:rsidR="00522338" w:rsidRPr="005F538E" w:rsidRDefault="00522338" w:rsidP="005F538E">
                      <w:pPr>
                        <w:pStyle w:val="ColorfulList-Accent11"/>
                        <w:ind w:left="0"/>
                        <w:rPr>
                          <w:rFonts w:cs="Calibri"/>
                          <w:noProof/>
                          <w:lang w:val="es-ES"/>
                        </w:rPr>
                      </w:pPr>
                    </w:p>
                    <w:p w14:paraId="3DA025D2" w14:textId="6D171AD6" w:rsidR="00522338" w:rsidRDefault="00522338" w:rsidP="005F538E">
                      <w:pPr>
                        <w:pStyle w:val="ColorfulList-Accent11"/>
                        <w:ind w:left="426"/>
                        <w:rPr>
                          <w:rFonts w:cs="Calibri"/>
                          <w:noProof/>
                          <w:lang w:val="es-ES"/>
                        </w:rPr>
                      </w:pPr>
                      <w:r w:rsidRPr="005F538E">
                        <w:rPr>
                          <w:rFonts w:cs="Calibri"/>
                          <w:noProof/>
                          <w:lang w:val="es-ES"/>
                        </w:rPr>
                        <w:t>i.</w:t>
                      </w:r>
                      <w:r w:rsidRPr="005F538E">
                        <w:rPr>
                          <w:rFonts w:cs="Calibri"/>
                          <w:noProof/>
                          <w:lang w:val="es-ES"/>
                        </w:rPr>
                        <w:tab/>
                      </w:r>
                      <w:r w:rsidR="0078122C">
                        <w:rPr>
                          <w:rFonts w:cs="Calibri"/>
                          <w:noProof/>
                          <w:lang w:val="es-ES"/>
                        </w:rPr>
                        <w:t>t</w:t>
                      </w:r>
                      <w:r w:rsidR="0078122C" w:rsidRPr="0078122C">
                        <w:rPr>
                          <w:rFonts w:cs="Calibri"/>
                          <w:noProof/>
                          <w:lang w:val="es-ES"/>
                        </w:rPr>
                        <w:t>omar nota de las estimaciones provisionales de los resultados del presupuesto básico para 2024;</w:t>
                      </w:r>
                    </w:p>
                    <w:p w14:paraId="565CEC2F" w14:textId="77777777" w:rsidR="0078122C" w:rsidRPr="005F538E" w:rsidRDefault="0078122C" w:rsidP="005F538E">
                      <w:pPr>
                        <w:pStyle w:val="ColorfulList-Accent11"/>
                        <w:ind w:left="426"/>
                        <w:rPr>
                          <w:rFonts w:cs="Calibri"/>
                          <w:noProof/>
                          <w:lang w:val="es-ES"/>
                        </w:rPr>
                      </w:pPr>
                    </w:p>
                    <w:p w14:paraId="0D98366A" w14:textId="1732EB08" w:rsidR="00522338" w:rsidRDefault="00522338" w:rsidP="005F538E">
                      <w:pPr>
                        <w:pStyle w:val="ColorfulList-Accent11"/>
                        <w:ind w:left="426"/>
                        <w:rPr>
                          <w:rFonts w:cs="Calibri"/>
                          <w:noProof/>
                          <w:lang w:val="es-ES"/>
                        </w:rPr>
                      </w:pPr>
                      <w:r w:rsidRPr="005F538E">
                        <w:rPr>
                          <w:rFonts w:cs="Calibri"/>
                          <w:noProof/>
                          <w:lang w:val="es-ES"/>
                        </w:rPr>
                        <w:t>ii.</w:t>
                      </w:r>
                      <w:r w:rsidRPr="005F538E">
                        <w:rPr>
                          <w:rFonts w:cs="Calibri"/>
                          <w:noProof/>
                          <w:lang w:val="es-ES"/>
                        </w:rPr>
                        <w:tab/>
                      </w:r>
                      <w:r w:rsidR="0078122C" w:rsidRPr="0078122C">
                        <w:rPr>
                          <w:rFonts w:cs="Calibri"/>
                          <w:noProof/>
                          <w:lang w:val="es-ES"/>
                        </w:rPr>
                        <w:t xml:space="preserve">tomar nota de las estimaciones provisionales </w:t>
                      </w:r>
                      <w:r w:rsidR="0078122C">
                        <w:rPr>
                          <w:rFonts w:cs="Calibri"/>
                          <w:noProof/>
                          <w:lang w:val="es-ES"/>
                        </w:rPr>
                        <w:t>sobre</w:t>
                      </w:r>
                      <w:r w:rsidR="0078122C" w:rsidRPr="0078122C">
                        <w:rPr>
                          <w:rFonts w:cs="Calibri"/>
                          <w:noProof/>
                          <w:lang w:val="es-ES"/>
                        </w:rPr>
                        <w:t xml:space="preserve"> la situación de </w:t>
                      </w:r>
                      <w:r w:rsidR="0078122C">
                        <w:rPr>
                          <w:rFonts w:cs="Calibri"/>
                          <w:noProof/>
                          <w:lang w:val="es-ES"/>
                        </w:rPr>
                        <w:t>los fondos</w:t>
                      </w:r>
                      <w:r w:rsidR="0078122C" w:rsidRPr="0078122C">
                        <w:rPr>
                          <w:rFonts w:cs="Calibri"/>
                          <w:noProof/>
                          <w:lang w:val="es-ES"/>
                        </w:rPr>
                        <w:t xml:space="preserve"> complementari</w:t>
                      </w:r>
                      <w:r w:rsidR="0078122C">
                        <w:rPr>
                          <w:rFonts w:cs="Calibri"/>
                          <w:noProof/>
                          <w:lang w:val="es-ES"/>
                        </w:rPr>
                        <w:t>os</w:t>
                      </w:r>
                      <w:r w:rsidR="0078122C" w:rsidRPr="0078122C">
                        <w:rPr>
                          <w:rFonts w:cs="Calibri"/>
                          <w:noProof/>
                          <w:lang w:val="es-ES"/>
                        </w:rPr>
                        <w:t xml:space="preserve"> y las contribuciones voluntarias para 2024</w:t>
                      </w:r>
                      <w:r>
                        <w:rPr>
                          <w:rFonts w:cs="Calibri"/>
                          <w:noProof/>
                          <w:lang w:val="es-ES"/>
                        </w:rPr>
                        <w:t>;</w:t>
                      </w:r>
                    </w:p>
                    <w:p w14:paraId="47545B70" w14:textId="77777777" w:rsidR="00522338" w:rsidRPr="005F538E" w:rsidRDefault="00522338" w:rsidP="005F538E">
                      <w:pPr>
                        <w:pStyle w:val="ColorfulList-Accent11"/>
                        <w:ind w:left="426"/>
                        <w:rPr>
                          <w:rFonts w:cs="Calibri"/>
                          <w:noProof/>
                          <w:lang w:val="es-ES"/>
                        </w:rPr>
                      </w:pPr>
                    </w:p>
                    <w:p w14:paraId="39DB2D61" w14:textId="707DA9CA" w:rsidR="00522338" w:rsidRDefault="00522338" w:rsidP="005F538E">
                      <w:pPr>
                        <w:pStyle w:val="ColorfulList-Accent11"/>
                        <w:ind w:left="426"/>
                        <w:rPr>
                          <w:rFonts w:cs="Calibri"/>
                          <w:noProof/>
                          <w:lang w:val="es-ES"/>
                        </w:rPr>
                      </w:pPr>
                      <w:r w:rsidRPr="005F538E">
                        <w:rPr>
                          <w:rFonts w:cs="Calibri"/>
                          <w:noProof/>
                          <w:lang w:val="es-ES"/>
                        </w:rPr>
                        <w:t>iii.</w:t>
                      </w:r>
                      <w:r w:rsidRPr="005F538E">
                        <w:rPr>
                          <w:rFonts w:cs="Calibri"/>
                          <w:noProof/>
                          <w:lang w:val="es-ES"/>
                        </w:rPr>
                        <w:tab/>
                      </w:r>
                      <w:r w:rsidR="0078122C" w:rsidRPr="0078122C">
                        <w:rPr>
                          <w:rFonts w:cs="Calibri"/>
                          <w:noProof/>
                          <w:lang w:val="es-ES"/>
                        </w:rPr>
                        <w:t xml:space="preserve">tomar nota del traspaso estimado de fondos de 2024 a 2025, tal como se describe en el </w:t>
                      </w:r>
                      <w:r w:rsidR="0078122C">
                        <w:rPr>
                          <w:rFonts w:cs="Calibri"/>
                          <w:noProof/>
                          <w:lang w:val="es-ES"/>
                        </w:rPr>
                        <w:t>párrafo</w:t>
                      </w:r>
                      <w:r w:rsidR="0078122C" w:rsidRPr="0078122C">
                        <w:rPr>
                          <w:rFonts w:cs="Calibri"/>
                          <w:noProof/>
                          <w:lang w:val="es-ES"/>
                        </w:rPr>
                        <w:t xml:space="preserve"> 8 y se presenta en la columna C </w:t>
                      </w:r>
                      <w:r w:rsidR="0078122C">
                        <w:rPr>
                          <w:rFonts w:cs="Calibri"/>
                          <w:noProof/>
                          <w:lang w:val="es-ES"/>
                        </w:rPr>
                        <w:t>del cuadro</w:t>
                      </w:r>
                      <w:r w:rsidR="0078122C" w:rsidRPr="0078122C">
                        <w:rPr>
                          <w:rFonts w:cs="Calibri"/>
                          <w:noProof/>
                          <w:lang w:val="es-ES"/>
                        </w:rPr>
                        <w:t xml:space="preserve"> del </w:t>
                      </w:r>
                      <w:r w:rsidR="0078122C">
                        <w:rPr>
                          <w:rFonts w:cs="Calibri"/>
                          <w:noProof/>
                          <w:lang w:val="es-ES"/>
                        </w:rPr>
                        <w:t>a</w:t>
                      </w:r>
                      <w:r w:rsidR="0078122C" w:rsidRPr="0078122C">
                        <w:rPr>
                          <w:rFonts w:cs="Calibri"/>
                          <w:noProof/>
                          <w:lang w:val="es-ES"/>
                        </w:rPr>
                        <w:t>nexo 3</w:t>
                      </w:r>
                      <w:r w:rsidRPr="006D2AA2">
                        <w:rPr>
                          <w:rFonts w:cs="Calibri"/>
                          <w:noProof/>
                          <w:lang w:val="es-ES"/>
                        </w:rPr>
                        <w:t>;</w:t>
                      </w:r>
                    </w:p>
                    <w:p w14:paraId="063EF208" w14:textId="77777777" w:rsidR="00522338" w:rsidRPr="005F538E" w:rsidRDefault="00522338" w:rsidP="005F538E">
                      <w:pPr>
                        <w:pStyle w:val="ColorfulList-Accent11"/>
                        <w:ind w:left="426"/>
                        <w:rPr>
                          <w:rFonts w:cs="Calibri"/>
                          <w:noProof/>
                          <w:lang w:val="es-ES"/>
                        </w:rPr>
                      </w:pPr>
                      <w:r w:rsidRPr="005F538E">
                        <w:rPr>
                          <w:rFonts w:cs="Calibri"/>
                          <w:noProof/>
                          <w:lang w:val="es-ES"/>
                        </w:rPr>
                        <w:tab/>
                      </w:r>
                    </w:p>
                    <w:p w14:paraId="1F20FFB4" w14:textId="6B2F1BB6" w:rsidR="00522338" w:rsidRDefault="00522338" w:rsidP="0078122C">
                      <w:pPr>
                        <w:pStyle w:val="ColorfulList-Accent11"/>
                        <w:ind w:left="426"/>
                        <w:rPr>
                          <w:rFonts w:cs="Calibri"/>
                          <w:noProof/>
                          <w:lang w:val="es-ES"/>
                        </w:rPr>
                      </w:pPr>
                      <w:r w:rsidRPr="005F538E">
                        <w:rPr>
                          <w:rFonts w:cs="Calibri"/>
                          <w:noProof/>
                          <w:lang w:val="es-ES"/>
                        </w:rPr>
                        <w:t>iv.</w:t>
                      </w:r>
                      <w:r w:rsidRPr="005F538E">
                        <w:rPr>
                          <w:rFonts w:cs="Calibri"/>
                          <w:noProof/>
                          <w:lang w:val="es-ES"/>
                        </w:rPr>
                        <w:tab/>
                      </w:r>
                      <w:r w:rsidR="0078122C" w:rsidRPr="0078122C">
                        <w:rPr>
                          <w:rFonts w:cs="Calibri"/>
                          <w:noProof/>
                          <w:lang w:val="es-ES"/>
                        </w:rPr>
                        <w:t xml:space="preserve">aprobar el uso temporal de los fondos de reserva como préstamo para complementar la financiación voluntaria para el apoyo a los delegados patrocinados </w:t>
                      </w:r>
                      <w:r w:rsidR="00530444">
                        <w:rPr>
                          <w:rFonts w:cs="Calibri"/>
                          <w:noProof/>
                          <w:lang w:val="es-ES"/>
                        </w:rPr>
                        <w:t>para</w:t>
                      </w:r>
                      <w:r w:rsidR="0078122C" w:rsidRPr="0078122C">
                        <w:rPr>
                          <w:rFonts w:cs="Calibri"/>
                          <w:noProof/>
                          <w:lang w:val="es-ES"/>
                        </w:rPr>
                        <w:t xml:space="preserve"> la COP15, tal como se describe en los </w:t>
                      </w:r>
                      <w:r w:rsidR="0078122C">
                        <w:rPr>
                          <w:rFonts w:cs="Calibri"/>
                          <w:noProof/>
                          <w:lang w:val="es-ES"/>
                        </w:rPr>
                        <w:t>párrafos</w:t>
                      </w:r>
                      <w:r w:rsidR="0078122C" w:rsidRPr="0078122C">
                        <w:rPr>
                          <w:rFonts w:cs="Calibri"/>
                          <w:noProof/>
                          <w:lang w:val="es-ES"/>
                        </w:rPr>
                        <w:t xml:space="preserve"> 13, 14 y 20</w:t>
                      </w:r>
                      <w:r w:rsidR="0078122C">
                        <w:rPr>
                          <w:rFonts w:cs="Calibri"/>
                          <w:noProof/>
                          <w:lang w:val="es-ES"/>
                        </w:rPr>
                        <w:t>;</w:t>
                      </w:r>
                    </w:p>
                    <w:p w14:paraId="6E70451D" w14:textId="77777777" w:rsidR="00522338" w:rsidRPr="005F538E" w:rsidRDefault="00522338" w:rsidP="005F538E">
                      <w:pPr>
                        <w:pStyle w:val="ColorfulList-Accent11"/>
                        <w:ind w:left="426"/>
                        <w:rPr>
                          <w:rFonts w:cs="Calibri"/>
                          <w:noProof/>
                          <w:lang w:val="es-ES"/>
                        </w:rPr>
                      </w:pPr>
                    </w:p>
                    <w:p w14:paraId="78FD0142" w14:textId="333A88A2" w:rsidR="00522338" w:rsidRDefault="00522338" w:rsidP="00CC6F63">
                      <w:pPr>
                        <w:pStyle w:val="ColorfulList-Accent11"/>
                        <w:ind w:left="426"/>
                        <w:rPr>
                          <w:rFonts w:cs="Calibri"/>
                          <w:noProof/>
                          <w:lang w:val="es-ES"/>
                        </w:rPr>
                      </w:pPr>
                      <w:r w:rsidRPr="005F538E">
                        <w:rPr>
                          <w:rFonts w:cs="Calibri"/>
                          <w:noProof/>
                          <w:lang w:val="es-ES"/>
                        </w:rPr>
                        <w:t>v.</w:t>
                      </w:r>
                      <w:r w:rsidRPr="005F538E">
                        <w:rPr>
                          <w:rFonts w:cs="Calibri"/>
                          <w:noProof/>
                          <w:lang w:val="es-ES"/>
                        </w:rPr>
                        <w:tab/>
                      </w:r>
                      <w:r w:rsidR="0078122C" w:rsidRPr="0078122C">
                        <w:rPr>
                          <w:rFonts w:cs="Calibri"/>
                          <w:noProof/>
                          <w:lang w:val="es-ES"/>
                        </w:rPr>
                        <w:t>tomar nota de los saldos excedent</w:t>
                      </w:r>
                      <w:r w:rsidR="0078122C">
                        <w:rPr>
                          <w:rFonts w:cs="Calibri"/>
                          <w:noProof/>
                          <w:lang w:val="es-ES"/>
                        </w:rPr>
                        <w:t>e</w:t>
                      </w:r>
                      <w:r w:rsidR="0078122C" w:rsidRPr="0078122C">
                        <w:rPr>
                          <w:rFonts w:cs="Calibri"/>
                          <w:noProof/>
                          <w:lang w:val="es-ES"/>
                        </w:rPr>
                        <w:t>s estimados</w:t>
                      </w:r>
                      <w:r w:rsidR="0078122C">
                        <w:rPr>
                          <w:rFonts w:cs="Calibri"/>
                          <w:noProof/>
                          <w:lang w:val="es-ES"/>
                        </w:rPr>
                        <w:t>,</w:t>
                      </w:r>
                      <w:r w:rsidR="0078122C" w:rsidRPr="0078122C">
                        <w:rPr>
                          <w:rFonts w:cs="Calibri"/>
                          <w:noProof/>
                          <w:lang w:val="es-ES"/>
                        </w:rPr>
                        <w:t xml:space="preserve"> descritos en el </w:t>
                      </w:r>
                      <w:r w:rsidR="0078122C">
                        <w:rPr>
                          <w:rFonts w:cs="Calibri"/>
                          <w:noProof/>
                          <w:lang w:val="es-ES"/>
                        </w:rPr>
                        <w:t>párrafo</w:t>
                      </w:r>
                      <w:r w:rsidR="0078122C" w:rsidRPr="0078122C">
                        <w:rPr>
                          <w:rFonts w:cs="Calibri"/>
                          <w:noProof/>
                          <w:lang w:val="es-ES"/>
                        </w:rPr>
                        <w:t xml:space="preserve"> 15</w:t>
                      </w:r>
                      <w:r w:rsidR="009E6D84">
                        <w:rPr>
                          <w:rFonts w:cs="Calibri"/>
                          <w:noProof/>
                          <w:lang w:val="es-ES"/>
                        </w:rPr>
                        <w:t>.</w:t>
                      </w:r>
                    </w:p>
                    <w:p w14:paraId="159ED2D5" w14:textId="77777777" w:rsidR="00522338" w:rsidRPr="005F538E" w:rsidRDefault="00522338" w:rsidP="0078122C">
                      <w:pPr>
                        <w:pStyle w:val="ColorfulList-Accent11"/>
                        <w:ind w:left="0" w:firstLine="0"/>
                        <w:rPr>
                          <w:rFonts w:cs="Calibri"/>
                          <w:noProof/>
                          <w:lang w:val="es-ES"/>
                        </w:rPr>
                      </w:pPr>
                    </w:p>
                    <w:p w14:paraId="3B61CD4D" w14:textId="30D4B391" w:rsidR="00522338" w:rsidRPr="0033631B" w:rsidRDefault="00522338" w:rsidP="009E6D84">
                      <w:pPr>
                        <w:pStyle w:val="ColorfulList-Accent11"/>
                        <w:ind w:left="426"/>
                        <w:rPr>
                          <w:lang w:val="es-ES"/>
                        </w:rPr>
                      </w:pPr>
                      <w:r>
                        <w:rPr>
                          <w:rFonts w:cs="Calibri"/>
                          <w:noProof/>
                          <w:lang w:val="es-ES"/>
                        </w:rPr>
                        <w:t>vi</w:t>
                      </w:r>
                      <w:r w:rsidRPr="005F538E">
                        <w:rPr>
                          <w:rFonts w:cs="Calibri"/>
                          <w:noProof/>
                          <w:lang w:val="es-ES"/>
                        </w:rPr>
                        <w:t>.</w:t>
                      </w:r>
                      <w:r w:rsidRPr="005F538E">
                        <w:rPr>
                          <w:rFonts w:cs="Calibri"/>
                          <w:noProof/>
                          <w:lang w:val="es-ES"/>
                        </w:rPr>
                        <w:tab/>
                      </w:r>
                      <w:r w:rsidR="009E6D84" w:rsidRPr="009E6D84">
                        <w:rPr>
                          <w:rFonts w:cs="Calibri"/>
                          <w:noProof/>
                          <w:lang w:val="es-ES"/>
                        </w:rPr>
                        <w:t xml:space="preserve">tomar nota del presupuesto estimado para 2025, </w:t>
                      </w:r>
                      <w:r w:rsidR="009E6D84">
                        <w:rPr>
                          <w:rFonts w:cs="Calibri"/>
                          <w:noProof/>
                          <w:lang w:val="es-ES"/>
                        </w:rPr>
                        <w:t>descrito</w:t>
                      </w:r>
                      <w:r w:rsidR="009E6D84" w:rsidRPr="009E6D84">
                        <w:rPr>
                          <w:rFonts w:cs="Calibri"/>
                          <w:noProof/>
                          <w:lang w:val="es-ES"/>
                        </w:rPr>
                        <w:t xml:space="preserve"> en el </w:t>
                      </w:r>
                      <w:r w:rsidR="009E6D84">
                        <w:rPr>
                          <w:rFonts w:cs="Calibri"/>
                          <w:noProof/>
                          <w:lang w:val="es-ES"/>
                        </w:rPr>
                        <w:t>párrafo</w:t>
                      </w:r>
                      <w:r w:rsidR="009E6D84" w:rsidRPr="009E6D84">
                        <w:rPr>
                          <w:rFonts w:cs="Calibri"/>
                          <w:noProof/>
                          <w:lang w:val="es-ES"/>
                        </w:rPr>
                        <w:t xml:space="preserve"> 23.</w:t>
                      </w:r>
                    </w:p>
                  </w:txbxContent>
                </v:textbox>
                <w10:anchorlock/>
              </v:shape>
            </w:pict>
          </mc:Fallback>
        </mc:AlternateContent>
      </w:r>
    </w:p>
    <w:p w14:paraId="2F2C25F6" w14:textId="77777777" w:rsidR="005F538E" w:rsidRPr="001A2E55" w:rsidRDefault="005F538E" w:rsidP="005F538E">
      <w:pPr>
        <w:rPr>
          <w:rFonts w:asciiTheme="minorHAnsi" w:hAnsiTheme="minorHAnsi" w:cstheme="minorHAnsi"/>
          <w:b/>
          <w:noProof/>
          <w:lang w:val="es-ES"/>
        </w:rPr>
      </w:pPr>
    </w:p>
    <w:p w14:paraId="0EC46383" w14:textId="77777777" w:rsidR="009A5A69" w:rsidRPr="001A2E55" w:rsidRDefault="009A5A69" w:rsidP="009A5A69">
      <w:pPr>
        <w:ind w:left="0" w:firstLine="0"/>
        <w:rPr>
          <w:rFonts w:asciiTheme="minorHAnsi" w:hAnsiTheme="minorHAnsi" w:cstheme="minorHAnsi"/>
          <w:b/>
          <w:noProof/>
          <w:lang w:val="es-ES"/>
        </w:rPr>
      </w:pPr>
    </w:p>
    <w:p w14:paraId="5B822848" w14:textId="613D7BD4" w:rsidR="00EE484E" w:rsidRPr="001A2E55" w:rsidRDefault="009F6586" w:rsidP="00162710">
      <w:pPr>
        <w:rPr>
          <w:rFonts w:asciiTheme="minorHAnsi" w:hAnsiTheme="minorHAnsi" w:cstheme="minorHAnsi"/>
          <w:b/>
          <w:noProof/>
          <w:lang w:val="es-ES"/>
        </w:rPr>
      </w:pPr>
      <w:r w:rsidRPr="001A2E55">
        <w:rPr>
          <w:rFonts w:asciiTheme="minorHAnsi" w:hAnsiTheme="minorHAnsi" w:cstheme="minorHAnsi"/>
          <w:b/>
          <w:noProof/>
          <w:lang w:val="es-ES"/>
        </w:rPr>
        <w:t>Antecedentes</w:t>
      </w:r>
    </w:p>
    <w:p w14:paraId="2B503344" w14:textId="77777777" w:rsidR="00A31490" w:rsidRPr="001A2E55" w:rsidRDefault="00A31490" w:rsidP="00162710">
      <w:pPr>
        <w:rPr>
          <w:rFonts w:asciiTheme="minorHAnsi" w:hAnsiTheme="minorHAnsi" w:cstheme="minorHAnsi"/>
          <w:noProof/>
          <w:lang w:val="es-ES"/>
        </w:rPr>
      </w:pPr>
    </w:p>
    <w:p w14:paraId="0F48441B" w14:textId="724279A4" w:rsidR="00303127" w:rsidRPr="001A2E55" w:rsidRDefault="00303127" w:rsidP="009F6586">
      <w:pPr>
        <w:pStyle w:val="ListParagraph"/>
        <w:numPr>
          <w:ilvl w:val="0"/>
          <w:numId w:val="18"/>
        </w:numPr>
        <w:ind w:left="426" w:hanging="426"/>
        <w:rPr>
          <w:rFonts w:asciiTheme="minorHAnsi" w:hAnsiTheme="minorHAnsi" w:cstheme="minorHAnsi"/>
          <w:noProof/>
          <w:lang w:val="es-ES"/>
        </w:rPr>
      </w:pPr>
      <w:r w:rsidRPr="001A2E55">
        <w:rPr>
          <w:rFonts w:asciiTheme="minorHAnsi" w:hAnsiTheme="minorHAnsi" w:cstheme="minorHAnsi"/>
          <w:noProof/>
          <w:lang w:val="es-ES"/>
        </w:rPr>
        <w:t xml:space="preserve">Este informe trata de los resultados estimados </w:t>
      </w:r>
      <w:r w:rsidR="001F3A0B" w:rsidRPr="001A2E55">
        <w:rPr>
          <w:rFonts w:asciiTheme="minorHAnsi" w:hAnsiTheme="minorHAnsi" w:cstheme="minorHAnsi"/>
          <w:noProof/>
          <w:lang w:val="es-ES"/>
        </w:rPr>
        <w:t>de</w:t>
      </w:r>
      <w:r w:rsidRPr="001A2E55">
        <w:rPr>
          <w:rFonts w:asciiTheme="minorHAnsi" w:hAnsiTheme="minorHAnsi" w:cstheme="minorHAnsi"/>
          <w:noProof/>
          <w:lang w:val="es-ES"/>
        </w:rPr>
        <w:t xml:space="preserve"> los presupuestos básico y </w:t>
      </w:r>
      <w:r w:rsidR="001F3A0B" w:rsidRPr="001A2E55">
        <w:rPr>
          <w:rFonts w:asciiTheme="minorHAnsi" w:hAnsiTheme="minorHAnsi" w:cstheme="minorHAnsi"/>
          <w:noProof/>
          <w:lang w:val="es-ES"/>
        </w:rPr>
        <w:t>complementario para 2024</w:t>
      </w:r>
      <w:r w:rsidRPr="001A2E55">
        <w:rPr>
          <w:rFonts w:asciiTheme="minorHAnsi" w:hAnsiTheme="minorHAnsi" w:cstheme="minorHAnsi"/>
          <w:noProof/>
          <w:lang w:val="es-ES"/>
        </w:rPr>
        <w:t xml:space="preserve"> y </w:t>
      </w:r>
      <w:r w:rsidR="001F3A0B" w:rsidRPr="001A2E55">
        <w:rPr>
          <w:rFonts w:asciiTheme="minorHAnsi" w:hAnsiTheme="minorHAnsi" w:cstheme="minorHAnsi"/>
          <w:noProof/>
          <w:lang w:val="es-ES"/>
        </w:rPr>
        <w:t>d</w:t>
      </w:r>
      <w:r w:rsidRPr="001A2E55">
        <w:rPr>
          <w:rFonts w:asciiTheme="minorHAnsi" w:hAnsiTheme="minorHAnsi" w:cstheme="minorHAnsi"/>
          <w:noProof/>
          <w:lang w:val="es-ES"/>
        </w:rPr>
        <w:t>el presupuesto básico para 2025</w:t>
      </w:r>
      <w:r w:rsidR="001F3A0B" w:rsidRPr="001A2E55">
        <w:rPr>
          <w:rFonts w:asciiTheme="minorHAnsi" w:hAnsiTheme="minorHAnsi" w:cstheme="minorHAnsi"/>
          <w:noProof/>
          <w:lang w:val="es-ES"/>
        </w:rPr>
        <w:t xml:space="preserve"> de la Convención sobre los Humedales</w:t>
      </w:r>
      <w:r w:rsidRPr="001A2E55">
        <w:rPr>
          <w:rFonts w:asciiTheme="minorHAnsi" w:hAnsiTheme="minorHAnsi" w:cstheme="minorHAnsi"/>
          <w:noProof/>
          <w:lang w:val="es-ES"/>
        </w:rPr>
        <w:t>.</w:t>
      </w:r>
    </w:p>
    <w:p w14:paraId="27C13FC9" w14:textId="77777777" w:rsidR="00303127" w:rsidRPr="001A2E55" w:rsidRDefault="00303127" w:rsidP="009F6586">
      <w:pPr>
        <w:ind w:left="0" w:firstLine="0"/>
        <w:rPr>
          <w:rFonts w:asciiTheme="minorHAnsi" w:hAnsiTheme="minorHAnsi" w:cstheme="minorHAnsi"/>
          <w:noProof/>
          <w:lang w:val="es-ES"/>
        </w:rPr>
      </w:pPr>
    </w:p>
    <w:p w14:paraId="3CBE5321" w14:textId="3AE00BC6" w:rsidR="005538B2" w:rsidRPr="001A2E55" w:rsidRDefault="00112F62" w:rsidP="00303127">
      <w:pPr>
        <w:rPr>
          <w:rFonts w:asciiTheme="minorHAnsi" w:hAnsiTheme="minorHAnsi" w:cstheme="minorHAnsi"/>
          <w:bCs/>
          <w:noProof/>
          <w:lang w:val="es-ES"/>
        </w:rPr>
      </w:pPr>
      <w:r w:rsidRPr="001A2E55">
        <w:rPr>
          <w:rFonts w:asciiTheme="minorHAnsi" w:hAnsiTheme="minorHAnsi" w:cstheme="minorHAnsi"/>
          <w:noProof/>
          <w:lang w:val="es-ES"/>
        </w:rPr>
        <w:t>2.</w:t>
      </w:r>
      <w:r w:rsidRPr="001A2E55">
        <w:rPr>
          <w:rFonts w:asciiTheme="minorHAnsi" w:hAnsiTheme="minorHAnsi" w:cstheme="minorHAnsi"/>
          <w:noProof/>
          <w:lang w:val="es-ES"/>
        </w:rPr>
        <w:tab/>
      </w:r>
      <w:r w:rsidR="001F3A0B" w:rsidRPr="001A2E55">
        <w:rPr>
          <w:rFonts w:asciiTheme="minorHAnsi" w:hAnsiTheme="minorHAnsi" w:cstheme="minorHAnsi"/>
          <w:bCs/>
          <w:noProof/>
          <w:lang w:val="es-ES"/>
        </w:rPr>
        <w:t>En</w:t>
      </w:r>
      <w:r w:rsidR="00303127" w:rsidRPr="001A2E55">
        <w:rPr>
          <w:rFonts w:asciiTheme="minorHAnsi" w:hAnsiTheme="minorHAnsi" w:cstheme="minorHAnsi"/>
          <w:bCs/>
          <w:noProof/>
          <w:lang w:val="es-ES"/>
        </w:rPr>
        <w:t xml:space="preserve"> el inciso vii de la Decisión SC63-28 el Comité Permanente tomó nota de que el informe sobre cuestiones financieras para 2024 y 2025, junto con el informe sobre las contribuciones anuales, se prepararía a 30 de septiembre de 2024 para su examen por el Comité Permanente en su 64ª reunión (SC64).</w:t>
      </w:r>
    </w:p>
    <w:p w14:paraId="6CB28FA0" w14:textId="77777777" w:rsidR="00303127" w:rsidRPr="001A2E55" w:rsidRDefault="00303127" w:rsidP="00303127">
      <w:pPr>
        <w:rPr>
          <w:rFonts w:asciiTheme="minorHAnsi" w:hAnsiTheme="minorHAnsi" w:cstheme="minorHAnsi"/>
          <w:bCs/>
          <w:noProof/>
          <w:lang w:val="es-ES"/>
        </w:rPr>
      </w:pPr>
    </w:p>
    <w:p w14:paraId="51698143" w14:textId="7DB9A5B4" w:rsidR="00303127" w:rsidRPr="001A2E55" w:rsidRDefault="00303127" w:rsidP="00303127">
      <w:pPr>
        <w:rPr>
          <w:rFonts w:asciiTheme="minorHAnsi" w:hAnsiTheme="minorHAnsi" w:cstheme="minorHAnsi"/>
          <w:bCs/>
          <w:noProof/>
          <w:lang w:val="es-ES"/>
        </w:rPr>
      </w:pPr>
      <w:r w:rsidRPr="001A2E55">
        <w:rPr>
          <w:rFonts w:asciiTheme="minorHAnsi" w:hAnsiTheme="minorHAnsi" w:cstheme="minorHAnsi"/>
          <w:bCs/>
          <w:noProof/>
          <w:lang w:val="es-ES"/>
        </w:rPr>
        <w:t xml:space="preserve">3. </w:t>
      </w:r>
      <w:r w:rsidRPr="001A2E55">
        <w:rPr>
          <w:rFonts w:asciiTheme="minorHAnsi" w:hAnsiTheme="minorHAnsi" w:cstheme="minorHAnsi"/>
          <w:bCs/>
          <w:noProof/>
          <w:lang w:val="es-ES"/>
        </w:rPr>
        <w:tab/>
        <w:t xml:space="preserve">La Secretaría tiene previsto que los estados financieros auditados para 2024 </w:t>
      </w:r>
      <w:r w:rsidR="001F3A0B" w:rsidRPr="001A2E55">
        <w:rPr>
          <w:rFonts w:asciiTheme="minorHAnsi" w:hAnsiTheme="minorHAnsi" w:cstheme="minorHAnsi"/>
          <w:bCs/>
          <w:noProof/>
          <w:lang w:val="es-ES"/>
        </w:rPr>
        <w:t>se finalizarán y publicarán</w:t>
      </w:r>
      <w:r w:rsidRPr="001A2E55">
        <w:rPr>
          <w:rFonts w:asciiTheme="minorHAnsi" w:hAnsiTheme="minorHAnsi" w:cstheme="minorHAnsi"/>
          <w:bCs/>
          <w:noProof/>
          <w:lang w:val="es-ES"/>
        </w:rPr>
        <w:t xml:space="preserve"> en el sitio web en abril o mayo de 2025. Por consiguiente, el documento final actualizado sobre cuestiones financieras para 2024 y 2025, incluidos los estados financieros auditados, se presentará a la reunión SC65, inmediatamente antes de la 15ª reunión de la Conferencia de las Partes Contratantes (COP15), que se celebrará en julio de 2025.</w:t>
      </w:r>
    </w:p>
    <w:p w14:paraId="3295483F" w14:textId="77777777" w:rsidR="00303127" w:rsidRPr="001A2E55" w:rsidRDefault="00303127" w:rsidP="00303127">
      <w:pPr>
        <w:rPr>
          <w:rFonts w:asciiTheme="minorHAnsi" w:hAnsiTheme="minorHAnsi" w:cstheme="minorHAnsi"/>
          <w:noProof/>
          <w:lang w:val="es-ES"/>
        </w:rPr>
      </w:pPr>
    </w:p>
    <w:p w14:paraId="517F1430" w14:textId="00AEE792" w:rsidR="001921CD" w:rsidRPr="001A2E55" w:rsidRDefault="001921CD" w:rsidP="001921CD">
      <w:pPr>
        <w:keepNext/>
        <w:ind w:left="0" w:firstLine="0"/>
        <w:rPr>
          <w:rFonts w:asciiTheme="minorHAnsi" w:hAnsiTheme="minorHAnsi" w:cstheme="minorHAnsi"/>
          <w:b/>
          <w:noProof/>
          <w:lang w:val="es-ES"/>
        </w:rPr>
      </w:pPr>
      <w:r w:rsidRPr="001A2E55">
        <w:rPr>
          <w:rFonts w:asciiTheme="minorHAnsi" w:hAnsiTheme="minorHAnsi" w:cstheme="minorHAnsi"/>
          <w:b/>
          <w:noProof/>
          <w:lang w:val="es-ES"/>
        </w:rPr>
        <w:lastRenderedPageBreak/>
        <w:t>Resultados</w:t>
      </w:r>
      <w:r w:rsidR="003C4204" w:rsidRPr="001A2E55">
        <w:rPr>
          <w:rFonts w:asciiTheme="minorHAnsi" w:hAnsiTheme="minorHAnsi" w:cstheme="minorHAnsi"/>
          <w:b/>
          <w:noProof/>
          <w:lang w:val="es-ES"/>
        </w:rPr>
        <w:t xml:space="preserve"> provisionales para 2024 (a 30 de septiembre de 2024)</w:t>
      </w:r>
      <w:r w:rsidRPr="001A2E55">
        <w:rPr>
          <w:rFonts w:asciiTheme="minorHAnsi" w:hAnsiTheme="minorHAnsi" w:cstheme="minorHAnsi"/>
          <w:b/>
          <w:noProof/>
          <w:lang w:val="es-ES"/>
        </w:rPr>
        <w:t>: presupuesto básico</w:t>
      </w:r>
    </w:p>
    <w:p w14:paraId="387569ED" w14:textId="77777777" w:rsidR="002F2543" w:rsidRPr="001A2E55" w:rsidRDefault="002F2543" w:rsidP="00162710">
      <w:pPr>
        <w:pStyle w:val="NoSpacing"/>
        <w:rPr>
          <w:rFonts w:asciiTheme="minorHAnsi" w:hAnsiTheme="minorHAnsi" w:cstheme="minorHAnsi"/>
          <w:b/>
          <w:noProof/>
          <w:lang w:val="es-ES"/>
        </w:rPr>
      </w:pPr>
    </w:p>
    <w:p w14:paraId="7F09A4AE" w14:textId="4B8C4F01" w:rsidR="003C4204" w:rsidRPr="001A2E55" w:rsidRDefault="009748F3" w:rsidP="00162710">
      <w:pPr>
        <w:rPr>
          <w:rFonts w:asciiTheme="minorHAnsi" w:hAnsiTheme="minorHAnsi" w:cstheme="minorHAnsi"/>
          <w:noProof/>
          <w:lang w:val="es-ES"/>
        </w:rPr>
      </w:pPr>
      <w:r w:rsidRPr="001A2E55">
        <w:rPr>
          <w:rFonts w:asciiTheme="minorHAnsi" w:hAnsiTheme="minorHAnsi" w:cstheme="minorHAnsi"/>
          <w:noProof/>
          <w:lang w:val="es-ES"/>
        </w:rPr>
        <w:t>4</w:t>
      </w:r>
      <w:r w:rsidR="00112F62" w:rsidRPr="001A2E55">
        <w:rPr>
          <w:rFonts w:asciiTheme="minorHAnsi" w:hAnsiTheme="minorHAnsi" w:cstheme="minorHAnsi"/>
          <w:noProof/>
          <w:lang w:val="es-ES"/>
        </w:rPr>
        <w:t>.</w:t>
      </w:r>
      <w:r w:rsidR="00112F62" w:rsidRPr="001A2E55">
        <w:rPr>
          <w:rFonts w:asciiTheme="minorHAnsi" w:hAnsiTheme="minorHAnsi" w:cstheme="minorHAnsi"/>
          <w:noProof/>
          <w:lang w:val="es-ES"/>
        </w:rPr>
        <w:tab/>
      </w:r>
      <w:r w:rsidR="003C4204" w:rsidRPr="001A2E55">
        <w:rPr>
          <w:rFonts w:asciiTheme="minorHAnsi" w:hAnsiTheme="minorHAnsi" w:cstheme="minorHAnsi"/>
          <w:noProof/>
          <w:lang w:val="es-ES"/>
        </w:rPr>
        <w:t>En el anexo 1 figura un resumen de los resultados estimados del presupuesto básico para 2024. El cuadro refleja lo siguiente:</w:t>
      </w:r>
    </w:p>
    <w:p w14:paraId="4610B325" w14:textId="239A3716" w:rsidR="003C4204"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1F78E5" w:rsidRPr="001A2E55">
        <w:rPr>
          <w:rFonts w:asciiTheme="minorHAnsi" w:hAnsiTheme="minorHAnsi" w:cstheme="minorHAnsi"/>
          <w:noProof/>
          <w:lang w:val="es-ES"/>
        </w:rPr>
        <w:t>olumna A</w:t>
      </w:r>
      <w:r w:rsidRPr="001A2E55">
        <w:rPr>
          <w:rFonts w:asciiTheme="minorHAnsi" w:hAnsiTheme="minorHAnsi" w:cstheme="minorHAnsi"/>
          <w:noProof/>
          <w:lang w:val="es-ES"/>
        </w:rPr>
        <w:t>:</w:t>
      </w:r>
      <w:r w:rsidR="001F78E5" w:rsidRPr="001A2E55">
        <w:rPr>
          <w:rFonts w:asciiTheme="minorHAnsi" w:hAnsiTheme="minorHAnsi" w:cstheme="minorHAnsi"/>
          <w:noProof/>
          <w:lang w:val="es-ES"/>
        </w:rPr>
        <w:t xml:space="preserve"> el presupuesto para 2024 de 5 081 000</w:t>
      </w:r>
      <w:r w:rsidR="001A2E55" w:rsidRPr="001A2E55">
        <w:rPr>
          <w:rFonts w:asciiTheme="minorHAnsi" w:hAnsiTheme="minorHAnsi" w:cstheme="minorHAnsi"/>
          <w:noProof/>
          <w:lang w:val="es-ES"/>
        </w:rPr>
        <w:t xml:space="preserve"> francos suizos</w:t>
      </w:r>
      <w:r w:rsidR="001F78E5" w:rsidRPr="001A2E55">
        <w:rPr>
          <w:rFonts w:asciiTheme="minorHAnsi" w:hAnsiTheme="minorHAnsi" w:cstheme="minorHAnsi"/>
          <w:noProof/>
          <w:lang w:val="es-ES"/>
        </w:rPr>
        <w:t xml:space="preserve"> aprobado mediante la Resolución XIV.1 sobre </w:t>
      </w:r>
      <w:r w:rsidR="001F78E5" w:rsidRPr="001A2E55">
        <w:rPr>
          <w:rFonts w:asciiTheme="minorHAnsi" w:hAnsiTheme="minorHAnsi" w:cstheme="minorHAnsi"/>
          <w:i/>
          <w:iCs/>
          <w:noProof/>
          <w:lang w:val="es-ES"/>
        </w:rPr>
        <w:t>Cuestiones financieras y presupuestarias</w:t>
      </w:r>
      <w:r w:rsidR="001F78E5" w:rsidRPr="001A2E55">
        <w:rPr>
          <w:rStyle w:val="FootnoteReference"/>
          <w:noProof/>
          <w:lang w:val="es-ES"/>
        </w:rPr>
        <w:footnoteReference w:id="1"/>
      </w:r>
      <w:r w:rsidR="001F78E5" w:rsidRPr="001A2E55">
        <w:rPr>
          <w:rFonts w:asciiTheme="minorHAnsi" w:hAnsiTheme="minorHAnsi" w:cstheme="minorHAnsi"/>
          <w:noProof/>
          <w:lang w:val="es-ES"/>
        </w:rPr>
        <w:t>;</w:t>
      </w:r>
    </w:p>
    <w:p w14:paraId="69AA638A" w14:textId="14B240A4" w:rsidR="001F78E5"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DF4195" w:rsidRPr="001A2E55">
        <w:rPr>
          <w:rFonts w:asciiTheme="minorHAnsi" w:hAnsiTheme="minorHAnsi" w:cstheme="minorHAnsi"/>
          <w:noProof/>
          <w:lang w:val="es-ES"/>
        </w:rPr>
        <w:t>olumna B</w:t>
      </w:r>
      <w:r w:rsidRPr="001A2E55">
        <w:rPr>
          <w:rFonts w:asciiTheme="minorHAnsi" w:hAnsiTheme="minorHAnsi" w:cstheme="minorHAnsi"/>
          <w:noProof/>
          <w:lang w:val="es-ES"/>
        </w:rPr>
        <w:t>:</w:t>
      </w:r>
      <w:r w:rsidR="00DF4195" w:rsidRPr="001A2E55">
        <w:rPr>
          <w:rFonts w:asciiTheme="minorHAnsi" w:hAnsiTheme="minorHAnsi" w:cstheme="minorHAnsi"/>
          <w:noProof/>
          <w:lang w:val="es-ES"/>
        </w:rPr>
        <w:t xml:space="preserve"> la asignación de 196 000 francos suizos de ahorros presupuestarios de 2021, aprobados mediante la misma </w:t>
      </w:r>
      <w:r w:rsidRPr="001A2E55">
        <w:rPr>
          <w:rFonts w:asciiTheme="minorHAnsi" w:hAnsiTheme="minorHAnsi" w:cstheme="minorHAnsi"/>
          <w:noProof/>
          <w:lang w:val="es-ES"/>
        </w:rPr>
        <w:t>r</w:t>
      </w:r>
      <w:r w:rsidR="00DF4195" w:rsidRPr="001A2E55">
        <w:rPr>
          <w:rFonts w:asciiTheme="minorHAnsi" w:hAnsiTheme="minorHAnsi" w:cstheme="minorHAnsi"/>
          <w:noProof/>
          <w:lang w:val="es-ES"/>
        </w:rPr>
        <w:t>esolución;</w:t>
      </w:r>
    </w:p>
    <w:p w14:paraId="12AD4FE4" w14:textId="492AA59A" w:rsidR="00DF4195"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DF4195" w:rsidRPr="001A2E55">
        <w:rPr>
          <w:rFonts w:asciiTheme="minorHAnsi" w:hAnsiTheme="minorHAnsi" w:cstheme="minorHAnsi"/>
          <w:noProof/>
          <w:lang w:val="es-ES"/>
        </w:rPr>
        <w:t>olumna C</w:t>
      </w:r>
      <w:r w:rsidRPr="001A2E55">
        <w:rPr>
          <w:rFonts w:asciiTheme="minorHAnsi" w:hAnsiTheme="minorHAnsi" w:cstheme="minorHAnsi"/>
          <w:noProof/>
          <w:lang w:val="es-ES"/>
        </w:rPr>
        <w:t>:</w:t>
      </w:r>
      <w:r w:rsidR="00DF4195" w:rsidRPr="001A2E55">
        <w:rPr>
          <w:rFonts w:asciiTheme="minorHAnsi" w:hAnsiTheme="minorHAnsi" w:cstheme="minorHAnsi"/>
          <w:noProof/>
          <w:lang w:val="es-ES"/>
        </w:rPr>
        <w:t xml:space="preserve"> el traspaso de 2023 a 2024 de un total de 1 232 000 francos suizos, aprobado por la reunión SC64;</w:t>
      </w:r>
    </w:p>
    <w:p w14:paraId="0A35A198" w14:textId="59D3085B" w:rsidR="009748F3"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9748F3" w:rsidRPr="001A2E55">
        <w:rPr>
          <w:rFonts w:asciiTheme="minorHAnsi" w:hAnsiTheme="minorHAnsi" w:cstheme="minorHAnsi"/>
          <w:noProof/>
          <w:lang w:val="es-ES"/>
        </w:rPr>
        <w:t>olumna D</w:t>
      </w:r>
      <w:r w:rsidRPr="001A2E55">
        <w:rPr>
          <w:rFonts w:asciiTheme="minorHAnsi" w:hAnsiTheme="minorHAnsi" w:cstheme="minorHAnsi"/>
          <w:noProof/>
          <w:lang w:val="es-ES"/>
        </w:rPr>
        <w:t>:</w:t>
      </w:r>
      <w:r w:rsidR="009748F3" w:rsidRPr="001A2E55">
        <w:rPr>
          <w:rFonts w:asciiTheme="minorHAnsi" w:hAnsiTheme="minorHAnsi" w:cstheme="minorHAnsi"/>
          <w:noProof/>
          <w:lang w:val="es-ES"/>
        </w:rPr>
        <w:t xml:space="preserve"> el </w:t>
      </w:r>
      <w:r w:rsidRPr="001A2E55">
        <w:rPr>
          <w:rFonts w:asciiTheme="minorHAnsi" w:hAnsiTheme="minorHAnsi" w:cstheme="minorHAnsi"/>
          <w:noProof/>
          <w:lang w:val="es-ES"/>
        </w:rPr>
        <w:t xml:space="preserve">consiguiente </w:t>
      </w:r>
      <w:r w:rsidR="009748F3" w:rsidRPr="001A2E55">
        <w:rPr>
          <w:rFonts w:asciiTheme="minorHAnsi" w:hAnsiTheme="minorHAnsi" w:cstheme="minorHAnsi"/>
          <w:noProof/>
          <w:lang w:val="es-ES"/>
        </w:rPr>
        <w:t>presupuesto modificado</w:t>
      </w:r>
      <w:r w:rsidRPr="001A2E55">
        <w:rPr>
          <w:rFonts w:asciiTheme="minorHAnsi" w:hAnsiTheme="minorHAnsi" w:cstheme="minorHAnsi"/>
          <w:noProof/>
          <w:lang w:val="es-ES"/>
        </w:rPr>
        <w:t xml:space="preserve"> </w:t>
      </w:r>
      <w:r w:rsidR="009748F3" w:rsidRPr="001A2E55">
        <w:rPr>
          <w:rFonts w:asciiTheme="minorHAnsi" w:hAnsiTheme="minorHAnsi" w:cstheme="minorHAnsi"/>
          <w:noProof/>
          <w:lang w:val="es-ES"/>
        </w:rPr>
        <w:t>para 2024 por un total de 6 509 000 francos suizos;</w:t>
      </w:r>
    </w:p>
    <w:p w14:paraId="25C1BEF1" w14:textId="04B897DF" w:rsidR="009748F3"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9748F3" w:rsidRPr="001A2E55">
        <w:rPr>
          <w:rFonts w:asciiTheme="minorHAnsi" w:hAnsiTheme="minorHAnsi" w:cstheme="minorHAnsi"/>
          <w:noProof/>
          <w:lang w:val="es-ES"/>
        </w:rPr>
        <w:t>olumna E</w:t>
      </w:r>
      <w:r w:rsidRPr="001A2E55">
        <w:rPr>
          <w:rFonts w:asciiTheme="minorHAnsi" w:hAnsiTheme="minorHAnsi" w:cstheme="minorHAnsi"/>
          <w:noProof/>
          <w:lang w:val="es-ES"/>
        </w:rPr>
        <w:t>:</w:t>
      </w:r>
      <w:r w:rsidR="009748F3" w:rsidRPr="001A2E55">
        <w:rPr>
          <w:rFonts w:asciiTheme="minorHAnsi" w:hAnsiTheme="minorHAnsi" w:cstheme="minorHAnsi"/>
          <w:noProof/>
          <w:lang w:val="es-ES"/>
        </w:rPr>
        <w:t xml:space="preserve"> los gastos reales a 30 de septiembre de 2024 por un total de 3 857 000 francos suizos;</w:t>
      </w:r>
    </w:p>
    <w:p w14:paraId="6AEBF2E2" w14:textId="78762550" w:rsidR="009748F3"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9748F3" w:rsidRPr="001A2E55">
        <w:rPr>
          <w:rFonts w:asciiTheme="minorHAnsi" w:hAnsiTheme="minorHAnsi" w:cstheme="minorHAnsi"/>
          <w:noProof/>
          <w:lang w:val="es-ES"/>
        </w:rPr>
        <w:t>olumna F</w:t>
      </w:r>
      <w:r w:rsidRPr="001A2E55">
        <w:rPr>
          <w:rFonts w:asciiTheme="minorHAnsi" w:hAnsiTheme="minorHAnsi" w:cstheme="minorHAnsi"/>
          <w:noProof/>
          <w:lang w:val="es-ES"/>
        </w:rPr>
        <w:t>:</w:t>
      </w:r>
      <w:r w:rsidR="009748F3" w:rsidRPr="001A2E55">
        <w:rPr>
          <w:rFonts w:asciiTheme="minorHAnsi" w:hAnsiTheme="minorHAnsi" w:cstheme="minorHAnsi"/>
          <w:noProof/>
          <w:lang w:val="es-ES"/>
        </w:rPr>
        <w:t xml:space="preserve"> los gastos estimados para el período comprendido entre el 1 de octubre y el 31 de diciembre de 2024 por un total de 1 663 000 francos suizos; y</w:t>
      </w:r>
    </w:p>
    <w:p w14:paraId="700C3FE4" w14:textId="2D223111" w:rsidR="009748F3" w:rsidRPr="001A2E55" w:rsidRDefault="009B239C" w:rsidP="001F78E5">
      <w:pPr>
        <w:pStyle w:val="ListParagraph"/>
        <w:numPr>
          <w:ilvl w:val="0"/>
          <w:numId w:val="25"/>
        </w:numPr>
        <w:rPr>
          <w:rFonts w:asciiTheme="minorHAnsi" w:hAnsiTheme="minorHAnsi" w:cstheme="minorHAnsi"/>
          <w:noProof/>
          <w:lang w:val="es-ES"/>
        </w:rPr>
      </w:pPr>
      <w:r w:rsidRPr="001A2E55">
        <w:rPr>
          <w:rFonts w:asciiTheme="minorHAnsi" w:hAnsiTheme="minorHAnsi" w:cstheme="minorHAnsi"/>
          <w:noProof/>
          <w:lang w:val="es-ES"/>
        </w:rPr>
        <w:t>c</w:t>
      </w:r>
      <w:r w:rsidR="009748F3" w:rsidRPr="001A2E55">
        <w:rPr>
          <w:rFonts w:asciiTheme="minorHAnsi" w:hAnsiTheme="minorHAnsi" w:cstheme="minorHAnsi"/>
          <w:noProof/>
          <w:lang w:val="es-ES"/>
        </w:rPr>
        <w:t>olumna G</w:t>
      </w:r>
      <w:r w:rsidRPr="001A2E55">
        <w:rPr>
          <w:rFonts w:asciiTheme="minorHAnsi" w:hAnsiTheme="minorHAnsi" w:cstheme="minorHAnsi"/>
          <w:noProof/>
          <w:lang w:val="es-ES"/>
        </w:rPr>
        <w:t>:</w:t>
      </w:r>
      <w:r w:rsidR="009748F3" w:rsidRPr="001A2E55">
        <w:rPr>
          <w:rFonts w:asciiTheme="minorHAnsi" w:hAnsiTheme="minorHAnsi" w:cstheme="minorHAnsi"/>
          <w:noProof/>
          <w:lang w:val="es-ES"/>
        </w:rPr>
        <w:t xml:space="preserve"> los ajustes propuestos por la Secretaría a los saldos de 2024 entre las partidas presupuestarias aprobadas (el presupuesto básico global aprobado para 2024 permanece inalterado).</w:t>
      </w:r>
    </w:p>
    <w:p w14:paraId="682F1D16" w14:textId="77777777" w:rsidR="00DF4195" w:rsidRPr="001A2E55" w:rsidRDefault="00DF4195" w:rsidP="00DF4195">
      <w:pPr>
        <w:rPr>
          <w:rFonts w:asciiTheme="minorHAnsi" w:hAnsiTheme="minorHAnsi" w:cstheme="minorHAnsi"/>
          <w:noProof/>
          <w:lang w:val="es-ES"/>
        </w:rPr>
      </w:pPr>
    </w:p>
    <w:p w14:paraId="70F29427" w14:textId="0BBE0FDA" w:rsidR="00DF4195" w:rsidRPr="001A2E55" w:rsidRDefault="009748F3" w:rsidP="003A2E72">
      <w:pPr>
        <w:rPr>
          <w:rFonts w:asciiTheme="minorHAnsi" w:hAnsiTheme="minorHAnsi" w:cstheme="minorHAnsi"/>
          <w:noProof/>
          <w:lang w:val="es-ES"/>
        </w:rPr>
      </w:pPr>
      <w:r w:rsidRPr="001A2E55">
        <w:rPr>
          <w:rFonts w:asciiTheme="minorHAnsi" w:hAnsiTheme="minorHAnsi" w:cstheme="minorHAnsi"/>
          <w:noProof/>
          <w:lang w:val="es-ES"/>
        </w:rPr>
        <w:t>5.</w:t>
      </w:r>
      <w:r w:rsidRPr="001A2E55">
        <w:rPr>
          <w:rFonts w:asciiTheme="minorHAnsi" w:hAnsiTheme="minorHAnsi" w:cstheme="minorHAnsi"/>
          <w:noProof/>
          <w:lang w:val="es-ES"/>
        </w:rPr>
        <w:tab/>
        <w:t>Los ingresos y gastos para 2024 confirmados por los estados financieros auditados se someterán a la consideración y aceptación del Comité Permanente en la reunión SC65. El informe completo del auditor se publicará en el sitio web de la Convención en cuanto el auditor</w:t>
      </w:r>
      <w:r w:rsidR="00D61DDC" w:rsidRPr="001A2E55">
        <w:rPr>
          <w:rFonts w:asciiTheme="minorHAnsi" w:hAnsiTheme="minorHAnsi" w:cstheme="minorHAnsi"/>
          <w:noProof/>
          <w:lang w:val="es-ES"/>
        </w:rPr>
        <w:t xml:space="preserve"> lo presente</w:t>
      </w:r>
      <w:r w:rsidRPr="001A2E55">
        <w:rPr>
          <w:rFonts w:asciiTheme="minorHAnsi" w:hAnsiTheme="minorHAnsi" w:cstheme="minorHAnsi"/>
          <w:noProof/>
          <w:lang w:val="es-ES"/>
        </w:rPr>
        <w:t>.</w:t>
      </w:r>
    </w:p>
    <w:p w14:paraId="6533B098" w14:textId="77777777" w:rsidR="003A2E72" w:rsidRPr="001A2E55" w:rsidRDefault="003A2E72" w:rsidP="003A2E72">
      <w:pPr>
        <w:rPr>
          <w:rFonts w:asciiTheme="minorHAnsi" w:hAnsiTheme="minorHAnsi" w:cstheme="minorHAnsi"/>
          <w:noProof/>
          <w:lang w:val="es-ES"/>
        </w:rPr>
      </w:pPr>
    </w:p>
    <w:p w14:paraId="2FC1FA3E" w14:textId="2475B233" w:rsidR="003A2E72" w:rsidRPr="001A2E55" w:rsidRDefault="003A2E72" w:rsidP="003A2E72">
      <w:pPr>
        <w:rPr>
          <w:rFonts w:asciiTheme="minorHAnsi" w:hAnsiTheme="minorHAnsi" w:cstheme="minorHAnsi"/>
          <w:noProof/>
          <w:lang w:val="es-ES"/>
        </w:rPr>
      </w:pPr>
      <w:r w:rsidRPr="001A2E55">
        <w:rPr>
          <w:rFonts w:asciiTheme="minorHAnsi" w:hAnsiTheme="minorHAnsi" w:cstheme="minorHAnsi"/>
          <w:noProof/>
          <w:lang w:val="es-ES"/>
        </w:rPr>
        <w:t>6.</w:t>
      </w:r>
      <w:r w:rsidRPr="001A2E55">
        <w:rPr>
          <w:rFonts w:asciiTheme="minorHAnsi" w:hAnsiTheme="minorHAnsi" w:cstheme="minorHAnsi"/>
          <w:noProof/>
          <w:lang w:val="es-ES"/>
        </w:rPr>
        <w:tab/>
        <w:t xml:space="preserve">El saldo estimado del presupuesto básico a finales de 2024 es de 978 000 francos suizos. Esto incluye el traspaso de 535 000 francos suizos a 2025 y 443 000 francos </w:t>
      </w:r>
      <w:r w:rsidR="0073216C" w:rsidRPr="001A2E55">
        <w:rPr>
          <w:rFonts w:asciiTheme="minorHAnsi" w:hAnsiTheme="minorHAnsi" w:cstheme="minorHAnsi"/>
          <w:noProof/>
          <w:lang w:val="es-ES"/>
        </w:rPr>
        <w:t xml:space="preserve">suizos </w:t>
      </w:r>
      <w:r w:rsidRPr="001A2E55">
        <w:rPr>
          <w:rFonts w:asciiTheme="minorHAnsi" w:hAnsiTheme="minorHAnsi" w:cstheme="minorHAnsi"/>
          <w:noProof/>
          <w:lang w:val="es-ES"/>
        </w:rPr>
        <w:t>de ahorros estimados. El cuadro 1 a continuación presenta un resumen de estos subtotales estimados.</w:t>
      </w:r>
    </w:p>
    <w:p w14:paraId="2FD4C9FC" w14:textId="77777777" w:rsidR="003A2E72" w:rsidRPr="001A2E55" w:rsidRDefault="003A2E72" w:rsidP="003A2E72">
      <w:pPr>
        <w:rPr>
          <w:rFonts w:asciiTheme="minorHAnsi" w:hAnsiTheme="minorHAnsi" w:cstheme="minorHAnsi"/>
          <w:noProof/>
          <w:lang w:val="es-ES"/>
        </w:rPr>
      </w:pPr>
    </w:p>
    <w:p w14:paraId="2D84BA95" w14:textId="75A286E5" w:rsidR="004753C0" w:rsidRPr="001A2E55" w:rsidRDefault="003A2E72" w:rsidP="00BF5F32">
      <w:pPr>
        <w:rPr>
          <w:rFonts w:asciiTheme="minorHAnsi" w:hAnsiTheme="minorHAnsi" w:cstheme="minorHAnsi"/>
          <w:noProof/>
          <w:lang w:val="es-ES"/>
        </w:rPr>
      </w:pPr>
      <w:r w:rsidRPr="001A2E55">
        <w:rPr>
          <w:rFonts w:asciiTheme="minorHAnsi" w:hAnsiTheme="minorHAnsi" w:cstheme="minorHAnsi"/>
          <w:noProof/>
          <w:lang w:val="es-ES"/>
        </w:rPr>
        <w:t>7.</w:t>
      </w:r>
      <w:r w:rsidRPr="001A2E55">
        <w:rPr>
          <w:rFonts w:asciiTheme="minorHAnsi" w:hAnsiTheme="minorHAnsi" w:cstheme="minorHAnsi"/>
          <w:noProof/>
          <w:lang w:val="es-ES"/>
        </w:rPr>
        <w:tab/>
        <w:t>Se destacan los siguientes puntos para que el Comité Permanente los examine:</w:t>
      </w:r>
      <w:r w:rsidR="0038144E" w:rsidRPr="001A2E55">
        <w:rPr>
          <w:rFonts w:asciiTheme="minorHAnsi" w:hAnsiTheme="minorHAnsi" w:cstheme="minorHAnsi"/>
          <w:noProof/>
          <w:lang w:val="es-ES"/>
        </w:rPr>
        <w:t xml:space="preserve"> </w:t>
      </w:r>
    </w:p>
    <w:p w14:paraId="57F6A7B1" w14:textId="77777777" w:rsidR="00112F62" w:rsidRPr="001A2E55" w:rsidRDefault="00112F62" w:rsidP="00162710">
      <w:pPr>
        <w:pStyle w:val="NoSpacing"/>
        <w:ind w:left="850"/>
        <w:rPr>
          <w:rFonts w:asciiTheme="minorHAnsi" w:hAnsiTheme="minorHAnsi" w:cstheme="minorHAnsi"/>
          <w:noProof/>
          <w:lang w:val="es-ES"/>
        </w:rPr>
      </w:pPr>
    </w:p>
    <w:p w14:paraId="2F8C3446" w14:textId="524201EE" w:rsidR="003A2E72" w:rsidRPr="001A2E55" w:rsidRDefault="003A2E72" w:rsidP="003F5FD1">
      <w:pPr>
        <w:pStyle w:val="NoSpacing"/>
        <w:numPr>
          <w:ilvl w:val="0"/>
          <w:numId w:val="26"/>
        </w:numPr>
        <w:rPr>
          <w:rFonts w:asciiTheme="minorHAnsi" w:hAnsiTheme="minorHAnsi" w:cstheme="minorHAnsi"/>
          <w:noProof/>
          <w:lang w:val="es-ES"/>
        </w:rPr>
      </w:pPr>
      <w:r w:rsidRPr="001A2E55">
        <w:rPr>
          <w:rFonts w:asciiTheme="minorHAnsi" w:hAnsiTheme="minorHAnsi" w:cstheme="minorHAnsi"/>
          <w:noProof/>
          <w:lang w:val="es-ES"/>
        </w:rPr>
        <w:t xml:space="preserve">En general, los ingresos previstos se estiman según lo presupuestado, salvo en el caso del impuesto sobre la renta, que se espera que </w:t>
      </w:r>
      <w:r w:rsidR="003F5FD1" w:rsidRPr="001A2E55">
        <w:rPr>
          <w:rFonts w:asciiTheme="minorHAnsi" w:hAnsiTheme="minorHAnsi" w:cstheme="minorHAnsi"/>
          <w:noProof/>
          <w:lang w:val="es-ES"/>
        </w:rPr>
        <w:t xml:space="preserve">esté </w:t>
      </w:r>
      <w:r w:rsidRPr="001A2E55">
        <w:rPr>
          <w:rFonts w:asciiTheme="minorHAnsi" w:hAnsiTheme="minorHAnsi" w:cstheme="minorHAnsi"/>
          <w:noProof/>
          <w:lang w:val="es-ES"/>
        </w:rPr>
        <w:t>81</w:t>
      </w:r>
      <w:r w:rsidR="003F5FD1" w:rsidRPr="001A2E55">
        <w:rPr>
          <w:rFonts w:asciiTheme="minorHAnsi" w:hAnsiTheme="minorHAnsi" w:cstheme="minorHAnsi"/>
          <w:noProof/>
          <w:lang w:val="es-ES"/>
        </w:rPr>
        <w:t xml:space="preserve"> </w:t>
      </w:r>
      <w:r w:rsidRPr="001A2E55">
        <w:rPr>
          <w:rFonts w:asciiTheme="minorHAnsi" w:hAnsiTheme="minorHAnsi" w:cstheme="minorHAnsi"/>
          <w:noProof/>
          <w:lang w:val="es-ES"/>
        </w:rPr>
        <w:t xml:space="preserve">000 </w:t>
      </w:r>
      <w:r w:rsidR="003F5FD1" w:rsidRPr="001A2E55">
        <w:rPr>
          <w:rFonts w:asciiTheme="minorHAnsi" w:hAnsiTheme="minorHAnsi" w:cstheme="minorHAnsi"/>
          <w:noProof/>
          <w:lang w:val="es-ES"/>
        </w:rPr>
        <w:t>francos suizos</w:t>
      </w:r>
      <w:r w:rsidRPr="001A2E55">
        <w:rPr>
          <w:rFonts w:asciiTheme="minorHAnsi" w:hAnsiTheme="minorHAnsi" w:cstheme="minorHAnsi"/>
          <w:noProof/>
          <w:lang w:val="es-ES"/>
        </w:rPr>
        <w:t xml:space="preserve"> </w:t>
      </w:r>
      <w:r w:rsidR="003F5FD1" w:rsidRPr="001A2E55">
        <w:rPr>
          <w:rFonts w:asciiTheme="minorHAnsi" w:hAnsiTheme="minorHAnsi" w:cstheme="minorHAnsi"/>
          <w:noProof/>
          <w:lang w:val="es-ES"/>
        </w:rPr>
        <w:t>por debajo de</w:t>
      </w:r>
      <w:r w:rsidRPr="001A2E55">
        <w:rPr>
          <w:rFonts w:asciiTheme="minorHAnsi" w:hAnsiTheme="minorHAnsi" w:cstheme="minorHAnsi"/>
          <w:noProof/>
          <w:lang w:val="es-ES"/>
        </w:rPr>
        <w:t xml:space="preserve"> lo presupuestado debido a las vacantes, mientras que</w:t>
      </w:r>
      <w:r w:rsidR="003F5FD1" w:rsidRPr="001A2E55">
        <w:rPr>
          <w:rFonts w:asciiTheme="minorHAnsi" w:hAnsiTheme="minorHAnsi" w:cstheme="minorHAnsi"/>
          <w:noProof/>
          <w:lang w:val="es-ES"/>
        </w:rPr>
        <w:t xml:space="preserve"> se espera que</w:t>
      </w:r>
      <w:r w:rsidRPr="001A2E55">
        <w:rPr>
          <w:rFonts w:asciiTheme="minorHAnsi" w:hAnsiTheme="minorHAnsi" w:cstheme="minorHAnsi"/>
          <w:noProof/>
          <w:lang w:val="es-ES"/>
        </w:rPr>
        <w:t xml:space="preserve"> los ingresos por intereses </w:t>
      </w:r>
      <w:r w:rsidR="00BF5F32" w:rsidRPr="001A2E55">
        <w:rPr>
          <w:rFonts w:asciiTheme="minorHAnsi" w:hAnsiTheme="minorHAnsi" w:cstheme="minorHAnsi"/>
          <w:noProof/>
          <w:lang w:val="es-ES"/>
        </w:rPr>
        <w:t>estén</w:t>
      </w:r>
      <w:r w:rsidRPr="001A2E55">
        <w:rPr>
          <w:rFonts w:asciiTheme="minorHAnsi" w:hAnsiTheme="minorHAnsi" w:cstheme="minorHAnsi"/>
          <w:noProof/>
          <w:lang w:val="es-ES"/>
        </w:rPr>
        <w:t xml:space="preserve"> </w:t>
      </w:r>
      <w:r w:rsidR="003F5FD1" w:rsidRPr="001A2E55">
        <w:rPr>
          <w:rFonts w:asciiTheme="minorHAnsi" w:hAnsiTheme="minorHAnsi" w:cstheme="minorHAnsi"/>
          <w:noProof/>
          <w:lang w:val="es-ES"/>
        </w:rPr>
        <w:t xml:space="preserve">33 000 francos suizos </w:t>
      </w:r>
      <w:r w:rsidR="00BF5F32" w:rsidRPr="001A2E55">
        <w:rPr>
          <w:rFonts w:asciiTheme="minorHAnsi" w:hAnsiTheme="minorHAnsi" w:cstheme="minorHAnsi"/>
          <w:noProof/>
          <w:lang w:val="es-ES"/>
        </w:rPr>
        <w:t>por encima de</w:t>
      </w:r>
      <w:r w:rsidRPr="001A2E55">
        <w:rPr>
          <w:rFonts w:asciiTheme="minorHAnsi" w:hAnsiTheme="minorHAnsi" w:cstheme="minorHAnsi"/>
          <w:noProof/>
          <w:lang w:val="es-ES"/>
        </w:rPr>
        <w:t xml:space="preserve"> lo presupuestado;</w:t>
      </w:r>
    </w:p>
    <w:p w14:paraId="13355A05" w14:textId="77777777" w:rsidR="00126808" w:rsidRPr="001A2E55" w:rsidRDefault="00126808" w:rsidP="003F5FD1">
      <w:pPr>
        <w:pStyle w:val="NoSpacing"/>
        <w:ind w:left="0" w:firstLine="0"/>
        <w:rPr>
          <w:rFonts w:asciiTheme="minorHAnsi" w:hAnsiTheme="minorHAnsi" w:cstheme="minorHAnsi"/>
          <w:noProof/>
          <w:lang w:val="es-ES"/>
        </w:rPr>
      </w:pPr>
    </w:p>
    <w:p w14:paraId="510004B4" w14:textId="1126F53C" w:rsidR="003F5FD1" w:rsidRPr="001A2E55" w:rsidRDefault="003F5FD1" w:rsidP="003F5FD1">
      <w:pPr>
        <w:pStyle w:val="NoSpacing"/>
        <w:numPr>
          <w:ilvl w:val="0"/>
          <w:numId w:val="26"/>
        </w:numPr>
        <w:rPr>
          <w:rFonts w:asciiTheme="minorHAnsi" w:hAnsiTheme="minorHAnsi" w:cstheme="minorHAnsi"/>
          <w:noProof/>
          <w:lang w:val="es-ES"/>
        </w:rPr>
      </w:pPr>
      <w:r w:rsidRPr="001A2E55">
        <w:rPr>
          <w:rFonts w:asciiTheme="minorHAnsi" w:hAnsiTheme="minorHAnsi" w:cstheme="minorHAnsi"/>
          <w:noProof/>
          <w:lang w:val="es-ES"/>
        </w:rPr>
        <w:t>Se estima que los gastos generales en materia de sueldos serán de 3 561 000 francos suizos, lo que corresponde a una tasa de ejecución presupuestaria del 94 % y al 65 % de los gastos globales;</w:t>
      </w:r>
    </w:p>
    <w:p w14:paraId="1E9ACC46" w14:textId="77777777" w:rsidR="003F5FD1" w:rsidRPr="001A2E55" w:rsidRDefault="003F5FD1" w:rsidP="003F5FD1">
      <w:pPr>
        <w:pStyle w:val="ListParagraph"/>
        <w:rPr>
          <w:rFonts w:asciiTheme="minorHAnsi" w:hAnsiTheme="minorHAnsi" w:cstheme="minorHAnsi"/>
          <w:noProof/>
          <w:lang w:val="es-ES"/>
        </w:rPr>
      </w:pPr>
    </w:p>
    <w:p w14:paraId="323AB463" w14:textId="2C967AD2" w:rsidR="003F5FD1" w:rsidRPr="001A2E55" w:rsidRDefault="003F5FD1" w:rsidP="003F5FD1">
      <w:pPr>
        <w:pStyle w:val="NoSpacing"/>
        <w:numPr>
          <w:ilvl w:val="0"/>
          <w:numId w:val="26"/>
        </w:numPr>
        <w:rPr>
          <w:rFonts w:asciiTheme="minorHAnsi" w:hAnsiTheme="minorHAnsi" w:cstheme="minorHAnsi"/>
          <w:noProof/>
          <w:lang w:val="es-ES"/>
        </w:rPr>
      </w:pPr>
      <w:r w:rsidRPr="001A2E55">
        <w:rPr>
          <w:rFonts w:asciiTheme="minorHAnsi" w:hAnsiTheme="minorHAnsi" w:cstheme="minorHAnsi"/>
          <w:noProof/>
          <w:lang w:val="es-ES"/>
        </w:rPr>
        <w:t>Las provisiones se estiman según lo presupuestado, mientras que los detalles reales se ofrecerán en el documento sobre cuestiones financieras que se presentará a la reunión SC65 en julio de 2025, tras el cierre de las cuentas de 2024 y su auditoría;</w:t>
      </w:r>
    </w:p>
    <w:p w14:paraId="0F715DF6" w14:textId="77777777" w:rsidR="003F5FD1" w:rsidRPr="001A2E55" w:rsidRDefault="003F5FD1" w:rsidP="003F5FD1">
      <w:pPr>
        <w:pStyle w:val="NoSpacing"/>
        <w:ind w:left="0" w:firstLine="0"/>
        <w:rPr>
          <w:rFonts w:asciiTheme="minorHAnsi" w:hAnsiTheme="minorHAnsi" w:cstheme="minorHAnsi"/>
          <w:noProof/>
          <w:lang w:val="es-ES"/>
        </w:rPr>
      </w:pPr>
    </w:p>
    <w:p w14:paraId="2DE89F2A" w14:textId="461A8F61" w:rsidR="003F5FD1" w:rsidRPr="001A2E55" w:rsidRDefault="009E0EE3" w:rsidP="003F5FD1">
      <w:pPr>
        <w:pStyle w:val="NoSpacing"/>
        <w:numPr>
          <w:ilvl w:val="0"/>
          <w:numId w:val="26"/>
        </w:numPr>
        <w:rPr>
          <w:rFonts w:asciiTheme="minorHAnsi" w:hAnsiTheme="minorHAnsi" w:cstheme="minorHAnsi"/>
          <w:noProof/>
          <w:lang w:val="es-ES"/>
        </w:rPr>
      </w:pPr>
      <w:r w:rsidRPr="001A2E55">
        <w:rPr>
          <w:rFonts w:asciiTheme="minorHAnsi" w:hAnsiTheme="minorHAnsi" w:cstheme="minorHAnsi"/>
          <w:noProof/>
          <w:lang w:val="es-ES"/>
        </w:rPr>
        <w:t xml:space="preserve">En la versión actualizada del documento SC64 Doc.9.2 </w:t>
      </w:r>
      <w:r w:rsidRPr="001A2E55">
        <w:rPr>
          <w:rFonts w:asciiTheme="minorHAnsi" w:hAnsiTheme="minorHAnsi" w:cstheme="minorHAnsi"/>
          <w:i/>
          <w:iCs/>
          <w:noProof/>
          <w:lang w:val="es-ES"/>
        </w:rPr>
        <w:t>Estado de las contribuciones anuales</w:t>
      </w:r>
      <w:r w:rsidRPr="001A2E55">
        <w:rPr>
          <w:rFonts w:asciiTheme="minorHAnsi" w:hAnsiTheme="minorHAnsi" w:cstheme="minorHAnsi"/>
          <w:noProof/>
          <w:lang w:val="es-ES"/>
        </w:rPr>
        <w:t xml:space="preserve">, que se publicará antes de la reunión SC64 en enero de 2025, se ofrecerán más detalles sobre las provisiones </w:t>
      </w:r>
      <w:r w:rsidR="0073216C" w:rsidRPr="001A2E55">
        <w:rPr>
          <w:rFonts w:asciiTheme="minorHAnsi" w:hAnsiTheme="minorHAnsi" w:cstheme="minorHAnsi"/>
          <w:noProof/>
          <w:lang w:val="es-ES"/>
        </w:rPr>
        <w:t>de</w:t>
      </w:r>
      <w:r w:rsidRPr="001A2E55">
        <w:rPr>
          <w:rFonts w:asciiTheme="minorHAnsi" w:hAnsiTheme="minorHAnsi" w:cstheme="minorHAnsi"/>
          <w:noProof/>
          <w:lang w:val="es-ES"/>
        </w:rPr>
        <w:t xml:space="preserve"> 2024 correspondientes a las contribuciones pendientes.</w:t>
      </w:r>
    </w:p>
    <w:p w14:paraId="5C5B04E2" w14:textId="77777777" w:rsidR="00BF5F32" w:rsidRPr="001A2E55" w:rsidRDefault="00BF5F32" w:rsidP="00BF5F32">
      <w:pPr>
        <w:pStyle w:val="ListParagraph"/>
        <w:rPr>
          <w:rFonts w:asciiTheme="minorHAnsi" w:hAnsiTheme="minorHAnsi" w:cstheme="minorHAnsi"/>
          <w:noProof/>
          <w:lang w:val="es-ES"/>
        </w:rPr>
      </w:pPr>
    </w:p>
    <w:p w14:paraId="52889222" w14:textId="5540D519" w:rsidR="00BF5F32" w:rsidRPr="001A2E55" w:rsidRDefault="00BF5F32" w:rsidP="00BF5F32">
      <w:pPr>
        <w:pStyle w:val="NoSpacing"/>
        <w:rPr>
          <w:rFonts w:asciiTheme="minorHAnsi" w:hAnsiTheme="minorHAnsi" w:cstheme="minorHAnsi"/>
          <w:noProof/>
          <w:lang w:val="es-ES"/>
        </w:rPr>
      </w:pPr>
      <w:r w:rsidRPr="001A2E55">
        <w:rPr>
          <w:rFonts w:asciiTheme="minorHAnsi" w:hAnsiTheme="minorHAnsi" w:cstheme="minorHAnsi"/>
          <w:noProof/>
          <w:lang w:val="es-ES"/>
        </w:rPr>
        <w:lastRenderedPageBreak/>
        <w:t xml:space="preserve">8. </w:t>
      </w:r>
      <w:r w:rsidRPr="001A2E55">
        <w:rPr>
          <w:rFonts w:asciiTheme="minorHAnsi" w:hAnsiTheme="minorHAnsi" w:cstheme="minorHAnsi"/>
          <w:noProof/>
          <w:lang w:val="es-ES"/>
        </w:rPr>
        <w:tab/>
        <w:t xml:space="preserve">El traspaso final para 2025 se comunicará a la reunión SC65 en julio de 2025, </w:t>
      </w:r>
      <w:r w:rsidR="00161B64" w:rsidRPr="001A2E55">
        <w:rPr>
          <w:rFonts w:asciiTheme="minorHAnsi" w:hAnsiTheme="minorHAnsi" w:cstheme="minorHAnsi"/>
          <w:noProof/>
          <w:lang w:val="es-ES"/>
        </w:rPr>
        <w:t>en consonancia</w:t>
      </w:r>
      <w:r w:rsidRPr="001A2E55">
        <w:rPr>
          <w:rFonts w:asciiTheme="minorHAnsi" w:hAnsiTheme="minorHAnsi" w:cstheme="minorHAnsi"/>
          <w:noProof/>
          <w:lang w:val="es-ES"/>
        </w:rPr>
        <w:t xml:space="preserve"> con la Decisión SC57-50 en la que el Comité Permanente decidió que los saldos no comprometidos</w:t>
      </w:r>
      <w:r w:rsidR="005D5482" w:rsidRPr="001A2E55">
        <w:rPr>
          <w:rFonts w:asciiTheme="minorHAnsi" w:hAnsiTheme="minorHAnsi" w:cstheme="minorHAnsi"/>
          <w:noProof/>
          <w:lang w:val="es-ES"/>
        </w:rPr>
        <w:t xml:space="preserve"> o </w:t>
      </w:r>
      <w:r w:rsidRPr="001A2E55">
        <w:rPr>
          <w:rFonts w:asciiTheme="minorHAnsi" w:hAnsiTheme="minorHAnsi" w:cstheme="minorHAnsi"/>
          <w:noProof/>
          <w:lang w:val="es-ES"/>
        </w:rPr>
        <w:t xml:space="preserve">no gastados para las partidas presupuestarias pueden traspasarse al año siguiente dentro del trienio y presentarse </w:t>
      </w:r>
      <w:r w:rsidR="005D5482" w:rsidRPr="001A2E55">
        <w:rPr>
          <w:rFonts w:asciiTheme="minorHAnsi" w:hAnsiTheme="minorHAnsi" w:cstheme="minorHAnsi"/>
          <w:noProof/>
          <w:lang w:val="es-ES"/>
        </w:rPr>
        <w:t>en</w:t>
      </w:r>
      <w:r w:rsidRPr="001A2E55">
        <w:rPr>
          <w:rFonts w:asciiTheme="minorHAnsi" w:hAnsiTheme="minorHAnsi" w:cstheme="minorHAnsi"/>
          <w:noProof/>
          <w:lang w:val="es-ES"/>
        </w:rPr>
        <w:t xml:space="preserve"> la </w:t>
      </w:r>
      <w:r w:rsidR="00161B64" w:rsidRPr="001A2E55">
        <w:rPr>
          <w:rFonts w:asciiTheme="minorHAnsi" w:hAnsiTheme="minorHAnsi" w:cstheme="minorHAnsi"/>
          <w:noProof/>
          <w:lang w:val="es-ES"/>
        </w:rPr>
        <w:t>próxima</w:t>
      </w:r>
      <w:r w:rsidRPr="001A2E55">
        <w:rPr>
          <w:rFonts w:asciiTheme="minorHAnsi" w:hAnsiTheme="minorHAnsi" w:cstheme="minorHAnsi"/>
          <w:noProof/>
          <w:lang w:val="es-ES"/>
        </w:rPr>
        <w:t xml:space="preserve"> reunión del Subgrupo de Finanzas.</w:t>
      </w:r>
    </w:p>
    <w:p w14:paraId="3CFA16F6" w14:textId="77777777" w:rsidR="005D5482" w:rsidRPr="001A2E55" w:rsidRDefault="005D5482" w:rsidP="005D5482">
      <w:pPr>
        <w:pStyle w:val="NoSpacing"/>
        <w:ind w:left="0" w:firstLine="0"/>
        <w:rPr>
          <w:rFonts w:asciiTheme="minorHAnsi" w:hAnsiTheme="minorHAnsi" w:cstheme="minorHAnsi"/>
          <w:noProof/>
          <w:lang w:val="es-ES"/>
        </w:rPr>
      </w:pPr>
    </w:p>
    <w:p w14:paraId="375D6C70" w14:textId="472CD567" w:rsidR="006D4B43" w:rsidRPr="001A2E55" w:rsidRDefault="005D5482" w:rsidP="006D4B43">
      <w:pPr>
        <w:keepNext/>
        <w:ind w:left="0" w:firstLine="0"/>
        <w:rPr>
          <w:rFonts w:asciiTheme="minorHAnsi" w:hAnsiTheme="minorHAnsi" w:cstheme="minorHAnsi"/>
          <w:i/>
          <w:noProof/>
          <w:lang w:val="es-ES"/>
        </w:rPr>
      </w:pPr>
      <w:r w:rsidRPr="001A2E55">
        <w:rPr>
          <w:rFonts w:asciiTheme="minorHAnsi" w:hAnsiTheme="minorHAnsi" w:cstheme="minorHAnsi"/>
          <w:i/>
          <w:noProof/>
          <w:lang w:val="es-ES"/>
        </w:rPr>
        <w:t>Cuadro 1: Resumen de los fondos del presupuesto básico estimados para 2024 que se traspasarán (en miles de francos suizos, incluye posibles diferencias de redondeo), a 30 de septiembre de 2024</w:t>
      </w:r>
    </w:p>
    <w:tbl>
      <w:tblPr>
        <w:tblW w:w="9209" w:type="dxa"/>
        <w:tblLayout w:type="fixed"/>
        <w:tblCellMar>
          <w:top w:w="57" w:type="dxa"/>
          <w:left w:w="85" w:type="dxa"/>
          <w:bottom w:w="57" w:type="dxa"/>
          <w:right w:w="85" w:type="dxa"/>
        </w:tblCellMar>
        <w:tblLook w:val="04A0" w:firstRow="1" w:lastRow="0" w:firstColumn="1" w:lastColumn="0" w:noHBand="0" w:noVBand="1"/>
      </w:tblPr>
      <w:tblGrid>
        <w:gridCol w:w="1838"/>
        <w:gridCol w:w="1323"/>
        <w:gridCol w:w="1323"/>
        <w:gridCol w:w="1323"/>
        <w:gridCol w:w="3402"/>
      </w:tblGrid>
      <w:tr w:rsidR="006D4B43" w:rsidRPr="00F81E8B" w14:paraId="3DCAE1DB" w14:textId="77777777" w:rsidTr="00D019AB">
        <w:trPr>
          <w:cantSplit/>
          <w:tblHeader/>
        </w:trPr>
        <w:tc>
          <w:tcPr>
            <w:tcW w:w="183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1615DD08" w14:textId="0D41DA87" w:rsidR="006D4B43" w:rsidRPr="001A2E55" w:rsidRDefault="006D4B43" w:rsidP="005D4B97">
            <w:pPr>
              <w:ind w:left="0" w:firstLine="0"/>
              <w:jc w:val="center"/>
              <w:rPr>
                <w:rFonts w:asciiTheme="minorHAnsi" w:eastAsia="Times New Roman" w:hAnsiTheme="minorHAnsi" w:cstheme="minorHAnsi"/>
                <w:b/>
                <w:bCs/>
                <w:noProof/>
                <w:color w:val="000000"/>
                <w:spacing w:val="-4"/>
                <w:sz w:val="20"/>
                <w:szCs w:val="20"/>
                <w:lang w:val="es-ES" w:eastAsia="en-GB"/>
              </w:rPr>
            </w:pPr>
            <w:bookmarkStart w:id="0" w:name="_Hlk162547375"/>
            <w:r w:rsidRPr="001A2E55">
              <w:rPr>
                <w:rFonts w:asciiTheme="minorHAnsi" w:eastAsia="Times New Roman" w:hAnsiTheme="minorHAnsi" w:cstheme="minorHAnsi"/>
                <w:b/>
                <w:bCs/>
                <w:noProof/>
                <w:color w:val="000000"/>
                <w:spacing w:val="-4"/>
                <w:sz w:val="20"/>
                <w:szCs w:val="20"/>
                <w:lang w:val="es-ES" w:eastAsia="en-GB"/>
              </w:rPr>
              <w:t>Categor</w:t>
            </w:r>
            <w:r w:rsidR="00B408E7" w:rsidRPr="001A2E55">
              <w:rPr>
                <w:rFonts w:asciiTheme="minorHAnsi" w:eastAsia="Times New Roman" w:hAnsiTheme="minorHAnsi" w:cstheme="minorHAnsi"/>
                <w:b/>
                <w:bCs/>
                <w:noProof/>
                <w:color w:val="000000"/>
                <w:spacing w:val="-4"/>
                <w:sz w:val="20"/>
                <w:szCs w:val="20"/>
                <w:lang w:val="es-ES" w:eastAsia="en-GB"/>
              </w:rPr>
              <w:t>ía</w:t>
            </w:r>
            <w:r w:rsidRPr="001A2E55">
              <w:rPr>
                <w:rFonts w:asciiTheme="minorHAnsi" w:eastAsia="Times New Roman" w:hAnsiTheme="minorHAnsi" w:cstheme="minorHAnsi"/>
                <w:b/>
                <w:bCs/>
                <w:noProof/>
                <w:color w:val="000000"/>
                <w:spacing w:val="-4"/>
                <w:sz w:val="20"/>
                <w:szCs w:val="20"/>
                <w:lang w:val="es-ES" w:eastAsia="en-GB"/>
              </w:rPr>
              <w:t xml:space="preserve"> / </w:t>
            </w:r>
            <w:r w:rsidR="00B408E7" w:rsidRPr="001A2E55">
              <w:rPr>
                <w:rFonts w:asciiTheme="minorHAnsi" w:eastAsia="Times New Roman" w:hAnsiTheme="minorHAnsi" w:cstheme="minorHAnsi"/>
                <w:b/>
                <w:bCs/>
                <w:noProof/>
                <w:color w:val="000000"/>
                <w:spacing w:val="-4"/>
                <w:sz w:val="20"/>
                <w:szCs w:val="20"/>
                <w:lang w:val="es-ES" w:eastAsia="en-GB"/>
              </w:rPr>
              <w:t>Departamento</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FCD354D" w14:textId="630B3571" w:rsidR="006D4B43" w:rsidRPr="001A2E55" w:rsidRDefault="005D5482" w:rsidP="005D4B97">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pacing w:val="-4"/>
                <w:sz w:val="20"/>
                <w:szCs w:val="20"/>
                <w:lang w:val="es-ES" w:eastAsia="en-GB"/>
              </w:rPr>
              <w:t>Estimación de f</w:t>
            </w:r>
            <w:r w:rsidR="00D940D7" w:rsidRPr="001A2E55">
              <w:rPr>
                <w:rFonts w:asciiTheme="minorHAnsi" w:eastAsia="Times New Roman" w:hAnsiTheme="minorHAnsi" w:cstheme="minorHAnsi"/>
                <w:b/>
                <w:bCs/>
                <w:noProof/>
                <w:spacing w:val="-4"/>
                <w:sz w:val="20"/>
                <w:szCs w:val="20"/>
                <w:lang w:val="es-ES" w:eastAsia="en-GB"/>
              </w:rPr>
              <w:t>ondos p</w:t>
            </w:r>
            <w:r w:rsidR="006D4B43" w:rsidRPr="001A2E55">
              <w:rPr>
                <w:rFonts w:asciiTheme="minorHAnsi" w:eastAsia="Times New Roman" w:hAnsiTheme="minorHAnsi" w:cstheme="minorHAnsi"/>
                <w:b/>
                <w:bCs/>
                <w:noProof/>
                <w:spacing w:val="-4"/>
                <w:sz w:val="20"/>
                <w:szCs w:val="20"/>
                <w:lang w:val="es-ES" w:eastAsia="en-GB"/>
              </w:rPr>
              <w:t>reviamente comprometidos o previstos para 202</w:t>
            </w:r>
            <w:r w:rsidRPr="001A2E55">
              <w:rPr>
                <w:rFonts w:asciiTheme="minorHAnsi" w:eastAsia="Times New Roman" w:hAnsiTheme="minorHAnsi" w:cstheme="minorHAnsi"/>
                <w:b/>
                <w:bCs/>
                <w:noProof/>
                <w:spacing w:val="-4"/>
                <w:sz w:val="20"/>
                <w:szCs w:val="20"/>
                <w:lang w:val="es-ES" w:eastAsia="en-GB"/>
              </w:rPr>
              <w:t>4</w:t>
            </w:r>
            <w:r w:rsidR="003B1727">
              <w:rPr>
                <w:rFonts w:asciiTheme="minorHAnsi" w:eastAsia="Times New Roman" w:hAnsiTheme="minorHAnsi" w:cstheme="minorHAnsi"/>
                <w:b/>
                <w:bCs/>
                <w:noProof/>
                <w:spacing w:val="-4"/>
                <w:sz w:val="20"/>
                <w:szCs w:val="20"/>
                <w:lang w:val="es-ES" w:eastAsia="en-GB"/>
              </w:rPr>
              <w:t>,</w:t>
            </w:r>
            <w:r w:rsidR="006D4B43" w:rsidRPr="001A2E55">
              <w:rPr>
                <w:rFonts w:asciiTheme="minorHAnsi" w:eastAsia="Times New Roman" w:hAnsiTheme="minorHAnsi" w:cstheme="minorHAnsi"/>
                <w:b/>
                <w:bCs/>
                <w:noProof/>
                <w:spacing w:val="-4"/>
                <w:sz w:val="20"/>
                <w:szCs w:val="20"/>
                <w:lang w:val="es-ES" w:eastAsia="en-GB"/>
              </w:rPr>
              <w:t xml:space="preserve"> a gastar en 202</w:t>
            </w:r>
            <w:r w:rsidRPr="001A2E55">
              <w:rPr>
                <w:rFonts w:asciiTheme="minorHAnsi" w:eastAsia="Times New Roman" w:hAnsiTheme="minorHAnsi" w:cstheme="minorHAnsi"/>
                <w:b/>
                <w:bCs/>
                <w:noProof/>
                <w:spacing w:val="-4"/>
                <w:sz w:val="20"/>
                <w:szCs w:val="20"/>
                <w:lang w:val="es-ES" w:eastAsia="en-GB"/>
              </w:rPr>
              <w:t>5</w:t>
            </w:r>
            <w:r w:rsidR="006D4B43" w:rsidRPr="001A2E55">
              <w:rPr>
                <w:rFonts w:asciiTheme="minorHAnsi" w:eastAsia="Times New Roman" w:hAnsiTheme="minorHAnsi" w:cstheme="minorHAnsi"/>
                <w:b/>
                <w:bCs/>
                <w:noProof/>
                <w:spacing w:val="-4"/>
                <w:sz w:val="20"/>
                <w:szCs w:val="20"/>
                <w:lang w:val="es-ES" w:eastAsia="en-GB"/>
              </w:rPr>
              <w:t xml:space="preserve"> (A)</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E82AA0E" w14:textId="0A876317" w:rsidR="006D4B43" w:rsidRPr="001A2E55" w:rsidRDefault="005D5482" w:rsidP="009E07CA">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pacing w:val="-4"/>
                <w:sz w:val="20"/>
                <w:szCs w:val="20"/>
                <w:lang w:val="es-ES" w:eastAsia="en-GB"/>
              </w:rPr>
              <w:t>Estimación de f</w:t>
            </w:r>
            <w:r w:rsidR="00D940D7" w:rsidRPr="001A2E55">
              <w:rPr>
                <w:rFonts w:asciiTheme="minorHAnsi" w:eastAsia="Times New Roman" w:hAnsiTheme="minorHAnsi" w:cstheme="minorHAnsi"/>
                <w:b/>
                <w:bCs/>
                <w:noProof/>
                <w:spacing w:val="-4"/>
                <w:sz w:val="20"/>
                <w:szCs w:val="20"/>
                <w:lang w:val="es-ES" w:eastAsia="en-GB"/>
              </w:rPr>
              <w:t>ondos n</w:t>
            </w:r>
            <w:r w:rsidR="005F18AD" w:rsidRPr="001A2E55">
              <w:rPr>
                <w:rFonts w:asciiTheme="minorHAnsi" w:eastAsia="Times New Roman" w:hAnsiTheme="minorHAnsi" w:cstheme="minorHAnsi"/>
                <w:b/>
                <w:bCs/>
                <w:noProof/>
                <w:spacing w:val="-4"/>
                <w:sz w:val="20"/>
                <w:szCs w:val="20"/>
                <w:lang w:val="es-ES" w:eastAsia="en-GB"/>
              </w:rPr>
              <w:t>o comprometidos o no</w:t>
            </w:r>
            <w:r w:rsidR="00B408E7" w:rsidRPr="001A2E55">
              <w:rPr>
                <w:rFonts w:asciiTheme="minorHAnsi" w:eastAsia="Times New Roman" w:hAnsiTheme="minorHAnsi" w:cstheme="minorHAnsi"/>
                <w:b/>
                <w:bCs/>
                <w:noProof/>
                <w:spacing w:val="-4"/>
                <w:sz w:val="20"/>
                <w:szCs w:val="20"/>
                <w:lang w:val="es-ES" w:eastAsia="en-GB"/>
              </w:rPr>
              <w:t xml:space="preserve"> </w:t>
            </w:r>
            <w:r w:rsidR="005F18AD" w:rsidRPr="001A2E55">
              <w:rPr>
                <w:rFonts w:asciiTheme="minorHAnsi" w:eastAsia="Times New Roman" w:hAnsiTheme="minorHAnsi" w:cstheme="minorHAnsi"/>
                <w:b/>
                <w:bCs/>
                <w:noProof/>
                <w:spacing w:val="-4"/>
                <w:sz w:val="20"/>
                <w:szCs w:val="20"/>
                <w:lang w:val="es-ES" w:eastAsia="en-GB"/>
              </w:rPr>
              <w:t xml:space="preserve">gastados </w:t>
            </w:r>
            <w:r w:rsidR="00D940D7" w:rsidRPr="001A2E55">
              <w:rPr>
                <w:rFonts w:asciiTheme="minorHAnsi" w:eastAsia="Times New Roman" w:hAnsiTheme="minorHAnsi" w:cstheme="minorHAnsi"/>
                <w:b/>
                <w:bCs/>
                <w:noProof/>
                <w:spacing w:val="-4"/>
                <w:sz w:val="20"/>
                <w:szCs w:val="20"/>
                <w:lang w:val="es-ES" w:eastAsia="en-GB"/>
              </w:rPr>
              <w:t>en</w:t>
            </w:r>
            <w:r w:rsidR="005F18AD" w:rsidRPr="001A2E55">
              <w:rPr>
                <w:rFonts w:asciiTheme="minorHAnsi" w:eastAsia="Times New Roman" w:hAnsiTheme="minorHAnsi" w:cstheme="minorHAnsi"/>
                <w:b/>
                <w:bCs/>
                <w:noProof/>
                <w:spacing w:val="-4"/>
                <w:sz w:val="20"/>
                <w:szCs w:val="20"/>
                <w:lang w:val="es-ES" w:eastAsia="en-GB"/>
              </w:rPr>
              <w:t xml:space="preserve"> 202</w:t>
            </w:r>
            <w:r w:rsidRPr="001A2E55">
              <w:rPr>
                <w:rFonts w:asciiTheme="minorHAnsi" w:eastAsia="Times New Roman" w:hAnsiTheme="minorHAnsi" w:cstheme="minorHAnsi"/>
                <w:b/>
                <w:bCs/>
                <w:noProof/>
                <w:spacing w:val="-4"/>
                <w:sz w:val="20"/>
                <w:szCs w:val="20"/>
                <w:lang w:val="es-ES" w:eastAsia="en-GB"/>
              </w:rPr>
              <w:t>4</w:t>
            </w:r>
            <w:r w:rsidR="00D940D7" w:rsidRPr="001A2E55">
              <w:rPr>
                <w:rFonts w:asciiTheme="minorHAnsi" w:eastAsia="Times New Roman" w:hAnsiTheme="minorHAnsi" w:cstheme="minorHAnsi"/>
                <w:b/>
                <w:bCs/>
                <w:noProof/>
                <w:spacing w:val="-4"/>
                <w:sz w:val="20"/>
                <w:szCs w:val="20"/>
                <w:lang w:val="es-ES" w:eastAsia="en-GB"/>
              </w:rPr>
              <w:t>,</w:t>
            </w:r>
            <w:r w:rsidR="005F18AD" w:rsidRPr="001A2E55">
              <w:rPr>
                <w:rFonts w:asciiTheme="minorHAnsi" w:eastAsia="Times New Roman" w:hAnsiTheme="minorHAnsi" w:cstheme="minorHAnsi"/>
                <w:b/>
                <w:bCs/>
                <w:noProof/>
                <w:spacing w:val="-4"/>
                <w:sz w:val="20"/>
                <w:szCs w:val="20"/>
                <w:lang w:val="es-ES" w:eastAsia="en-GB"/>
              </w:rPr>
              <w:t xml:space="preserve"> a </w:t>
            </w:r>
            <w:r w:rsidR="00B408E7" w:rsidRPr="001A2E55">
              <w:rPr>
                <w:rFonts w:asciiTheme="minorHAnsi" w:eastAsia="Times New Roman" w:hAnsiTheme="minorHAnsi" w:cstheme="minorHAnsi"/>
                <w:b/>
                <w:bCs/>
                <w:noProof/>
                <w:spacing w:val="-4"/>
                <w:sz w:val="20"/>
                <w:szCs w:val="20"/>
                <w:lang w:val="es-ES" w:eastAsia="en-GB"/>
              </w:rPr>
              <w:t>traspasar</w:t>
            </w:r>
            <w:r w:rsidR="005F18AD" w:rsidRPr="001A2E55">
              <w:rPr>
                <w:rFonts w:asciiTheme="minorHAnsi" w:eastAsia="Times New Roman" w:hAnsiTheme="minorHAnsi" w:cstheme="minorHAnsi"/>
                <w:b/>
                <w:bCs/>
                <w:noProof/>
                <w:spacing w:val="-4"/>
                <w:sz w:val="20"/>
                <w:szCs w:val="20"/>
                <w:lang w:val="es-ES" w:eastAsia="en-GB"/>
              </w:rPr>
              <w:t xml:space="preserve"> a</w:t>
            </w:r>
            <w:r w:rsidR="006D4B43" w:rsidRPr="001A2E55">
              <w:rPr>
                <w:rFonts w:asciiTheme="minorHAnsi" w:eastAsia="Times New Roman" w:hAnsiTheme="minorHAnsi" w:cstheme="minorHAnsi"/>
                <w:b/>
                <w:bCs/>
                <w:noProof/>
                <w:spacing w:val="-4"/>
                <w:sz w:val="20"/>
                <w:szCs w:val="20"/>
                <w:lang w:val="es-ES" w:eastAsia="en-GB"/>
              </w:rPr>
              <w:t xml:space="preserve"> 202</w:t>
            </w:r>
            <w:r w:rsidRPr="001A2E55">
              <w:rPr>
                <w:rFonts w:asciiTheme="minorHAnsi" w:eastAsia="Times New Roman" w:hAnsiTheme="minorHAnsi" w:cstheme="minorHAnsi"/>
                <w:b/>
                <w:bCs/>
                <w:noProof/>
                <w:spacing w:val="-4"/>
                <w:sz w:val="20"/>
                <w:szCs w:val="20"/>
                <w:lang w:val="es-ES" w:eastAsia="en-GB"/>
              </w:rPr>
              <w:t>5</w:t>
            </w:r>
            <w:r w:rsidR="006D4B43" w:rsidRPr="001A2E55">
              <w:rPr>
                <w:rFonts w:asciiTheme="minorHAnsi" w:eastAsia="Times New Roman" w:hAnsiTheme="minorHAnsi" w:cstheme="minorHAnsi"/>
                <w:b/>
                <w:bCs/>
                <w:noProof/>
                <w:spacing w:val="-4"/>
                <w:sz w:val="20"/>
                <w:szCs w:val="20"/>
                <w:lang w:val="es-ES" w:eastAsia="en-GB"/>
              </w:rPr>
              <w:t xml:space="preserve"> (B)</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5C2C82E" w14:textId="1749B523" w:rsidR="006D4B43" w:rsidRPr="001A2E55" w:rsidRDefault="005D5482" w:rsidP="005D4B97">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pacing w:val="-4"/>
                <w:sz w:val="20"/>
                <w:szCs w:val="20"/>
                <w:lang w:val="es-ES" w:eastAsia="en-GB"/>
              </w:rPr>
              <w:t>Estimación del t</w:t>
            </w:r>
            <w:r w:rsidR="00B408E7" w:rsidRPr="001A2E55">
              <w:rPr>
                <w:rFonts w:asciiTheme="minorHAnsi" w:eastAsia="Times New Roman" w:hAnsiTheme="minorHAnsi" w:cstheme="minorHAnsi"/>
                <w:b/>
                <w:bCs/>
                <w:noProof/>
                <w:spacing w:val="-4"/>
                <w:sz w:val="20"/>
                <w:szCs w:val="20"/>
                <w:lang w:val="es-ES" w:eastAsia="en-GB"/>
              </w:rPr>
              <w:t>raspaso</w:t>
            </w:r>
            <w:r w:rsidR="005F18AD" w:rsidRPr="001A2E55">
              <w:rPr>
                <w:rFonts w:asciiTheme="minorHAnsi" w:eastAsia="Times New Roman" w:hAnsiTheme="minorHAnsi" w:cstheme="minorHAnsi"/>
                <w:b/>
                <w:bCs/>
                <w:noProof/>
                <w:spacing w:val="-4"/>
                <w:sz w:val="20"/>
                <w:szCs w:val="20"/>
                <w:lang w:val="es-ES" w:eastAsia="en-GB"/>
              </w:rPr>
              <w:t xml:space="preserve"> </w:t>
            </w:r>
            <w:r w:rsidR="00D940D7" w:rsidRPr="001A2E55">
              <w:rPr>
                <w:rFonts w:asciiTheme="minorHAnsi" w:eastAsia="Times New Roman" w:hAnsiTheme="minorHAnsi" w:cstheme="minorHAnsi"/>
                <w:b/>
                <w:bCs/>
                <w:noProof/>
                <w:spacing w:val="-4"/>
                <w:sz w:val="20"/>
                <w:szCs w:val="20"/>
                <w:lang w:val="es-ES" w:eastAsia="en-GB"/>
              </w:rPr>
              <w:t xml:space="preserve">de fondos </w:t>
            </w:r>
            <w:r w:rsidR="005F18AD" w:rsidRPr="001A2E55">
              <w:rPr>
                <w:rFonts w:asciiTheme="minorHAnsi" w:eastAsia="Times New Roman" w:hAnsiTheme="minorHAnsi" w:cstheme="minorHAnsi"/>
                <w:b/>
                <w:bCs/>
                <w:noProof/>
                <w:spacing w:val="-4"/>
                <w:sz w:val="20"/>
                <w:szCs w:val="20"/>
                <w:lang w:val="es-ES" w:eastAsia="en-GB"/>
              </w:rPr>
              <w:t>a</w:t>
            </w:r>
            <w:r w:rsidR="006D4B43" w:rsidRPr="001A2E55">
              <w:rPr>
                <w:rFonts w:asciiTheme="minorHAnsi" w:eastAsia="Times New Roman" w:hAnsiTheme="minorHAnsi" w:cstheme="minorHAnsi"/>
                <w:b/>
                <w:bCs/>
                <w:noProof/>
                <w:spacing w:val="-4"/>
                <w:sz w:val="20"/>
                <w:szCs w:val="20"/>
                <w:lang w:val="es-ES" w:eastAsia="en-GB"/>
              </w:rPr>
              <w:t xml:space="preserve"> 202</w:t>
            </w:r>
            <w:r w:rsidRPr="001A2E55">
              <w:rPr>
                <w:rFonts w:asciiTheme="minorHAnsi" w:eastAsia="Times New Roman" w:hAnsiTheme="minorHAnsi" w:cstheme="minorHAnsi"/>
                <w:b/>
                <w:bCs/>
                <w:noProof/>
                <w:spacing w:val="-4"/>
                <w:sz w:val="20"/>
                <w:szCs w:val="20"/>
                <w:lang w:val="es-ES" w:eastAsia="en-GB"/>
              </w:rPr>
              <w:t>5</w:t>
            </w:r>
            <w:r w:rsidR="006D4B43" w:rsidRPr="001A2E55">
              <w:rPr>
                <w:rFonts w:asciiTheme="minorHAnsi" w:eastAsia="Times New Roman" w:hAnsiTheme="minorHAnsi" w:cstheme="minorHAnsi"/>
                <w:b/>
                <w:bCs/>
                <w:noProof/>
                <w:spacing w:val="-4"/>
                <w:sz w:val="20"/>
                <w:szCs w:val="20"/>
                <w:lang w:val="es-ES" w:eastAsia="en-GB"/>
              </w:rPr>
              <w:t xml:space="preserve"> </w:t>
            </w:r>
            <w:r w:rsidR="006D4B43" w:rsidRPr="001A2E55">
              <w:rPr>
                <w:rFonts w:asciiTheme="minorHAnsi" w:eastAsia="Times New Roman" w:hAnsiTheme="minorHAnsi" w:cstheme="minorHAnsi"/>
                <w:b/>
                <w:bCs/>
                <w:noProof/>
                <w:spacing w:val="-4"/>
                <w:sz w:val="20"/>
                <w:szCs w:val="20"/>
                <w:lang w:val="es-ES" w:eastAsia="en-GB"/>
              </w:rPr>
              <w:br/>
              <w:t>(C=A+B)</w:t>
            </w:r>
          </w:p>
        </w:tc>
        <w:tc>
          <w:tcPr>
            <w:tcW w:w="3402" w:type="dxa"/>
            <w:tcBorders>
              <w:top w:val="single" w:sz="4" w:space="0" w:color="auto"/>
              <w:left w:val="nil"/>
              <w:bottom w:val="single" w:sz="4" w:space="0" w:color="auto"/>
              <w:right w:val="single" w:sz="4" w:space="0" w:color="auto"/>
            </w:tcBorders>
            <w:shd w:val="clear" w:color="000000" w:fill="DBE5F1"/>
            <w:noWrap/>
            <w:vAlign w:val="center"/>
            <w:hideMark/>
          </w:tcPr>
          <w:p w14:paraId="2C867889" w14:textId="73432F38" w:rsidR="006D4B43" w:rsidRPr="001A2E55" w:rsidRDefault="005F18AD" w:rsidP="005D4B97">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pacing w:val="-4"/>
                <w:sz w:val="20"/>
                <w:szCs w:val="20"/>
                <w:lang w:val="es-ES" w:eastAsia="en-GB"/>
              </w:rPr>
              <w:t>Comentarios respecto a</w:t>
            </w:r>
            <w:r w:rsidR="005D5482" w:rsidRPr="001A2E55">
              <w:rPr>
                <w:rFonts w:asciiTheme="minorHAnsi" w:eastAsia="Times New Roman" w:hAnsiTheme="minorHAnsi" w:cstheme="minorHAnsi"/>
                <w:b/>
                <w:bCs/>
                <w:noProof/>
                <w:spacing w:val="-4"/>
                <w:sz w:val="20"/>
                <w:szCs w:val="20"/>
                <w:lang w:val="es-ES" w:eastAsia="en-GB"/>
              </w:rPr>
              <w:t xml:space="preserve"> la estimación de</w:t>
            </w:r>
            <w:r w:rsidRPr="001A2E55">
              <w:rPr>
                <w:rFonts w:asciiTheme="minorHAnsi" w:eastAsia="Times New Roman" w:hAnsiTheme="minorHAnsi" w:cstheme="minorHAnsi"/>
                <w:b/>
                <w:bCs/>
                <w:noProof/>
                <w:spacing w:val="-4"/>
                <w:sz w:val="20"/>
                <w:szCs w:val="20"/>
                <w:lang w:val="es-ES" w:eastAsia="en-GB"/>
              </w:rPr>
              <w:t xml:space="preserve"> los fondos traspasados a 202</w:t>
            </w:r>
            <w:r w:rsidR="005D5482" w:rsidRPr="001A2E55">
              <w:rPr>
                <w:rFonts w:asciiTheme="minorHAnsi" w:eastAsia="Times New Roman" w:hAnsiTheme="minorHAnsi" w:cstheme="minorHAnsi"/>
                <w:b/>
                <w:bCs/>
                <w:noProof/>
                <w:spacing w:val="-4"/>
                <w:sz w:val="20"/>
                <w:szCs w:val="20"/>
                <w:lang w:val="es-ES" w:eastAsia="en-GB"/>
              </w:rPr>
              <w:t>5</w:t>
            </w:r>
          </w:p>
        </w:tc>
      </w:tr>
      <w:tr w:rsidR="006D4B43" w:rsidRPr="00F81E8B" w14:paraId="2314A169"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B477057" w14:textId="6709F56C" w:rsidR="006D4B43" w:rsidRPr="001A2E55" w:rsidRDefault="005F18AD"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Movilización de recursos y divulgación</w:t>
            </w:r>
          </w:p>
        </w:tc>
        <w:tc>
          <w:tcPr>
            <w:tcW w:w="1323" w:type="dxa"/>
            <w:tcBorders>
              <w:top w:val="nil"/>
              <w:left w:val="nil"/>
              <w:bottom w:val="single" w:sz="4" w:space="0" w:color="auto"/>
              <w:right w:val="single" w:sz="4" w:space="0" w:color="auto"/>
            </w:tcBorders>
            <w:shd w:val="clear" w:color="auto" w:fill="auto"/>
            <w:noWrap/>
            <w:hideMark/>
          </w:tcPr>
          <w:p w14:paraId="6EAD9504" w14:textId="3BA46F2F"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67</w:t>
            </w:r>
          </w:p>
        </w:tc>
        <w:tc>
          <w:tcPr>
            <w:tcW w:w="1323" w:type="dxa"/>
            <w:tcBorders>
              <w:top w:val="nil"/>
              <w:left w:val="nil"/>
              <w:bottom w:val="single" w:sz="4" w:space="0" w:color="auto"/>
              <w:right w:val="single" w:sz="4" w:space="0" w:color="auto"/>
            </w:tcBorders>
            <w:shd w:val="clear" w:color="auto" w:fill="auto"/>
            <w:noWrap/>
            <w:hideMark/>
          </w:tcPr>
          <w:p w14:paraId="143AAB60" w14:textId="6E029830"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23" w:type="dxa"/>
            <w:tcBorders>
              <w:top w:val="nil"/>
              <w:left w:val="nil"/>
              <w:bottom w:val="single" w:sz="4" w:space="0" w:color="auto"/>
              <w:right w:val="single" w:sz="4" w:space="0" w:color="auto"/>
            </w:tcBorders>
            <w:shd w:val="clear" w:color="auto" w:fill="auto"/>
            <w:noWrap/>
            <w:hideMark/>
          </w:tcPr>
          <w:p w14:paraId="29CD2B2A" w14:textId="5ADEA42B" w:rsidR="006D4B43" w:rsidRPr="001A2E55" w:rsidRDefault="00064BF6"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67</w:t>
            </w:r>
          </w:p>
        </w:tc>
        <w:tc>
          <w:tcPr>
            <w:tcW w:w="3402" w:type="dxa"/>
            <w:tcBorders>
              <w:top w:val="nil"/>
              <w:left w:val="nil"/>
              <w:bottom w:val="single" w:sz="4" w:space="0" w:color="auto"/>
              <w:right w:val="single" w:sz="4" w:space="0" w:color="auto"/>
            </w:tcBorders>
            <w:shd w:val="clear" w:color="auto" w:fill="auto"/>
            <w:hideMark/>
          </w:tcPr>
          <w:p w14:paraId="3EFDA0F5" w14:textId="1C12A343" w:rsidR="006D4B43" w:rsidRPr="001A2E55" w:rsidRDefault="006D4B43"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w:t>
            </w:r>
            <w:r w:rsidR="005F18AD" w:rsidRPr="001A2E55">
              <w:rPr>
                <w:rFonts w:asciiTheme="minorHAnsi" w:eastAsia="Times New Roman" w:hAnsiTheme="minorHAnsi" w:cstheme="minorHAnsi"/>
                <w:b/>
                <w:bCs/>
                <w:noProof/>
                <w:color w:val="000000"/>
                <w:sz w:val="20"/>
                <w:szCs w:val="20"/>
                <w:lang w:val="es-ES" w:eastAsia="en-GB"/>
              </w:rPr>
              <w:t>viamente comprometidos o previstos</w:t>
            </w:r>
            <w:r w:rsidRPr="001A2E55">
              <w:rPr>
                <w:rFonts w:asciiTheme="minorHAnsi" w:eastAsia="Times New Roman" w:hAnsiTheme="minorHAnsi" w:cstheme="minorHAnsi"/>
                <w:b/>
                <w:bCs/>
                <w:noProof/>
                <w:color w:val="000000"/>
                <w:sz w:val="20"/>
                <w:szCs w:val="20"/>
                <w:lang w:val="es-ES" w:eastAsia="en-GB"/>
              </w:rPr>
              <w:t>:</w:t>
            </w:r>
            <w:r w:rsidRPr="001A2E55">
              <w:rPr>
                <w:rFonts w:asciiTheme="minorHAnsi" w:eastAsia="Times New Roman" w:hAnsiTheme="minorHAnsi" w:cstheme="minorHAnsi"/>
                <w:noProof/>
                <w:color w:val="000000"/>
                <w:sz w:val="20"/>
                <w:szCs w:val="20"/>
                <w:lang w:val="es-ES" w:eastAsia="en-GB"/>
              </w:rPr>
              <w:t xml:space="preserve"> (i) </w:t>
            </w:r>
            <w:r w:rsidR="00064BF6" w:rsidRPr="001A2E55">
              <w:rPr>
                <w:rFonts w:asciiTheme="minorHAnsi" w:eastAsia="Times New Roman" w:hAnsiTheme="minorHAnsi" w:cstheme="minorHAnsi"/>
                <w:noProof/>
                <w:color w:val="000000"/>
                <w:sz w:val="20"/>
                <w:szCs w:val="20"/>
                <w:lang w:val="es-ES" w:eastAsia="en-GB"/>
              </w:rPr>
              <w:t>47</w:t>
            </w:r>
            <w:r w:rsidR="005F18AD" w:rsidRPr="001A2E55">
              <w:rPr>
                <w:rFonts w:asciiTheme="minorHAnsi" w:eastAsia="Times New Roman" w:hAnsiTheme="minorHAnsi" w:cstheme="minorHAnsi"/>
                <w:noProof/>
                <w:color w:val="000000"/>
                <w:sz w:val="20"/>
                <w:szCs w:val="20"/>
                <w:lang w:val="es-ES" w:eastAsia="en-GB"/>
              </w:rPr>
              <w:t xml:space="preserve"> 000</w:t>
            </w:r>
            <w:r w:rsidRPr="001A2E55">
              <w:rPr>
                <w:rFonts w:asciiTheme="minorHAnsi" w:eastAsia="Times New Roman" w:hAnsiTheme="minorHAnsi" w:cstheme="minorHAnsi"/>
                <w:noProof/>
                <w:color w:val="000000"/>
                <w:sz w:val="20"/>
                <w:szCs w:val="20"/>
                <w:lang w:val="es-ES" w:eastAsia="en-GB"/>
              </w:rPr>
              <w:t xml:space="preserve"> </w:t>
            </w:r>
            <w:r w:rsidR="005F18AD" w:rsidRPr="001A2E55">
              <w:rPr>
                <w:rFonts w:asciiTheme="minorHAnsi" w:eastAsia="Times New Roman" w:hAnsiTheme="minorHAnsi" w:cstheme="minorHAnsi"/>
                <w:noProof/>
                <w:color w:val="000000"/>
                <w:sz w:val="20"/>
                <w:szCs w:val="20"/>
                <w:lang w:val="es-ES" w:eastAsia="en-GB"/>
              </w:rPr>
              <w:t>para el programa de CECoP</w:t>
            </w:r>
            <w:r w:rsidR="00D940D7" w:rsidRPr="001A2E55">
              <w:rPr>
                <w:rFonts w:asciiTheme="minorHAnsi" w:eastAsia="Times New Roman" w:hAnsiTheme="minorHAnsi" w:cstheme="minorHAnsi"/>
                <w:noProof/>
                <w:color w:val="000000"/>
                <w:sz w:val="20"/>
                <w:szCs w:val="20"/>
                <w:lang w:val="es-ES" w:eastAsia="en-GB"/>
              </w:rPr>
              <w:t>,</w:t>
            </w:r>
            <w:r w:rsidRPr="001A2E55">
              <w:rPr>
                <w:rFonts w:asciiTheme="minorHAnsi" w:eastAsia="Times New Roman" w:hAnsiTheme="minorHAnsi" w:cstheme="minorHAnsi"/>
                <w:noProof/>
                <w:color w:val="000000"/>
                <w:sz w:val="20"/>
                <w:szCs w:val="20"/>
                <w:lang w:val="es-ES" w:eastAsia="en-GB"/>
              </w:rPr>
              <w:t xml:space="preserve"> (ii) 11</w:t>
            </w:r>
            <w:r w:rsidR="00064BF6" w:rsidRPr="001A2E55">
              <w:rPr>
                <w:rFonts w:asciiTheme="minorHAnsi" w:eastAsia="Times New Roman" w:hAnsiTheme="minorHAnsi" w:cstheme="minorHAnsi"/>
                <w:noProof/>
                <w:color w:val="000000"/>
                <w:sz w:val="20"/>
                <w:szCs w:val="20"/>
                <w:lang w:val="es-ES" w:eastAsia="en-GB"/>
              </w:rPr>
              <w:t xml:space="preserve"> </w:t>
            </w:r>
            <w:r w:rsidR="005F18AD" w:rsidRPr="001A2E55">
              <w:rPr>
                <w:rFonts w:asciiTheme="minorHAnsi" w:eastAsia="Times New Roman" w:hAnsiTheme="minorHAnsi" w:cstheme="minorHAnsi"/>
                <w:noProof/>
                <w:color w:val="000000"/>
                <w:sz w:val="20"/>
                <w:szCs w:val="20"/>
                <w:lang w:val="es-ES" w:eastAsia="en-GB"/>
              </w:rPr>
              <w:t>000</w:t>
            </w:r>
            <w:r w:rsidRPr="001A2E55">
              <w:rPr>
                <w:rFonts w:asciiTheme="minorHAnsi" w:eastAsia="Times New Roman" w:hAnsiTheme="minorHAnsi" w:cstheme="minorHAnsi"/>
                <w:noProof/>
                <w:color w:val="000000"/>
                <w:sz w:val="20"/>
                <w:szCs w:val="20"/>
                <w:lang w:val="es-ES" w:eastAsia="en-GB"/>
              </w:rPr>
              <w:t xml:space="preserve"> </w:t>
            </w:r>
            <w:r w:rsidR="005F18AD" w:rsidRPr="001A2E55">
              <w:rPr>
                <w:rFonts w:asciiTheme="minorHAnsi" w:eastAsia="Times New Roman" w:hAnsiTheme="minorHAnsi" w:cstheme="minorHAnsi"/>
                <w:noProof/>
                <w:color w:val="000000"/>
                <w:sz w:val="20"/>
                <w:szCs w:val="20"/>
                <w:lang w:val="es-ES" w:eastAsia="en-GB"/>
              </w:rPr>
              <w:t>para comunicaciones, traducciones, publicaciones y elaboración de informes</w:t>
            </w:r>
            <w:r w:rsidRPr="001A2E55">
              <w:rPr>
                <w:rFonts w:asciiTheme="minorHAnsi" w:eastAsia="Times New Roman" w:hAnsiTheme="minorHAnsi" w:cstheme="minorHAnsi"/>
                <w:noProof/>
                <w:color w:val="000000"/>
                <w:sz w:val="20"/>
                <w:szCs w:val="20"/>
                <w:lang w:val="es-ES" w:eastAsia="en-GB"/>
              </w:rPr>
              <w:t xml:space="preserve"> </w:t>
            </w:r>
            <w:r w:rsidR="00D940D7" w:rsidRPr="001A2E55">
              <w:rPr>
                <w:rFonts w:asciiTheme="minorHAnsi" w:eastAsia="Times New Roman" w:hAnsiTheme="minorHAnsi" w:cstheme="minorHAnsi"/>
                <w:noProof/>
                <w:color w:val="000000"/>
                <w:sz w:val="20"/>
                <w:szCs w:val="20"/>
                <w:lang w:val="es-ES" w:eastAsia="en-GB"/>
              </w:rPr>
              <w:t xml:space="preserve">y </w:t>
            </w:r>
            <w:r w:rsidRPr="001A2E55">
              <w:rPr>
                <w:rFonts w:asciiTheme="minorHAnsi" w:eastAsia="Times New Roman" w:hAnsiTheme="minorHAnsi" w:cstheme="minorHAnsi"/>
                <w:noProof/>
                <w:color w:val="000000"/>
                <w:sz w:val="20"/>
                <w:szCs w:val="20"/>
                <w:lang w:val="es-ES" w:eastAsia="en-GB"/>
              </w:rPr>
              <w:t xml:space="preserve">(iii) </w:t>
            </w:r>
            <w:r w:rsidR="00064BF6" w:rsidRPr="001A2E55">
              <w:rPr>
                <w:rFonts w:asciiTheme="minorHAnsi" w:eastAsia="Times New Roman" w:hAnsiTheme="minorHAnsi" w:cstheme="minorHAnsi"/>
                <w:noProof/>
                <w:color w:val="000000"/>
                <w:sz w:val="20"/>
                <w:szCs w:val="20"/>
                <w:lang w:val="es-ES" w:eastAsia="en-GB"/>
              </w:rPr>
              <w:t>9</w:t>
            </w:r>
            <w:r w:rsidR="005F18AD" w:rsidRPr="001A2E55">
              <w:rPr>
                <w:rFonts w:asciiTheme="minorHAnsi" w:eastAsia="Times New Roman" w:hAnsiTheme="minorHAnsi" w:cstheme="minorHAnsi"/>
                <w:noProof/>
                <w:color w:val="000000"/>
                <w:sz w:val="20"/>
                <w:szCs w:val="20"/>
                <w:lang w:val="es-ES" w:eastAsia="en-GB"/>
              </w:rPr>
              <w:t xml:space="preserve"> 000</w:t>
            </w:r>
            <w:r w:rsidRPr="001A2E55">
              <w:rPr>
                <w:rFonts w:asciiTheme="minorHAnsi" w:eastAsia="Times New Roman" w:hAnsiTheme="minorHAnsi" w:cstheme="minorHAnsi"/>
                <w:noProof/>
                <w:color w:val="000000"/>
                <w:sz w:val="20"/>
                <w:szCs w:val="20"/>
                <w:lang w:val="es-ES" w:eastAsia="en-GB"/>
              </w:rPr>
              <w:t xml:space="preserve"> </w:t>
            </w:r>
            <w:r w:rsidR="005F18AD" w:rsidRPr="001A2E55">
              <w:rPr>
                <w:rFonts w:asciiTheme="minorHAnsi" w:eastAsia="Times New Roman" w:hAnsiTheme="minorHAnsi" w:cstheme="minorHAnsi"/>
                <w:noProof/>
                <w:color w:val="000000"/>
                <w:sz w:val="20"/>
                <w:szCs w:val="20"/>
                <w:lang w:val="es-ES" w:eastAsia="en-GB"/>
              </w:rPr>
              <w:t>para apoyo informático y del sitio web</w:t>
            </w:r>
            <w:r w:rsidRPr="001A2E55">
              <w:rPr>
                <w:rFonts w:asciiTheme="minorHAnsi" w:eastAsia="Times New Roman" w:hAnsiTheme="minorHAnsi" w:cstheme="minorHAnsi"/>
                <w:noProof/>
                <w:color w:val="000000"/>
                <w:sz w:val="20"/>
                <w:szCs w:val="20"/>
                <w:lang w:val="es-ES" w:eastAsia="en-GB"/>
              </w:rPr>
              <w:t>.</w:t>
            </w:r>
          </w:p>
        </w:tc>
      </w:tr>
      <w:tr w:rsidR="006D4B43" w:rsidRPr="00F81E8B" w14:paraId="5E0D2D85"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6980FAC8" w14:textId="100C74A1" w:rsidR="006D4B43" w:rsidRPr="001A2E55" w:rsidRDefault="005F18AD"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Asesoramiento y apoyo regionales</w:t>
            </w:r>
          </w:p>
        </w:tc>
        <w:tc>
          <w:tcPr>
            <w:tcW w:w="1323" w:type="dxa"/>
            <w:tcBorders>
              <w:top w:val="nil"/>
              <w:left w:val="nil"/>
              <w:bottom w:val="single" w:sz="4" w:space="0" w:color="auto"/>
              <w:right w:val="single" w:sz="4" w:space="0" w:color="auto"/>
            </w:tcBorders>
            <w:shd w:val="clear" w:color="auto" w:fill="auto"/>
            <w:noWrap/>
            <w:hideMark/>
          </w:tcPr>
          <w:p w14:paraId="1421A8FE" w14:textId="0BEC1703"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77</w:t>
            </w:r>
          </w:p>
        </w:tc>
        <w:tc>
          <w:tcPr>
            <w:tcW w:w="1323" w:type="dxa"/>
            <w:tcBorders>
              <w:top w:val="nil"/>
              <w:left w:val="nil"/>
              <w:bottom w:val="single" w:sz="4" w:space="0" w:color="auto"/>
              <w:right w:val="single" w:sz="4" w:space="0" w:color="auto"/>
            </w:tcBorders>
            <w:shd w:val="clear" w:color="auto" w:fill="auto"/>
            <w:noWrap/>
            <w:hideMark/>
          </w:tcPr>
          <w:p w14:paraId="6A5CE60C" w14:textId="2A7F4900"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225</w:t>
            </w:r>
          </w:p>
        </w:tc>
        <w:tc>
          <w:tcPr>
            <w:tcW w:w="1323" w:type="dxa"/>
            <w:tcBorders>
              <w:top w:val="nil"/>
              <w:left w:val="nil"/>
              <w:bottom w:val="single" w:sz="4" w:space="0" w:color="auto"/>
              <w:right w:val="single" w:sz="4" w:space="0" w:color="auto"/>
            </w:tcBorders>
            <w:shd w:val="clear" w:color="auto" w:fill="auto"/>
            <w:noWrap/>
            <w:hideMark/>
          </w:tcPr>
          <w:p w14:paraId="08F24908" w14:textId="4F917239" w:rsidR="006D4B43" w:rsidRPr="001A2E55" w:rsidRDefault="00064BF6"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302</w:t>
            </w:r>
          </w:p>
        </w:tc>
        <w:tc>
          <w:tcPr>
            <w:tcW w:w="3402" w:type="dxa"/>
            <w:tcBorders>
              <w:top w:val="nil"/>
              <w:left w:val="nil"/>
              <w:bottom w:val="single" w:sz="4" w:space="0" w:color="auto"/>
              <w:right w:val="single" w:sz="4" w:space="0" w:color="auto"/>
            </w:tcBorders>
            <w:shd w:val="clear" w:color="auto" w:fill="auto"/>
            <w:hideMark/>
          </w:tcPr>
          <w:p w14:paraId="6D7404B4" w14:textId="515B8386" w:rsidR="009E07CA" w:rsidRPr="001A2E55" w:rsidRDefault="005F18AD" w:rsidP="005D4B97">
            <w:pPr>
              <w:ind w:left="0" w:firstLine="0"/>
              <w:rPr>
                <w:rFonts w:asciiTheme="minorHAnsi" w:eastAsia="Times New Roman" w:hAnsiTheme="minorHAnsi" w:cstheme="minorHAnsi"/>
                <w:noProof/>
                <w:spacing w:val="-4"/>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Previamente comprometidos o previstos:</w:t>
            </w:r>
            <w:r w:rsidR="00AE41E7" w:rsidRPr="001A2E55">
              <w:rPr>
                <w:rFonts w:asciiTheme="minorHAnsi" w:eastAsia="Times New Roman" w:hAnsiTheme="minorHAnsi" w:cstheme="minorHAnsi"/>
                <w:noProof/>
                <w:spacing w:val="-4"/>
                <w:sz w:val="20"/>
                <w:szCs w:val="20"/>
                <w:lang w:val="es-ES" w:eastAsia="en-GB"/>
              </w:rPr>
              <w:t xml:space="preserve"> </w:t>
            </w:r>
            <w:r w:rsidR="00064BF6" w:rsidRPr="001A2E55">
              <w:rPr>
                <w:rFonts w:asciiTheme="minorHAnsi" w:eastAsia="Times New Roman" w:hAnsiTheme="minorHAnsi" w:cstheme="minorHAnsi"/>
                <w:noProof/>
                <w:spacing w:val="-4"/>
                <w:sz w:val="20"/>
                <w:szCs w:val="20"/>
                <w:lang w:val="es-ES" w:eastAsia="en-GB"/>
              </w:rPr>
              <w:t>77</w:t>
            </w:r>
            <w:r w:rsidRPr="001A2E55">
              <w:rPr>
                <w:rFonts w:asciiTheme="minorHAnsi" w:eastAsia="Times New Roman" w:hAnsiTheme="minorHAnsi" w:cstheme="minorHAnsi"/>
                <w:noProof/>
                <w:spacing w:val="-4"/>
                <w:sz w:val="20"/>
                <w:szCs w:val="20"/>
                <w:lang w:val="es-ES" w:eastAsia="en-GB"/>
              </w:rPr>
              <w:t xml:space="preserve"> 000 para ejecución de Misiones Ramsar de Asesoramiento pospuestas a 202</w:t>
            </w:r>
            <w:r w:rsidR="00064BF6" w:rsidRPr="001A2E55">
              <w:rPr>
                <w:rFonts w:asciiTheme="minorHAnsi" w:eastAsia="Times New Roman" w:hAnsiTheme="minorHAnsi" w:cstheme="minorHAnsi"/>
                <w:noProof/>
                <w:spacing w:val="-4"/>
                <w:sz w:val="20"/>
                <w:szCs w:val="20"/>
                <w:lang w:val="es-ES" w:eastAsia="en-GB"/>
              </w:rPr>
              <w:t>5</w:t>
            </w:r>
            <w:r w:rsidR="009E07CA" w:rsidRPr="001A2E55">
              <w:rPr>
                <w:rFonts w:asciiTheme="minorHAnsi" w:eastAsia="Times New Roman" w:hAnsiTheme="minorHAnsi" w:cstheme="minorHAnsi"/>
                <w:noProof/>
                <w:spacing w:val="-4"/>
                <w:sz w:val="20"/>
                <w:szCs w:val="20"/>
                <w:lang w:val="es-ES" w:eastAsia="en-GB"/>
              </w:rPr>
              <w:t>.</w:t>
            </w:r>
          </w:p>
          <w:p w14:paraId="51E8763F" w14:textId="590344D2" w:rsidR="006D4B43" w:rsidRPr="001A2E55" w:rsidRDefault="005F18AD"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 xml:space="preserve">No comprometidos o no gastados: </w:t>
            </w:r>
            <w:r w:rsidR="00064BF6" w:rsidRPr="001A2E55">
              <w:rPr>
                <w:rFonts w:asciiTheme="minorHAnsi" w:eastAsia="Times New Roman" w:hAnsiTheme="minorHAnsi" w:cstheme="minorHAnsi"/>
                <w:noProof/>
                <w:sz w:val="20"/>
                <w:szCs w:val="20"/>
                <w:lang w:val="es-ES" w:eastAsia="en-GB"/>
              </w:rPr>
              <w:t>225</w:t>
            </w:r>
            <w:r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Pr="001A2E55">
              <w:rPr>
                <w:rFonts w:asciiTheme="minorHAnsi" w:eastAsia="Times New Roman" w:hAnsiTheme="minorHAnsi" w:cstheme="minorHAnsi"/>
                <w:noProof/>
                <w:color w:val="000000"/>
                <w:sz w:val="20"/>
                <w:szCs w:val="20"/>
                <w:lang w:val="es-ES" w:eastAsia="en-GB"/>
              </w:rPr>
              <w:t xml:space="preserve">de </w:t>
            </w:r>
            <w:r w:rsidR="00D940D7" w:rsidRPr="001A2E55">
              <w:rPr>
                <w:rFonts w:asciiTheme="minorHAnsi" w:eastAsia="Times New Roman" w:hAnsiTheme="minorHAnsi" w:cstheme="minorHAnsi"/>
                <w:noProof/>
                <w:color w:val="000000"/>
                <w:sz w:val="20"/>
                <w:szCs w:val="20"/>
                <w:lang w:val="es-ES" w:eastAsia="en-GB"/>
              </w:rPr>
              <w:t>puestos</w:t>
            </w:r>
            <w:r w:rsidRPr="001A2E55">
              <w:rPr>
                <w:rFonts w:asciiTheme="minorHAnsi" w:eastAsia="Times New Roman" w:hAnsiTheme="minorHAnsi" w:cstheme="minorHAnsi"/>
                <w:noProof/>
                <w:color w:val="000000"/>
                <w:sz w:val="20"/>
                <w:szCs w:val="20"/>
                <w:lang w:val="es-ES" w:eastAsia="en-GB"/>
              </w:rPr>
              <w:t xml:space="preserve"> vacantes y prestaciones.</w:t>
            </w:r>
          </w:p>
        </w:tc>
      </w:tr>
      <w:tr w:rsidR="006D4B43" w:rsidRPr="00F81E8B" w14:paraId="32052C4C"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3A9830F7" w14:textId="309B5979" w:rsidR="006D4B43" w:rsidRPr="001A2E55" w:rsidRDefault="00300644"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Apoyo a iniciativas regionales de Ramsar</w:t>
            </w:r>
          </w:p>
        </w:tc>
        <w:tc>
          <w:tcPr>
            <w:tcW w:w="1323" w:type="dxa"/>
            <w:tcBorders>
              <w:top w:val="nil"/>
              <w:left w:val="nil"/>
              <w:bottom w:val="single" w:sz="4" w:space="0" w:color="auto"/>
              <w:right w:val="single" w:sz="4" w:space="0" w:color="auto"/>
            </w:tcBorders>
            <w:shd w:val="clear" w:color="auto" w:fill="auto"/>
            <w:hideMark/>
          </w:tcPr>
          <w:p w14:paraId="7B9B51E9" w14:textId="36D47222"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23" w:type="dxa"/>
            <w:tcBorders>
              <w:top w:val="nil"/>
              <w:left w:val="nil"/>
              <w:bottom w:val="single" w:sz="4" w:space="0" w:color="auto"/>
              <w:right w:val="single" w:sz="4" w:space="0" w:color="auto"/>
            </w:tcBorders>
            <w:shd w:val="clear" w:color="auto" w:fill="auto"/>
            <w:hideMark/>
          </w:tcPr>
          <w:p w14:paraId="10A26437" w14:textId="1A6245FF"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155</w:t>
            </w:r>
          </w:p>
        </w:tc>
        <w:tc>
          <w:tcPr>
            <w:tcW w:w="1323" w:type="dxa"/>
            <w:tcBorders>
              <w:top w:val="nil"/>
              <w:left w:val="nil"/>
              <w:bottom w:val="single" w:sz="4" w:space="0" w:color="auto"/>
              <w:right w:val="single" w:sz="4" w:space="0" w:color="auto"/>
            </w:tcBorders>
            <w:shd w:val="clear" w:color="auto" w:fill="auto"/>
            <w:noWrap/>
            <w:hideMark/>
          </w:tcPr>
          <w:p w14:paraId="40EB3C2A" w14:textId="026C5F81"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155</w:t>
            </w:r>
          </w:p>
        </w:tc>
        <w:tc>
          <w:tcPr>
            <w:tcW w:w="3402" w:type="dxa"/>
            <w:tcBorders>
              <w:top w:val="nil"/>
              <w:left w:val="nil"/>
              <w:bottom w:val="single" w:sz="4" w:space="0" w:color="auto"/>
              <w:right w:val="single" w:sz="4" w:space="0" w:color="auto"/>
            </w:tcBorders>
            <w:shd w:val="clear" w:color="auto" w:fill="auto"/>
            <w:hideMark/>
          </w:tcPr>
          <w:p w14:paraId="1B6FFB37" w14:textId="7DD97A8A" w:rsidR="006D4B43"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No comprometidos o no gastados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w:t>
            </w:r>
            <w:r w:rsidR="00064BF6" w:rsidRPr="001A2E55">
              <w:rPr>
                <w:rFonts w:asciiTheme="minorHAnsi" w:eastAsia="Times New Roman" w:hAnsiTheme="minorHAnsi" w:cstheme="minorHAnsi"/>
                <w:noProof/>
                <w:sz w:val="20"/>
                <w:szCs w:val="20"/>
                <w:lang w:val="es-ES" w:eastAsia="en-GB"/>
              </w:rPr>
              <w:t xml:space="preserve">155 </w:t>
            </w:r>
            <w:r w:rsidRPr="001A2E55">
              <w:rPr>
                <w:rFonts w:asciiTheme="minorHAnsi" w:eastAsia="Times New Roman" w:hAnsiTheme="minorHAnsi" w:cstheme="minorHAnsi"/>
                <w:noProof/>
                <w:sz w:val="20"/>
                <w:szCs w:val="20"/>
                <w:lang w:val="es-ES" w:eastAsia="en-GB"/>
              </w:rPr>
              <w:t>000</w:t>
            </w:r>
            <w:r w:rsidR="006D4B43" w:rsidRPr="001A2E55">
              <w:rPr>
                <w:rFonts w:asciiTheme="minorHAnsi" w:eastAsia="Times New Roman" w:hAnsiTheme="minorHAnsi" w:cstheme="minorHAnsi"/>
                <w:noProof/>
                <w:sz w:val="20"/>
                <w:szCs w:val="20"/>
                <w:lang w:val="es-ES" w:eastAsia="en-GB"/>
              </w:rPr>
              <w:t xml:space="preserve"> </w:t>
            </w:r>
            <w:r w:rsidRPr="001A2E55">
              <w:rPr>
                <w:rFonts w:asciiTheme="minorHAnsi" w:eastAsia="Times New Roman" w:hAnsiTheme="minorHAnsi" w:cstheme="minorHAnsi"/>
                <w:noProof/>
                <w:sz w:val="20"/>
                <w:szCs w:val="20"/>
                <w:lang w:val="es-ES" w:eastAsia="en-GB"/>
              </w:rPr>
              <w:t xml:space="preserve">no asignados </w:t>
            </w:r>
            <w:r w:rsidR="00064BF6" w:rsidRPr="001A2E55">
              <w:rPr>
                <w:rFonts w:asciiTheme="minorHAnsi" w:eastAsia="Times New Roman" w:hAnsiTheme="minorHAnsi" w:cstheme="minorHAnsi"/>
                <w:noProof/>
                <w:sz w:val="20"/>
                <w:szCs w:val="20"/>
                <w:lang w:val="es-ES" w:eastAsia="en-GB"/>
              </w:rPr>
              <w:t>de los</w:t>
            </w:r>
            <w:r w:rsidRPr="001A2E55">
              <w:rPr>
                <w:rFonts w:asciiTheme="minorHAnsi" w:eastAsia="Times New Roman" w:hAnsiTheme="minorHAnsi" w:cstheme="minorHAnsi"/>
                <w:noProof/>
                <w:sz w:val="20"/>
                <w:szCs w:val="20"/>
                <w:lang w:val="es-ES" w:eastAsia="en-GB"/>
              </w:rPr>
              <w:t xml:space="preserve"> presupuesto</w:t>
            </w:r>
            <w:r w:rsidR="00064BF6" w:rsidRPr="001A2E55">
              <w:rPr>
                <w:rFonts w:asciiTheme="minorHAnsi" w:eastAsia="Times New Roman" w:hAnsiTheme="minorHAnsi" w:cstheme="minorHAnsi"/>
                <w:noProof/>
                <w:sz w:val="20"/>
                <w:szCs w:val="20"/>
                <w:lang w:val="es-ES" w:eastAsia="en-GB"/>
              </w:rPr>
              <w:t>s</w:t>
            </w:r>
            <w:r w:rsidRPr="001A2E55">
              <w:rPr>
                <w:rFonts w:asciiTheme="minorHAnsi" w:eastAsia="Times New Roman" w:hAnsiTheme="minorHAnsi" w:cstheme="minorHAnsi"/>
                <w:noProof/>
                <w:sz w:val="20"/>
                <w:szCs w:val="20"/>
                <w:lang w:val="es-ES" w:eastAsia="en-GB"/>
              </w:rPr>
              <w:t xml:space="preserve"> </w:t>
            </w:r>
            <w:r w:rsidR="00AE41E7" w:rsidRPr="001A2E55">
              <w:rPr>
                <w:rFonts w:asciiTheme="minorHAnsi" w:eastAsia="Times New Roman" w:hAnsiTheme="minorHAnsi" w:cstheme="minorHAnsi"/>
                <w:noProof/>
                <w:sz w:val="20"/>
                <w:szCs w:val="20"/>
                <w:lang w:val="es-ES" w:eastAsia="en-GB"/>
              </w:rPr>
              <w:t>de las IRR de</w:t>
            </w:r>
            <w:r w:rsidRPr="001A2E55">
              <w:rPr>
                <w:rFonts w:asciiTheme="minorHAnsi" w:eastAsia="Times New Roman" w:hAnsiTheme="minorHAnsi" w:cstheme="minorHAnsi"/>
                <w:noProof/>
                <w:sz w:val="20"/>
                <w:szCs w:val="20"/>
                <w:lang w:val="es-ES" w:eastAsia="en-GB"/>
              </w:rPr>
              <w:t xml:space="preserve"> 2023 </w:t>
            </w:r>
            <w:r w:rsidR="00064BF6" w:rsidRPr="001A2E55">
              <w:rPr>
                <w:rFonts w:asciiTheme="minorHAnsi" w:eastAsia="Times New Roman" w:hAnsiTheme="minorHAnsi" w:cstheme="minorHAnsi"/>
                <w:noProof/>
                <w:sz w:val="20"/>
                <w:szCs w:val="20"/>
                <w:lang w:val="es-ES" w:eastAsia="en-GB"/>
              </w:rPr>
              <w:t>y 2024.</w:t>
            </w:r>
          </w:p>
        </w:tc>
      </w:tr>
      <w:tr w:rsidR="006D4B43" w:rsidRPr="00F81E8B" w14:paraId="4849DC13"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0B8125BF" w14:textId="059AF5AC" w:rsidR="006D4B43" w:rsidRPr="001A2E55" w:rsidRDefault="00DE66EA"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Servicios científicos y técnicos</w:t>
            </w:r>
          </w:p>
        </w:tc>
        <w:tc>
          <w:tcPr>
            <w:tcW w:w="1323" w:type="dxa"/>
            <w:tcBorders>
              <w:top w:val="nil"/>
              <w:left w:val="nil"/>
              <w:bottom w:val="single" w:sz="4" w:space="0" w:color="auto"/>
              <w:right w:val="single" w:sz="4" w:space="0" w:color="auto"/>
            </w:tcBorders>
            <w:shd w:val="clear" w:color="auto" w:fill="auto"/>
            <w:hideMark/>
          </w:tcPr>
          <w:p w14:paraId="7491C476" w14:textId="50F6D53E"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189</w:t>
            </w:r>
          </w:p>
        </w:tc>
        <w:tc>
          <w:tcPr>
            <w:tcW w:w="1323" w:type="dxa"/>
            <w:tcBorders>
              <w:top w:val="nil"/>
              <w:left w:val="nil"/>
              <w:bottom w:val="single" w:sz="4" w:space="0" w:color="auto"/>
              <w:right w:val="single" w:sz="4" w:space="0" w:color="auto"/>
            </w:tcBorders>
            <w:shd w:val="clear" w:color="auto" w:fill="auto"/>
            <w:hideMark/>
          </w:tcPr>
          <w:p w14:paraId="172AC5ED" w14:textId="0506FC2E"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44</w:t>
            </w:r>
          </w:p>
        </w:tc>
        <w:tc>
          <w:tcPr>
            <w:tcW w:w="1323" w:type="dxa"/>
            <w:tcBorders>
              <w:top w:val="nil"/>
              <w:left w:val="nil"/>
              <w:bottom w:val="single" w:sz="4" w:space="0" w:color="auto"/>
              <w:right w:val="single" w:sz="4" w:space="0" w:color="auto"/>
            </w:tcBorders>
            <w:shd w:val="clear" w:color="auto" w:fill="auto"/>
            <w:noWrap/>
            <w:hideMark/>
          </w:tcPr>
          <w:p w14:paraId="5EF7CD84" w14:textId="7AE173DB"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233</w:t>
            </w:r>
          </w:p>
        </w:tc>
        <w:tc>
          <w:tcPr>
            <w:tcW w:w="3402" w:type="dxa"/>
            <w:tcBorders>
              <w:top w:val="nil"/>
              <w:left w:val="nil"/>
              <w:bottom w:val="single" w:sz="4" w:space="0" w:color="auto"/>
              <w:right w:val="single" w:sz="4" w:space="0" w:color="auto"/>
            </w:tcBorders>
            <w:shd w:val="clear" w:color="auto" w:fill="auto"/>
            <w:hideMark/>
          </w:tcPr>
          <w:p w14:paraId="5F22C3B4" w14:textId="00E75DDA" w:rsidR="00DE66EA"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Previamente comprometidos o previstos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(i) </w:t>
            </w:r>
            <w:r w:rsidR="00064BF6" w:rsidRPr="001A2E55">
              <w:rPr>
                <w:rFonts w:asciiTheme="minorHAnsi" w:eastAsia="Times New Roman" w:hAnsiTheme="minorHAnsi" w:cstheme="minorHAnsi"/>
                <w:noProof/>
                <w:sz w:val="20"/>
                <w:szCs w:val="20"/>
                <w:lang w:val="es-ES" w:eastAsia="en-GB"/>
              </w:rPr>
              <w:t>4</w:t>
            </w:r>
            <w:r w:rsidR="00DE66EA" w:rsidRPr="001A2E55">
              <w:rPr>
                <w:rFonts w:asciiTheme="minorHAnsi" w:eastAsia="Times New Roman" w:hAnsiTheme="minorHAnsi" w:cstheme="minorHAnsi"/>
                <w:noProof/>
                <w:sz w:val="20"/>
                <w:szCs w:val="20"/>
                <w:lang w:val="es-ES" w:eastAsia="en-GB"/>
              </w:rPr>
              <w:t xml:space="preserve"> 000 para viajes</w:t>
            </w:r>
            <w:r w:rsidR="006D4B43" w:rsidRPr="001A2E55">
              <w:rPr>
                <w:rFonts w:asciiTheme="minorHAnsi" w:eastAsia="Times New Roman" w:hAnsiTheme="minorHAnsi" w:cstheme="minorHAnsi"/>
                <w:noProof/>
                <w:sz w:val="20"/>
                <w:szCs w:val="20"/>
                <w:lang w:val="es-ES" w:eastAsia="en-GB"/>
              </w:rPr>
              <w:t xml:space="preserve">, (ii) </w:t>
            </w:r>
            <w:r w:rsidR="00064BF6" w:rsidRPr="001A2E55">
              <w:rPr>
                <w:rFonts w:asciiTheme="minorHAnsi" w:eastAsia="Times New Roman" w:hAnsiTheme="minorHAnsi" w:cstheme="minorHAnsi"/>
                <w:noProof/>
                <w:sz w:val="20"/>
                <w:szCs w:val="20"/>
                <w:lang w:val="es-ES" w:eastAsia="en-GB"/>
              </w:rPr>
              <w:t>14</w:t>
            </w:r>
            <w:r w:rsidR="00DE66EA"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DE66EA" w:rsidRPr="001A2E55">
              <w:rPr>
                <w:rFonts w:asciiTheme="minorHAnsi" w:eastAsia="Times New Roman" w:hAnsiTheme="minorHAnsi" w:cstheme="minorHAnsi"/>
                <w:noProof/>
                <w:sz w:val="20"/>
                <w:szCs w:val="20"/>
                <w:lang w:val="es-ES" w:eastAsia="en-GB"/>
              </w:rPr>
              <w:t xml:space="preserve">para </w:t>
            </w:r>
            <w:r w:rsidR="00AE41E7" w:rsidRPr="001A2E55">
              <w:rPr>
                <w:rFonts w:asciiTheme="minorHAnsi" w:eastAsia="Times New Roman" w:hAnsiTheme="minorHAnsi" w:cstheme="minorHAnsi"/>
                <w:noProof/>
                <w:sz w:val="20"/>
                <w:szCs w:val="20"/>
                <w:lang w:val="es-ES" w:eastAsia="en-GB"/>
              </w:rPr>
              <w:t>trabajo</w:t>
            </w:r>
            <w:r w:rsidR="00DE66EA" w:rsidRPr="001A2E55">
              <w:rPr>
                <w:rFonts w:asciiTheme="minorHAnsi" w:eastAsia="Times New Roman" w:hAnsiTheme="minorHAnsi" w:cstheme="minorHAnsi"/>
                <w:noProof/>
                <w:sz w:val="20"/>
                <w:szCs w:val="20"/>
                <w:lang w:val="es-ES" w:eastAsia="en-GB"/>
              </w:rPr>
              <w:t xml:space="preserve"> del GECT</w:t>
            </w:r>
            <w:r w:rsidR="006D4B43" w:rsidRPr="001A2E55">
              <w:rPr>
                <w:rFonts w:asciiTheme="minorHAnsi" w:eastAsia="Times New Roman" w:hAnsiTheme="minorHAnsi" w:cstheme="minorHAnsi"/>
                <w:noProof/>
                <w:sz w:val="20"/>
                <w:szCs w:val="20"/>
                <w:lang w:val="es-ES" w:eastAsia="en-GB"/>
              </w:rPr>
              <w:t>, (</w:t>
            </w:r>
            <w:r w:rsidR="00064BF6" w:rsidRPr="001A2E55">
              <w:rPr>
                <w:rFonts w:asciiTheme="minorHAnsi" w:eastAsia="Times New Roman" w:hAnsiTheme="minorHAnsi" w:cstheme="minorHAnsi"/>
                <w:noProof/>
                <w:sz w:val="20"/>
                <w:szCs w:val="20"/>
                <w:lang w:val="es-ES" w:eastAsia="en-GB"/>
              </w:rPr>
              <w:t>iii</w:t>
            </w:r>
            <w:r w:rsidR="006D4B43" w:rsidRPr="001A2E55">
              <w:rPr>
                <w:rFonts w:asciiTheme="minorHAnsi" w:eastAsia="Times New Roman" w:hAnsiTheme="minorHAnsi" w:cstheme="minorHAnsi"/>
                <w:noProof/>
                <w:sz w:val="20"/>
                <w:szCs w:val="20"/>
                <w:lang w:val="es-ES" w:eastAsia="en-GB"/>
              </w:rPr>
              <w:t xml:space="preserve">) </w:t>
            </w:r>
            <w:r w:rsidR="00064BF6" w:rsidRPr="001A2E55">
              <w:rPr>
                <w:rFonts w:asciiTheme="minorHAnsi" w:eastAsia="Times New Roman" w:hAnsiTheme="minorHAnsi" w:cstheme="minorHAnsi"/>
                <w:noProof/>
                <w:sz w:val="20"/>
                <w:szCs w:val="20"/>
                <w:lang w:val="es-ES" w:eastAsia="en-GB"/>
              </w:rPr>
              <w:t>27</w:t>
            </w:r>
            <w:r w:rsidR="00DE66EA"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DE66EA" w:rsidRPr="001A2E55">
              <w:rPr>
                <w:rFonts w:asciiTheme="minorHAnsi" w:eastAsia="Times New Roman" w:hAnsiTheme="minorHAnsi" w:cstheme="minorHAnsi"/>
                <w:noProof/>
                <w:sz w:val="20"/>
                <w:szCs w:val="20"/>
                <w:lang w:val="es-ES" w:eastAsia="en-GB"/>
              </w:rPr>
              <w:t>para el Quinto Plan Estratégico</w:t>
            </w:r>
            <w:r w:rsidR="006D4B43" w:rsidRPr="001A2E55">
              <w:rPr>
                <w:rFonts w:asciiTheme="minorHAnsi" w:eastAsia="Times New Roman" w:hAnsiTheme="minorHAnsi" w:cstheme="minorHAnsi"/>
                <w:noProof/>
                <w:sz w:val="20"/>
                <w:szCs w:val="20"/>
                <w:lang w:val="es-ES" w:eastAsia="en-GB"/>
              </w:rPr>
              <w:t>, (</w:t>
            </w:r>
            <w:r w:rsidR="00064BF6" w:rsidRPr="001A2E55">
              <w:rPr>
                <w:rFonts w:asciiTheme="minorHAnsi" w:eastAsia="Times New Roman" w:hAnsiTheme="minorHAnsi" w:cstheme="minorHAnsi"/>
                <w:noProof/>
                <w:sz w:val="20"/>
                <w:szCs w:val="20"/>
                <w:lang w:val="es-ES" w:eastAsia="en-GB"/>
              </w:rPr>
              <w:t>iv</w:t>
            </w:r>
            <w:r w:rsidR="006D4B43" w:rsidRPr="001A2E55">
              <w:rPr>
                <w:rFonts w:asciiTheme="minorHAnsi" w:eastAsia="Times New Roman" w:hAnsiTheme="minorHAnsi" w:cstheme="minorHAnsi"/>
                <w:noProof/>
                <w:sz w:val="20"/>
                <w:szCs w:val="20"/>
                <w:lang w:val="es-ES" w:eastAsia="en-GB"/>
              </w:rPr>
              <w:t xml:space="preserve">) </w:t>
            </w:r>
            <w:r w:rsidR="00064BF6" w:rsidRPr="001A2E55">
              <w:rPr>
                <w:rFonts w:asciiTheme="minorHAnsi" w:eastAsia="Times New Roman" w:hAnsiTheme="minorHAnsi" w:cstheme="minorHAnsi"/>
                <w:noProof/>
                <w:sz w:val="20"/>
                <w:szCs w:val="20"/>
                <w:lang w:val="es-ES" w:eastAsia="en-GB"/>
              </w:rPr>
              <w:t>30</w:t>
            </w:r>
            <w:r w:rsidR="00DE66EA" w:rsidRPr="001A2E55">
              <w:rPr>
                <w:rFonts w:asciiTheme="minorHAnsi" w:eastAsia="Times New Roman" w:hAnsiTheme="minorHAnsi" w:cstheme="minorHAnsi"/>
                <w:noProof/>
                <w:sz w:val="20"/>
                <w:szCs w:val="20"/>
                <w:lang w:val="es-ES" w:eastAsia="en-GB"/>
              </w:rPr>
              <w:t xml:space="preserve"> 000 para la ejecución de inventarios </w:t>
            </w:r>
            <w:r w:rsidR="006E6E3E" w:rsidRPr="001A2E55">
              <w:rPr>
                <w:rFonts w:asciiTheme="minorHAnsi" w:eastAsia="Times New Roman" w:hAnsiTheme="minorHAnsi" w:cstheme="minorHAnsi"/>
                <w:noProof/>
                <w:sz w:val="20"/>
                <w:szCs w:val="20"/>
                <w:lang w:val="es-ES" w:eastAsia="en-GB"/>
              </w:rPr>
              <w:t xml:space="preserve">que </w:t>
            </w:r>
            <w:r w:rsidR="00DE66EA" w:rsidRPr="001A2E55">
              <w:rPr>
                <w:rFonts w:asciiTheme="minorHAnsi" w:eastAsia="Times New Roman" w:hAnsiTheme="minorHAnsi" w:cstheme="minorHAnsi"/>
                <w:noProof/>
                <w:sz w:val="20"/>
                <w:szCs w:val="20"/>
                <w:lang w:val="es-ES" w:eastAsia="en-GB"/>
              </w:rPr>
              <w:t xml:space="preserve">continúa en </w:t>
            </w:r>
            <w:r w:rsidR="006D4B43" w:rsidRPr="001A2E55">
              <w:rPr>
                <w:rFonts w:asciiTheme="minorHAnsi" w:eastAsia="Times New Roman" w:hAnsiTheme="minorHAnsi" w:cstheme="minorHAnsi"/>
                <w:noProof/>
                <w:sz w:val="20"/>
                <w:szCs w:val="20"/>
                <w:lang w:val="es-ES" w:eastAsia="en-GB"/>
              </w:rPr>
              <w:t>202</w:t>
            </w:r>
            <w:r w:rsidR="00064BF6" w:rsidRPr="001A2E55">
              <w:rPr>
                <w:rFonts w:asciiTheme="minorHAnsi" w:eastAsia="Times New Roman" w:hAnsiTheme="minorHAnsi" w:cstheme="minorHAnsi"/>
                <w:noProof/>
                <w:sz w:val="20"/>
                <w:szCs w:val="20"/>
                <w:lang w:val="es-ES" w:eastAsia="en-GB"/>
              </w:rPr>
              <w:t>5</w:t>
            </w:r>
            <w:r w:rsidR="006D4B43" w:rsidRPr="001A2E55">
              <w:rPr>
                <w:rFonts w:asciiTheme="minorHAnsi" w:eastAsia="Times New Roman" w:hAnsiTheme="minorHAnsi" w:cstheme="minorHAnsi"/>
                <w:noProof/>
                <w:sz w:val="20"/>
                <w:szCs w:val="20"/>
                <w:lang w:val="es-ES" w:eastAsia="en-GB"/>
              </w:rPr>
              <w:t>, (v) 6</w:t>
            </w:r>
            <w:r w:rsidR="00064BF6" w:rsidRPr="001A2E55">
              <w:rPr>
                <w:rFonts w:asciiTheme="minorHAnsi" w:eastAsia="Times New Roman" w:hAnsiTheme="minorHAnsi" w:cstheme="minorHAnsi"/>
                <w:noProof/>
                <w:sz w:val="20"/>
                <w:szCs w:val="20"/>
                <w:lang w:val="es-ES" w:eastAsia="en-GB"/>
              </w:rPr>
              <w:t>4</w:t>
            </w:r>
            <w:r w:rsidR="00DE66EA"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DE66EA" w:rsidRPr="001A2E55">
              <w:rPr>
                <w:rFonts w:asciiTheme="minorHAnsi" w:eastAsia="Times New Roman" w:hAnsiTheme="minorHAnsi" w:cstheme="minorHAnsi"/>
                <w:noProof/>
                <w:sz w:val="20"/>
                <w:szCs w:val="20"/>
                <w:lang w:val="es-ES" w:eastAsia="en-GB"/>
              </w:rPr>
              <w:t xml:space="preserve">para el mantenimiento y desarrollo del Servicio de Información sobre Sitios </w:t>
            </w:r>
            <w:r w:rsidR="006D4B43" w:rsidRPr="001A2E55">
              <w:rPr>
                <w:rFonts w:asciiTheme="minorHAnsi" w:eastAsia="Times New Roman" w:hAnsiTheme="minorHAnsi" w:cstheme="minorHAnsi"/>
                <w:noProof/>
                <w:sz w:val="20"/>
                <w:szCs w:val="20"/>
                <w:lang w:val="es-ES" w:eastAsia="en-GB"/>
              </w:rPr>
              <w:t>Ramsar (</w:t>
            </w:r>
            <w:r w:rsidR="00DE66EA" w:rsidRPr="001A2E55">
              <w:rPr>
                <w:rFonts w:asciiTheme="minorHAnsi" w:eastAsia="Times New Roman" w:hAnsiTheme="minorHAnsi" w:cstheme="minorHAnsi"/>
                <w:noProof/>
                <w:sz w:val="20"/>
                <w:szCs w:val="20"/>
                <w:lang w:val="es-ES" w:eastAsia="en-GB"/>
              </w:rPr>
              <w:t>SISR</w:t>
            </w:r>
            <w:r w:rsidR="006D4B43" w:rsidRPr="001A2E55">
              <w:rPr>
                <w:rFonts w:asciiTheme="minorHAnsi" w:eastAsia="Times New Roman" w:hAnsiTheme="minorHAnsi" w:cstheme="minorHAnsi"/>
                <w:noProof/>
                <w:sz w:val="20"/>
                <w:szCs w:val="20"/>
                <w:lang w:val="es-ES" w:eastAsia="en-GB"/>
              </w:rPr>
              <w:t>)</w:t>
            </w:r>
            <w:r w:rsidR="00DE66EA" w:rsidRPr="001A2E55">
              <w:rPr>
                <w:rFonts w:asciiTheme="minorHAnsi" w:eastAsia="Times New Roman" w:hAnsiTheme="minorHAnsi" w:cstheme="minorHAnsi"/>
                <w:noProof/>
                <w:sz w:val="20"/>
                <w:szCs w:val="20"/>
                <w:lang w:val="es-ES" w:eastAsia="en-GB"/>
              </w:rPr>
              <w:t xml:space="preserve"> y </w:t>
            </w:r>
            <w:r w:rsidR="006D4B43" w:rsidRPr="001A2E55">
              <w:rPr>
                <w:rFonts w:asciiTheme="minorHAnsi" w:eastAsia="Times New Roman" w:hAnsiTheme="minorHAnsi" w:cstheme="minorHAnsi"/>
                <w:noProof/>
                <w:sz w:val="20"/>
                <w:szCs w:val="20"/>
                <w:lang w:val="es-ES" w:eastAsia="en-GB"/>
              </w:rPr>
              <w:t xml:space="preserve">(vi) </w:t>
            </w:r>
            <w:r w:rsidR="00064BF6" w:rsidRPr="001A2E55">
              <w:rPr>
                <w:rFonts w:asciiTheme="minorHAnsi" w:eastAsia="Times New Roman" w:hAnsiTheme="minorHAnsi" w:cstheme="minorHAnsi"/>
                <w:noProof/>
                <w:sz w:val="20"/>
                <w:szCs w:val="20"/>
                <w:lang w:val="es-ES" w:eastAsia="en-GB"/>
              </w:rPr>
              <w:t>5</w:t>
            </w:r>
            <w:r w:rsidR="006D4B43" w:rsidRPr="001A2E55">
              <w:rPr>
                <w:rFonts w:asciiTheme="minorHAnsi" w:eastAsia="Times New Roman" w:hAnsiTheme="minorHAnsi" w:cstheme="minorHAnsi"/>
                <w:noProof/>
                <w:sz w:val="20"/>
                <w:szCs w:val="20"/>
                <w:lang w:val="es-ES" w:eastAsia="en-GB"/>
              </w:rPr>
              <w:t>0</w:t>
            </w:r>
            <w:r w:rsidR="00DE66EA"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DE66EA" w:rsidRPr="001A2E55">
              <w:rPr>
                <w:rFonts w:asciiTheme="minorHAnsi" w:eastAsia="Times New Roman" w:hAnsiTheme="minorHAnsi" w:cstheme="minorHAnsi"/>
                <w:noProof/>
                <w:sz w:val="20"/>
                <w:szCs w:val="20"/>
                <w:lang w:val="es-ES" w:eastAsia="en-GB"/>
              </w:rPr>
              <w:t xml:space="preserve">de apoyo técnico </w:t>
            </w:r>
            <w:r w:rsidR="006E6E3E" w:rsidRPr="001A2E55">
              <w:rPr>
                <w:rFonts w:asciiTheme="minorHAnsi" w:eastAsia="Times New Roman" w:hAnsiTheme="minorHAnsi" w:cstheme="minorHAnsi"/>
                <w:noProof/>
                <w:sz w:val="20"/>
                <w:szCs w:val="20"/>
                <w:lang w:val="es-ES" w:eastAsia="en-GB"/>
              </w:rPr>
              <w:t xml:space="preserve">para el SISR </w:t>
            </w:r>
            <w:r w:rsidR="00DE66EA" w:rsidRPr="001A2E55">
              <w:rPr>
                <w:rFonts w:asciiTheme="minorHAnsi" w:eastAsia="Times New Roman" w:hAnsiTheme="minorHAnsi" w:cstheme="minorHAnsi"/>
                <w:noProof/>
                <w:sz w:val="20"/>
                <w:szCs w:val="20"/>
                <w:lang w:val="es-ES" w:eastAsia="en-GB"/>
              </w:rPr>
              <w:t xml:space="preserve">durante el trienio. </w:t>
            </w:r>
          </w:p>
          <w:p w14:paraId="63943889" w14:textId="4FB5D2BF" w:rsidR="006D4B43"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No comprometidos o no gastados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w:t>
            </w:r>
            <w:r w:rsidR="00064BF6" w:rsidRPr="001A2E55">
              <w:rPr>
                <w:rFonts w:asciiTheme="minorHAnsi" w:eastAsia="Times New Roman" w:hAnsiTheme="minorHAnsi" w:cstheme="minorHAnsi"/>
                <w:noProof/>
                <w:sz w:val="20"/>
                <w:szCs w:val="20"/>
                <w:lang w:val="es-ES" w:eastAsia="en-GB"/>
              </w:rPr>
              <w:t>44</w:t>
            </w:r>
            <w:r w:rsidR="00DE66EA" w:rsidRPr="001A2E55">
              <w:rPr>
                <w:rFonts w:asciiTheme="minorHAnsi" w:eastAsia="Times New Roman" w:hAnsiTheme="minorHAnsi" w:cstheme="minorHAnsi"/>
                <w:noProof/>
                <w:sz w:val="20"/>
                <w:szCs w:val="20"/>
                <w:lang w:val="es-ES" w:eastAsia="en-GB"/>
              </w:rPr>
              <w:t xml:space="preserve"> 000 para prestaciones del personal.</w:t>
            </w:r>
          </w:p>
        </w:tc>
      </w:tr>
      <w:tr w:rsidR="006D4B43" w:rsidRPr="00F81E8B" w14:paraId="092A2F89"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548CABDA" w14:textId="518C4CC9" w:rsidR="006D4B43" w:rsidRPr="001A2E55" w:rsidRDefault="00DE66EA"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Administración</w:t>
            </w:r>
            <w:r w:rsidR="006D4B43" w:rsidRPr="001A2E55">
              <w:rPr>
                <w:rFonts w:asciiTheme="minorHAnsi" w:eastAsia="Times New Roman" w:hAnsiTheme="minorHAnsi" w:cstheme="minorHAnsi"/>
                <w:noProof/>
                <w:color w:val="000000"/>
                <w:sz w:val="20"/>
                <w:szCs w:val="20"/>
                <w:lang w:val="es-ES" w:eastAsia="en-GB"/>
              </w:rPr>
              <w:t>/</w:t>
            </w:r>
            <w:r w:rsidR="006D4B43" w:rsidRPr="001A2E55">
              <w:rPr>
                <w:rFonts w:asciiTheme="minorHAnsi" w:eastAsia="Times New Roman" w:hAnsiTheme="minorHAnsi" w:cstheme="minorHAnsi"/>
                <w:noProof/>
                <w:color w:val="000000"/>
                <w:sz w:val="20"/>
                <w:szCs w:val="20"/>
                <w:lang w:val="es-ES" w:eastAsia="en-GB"/>
              </w:rPr>
              <w:br/>
              <w:t>Web</w:t>
            </w:r>
          </w:p>
        </w:tc>
        <w:tc>
          <w:tcPr>
            <w:tcW w:w="1323" w:type="dxa"/>
            <w:tcBorders>
              <w:top w:val="nil"/>
              <w:left w:val="nil"/>
              <w:bottom w:val="single" w:sz="4" w:space="0" w:color="auto"/>
              <w:right w:val="single" w:sz="4" w:space="0" w:color="auto"/>
            </w:tcBorders>
            <w:shd w:val="clear" w:color="auto" w:fill="auto"/>
            <w:noWrap/>
            <w:hideMark/>
          </w:tcPr>
          <w:p w14:paraId="33A9BA10" w14:textId="6EFF64A2"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151</w:t>
            </w:r>
          </w:p>
        </w:tc>
        <w:tc>
          <w:tcPr>
            <w:tcW w:w="1323" w:type="dxa"/>
            <w:tcBorders>
              <w:top w:val="nil"/>
              <w:left w:val="nil"/>
              <w:bottom w:val="single" w:sz="4" w:space="0" w:color="auto"/>
              <w:right w:val="single" w:sz="4" w:space="0" w:color="auto"/>
            </w:tcBorders>
            <w:shd w:val="clear" w:color="auto" w:fill="auto"/>
            <w:noWrap/>
            <w:hideMark/>
          </w:tcPr>
          <w:p w14:paraId="1153D8EC" w14:textId="4E9D03EB"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23" w:type="dxa"/>
            <w:tcBorders>
              <w:top w:val="nil"/>
              <w:left w:val="nil"/>
              <w:bottom w:val="single" w:sz="4" w:space="0" w:color="auto"/>
              <w:right w:val="single" w:sz="4" w:space="0" w:color="auto"/>
            </w:tcBorders>
            <w:shd w:val="clear" w:color="auto" w:fill="auto"/>
            <w:noWrap/>
            <w:hideMark/>
          </w:tcPr>
          <w:p w14:paraId="58B598CB" w14:textId="7C3D1D80" w:rsidR="006D4B43" w:rsidRPr="001A2E55" w:rsidRDefault="00064BF6"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151</w:t>
            </w:r>
          </w:p>
        </w:tc>
        <w:tc>
          <w:tcPr>
            <w:tcW w:w="3402" w:type="dxa"/>
            <w:tcBorders>
              <w:top w:val="nil"/>
              <w:left w:val="nil"/>
              <w:bottom w:val="single" w:sz="4" w:space="0" w:color="auto"/>
              <w:right w:val="single" w:sz="4" w:space="0" w:color="auto"/>
            </w:tcBorders>
            <w:shd w:val="clear" w:color="auto" w:fill="auto"/>
            <w:hideMark/>
          </w:tcPr>
          <w:p w14:paraId="49B39364" w14:textId="72C28BC2" w:rsidR="006D4B43"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Previamente comprometidos o previstos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(i) </w:t>
            </w:r>
            <w:r w:rsidR="00064BF6" w:rsidRPr="001A2E55">
              <w:rPr>
                <w:rFonts w:asciiTheme="minorHAnsi" w:eastAsia="Times New Roman" w:hAnsiTheme="minorHAnsi" w:cstheme="minorHAnsi"/>
                <w:noProof/>
                <w:sz w:val="20"/>
                <w:szCs w:val="20"/>
                <w:lang w:val="es-ES" w:eastAsia="en-GB"/>
              </w:rPr>
              <w:t>64</w:t>
            </w:r>
            <w:r w:rsidR="00DE66EA"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6E6E3E" w:rsidRPr="001A2E55">
              <w:rPr>
                <w:rFonts w:asciiTheme="minorHAnsi" w:eastAsia="Times New Roman" w:hAnsiTheme="minorHAnsi" w:cstheme="minorHAnsi"/>
                <w:noProof/>
                <w:sz w:val="20"/>
                <w:szCs w:val="20"/>
                <w:lang w:val="es-ES" w:eastAsia="en-GB"/>
              </w:rPr>
              <w:t xml:space="preserve">para </w:t>
            </w:r>
            <w:r w:rsidR="00B408E7" w:rsidRPr="001A2E55">
              <w:rPr>
                <w:rFonts w:asciiTheme="minorHAnsi" w:eastAsia="Times New Roman" w:hAnsiTheme="minorHAnsi" w:cstheme="minorHAnsi"/>
                <w:noProof/>
                <w:sz w:val="20"/>
                <w:szCs w:val="20"/>
                <w:lang w:val="es-ES" w:eastAsia="en-GB"/>
              </w:rPr>
              <w:t xml:space="preserve">gastos de contratación y </w:t>
            </w:r>
            <w:r w:rsidR="006E6E3E" w:rsidRPr="001A2E55">
              <w:rPr>
                <w:rFonts w:asciiTheme="minorHAnsi" w:eastAsia="Times New Roman" w:hAnsiTheme="minorHAnsi" w:cstheme="minorHAnsi"/>
                <w:noProof/>
                <w:sz w:val="20"/>
                <w:szCs w:val="20"/>
                <w:lang w:val="es-ES" w:eastAsia="en-GB"/>
              </w:rPr>
              <w:t>cese</w:t>
            </w:r>
            <w:r w:rsidR="00B408E7" w:rsidRPr="001A2E55">
              <w:rPr>
                <w:rFonts w:asciiTheme="minorHAnsi" w:eastAsia="Times New Roman" w:hAnsiTheme="minorHAnsi" w:cstheme="minorHAnsi"/>
                <w:noProof/>
                <w:sz w:val="20"/>
                <w:szCs w:val="20"/>
                <w:lang w:val="es-ES" w:eastAsia="en-GB"/>
              </w:rPr>
              <w:t xml:space="preserve"> de personal</w:t>
            </w:r>
            <w:r w:rsidR="006D4B43" w:rsidRPr="001A2E55">
              <w:rPr>
                <w:rFonts w:asciiTheme="minorHAnsi" w:eastAsia="Times New Roman" w:hAnsiTheme="minorHAnsi" w:cstheme="minorHAnsi"/>
                <w:noProof/>
                <w:sz w:val="20"/>
                <w:szCs w:val="20"/>
                <w:lang w:val="es-ES" w:eastAsia="en-GB"/>
              </w:rPr>
              <w:t>, (ii) 2</w:t>
            </w:r>
            <w:r w:rsidR="009E07CA" w:rsidRPr="001A2E55">
              <w:rPr>
                <w:rFonts w:asciiTheme="minorHAnsi" w:eastAsia="Times New Roman" w:hAnsiTheme="minorHAnsi" w:cstheme="minorHAnsi"/>
                <w:noProof/>
                <w:sz w:val="20"/>
                <w:szCs w:val="20"/>
                <w:lang w:val="es-ES" w:eastAsia="en-GB"/>
              </w:rPr>
              <w:t>7</w:t>
            </w:r>
            <w:r w:rsidR="00B408E7"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B408E7" w:rsidRPr="001A2E55">
              <w:rPr>
                <w:rFonts w:asciiTheme="minorHAnsi" w:eastAsia="Times New Roman" w:hAnsiTheme="minorHAnsi" w:cstheme="minorHAnsi"/>
                <w:noProof/>
                <w:sz w:val="20"/>
                <w:szCs w:val="20"/>
                <w:lang w:val="es-ES" w:eastAsia="en-GB"/>
              </w:rPr>
              <w:t>para</w:t>
            </w:r>
            <w:r w:rsidR="00894E14" w:rsidRPr="001A2E55">
              <w:rPr>
                <w:rFonts w:asciiTheme="minorHAnsi" w:eastAsia="Times New Roman" w:hAnsiTheme="minorHAnsi" w:cstheme="minorHAnsi"/>
                <w:noProof/>
                <w:sz w:val="20"/>
                <w:szCs w:val="20"/>
                <w:lang w:val="es-ES" w:eastAsia="en-GB"/>
              </w:rPr>
              <w:t xml:space="preserve"> equipo y</w:t>
            </w:r>
            <w:r w:rsidR="00B408E7" w:rsidRPr="001A2E55">
              <w:rPr>
                <w:rFonts w:asciiTheme="minorHAnsi" w:eastAsia="Times New Roman" w:hAnsiTheme="minorHAnsi" w:cstheme="minorHAnsi"/>
                <w:noProof/>
                <w:sz w:val="20"/>
                <w:szCs w:val="20"/>
                <w:lang w:val="es-ES" w:eastAsia="en-GB"/>
              </w:rPr>
              <w:t xml:space="preserve"> suministros</w:t>
            </w:r>
            <w:r w:rsidR="009E07CA" w:rsidRPr="001A2E55">
              <w:rPr>
                <w:rFonts w:asciiTheme="minorHAnsi" w:eastAsia="Times New Roman" w:hAnsiTheme="minorHAnsi" w:cstheme="minorHAnsi"/>
                <w:noProof/>
                <w:sz w:val="20"/>
                <w:szCs w:val="20"/>
                <w:lang w:val="es-ES" w:eastAsia="en-GB"/>
              </w:rPr>
              <w:t xml:space="preserve"> de oficina</w:t>
            </w:r>
            <w:r w:rsidR="00B408E7" w:rsidRPr="001A2E55">
              <w:rPr>
                <w:rFonts w:asciiTheme="minorHAnsi" w:eastAsia="Times New Roman" w:hAnsiTheme="minorHAnsi" w:cstheme="minorHAnsi"/>
                <w:noProof/>
                <w:sz w:val="20"/>
                <w:szCs w:val="20"/>
                <w:lang w:val="es-ES" w:eastAsia="en-GB"/>
              </w:rPr>
              <w:t>, y</w:t>
            </w:r>
            <w:r w:rsidR="006D4B43" w:rsidRPr="001A2E55">
              <w:rPr>
                <w:rFonts w:asciiTheme="minorHAnsi" w:eastAsia="Times New Roman" w:hAnsiTheme="minorHAnsi" w:cstheme="minorHAnsi"/>
                <w:noProof/>
                <w:sz w:val="20"/>
                <w:szCs w:val="20"/>
                <w:lang w:val="es-ES" w:eastAsia="en-GB"/>
              </w:rPr>
              <w:t xml:space="preserve"> (iii) 6</w:t>
            </w:r>
            <w:r w:rsidR="009E07CA" w:rsidRPr="001A2E55">
              <w:rPr>
                <w:rFonts w:asciiTheme="minorHAnsi" w:eastAsia="Times New Roman" w:hAnsiTheme="minorHAnsi" w:cstheme="minorHAnsi"/>
                <w:noProof/>
                <w:sz w:val="20"/>
                <w:szCs w:val="20"/>
                <w:lang w:val="es-ES" w:eastAsia="en-GB"/>
              </w:rPr>
              <w:t>0</w:t>
            </w:r>
            <w:r w:rsidR="00B408E7"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B408E7" w:rsidRPr="001A2E55">
              <w:rPr>
                <w:rFonts w:asciiTheme="minorHAnsi" w:eastAsia="Times New Roman" w:hAnsiTheme="minorHAnsi" w:cstheme="minorHAnsi"/>
                <w:noProof/>
                <w:sz w:val="20"/>
                <w:szCs w:val="20"/>
                <w:lang w:val="es-ES" w:eastAsia="en-GB"/>
              </w:rPr>
              <w:t>para</w:t>
            </w:r>
            <w:r w:rsidR="006E6E3E" w:rsidRPr="001A2E55">
              <w:rPr>
                <w:rFonts w:asciiTheme="minorHAnsi" w:eastAsia="Times New Roman" w:hAnsiTheme="minorHAnsi" w:cstheme="minorHAnsi"/>
                <w:noProof/>
                <w:sz w:val="20"/>
                <w:szCs w:val="20"/>
                <w:lang w:val="es-ES" w:eastAsia="en-GB"/>
              </w:rPr>
              <w:t xml:space="preserve"> la</w:t>
            </w:r>
            <w:r w:rsidR="00B408E7" w:rsidRPr="001A2E55">
              <w:rPr>
                <w:rFonts w:asciiTheme="minorHAnsi" w:eastAsia="Times New Roman" w:hAnsiTheme="minorHAnsi" w:cstheme="minorHAnsi"/>
                <w:noProof/>
                <w:sz w:val="20"/>
                <w:szCs w:val="20"/>
                <w:lang w:val="es-ES" w:eastAsia="en-GB"/>
              </w:rPr>
              <w:t xml:space="preserve"> continua</w:t>
            </w:r>
            <w:r w:rsidR="006E6E3E" w:rsidRPr="001A2E55">
              <w:rPr>
                <w:rFonts w:asciiTheme="minorHAnsi" w:eastAsia="Times New Roman" w:hAnsiTheme="minorHAnsi" w:cstheme="minorHAnsi"/>
                <w:noProof/>
                <w:sz w:val="20"/>
                <w:szCs w:val="20"/>
                <w:lang w:val="es-ES" w:eastAsia="en-GB"/>
              </w:rPr>
              <w:t>ción de</w:t>
            </w:r>
            <w:r w:rsidR="00B408E7" w:rsidRPr="001A2E55">
              <w:rPr>
                <w:rFonts w:asciiTheme="minorHAnsi" w:eastAsia="Times New Roman" w:hAnsiTheme="minorHAnsi" w:cstheme="minorHAnsi"/>
                <w:noProof/>
                <w:sz w:val="20"/>
                <w:szCs w:val="20"/>
                <w:lang w:val="es-ES" w:eastAsia="en-GB"/>
              </w:rPr>
              <w:t xml:space="preserve"> la aplicación del plan de creación de capacidad</w:t>
            </w:r>
            <w:r w:rsidR="006D4B43" w:rsidRPr="001A2E55">
              <w:rPr>
                <w:rFonts w:asciiTheme="minorHAnsi" w:eastAsia="Times New Roman" w:hAnsiTheme="minorHAnsi" w:cstheme="minorHAnsi"/>
                <w:noProof/>
                <w:sz w:val="20"/>
                <w:szCs w:val="20"/>
                <w:lang w:val="es-ES" w:eastAsia="en-GB"/>
              </w:rPr>
              <w:t>.</w:t>
            </w:r>
          </w:p>
        </w:tc>
      </w:tr>
      <w:tr w:rsidR="006D4B43" w:rsidRPr="00F81E8B" w14:paraId="6D3C5555"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326E43D5" w14:textId="219B6375" w:rsidR="006D4B43" w:rsidRPr="001A2E55" w:rsidRDefault="00B408E7"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lastRenderedPageBreak/>
              <w:t>Servicios para el Comité Permanente</w:t>
            </w:r>
          </w:p>
        </w:tc>
        <w:tc>
          <w:tcPr>
            <w:tcW w:w="1323" w:type="dxa"/>
            <w:tcBorders>
              <w:top w:val="nil"/>
              <w:left w:val="nil"/>
              <w:bottom w:val="single" w:sz="4" w:space="0" w:color="auto"/>
              <w:right w:val="single" w:sz="4" w:space="0" w:color="auto"/>
            </w:tcBorders>
            <w:shd w:val="clear" w:color="auto" w:fill="auto"/>
            <w:hideMark/>
          </w:tcPr>
          <w:p w14:paraId="4B2D0A89" w14:textId="566737C7"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24</w:t>
            </w:r>
          </w:p>
        </w:tc>
        <w:tc>
          <w:tcPr>
            <w:tcW w:w="1323" w:type="dxa"/>
            <w:tcBorders>
              <w:top w:val="nil"/>
              <w:left w:val="nil"/>
              <w:bottom w:val="single" w:sz="4" w:space="0" w:color="auto"/>
              <w:right w:val="single" w:sz="4" w:space="0" w:color="auto"/>
            </w:tcBorders>
            <w:shd w:val="clear" w:color="auto" w:fill="auto"/>
            <w:hideMark/>
          </w:tcPr>
          <w:p w14:paraId="19FA008A" w14:textId="4CC82654"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11</w:t>
            </w:r>
          </w:p>
        </w:tc>
        <w:tc>
          <w:tcPr>
            <w:tcW w:w="1323" w:type="dxa"/>
            <w:tcBorders>
              <w:top w:val="nil"/>
              <w:left w:val="nil"/>
              <w:bottom w:val="single" w:sz="4" w:space="0" w:color="auto"/>
              <w:right w:val="single" w:sz="4" w:space="0" w:color="auto"/>
            </w:tcBorders>
            <w:shd w:val="clear" w:color="auto" w:fill="auto"/>
            <w:noWrap/>
            <w:hideMark/>
          </w:tcPr>
          <w:p w14:paraId="26F36EA6" w14:textId="3B056107"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35</w:t>
            </w:r>
          </w:p>
        </w:tc>
        <w:tc>
          <w:tcPr>
            <w:tcW w:w="3402" w:type="dxa"/>
            <w:tcBorders>
              <w:top w:val="nil"/>
              <w:left w:val="nil"/>
              <w:bottom w:val="single" w:sz="4" w:space="0" w:color="auto"/>
              <w:right w:val="single" w:sz="4" w:space="0" w:color="auto"/>
            </w:tcBorders>
            <w:shd w:val="clear" w:color="auto" w:fill="auto"/>
            <w:hideMark/>
          </w:tcPr>
          <w:p w14:paraId="2E6D029B" w14:textId="14F532D7" w:rsidR="009E07CA"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Previamente comprometidos o previstos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w:t>
            </w:r>
            <w:r w:rsidR="009E07CA" w:rsidRPr="001A2E55">
              <w:rPr>
                <w:rFonts w:asciiTheme="minorHAnsi" w:eastAsia="Times New Roman" w:hAnsiTheme="minorHAnsi" w:cstheme="minorHAnsi"/>
                <w:noProof/>
                <w:sz w:val="20"/>
                <w:szCs w:val="20"/>
                <w:lang w:val="es-ES" w:eastAsia="en-GB"/>
              </w:rPr>
              <w:t>2</w:t>
            </w:r>
            <w:r w:rsidR="006D4B43" w:rsidRPr="001A2E55">
              <w:rPr>
                <w:rFonts w:asciiTheme="minorHAnsi" w:eastAsia="Times New Roman" w:hAnsiTheme="minorHAnsi" w:cstheme="minorHAnsi"/>
                <w:noProof/>
                <w:sz w:val="20"/>
                <w:szCs w:val="20"/>
                <w:lang w:val="es-ES" w:eastAsia="en-GB"/>
              </w:rPr>
              <w:t>4</w:t>
            </w:r>
            <w:r w:rsidR="00B408E7"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B408E7" w:rsidRPr="001A2E55">
              <w:rPr>
                <w:rFonts w:asciiTheme="minorHAnsi" w:eastAsia="Times New Roman" w:hAnsiTheme="minorHAnsi" w:cstheme="minorHAnsi"/>
                <w:noProof/>
                <w:sz w:val="20"/>
                <w:szCs w:val="20"/>
                <w:lang w:val="es-ES" w:eastAsia="en-GB"/>
              </w:rPr>
              <w:t>para</w:t>
            </w:r>
            <w:r w:rsidR="009E07CA" w:rsidRPr="001A2E55">
              <w:rPr>
                <w:rFonts w:asciiTheme="minorHAnsi" w:eastAsia="Times New Roman" w:hAnsiTheme="minorHAnsi" w:cstheme="minorHAnsi"/>
                <w:noProof/>
                <w:sz w:val="20"/>
                <w:szCs w:val="20"/>
                <w:lang w:val="es-ES" w:eastAsia="en-GB"/>
              </w:rPr>
              <w:t xml:space="preserve"> el examen de las resoluciones</w:t>
            </w:r>
          </w:p>
          <w:p w14:paraId="63E898D7" w14:textId="37E8ED10" w:rsidR="006D4B43" w:rsidRPr="001A2E55" w:rsidRDefault="009E07CA"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 xml:space="preserve">No comprometidos o no gastados: </w:t>
            </w:r>
            <w:r w:rsidRPr="001A2E55">
              <w:rPr>
                <w:rFonts w:asciiTheme="minorHAnsi" w:eastAsia="Times New Roman" w:hAnsiTheme="minorHAnsi" w:cstheme="minorHAnsi"/>
                <w:noProof/>
                <w:color w:val="000000"/>
                <w:sz w:val="20"/>
                <w:szCs w:val="20"/>
                <w:lang w:val="es-ES" w:eastAsia="en-GB"/>
              </w:rPr>
              <w:t>(i)</w:t>
            </w:r>
            <w:r w:rsidR="00B408E7" w:rsidRPr="001A2E55">
              <w:rPr>
                <w:rFonts w:asciiTheme="minorHAnsi" w:eastAsia="Times New Roman" w:hAnsiTheme="minorHAnsi" w:cstheme="minorHAnsi"/>
                <w:noProof/>
                <w:sz w:val="20"/>
                <w:szCs w:val="20"/>
                <w:lang w:val="es-ES" w:eastAsia="en-GB"/>
              </w:rPr>
              <w:t xml:space="preserve"> </w:t>
            </w:r>
            <w:r w:rsidRPr="001A2E55">
              <w:rPr>
                <w:rFonts w:asciiTheme="minorHAnsi" w:eastAsia="Times New Roman" w:hAnsiTheme="minorHAnsi" w:cstheme="minorHAnsi"/>
                <w:noProof/>
                <w:sz w:val="20"/>
                <w:szCs w:val="20"/>
                <w:lang w:val="es-ES" w:eastAsia="en-GB"/>
              </w:rPr>
              <w:t xml:space="preserve">para </w:t>
            </w:r>
            <w:r w:rsidR="00B408E7" w:rsidRPr="001A2E55">
              <w:rPr>
                <w:rFonts w:asciiTheme="minorHAnsi" w:eastAsia="Times New Roman" w:hAnsiTheme="minorHAnsi" w:cstheme="minorHAnsi"/>
                <w:noProof/>
                <w:sz w:val="20"/>
                <w:szCs w:val="20"/>
                <w:lang w:val="es-ES" w:eastAsia="en-GB"/>
              </w:rPr>
              <w:t>la aplicación del grupo de trabajo sobre la eficacia</w:t>
            </w:r>
            <w:r w:rsidRPr="001A2E55">
              <w:rPr>
                <w:rFonts w:asciiTheme="minorHAnsi" w:eastAsia="Times New Roman" w:hAnsiTheme="minorHAnsi" w:cstheme="minorHAnsi"/>
                <w:noProof/>
                <w:sz w:val="20"/>
                <w:szCs w:val="20"/>
                <w:lang w:val="es-ES" w:eastAsia="en-GB"/>
              </w:rPr>
              <w:t xml:space="preserve"> y</w:t>
            </w:r>
            <w:r w:rsidR="00B408E7" w:rsidRPr="001A2E55">
              <w:rPr>
                <w:rFonts w:asciiTheme="minorHAnsi" w:eastAsia="Times New Roman" w:hAnsiTheme="minorHAnsi" w:cstheme="minorHAnsi"/>
                <w:noProof/>
                <w:sz w:val="20"/>
                <w:szCs w:val="20"/>
                <w:lang w:val="es-ES" w:eastAsia="en-GB"/>
              </w:rPr>
              <w:t xml:space="preserve"> </w:t>
            </w:r>
            <w:r w:rsidR="006D4B43" w:rsidRPr="001A2E55">
              <w:rPr>
                <w:rFonts w:asciiTheme="minorHAnsi" w:eastAsia="Times New Roman" w:hAnsiTheme="minorHAnsi" w:cstheme="minorHAnsi"/>
                <w:noProof/>
                <w:sz w:val="20"/>
                <w:szCs w:val="20"/>
                <w:lang w:val="es-ES" w:eastAsia="en-GB"/>
              </w:rPr>
              <w:t>(ii) 7</w:t>
            </w:r>
            <w:r w:rsidR="00B408E7"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B408E7" w:rsidRPr="001A2E55">
              <w:rPr>
                <w:rFonts w:asciiTheme="minorHAnsi" w:eastAsia="Times New Roman" w:hAnsiTheme="minorHAnsi" w:cstheme="minorHAnsi"/>
                <w:noProof/>
                <w:sz w:val="20"/>
                <w:szCs w:val="20"/>
                <w:lang w:val="es-ES" w:eastAsia="en-GB"/>
              </w:rPr>
              <w:t>para mejorar la eficiencia y la colaboración</w:t>
            </w:r>
            <w:r w:rsidR="006D4B43" w:rsidRPr="001A2E55">
              <w:rPr>
                <w:rFonts w:asciiTheme="minorHAnsi" w:eastAsia="Times New Roman" w:hAnsiTheme="minorHAnsi" w:cstheme="minorHAnsi"/>
                <w:noProof/>
                <w:sz w:val="20"/>
                <w:szCs w:val="20"/>
                <w:lang w:val="es-ES" w:eastAsia="en-GB"/>
              </w:rPr>
              <w:t>.</w:t>
            </w:r>
          </w:p>
        </w:tc>
      </w:tr>
      <w:tr w:rsidR="006D4B43" w:rsidRPr="00F81E8B" w14:paraId="29D6F85C" w14:textId="77777777" w:rsidTr="00D019AB">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3EA286EE" w14:textId="1BAC8799" w:rsidR="006D4B43" w:rsidRPr="001A2E55" w:rsidRDefault="00B408E7"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Cargos por servicios administrativos de la UICN</w:t>
            </w:r>
          </w:p>
        </w:tc>
        <w:tc>
          <w:tcPr>
            <w:tcW w:w="1323" w:type="dxa"/>
            <w:tcBorders>
              <w:top w:val="single" w:sz="4" w:space="0" w:color="auto"/>
              <w:left w:val="nil"/>
              <w:bottom w:val="single" w:sz="4" w:space="0" w:color="auto"/>
              <w:right w:val="single" w:sz="4" w:space="0" w:color="auto"/>
            </w:tcBorders>
            <w:shd w:val="clear" w:color="auto" w:fill="auto"/>
            <w:hideMark/>
          </w:tcPr>
          <w:p w14:paraId="7C1F2542" w14:textId="77777777" w:rsidR="006D4B43" w:rsidRPr="001A2E55" w:rsidRDefault="006D4B43"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23" w:type="dxa"/>
            <w:tcBorders>
              <w:top w:val="single" w:sz="4" w:space="0" w:color="auto"/>
              <w:left w:val="nil"/>
              <w:bottom w:val="single" w:sz="4" w:space="0" w:color="auto"/>
              <w:right w:val="single" w:sz="4" w:space="0" w:color="auto"/>
            </w:tcBorders>
            <w:shd w:val="clear" w:color="auto" w:fill="auto"/>
            <w:hideMark/>
          </w:tcPr>
          <w:p w14:paraId="51E55C25" w14:textId="1EAA4395"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8</w:t>
            </w:r>
          </w:p>
        </w:tc>
        <w:tc>
          <w:tcPr>
            <w:tcW w:w="1323" w:type="dxa"/>
            <w:tcBorders>
              <w:top w:val="single" w:sz="4" w:space="0" w:color="auto"/>
              <w:left w:val="nil"/>
              <w:bottom w:val="single" w:sz="4" w:space="0" w:color="auto"/>
              <w:right w:val="single" w:sz="4" w:space="0" w:color="auto"/>
            </w:tcBorders>
            <w:shd w:val="clear" w:color="auto" w:fill="auto"/>
            <w:noWrap/>
            <w:hideMark/>
          </w:tcPr>
          <w:p w14:paraId="670CEB5A" w14:textId="70528FD7"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8</w:t>
            </w:r>
          </w:p>
        </w:tc>
        <w:tc>
          <w:tcPr>
            <w:tcW w:w="3402" w:type="dxa"/>
            <w:tcBorders>
              <w:top w:val="single" w:sz="4" w:space="0" w:color="auto"/>
              <w:left w:val="nil"/>
              <w:bottom w:val="single" w:sz="4" w:space="0" w:color="auto"/>
              <w:right w:val="single" w:sz="4" w:space="0" w:color="auto"/>
            </w:tcBorders>
            <w:shd w:val="clear" w:color="auto" w:fill="auto"/>
            <w:hideMark/>
          </w:tcPr>
          <w:p w14:paraId="75ADDBD2" w14:textId="079A9436" w:rsidR="006D4B43"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No comprometidos o no gastados</w:t>
            </w:r>
            <w:r w:rsidR="006D4B43" w:rsidRPr="001A2E55">
              <w:rPr>
                <w:rFonts w:asciiTheme="minorHAnsi" w:eastAsia="Times New Roman" w:hAnsiTheme="minorHAnsi" w:cstheme="minorHAnsi"/>
                <w:b/>
                <w:bCs/>
                <w:noProof/>
                <w:sz w:val="20"/>
                <w:szCs w:val="20"/>
                <w:lang w:val="es-ES" w:eastAsia="en-GB"/>
              </w:rPr>
              <w:t>:</w:t>
            </w:r>
            <w:r w:rsidR="006D4B43" w:rsidRPr="001A2E55">
              <w:rPr>
                <w:rFonts w:asciiTheme="minorHAnsi" w:eastAsia="Times New Roman" w:hAnsiTheme="minorHAnsi" w:cstheme="minorHAnsi"/>
                <w:noProof/>
                <w:sz w:val="20"/>
                <w:szCs w:val="20"/>
                <w:lang w:val="es-ES" w:eastAsia="en-GB"/>
              </w:rPr>
              <w:t xml:space="preserve"> </w:t>
            </w:r>
            <w:r w:rsidR="009E07CA" w:rsidRPr="001A2E55">
              <w:rPr>
                <w:rFonts w:asciiTheme="minorHAnsi" w:eastAsia="Times New Roman" w:hAnsiTheme="minorHAnsi" w:cstheme="minorHAnsi"/>
                <w:noProof/>
                <w:sz w:val="20"/>
                <w:szCs w:val="20"/>
                <w:lang w:val="es-ES" w:eastAsia="en-GB"/>
              </w:rPr>
              <w:t>8 000 para c</w:t>
            </w:r>
            <w:r w:rsidR="00B408E7" w:rsidRPr="001A2E55">
              <w:rPr>
                <w:rFonts w:asciiTheme="minorHAnsi" w:eastAsia="Times New Roman" w:hAnsiTheme="minorHAnsi" w:cstheme="minorHAnsi"/>
                <w:noProof/>
                <w:sz w:val="20"/>
                <w:szCs w:val="20"/>
                <w:lang w:val="es-ES" w:eastAsia="en-GB"/>
              </w:rPr>
              <w:t>argos</w:t>
            </w:r>
            <w:r w:rsidR="009E07CA" w:rsidRPr="001A2E55">
              <w:rPr>
                <w:rFonts w:asciiTheme="minorHAnsi" w:eastAsia="Times New Roman" w:hAnsiTheme="minorHAnsi" w:cstheme="minorHAnsi"/>
                <w:noProof/>
                <w:sz w:val="20"/>
                <w:szCs w:val="20"/>
                <w:lang w:val="es-ES" w:eastAsia="en-GB"/>
              </w:rPr>
              <w:t xml:space="preserve"> por servicios</w:t>
            </w:r>
            <w:r w:rsidR="00B408E7" w:rsidRPr="001A2E55">
              <w:rPr>
                <w:rFonts w:asciiTheme="minorHAnsi" w:eastAsia="Times New Roman" w:hAnsiTheme="minorHAnsi" w:cstheme="minorHAnsi"/>
                <w:noProof/>
                <w:sz w:val="20"/>
                <w:szCs w:val="20"/>
                <w:lang w:val="es-ES" w:eastAsia="en-GB"/>
              </w:rPr>
              <w:t xml:space="preserve"> administrativos de la UICN</w:t>
            </w:r>
          </w:p>
        </w:tc>
      </w:tr>
      <w:tr w:rsidR="006D4B43" w:rsidRPr="00F81E8B" w14:paraId="5CAC3125" w14:textId="77777777" w:rsidTr="00D019AB">
        <w:trPr>
          <w:cantSplit/>
        </w:trPr>
        <w:tc>
          <w:tcPr>
            <w:tcW w:w="1838" w:type="dxa"/>
            <w:tcBorders>
              <w:top w:val="nil"/>
              <w:left w:val="single" w:sz="4" w:space="0" w:color="auto"/>
              <w:bottom w:val="single" w:sz="4" w:space="0" w:color="auto"/>
              <w:right w:val="single" w:sz="4" w:space="0" w:color="auto"/>
            </w:tcBorders>
            <w:shd w:val="clear" w:color="auto" w:fill="auto"/>
            <w:hideMark/>
          </w:tcPr>
          <w:p w14:paraId="370298A5" w14:textId="07CC280F" w:rsidR="006D4B43" w:rsidRPr="001A2E55" w:rsidRDefault="00B408E7"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Servicios jurídicos</w:t>
            </w:r>
          </w:p>
        </w:tc>
        <w:tc>
          <w:tcPr>
            <w:tcW w:w="1323" w:type="dxa"/>
            <w:tcBorders>
              <w:top w:val="nil"/>
              <w:left w:val="nil"/>
              <w:bottom w:val="single" w:sz="4" w:space="0" w:color="auto"/>
              <w:right w:val="single" w:sz="4" w:space="0" w:color="auto"/>
            </w:tcBorders>
            <w:shd w:val="clear" w:color="auto" w:fill="auto"/>
            <w:hideMark/>
          </w:tcPr>
          <w:p w14:paraId="79A6C6C2" w14:textId="5DC0C597"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27</w:t>
            </w:r>
          </w:p>
        </w:tc>
        <w:tc>
          <w:tcPr>
            <w:tcW w:w="1323" w:type="dxa"/>
            <w:tcBorders>
              <w:top w:val="nil"/>
              <w:left w:val="nil"/>
              <w:bottom w:val="single" w:sz="4" w:space="0" w:color="auto"/>
              <w:right w:val="single" w:sz="4" w:space="0" w:color="auto"/>
            </w:tcBorders>
            <w:shd w:val="clear" w:color="auto" w:fill="auto"/>
            <w:hideMark/>
          </w:tcPr>
          <w:p w14:paraId="0E23F1FF" w14:textId="77777777" w:rsidR="006D4B43" w:rsidRPr="001A2E55" w:rsidRDefault="006D4B43"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23" w:type="dxa"/>
            <w:tcBorders>
              <w:top w:val="nil"/>
              <w:left w:val="nil"/>
              <w:bottom w:val="single" w:sz="4" w:space="0" w:color="auto"/>
              <w:right w:val="single" w:sz="4" w:space="0" w:color="auto"/>
            </w:tcBorders>
            <w:shd w:val="clear" w:color="auto" w:fill="auto"/>
            <w:noWrap/>
            <w:hideMark/>
          </w:tcPr>
          <w:p w14:paraId="14077E4F" w14:textId="123EDE8B" w:rsidR="006D4B43" w:rsidRPr="001A2E55" w:rsidRDefault="009E07CA"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27</w:t>
            </w:r>
          </w:p>
        </w:tc>
        <w:tc>
          <w:tcPr>
            <w:tcW w:w="3402" w:type="dxa"/>
            <w:tcBorders>
              <w:top w:val="nil"/>
              <w:left w:val="nil"/>
              <w:bottom w:val="single" w:sz="4" w:space="0" w:color="auto"/>
              <w:right w:val="single" w:sz="4" w:space="0" w:color="auto"/>
            </w:tcBorders>
            <w:shd w:val="clear" w:color="auto" w:fill="auto"/>
            <w:hideMark/>
          </w:tcPr>
          <w:p w14:paraId="7E8558CA" w14:textId="4331F8D6" w:rsidR="006D4B43" w:rsidRPr="001A2E55" w:rsidRDefault="00300644"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Previamente comprometidos o previstos</w:t>
            </w:r>
            <w:r w:rsidR="006D4B43" w:rsidRPr="001A2E55">
              <w:rPr>
                <w:rFonts w:asciiTheme="minorHAnsi" w:eastAsia="Times New Roman" w:hAnsiTheme="minorHAnsi" w:cstheme="minorHAnsi"/>
                <w:b/>
                <w:bCs/>
                <w:noProof/>
                <w:sz w:val="20"/>
                <w:szCs w:val="20"/>
                <w:lang w:val="es-ES" w:eastAsia="en-GB"/>
              </w:rPr>
              <w:t xml:space="preserve">: </w:t>
            </w:r>
            <w:r w:rsidR="009E07CA" w:rsidRPr="001A2E55">
              <w:rPr>
                <w:rFonts w:asciiTheme="minorHAnsi" w:eastAsia="Times New Roman" w:hAnsiTheme="minorHAnsi" w:cstheme="minorHAnsi"/>
                <w:noProof/>
                <w:sz w:val="20"/>
                <w:szCs w:val="20"/>
                <w:lang w:val="es-ES" w:eastAsia="en-GB"/>
              </w:rPr>
              <w:t>27</w:t>
            </w:r>
            <w:r w:rsidR="00B408E7" w:rsidRPr="001A2E55">
              <w:rPr>
                <w:rFonts w:asciiTheme="minorHAnsi" w:eastAsia="Times New Roman" w:hAnsiTheme="minorHAnsi" w:cstheme="minorHAnsi"/>
                <w:noProof/>
                <w:sz w:val="20"/>
                <w:szCs w:val="20"/>
                <w:lang w:val="es-ES" w:eastAsia="en-GB"/>
              </w:rPr>
              <w:t xml:space="preserve"> 000</w:t>
            </w:r>
            <w:r w:rsidR="006D4B43" w:rsidRPr="001A2E55">
              <w:rPr>
                <w:rFonts w:asciiTheme="minorHAnsi" w:eastAsia="Times New Roman" w:hAnsiTheme="minorHAnsi" w:cstheme="minorHAnsi"/>
                <w:noProof/>
                <w:sz w:val="20"/>
                <w:szCs w:val="20"/>
                <w:lang w:val="es-ES" w:eastAsia="en-GB"/>
              </w:rPr>
              <w:t xml:space="preserve"> </w:t>
            </w:r>
            <w:r w:rsidR="00B408E7" w:rsidRPr="001A2E55">
              <w:rPr>
                <w:rFonts w:asciiTheme="minorHAnsi" w:eastAsia="Times New Roman" w:hAnsiTheme="minorHAnsi" w:cstheme="minorHAnsi"/>
                <w:noProof/>
                <w:sz w:val="20"/>
                <w:szCs w:val="20"/>
                <w:lang w:val="es-ES" w:eastAsia="en-GB"/>
              </w:rPr>
              <w:t>para gastos jurídicos</w:t>
            </w:r>
            <w:r w:rsidR="006D4B43" w:rsidRPr="001A2E55">
              <w:rPr>
                <w:rFonts w:asciiTheme="minorHAnsi" w:eastAsia="Times New Roman" w:hAnsiTheme="minorHAnsi" w:cstheme="minorHAnsi"/>
                <w:noProof/>
                <w:sz w:val="20"/>
                <w:szCs w:val="20"/>
                <w:lang w:val="es-ES" w:eastAsia="en-GB"/>
              </w:rPr>
              <w:t>.</w:t>
            </w:r>
          </w:p>
        </w:tc>
      </w:tr>
      <w:tr w:rsidR="006D4B43" w:rsidRPr="001A2E55" w14:paraId="2A8E952A" w14:textId="77777777" w:rsidTr="00D019AB">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54E64AB5" w14:textId="2176B7FB" w:rsidR="006D4B43" w:rsidRPr="001A2E55" w:rsidRDefault="009E07CA" w:rsidP="005D4B9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Total estimado por el traspaso del presupuesto básico para 2025</w:t>
            </w:r>
          </w:p>
        </w:tc>
        <w:tc>
          <w:tcPr>
            <w:tcW w:w="1323" w:type="dxa"/>
            <w:tcBorders>
              <w:top w:val="nil"/>
              <w:left w:val="nil"/>
              <w:bottom w:val="single" w:sz="4" w:space="0" w:color="auto"/>
              <w:right w:val="single" w:sz="4" w:space="0" w:color="auto"/>
            </w:tcBorders>
            <w:shd w:val="clear" w:color="000000" w:fill="DBE5F1"/>
            <w:noWrap/>
            <w:hideMark/>
          </w:tcPr>
          <w:p w14:paraId="21CCDBAC" w14:textId="592BC2C4" w:rsidR="006D4B43" w:rsidRPr="001A2E55" w:rsidRDefault="009E07CA"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535</w:t>
            </w:r>
          </w:p>
        </w:tc>
        <w:tc>
          <w:tcPr>
            <w:tcW w:w="1323" w:type="dxa"/>
            <w:tcBorders>
              <w:top w:val="nil"/>
              <w:left w:val="nil"/>
              <w:bottom w:val="single" w:sz="4" w:space="0" w:color="auto"/>
              <w:right w:val="single" w:sz="4" w:space="0" w:color="auto"/>
            </w:tcBorders>
            <w:shd w:val="clear" w:color="000000" w:fill="DBE5F1"/>
            <w:noWrap/>
            <w:hideMark/>
          </w:tcPr>
          <w:p w14:paraId="4B1407C3" w14:textId="5FFE3F6C" w:rsidR="006D4B43" w:rsidRPr="001A2E55" w:rsidRDefault="009E07CA"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443</w:t>
            </w:r>
          </w:p>
        </w:tc>
        <w:tc>
          <w:tcPr>
            <w:tcW w:w="1323" w:type="dxa"/>
            <w:tcBorders>
              <w:top w:val="nil"/>
              <w:left w:val="nil"/>
              <w:bottom w:val="single" w:sz="4" w:space="0" w:color="auto"/>
              <w:right w:val="single" w:sz="4" w:space="0" w:color="auto"/>
            </w:tcBorders>
            <w:shd w:val="clear" w:color="000000" w:fill="DBE5F1"/>
            <w:noWrap/>
            <w:hideMark/>
          </w:tcPr>
          <w:p w14:paraId="5A7A991B" w14:textId="582EDD64" w:rsidR="006D4B43" w:rsidRPr="001A2E55" w:rsidRDefault="009E07CA"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978</w:t>
            </w:r>
          </w:p>
        </w:tc>
        <w:tc>
          <w:tcPr>
            <w:tcW w:w="3402" w:type="dxa"/>
            <w:tcBorders>
              <w:top w:val="nil"/>
              <w:left w:val="nil"/>
              <w:bottom w:val="single" w:sz="4" w:space="0" w:color="auto"/>
              <w:right w:val="single" w:sz="4" w:space="0" w:color="auto"/>
            </w:tcBorders>
            <w:shd w:val="clear" w:color="000000" w:fill="DBE5F1"/>
            <w:noWrap/>
            <w:hideMark/>
          </w:tcPr>
          <w:p w14:paraId="2C5095C6" w14:textId="77777777" w:rsidR="006D4B43" w:rsidRPr="001A2E55" w:rsidRDefault="006D4B43"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w:t>
            </w:r>
          </w:p>
        </w:tc>
      </w:tr>
      <w:bookmarkEnd w:id="0"/>
    </w:tbl>
    <w:p w14:paraId="022C60E3" w14:textId="7B8D88A7" w:rsidR="00C407C2" w:rsidRPr="001A2E55" w:rsidRDefault="00C407C2" w:rsidP="006D4B43">
      <w:pPr>
        <w:pStyle w:val="NoSpacing"/>
        <w:ind w:left="0" w:firstLine="0"/>
        <w:rPr>
          <w:rFonts w:asciiTheme="minorHAnsi" w:hAnsiTheme="minorHAnsi" w:cstheme="minorHAnsi"/>
          <w:noProof/>
          <w:lang w:val="es-ES"/>
        </w:rPr>
      </w:pPr>
    </w:p>
    <w:p w14:paraId="062D38B1" w14:textId="77777777" w:rsidR="006D4B43" w:rsidRPr="001A2E55" w:rsidRDefault="006D4B43" w:rsidP="006D4B43">
      <w:pPr>
        <w:pStyle w:val="NoSpacing"/>
        <w:ind w:left="0" w:firstLine="0"/>
        <w:rPr>
          <w:rFonts w:asciiTheme="minorHAnsi" w:hAnsiTheme="minorHAnsi" w:cstheme="minorHAnsi"/>
          <w:noProof/>
          <w:lang w:val="es-ES"/>
        </w:rPr>
      </w:pPr>
    </w:p>
    <w:p w14:paraId="4FF8629C" w14:textId="6915A4DF" w:rsidR="006D4B43" w:rsidRPr="001A2E55" w:rsidRDefault="006D4B43" w:rsidP="006D4B43">
      <w:pPr>
        <w:pStyle w:val="NoSpacing"/>
        <w:ind w:left="0" w:firstLine="0"/>
        <w:rPr>
          <w:rFonts w:asciiTheme="minorHAnsi" w:hAnsiTheme="minorHAnsi" w:cstheme="minorHAnsi"/>
          <w:b/>
          <w:bCs/>
          <w:noProof/>
          <w:lang w:val="es-ES"/>
        </w:rPr>
      </w:pPr>
      <w:r w:rsidRPr="001A2E55">
        <w:rPr>
          <w:rFonts w:asciiTheme="minorHAnsi" w:hAnsiTheme="minorHAnsi" w:cstheme="minorHAnsi"/>
          <w:b/>
          <w:bCs/>
          <w:noProof/>
          <w:lang w:val="es-ES"/>
        </w:rPr>
        <w:t xml:space="preserve">Reserva y </w:t>
      </w:r>
      <w:r w:rsidR="00ED7836" w:rsidRPr="001A2E55">
        <w:rPr>
          <w:rFonts w:asciiTheme="minorHAnsi" w:hAnsiTheme="minorHAnsi" w:cstheme="minorHAnsi"/>
          <w:b/>
          <w:bCs/>
          <w:noProof/>
          <w:lang w:val="es-ES"/>
        </w:rPr>
        <w:t>excedente</w:t>
      </w:r>
      <w:r w:rsidRPr="001A2E55">
        <w:rPr>
          <w:rFonts w:asciiTheme="minorHAnsi" w:hAnsiTheme="minorHAnsi" w:cstheme="minorHAnsi"/>
          <w:b/>
          <w:bCs/>
          <w:noProof/>
          <w:lang w:val="es-ES"/>
        </w:rPr>
        <w:t xml:space="preserve"> </w:t>
      </w:r>
      <w:r w:rsidR="005F002B" w:rsidRPr="001A2E55">
        <w:rPr>
          <w:rFonts w:asciiTheme="minorHAnsi" w:hAnsiTheme="minorHAnsi" w:cstheme="minorHAnsi"/>
          <w:b/>
          <w:bCs/>
          <w:noProof/>
          <w:lang w:val="es-ES"/>
        </w:rPr>
        <w:t>estimados para</w:t>
      </w:r>
      <w:r w:rsidRPr="001A2E55">
        <w:rPr>
          <w:rFonts w:asciiTheme="minorHAnsi" w:hAnsiTheme="minorHAnsi" w:cstheme="minorHAnsi"/>
          <w:b/>
          <w:bCs/>
          <w:noProof/>
          <w:lang w:val="es-ES"/>
        </w:rPr>
        <w:t xml:space="preserve"> 2023</w:t>
      </w:r>
    </w:p>
    <w:p w14:paraId="004ED71D" w14:textId="77777777" w:rsidR="008F4DA8" w:rsidRPr="001A2E55" w:rsidRDefault="008F4DA8" w:rsidP="00ED7836">
      <w:pPr>
        <w:keepNext/>
        <w:ind w:left="0" w:firstLine="0"/>
        <w:rPr>
          <w:rFonts w:asciiTheme="minorHAnsi" w:hAnsiTheme="minorHAnsi" w:cstheme="minorHAnsi"/>
          <w:noProof/>
          <w:lang w:val="es-ES"/>
        </w:rPr>
      </w:pPr>
    </w:p>
    <w:p w14:paraId="53604BBE" w14:textId="7834FFD7" w:rsidR="005F002B" w:rsidRPr="001A2E55" w:rsidRDefault="005F002B" w:rsidP="00162710">
      <w:pPr>
        <w:rPr>
          <w:rFonts w:asciiTheme="minorHAnsi" w:hAnsiTheme="minorHAnsi" w:cstheme="minorHAnsi"/>
          <w:noProof/>
          <w:lang w:val="es-ES"/>
        </w:rPr>
      </w:pPr>
      <w:r w:rsidRPr="001A2E55">
        <w:rPr>
          <w:rFonts w:asciiTheme="minorHAnsi" w:hAnsiTheme="minorHAnsi" w:cstheme="minorHAnsi"/>
          <w:noProof/>
          <w:lang w:val="es-ES"/>
        </w:rPr>
        <w:t>9</w:t>
      </w:r>
      <w:r w:rsidR="008F4DA8" w:rsidRPr="001A2E55">
        <w:rPr>
          <w:rFonts w:asciiTheme="minorHAnsi" w:hAnsiTheme="minorHAnsi" w:cstheme="minorHAnsi"/>
          <w:noProof/>
          <w:lang w:val="es-ES"/>
        </w:rPr>
        <w:t>.</w:t>
      </w:r>
      <w:r w:rsidR="008F4DA8" w:rsidRPr="001A2E55">
        <w:rPr>
          <w:rFonts w:asciiTheme="minorHAnsi" w:hAnsiTheme="minorHAnsi" w:cstheme="minorHAnsi"/>
          <w:noProof/>
          <w:lang w:val="es-ES"/>
        </w:rPr>
        <w:tab/>
      </w:r>
      <w:r w:rsidRPr="001A2E55">
        <w:rPr>
          <w:rFonts w:asciiTheme="minorHAnsi" w:hAnsiTheme="minorHAnsi" w:cstheme="minorHAnsi"/>
          <w:noProof/>
          <w:lang w:val="es-ES"/>
        </w:rPr>
        <w:t>El saldo de los fondos básicos a finales de 2023 era de 3 783 000 francos suizos. En el momento de redactar este informe, se estimaba que el saldo del fondo básico a finales de 2024 sería de 3 138 000 francos suizos.</w:t>
      </w:r>
    </w:p>
    <w:p w14:paraId="215BDA2C" w14:textId="77777777" w:rsidR="005F002B" w:rsidRPr="001A2E55" w:rsidRDefault="005F002B" w:rsidP="00162710">
      <w:pPr>
        <w:rPr>
          <w:rFonts w:asciiTheme="minorHAnsi" w:hAnsiTheme="minorHAnsi" w:cstheme="minorHAnsi"/>
          <w:noProof/>
          <w:lang w:val="es-ES"/>
        </w:rPr>
      </w:pPr>
    </w:p>
    <w:p w14:paraId="75DA0375" w14:textId="2AFF5D0A" w:rsidR="005F002B" w:rsidRPr="001A2E55" w:rsidRDefault="005F002B" w:rsidP="00162710">
      <w:pPr>
        <w:rPr>
          <w:rFonts w:asciiTheme="minorHAnsi" w:hAnsiTheme="minorHAnsi" w:cstheme="minorHAnsi"/>
          <w:noProof/>
          <w:lang w:val="es-ES"/>
        </w:rPr>
      </w:pPr>
      <w:r w:rsidRPr="001A2E55">
        <w:rPr>
          <w:rFonts w:asciiTheme="minorHAnsi" w:hAnsiTheme="minorHAnsi" w:cstheme="minorHAnsi"/>
          <w:noProof/>
          <w:lang w:val="es-ES"/>
        </w:rPr>
        <w:t>10.</w:t>
      </w:r>
      <w:r w:rsidRPr="001A2E55">
        <w:rPr>
          <w:rFonts w:asciiTheme="minorHAnsi" w:hAnsiTheme="minorHAnsi" w:cstheme="minorHAnsi"/>
          <w:noProof/>
          <w:lang w:val="es-ES"/>
        </w:rPr>
        <w:tab/>
        <w:t xml:space="preserve">El saldo </w:t>
      </w:r>
      <w:r w:rsidR="00AE41E7" w:rsidRPr="001A2E55">
        <w:rPr>
          <w:rFonts w:asciiTheme="minorHAnsi" w:hAnsiTheme="minorHAnsi" w:cstheme="minorHAnsi"/>
          <w:noProof/>
          <w:lang w:val="es-ES"/>
        </w:rPr>
        <w:t xml:space="preserve">del presupuesto </w:t>
      </w:r>
      <w:r w:rsidRPr="001A2E55">
        <w:rPr>
          <w:rFonts w:asciiTheme="minorHAnsi" w:hAnsiTheme="minorHAnsi" w:cstheme="minorHAnsi"/>
          <w:noProof/>
          <w:lang w:val="es-ES"/>
        </w:rPr>
        <w:t>básico de 2024 arriba indicado incluye el fondo de reserva de 762 000 francos suizos. Esto corresponde al 15 % del presupuesto básico anual, el nivel máximo aprobado por las Partes Contratantes en la COP14, en el párrafo 32 de la Resolución XIV.1.</w:t>
      </w:r>
    </w:p>
    <w:p w14:paraId="486C53BA" w14:textId="77777777" w:rsidR="005F002B" w:rsidRPr="001A2E55" w:rsidRDefault="005F002B" w:rsidP="00162710">
      <w:pPr>
        <w:rPr>
          <w:rFonts w:asciiTheme="minorHAnsi" w:hAnsiTheme="minorHAnsi" w:cstheme="minorHAnsi"/>
          <w:noProof/>
          <w:lang w:val="es-ES"/>
        </w:rPr>
      </w:pPr>
    </w:p>
    <w:p w14:paraId="4A1BF203" w14:textId="2D027E23" w:rsidR="005F002B" w:rsidRPr="001A2E55" w:rsidRDefault="005F002B" w:rsidP="00162710">
      <w:pPr>
        <w:rPr>
          <w:rFonts w:asciiTheme="minorHAnsi" w:hAnsiTheme="minorHAnsi" w:cstheme="minorHAnsi"/>
          <w:noProof/>
          <w:lang w:val="es-ES"/>
        </w:rPr>
      </w:pPr>
      <w:r w:rsidRPr="001A2E55">
        <w:rPr>
          <w:rFonts w:asciiTheme="minorHAnsi" w:hAnsiTheme="minorHAnsi" w:cstheme="minorHAnsi"/>
          <w:noProof/>
          <w:lang w:val="es-ES"/>
        </w:rPr>
        <w:t>11.</w:t>
      </w:r>
      <w:r w:rsidRPr="001A2E55">
        <w:rPr>
          <w:rFonts w:asciiTheme="minorHAnsi" w:hAnsiTheme="minorHAnsi" w:cstheme="minorHAnsi"/>
          <w:noProof/>
          <w:lang w:val="es-ES"/>
        </w:rPr>
        <w:tab/>
        <w:t xml:space="preserve">El saldo </w:t>
      </w:r>
      <w:r w:rsidR="00AE41E7" w:rsidRPr="001A2E55">
        <w:rPr>
          <w:rFonts w:asciiTheme="minorHAnsi" w:hAnsiTheme="minorHAnsi" w:cstheme="minorHAnsi"/>
          <w:noProof/>
          <w:lang w:val="es-ES"/>
        </w:rPr>
        <w:t xml:space="preserve">del presupuesto </w:t>
      </w:r>
      <w:r w:rsidRPr="001A2E55">
        <w:rPr>
          <w:rFonts w:asciiTheme="minorHAnsi" w:hAnsiTheme="minorHAnsi" w:cstheme="minorHAnsi"/>
          <w:noProof/>
          <w:lang w:val="es-ES"/>
        </w:rPr>
        <w:t>básico también incluye un total de 196 000 fra</w:t>
      </w:r>
      <w:r w:rsidR="001A2E55" w:rsidRPr="001A2E55">
        <w:rPr>
          <w:rFonts w:asciiTheme="minorHAnsi" w:hAnsiTheme="minorHAnsi" w:cstheme="minorHAnsi"/>
          <w:noProof/>
          <w:lang w:val="es-ES"/>
        </w:rPr>
        <w:t>n</w:t>
      </w:r>
      <w:r w:rsidRPr="001A2E55">
        <w:rPr>
          <w:rFonts w:asciiTheme="minorHAnsi" w:hAnsiTheme="minorHAnsi" w:cstheme="minorHAnsi"/>
          <w:noProof/>
          <w:lang w:val="es-ES"/>
        </w:rPr>
        <w:t>cos suizos aprobados por la COP14 procedentes del excedente del presupuesto básico del trienio 2019-2021 (</w:t>
      </w:r>
      <w:r w:rsidR="005944CB" w:rsidRPr="001A2E55">
        <w:rPr>
          <w:rFonts w:asciiTheme="minorHAnsi" w:hAnsiTheme="minorHAnsi" w:cstheme="minorHAnsi"/>
          <w:noProof/>
          <w:lang w:val="es-ES"/>
        </w:rPr>
        <w:t xml:space="preserve">párrafos 15 y 16 de la </w:t>
      </w:r>
      <w:r w:rsidRPr="001A2E55">
        <w:rPr>
          <w:rFonts w:asciiTheme="minorHAnsi" w:hAnsiTheme="minorHAnsi" w:cstheme="minorHAnsi"/>
          <w:noProof/>
          <w:lang w:val="es-ES"/>
        </w:rPr>
        <w:t>Resolución XIV.1</w:t>
      </w:r>
      <w:r w:rsidRPr="001A2E55">
        <w:rPr>
          <w:rStyle w:val="FootnoteReference"/>
          <w:noProof/>
          <w:lang w:val="es-ES"/>
        </w:rPr>
        <w:footnoteReference w:id="2"/>
      </w:r>
      <w:r w:rsidRPr="001A2E55">
        <w:rPr>
          <w:rFonts w:asciiTheme="minorHAnsi" w:hAnsiTheme="minorHAnsi" w:cstheme="minorHAnsi"/>
          <w:noProof/>
          <w:lang w:val="es-ES"/>
        </w:rPr>
        <w:t>) que se utilizarán en 2025. Este total incluye 76 000 francos suizos para cubrir la diferencia creada en el presupuesto básico y 120 000 francos suizos para aumentar la provisión para contribuciones pendientes en 2025.</w:t>
      </w:r>
    </w:p>
    <w:p w14:paraId="02EA1820" w14:textId="77777777" w:rsidR="005F002B" w:rsidRPr="001A2E55" w:rsidRDefault="005F002B" w:rsidP="00162710">
      <w:pPr>
        <w:rPr>
          <w:rFonts w:asciiTheme="minorHAnsi" w:hAnsiTheme="minorHAnsi" w:cstheme="minorHAnsi"/>
          <w:noProof/>
          <w:lang w:val="es-ES"/>
        </w:rPr>
      </w:pPr>
    </w:p>
    <w:p w14:paraId="1046210D" w14:textId="0823783D" w:rsidR="005F002B" w:rsidRPr="001A2E55" w:rsidRDefault="005F002B" w:rsidP="00162710">
      <w:pPr>
        <w:rPr>
          <w:rFonts w:asciiTheme="minorHAnsi" w:hAnsiTheme="minorHAnsi" w:cstheme="minorHAnsi"/>
          <w:noProof/>
          <w:lang w:val="es-ES"/>
        </w:rPr>
      </w:pPr>
      <w:r w:rsidRPr="001A2E55">
        <w:rPr>
          <w:rFonts w:asciiTheme="minorHAnsi" w:hAnsiTheme="minorHAnsi" w:cstheme="minorHAnsi"/>
          <w:noProof/>
          <w:lang w:val="es-ES"/>
        </w:rPr>
        <w:t xml:space="preserve">12. </w:t>
      </w:r>
      <w:r w:rsidRPr="001A2E55">
        <w:rPr>
          <w:rFonts w:asciiTheme="minorHAnsi" w:hAnsiTheme="minorHAnsi" w:cstheme="minorHAnsi"/>
          <w:noProof/>
          <w:lang w:val="es-ES"/>
        </w:rPr>
        <w:tab/>
        <w:t>Este saldo también incluye un traspaso estimado por la suma de 978 000 francos suizos, como se detalla</w:t>
      </w:r>
      <w:r w:rsidR="00AE41E7" w:rsidRPr="001A2E55">
        <w:rPr>
          <w:rFonts w:asciiTheme="minorHAnsi" w:hAnsiTheme="minorHAnsi" w:cstheme="minorHAnsi"/>
          <w:noProof/>
          <w:lang w:val="es-ES"/>
        </w:rPr>
        <w:t xml:space="preserve"> más arriba</w:t>
      </w:r>
      <w:r w:rsidRPr="001A2E55">
        <w:rPr>
          <w:rFonts w:asciiTheme="minorHAnsi" w:hAnsiTheme="minorHAnsi" w:cstheme="minorHAnsi"/>
          <w:noProof/>
          <w:lang w:val="es-ES"/>
        </w:rPr>
        <w:t xml:space="preserve"> en el </w:t>
      </w:r>
      <w:r w:rsidR="00274B21" w:rsidRPr="001A2E55">
        <w:rPr>
          <w:rFonts w:asciiTheme="minorHAnsi" w:hAnsiTheme="minorHAnsi" w:cstheme="minorHAnsi"/>
          <w:noProof/>
          <w:lang w:val="es-ES"/>
        </w:rPr>
        <w:t>c</w:t>
      </w:r>
      <w:r w:rsidRPr="001A2E55">
        <w:rPr>
          <w:rFonts w:asciiTheme="minorHAnsi" w:hAnsiTheme="minorHAnsi" w:cstheme="minorHAnsi"/>
          <w:noProof/>
          <w:lang w:val="es-ES"/>
        </w:rPr>
        <w:t>uadro 1</w:t>
      </w:r>
      <w:r w:rsidR="00274B21" w:rsidRPr="001A2E55">
        <w:rPr>
          <w:rFonts w:asciiTheme="minorHAnsi" w:hAnsiTheme="minorHAnsi" w:cstheme="minorHAnsi"/>
          <w:noProof/>
          <w:lang w:val="es-ES"/>
        </w:rPr>
        <w:t>,</w:t>
      </w:r>
      <w:r w:rsidR="00AE41E7" w:rsidRPr="001A2E55">
        <w:rPr>
          <w:rFonts w:asciiTheme="minorHAnsi" w:hAnsiTheme="minorHAnsi" w:cstheme="minorHAnsi"/>
          <w:noProof/>
          <w:lang w:val="es-ES"/>
        </w:rPr>
        <w:t xml:space="preserve"> </w:t>
      </w:r>
      <w:r w:rsidRPr="001A2E55">
        <w:rPr>
          <w:rFonts w:asciiTheme="minorHAnsi" w:hAnsiTheme="minorHAnsi" w:cstheme="minorHAnsi"/>
          <w:noProof/>
          <w:lang w:val="es-ES"/>
        </w:rPr>
        <w:t xml:space="preserve">que se gastará en 2025 y por lo tanto se incluye en el presupuesto estimado para 2025 (véase el </w:t>
      </w:r>
      <w:r w:rsidR="00274B21" w:rsidRPr="001A2E55">
        <w:rPr>
          <w:rFonts w:asciiTheme="minorHAnsi" w:hAnsiTheme="minorHAnsi" w:cstheme="minorHAnsi"/>
          <w:noProof/>
          <w:lang w:val="es-ES"/>
        </w:rPr>
        <w:t>a</w:t>
      </w:r>
      <w:r w:rsidRPr="001A2E55">
        <w:rPr>
          <w:rFonts w:asciiTheme="minorHAnsi" w:hAnsiTheme="minorHAnsi" w:cstheme="minorHAnsi"/>
          <w:noProof/>
          <w:lang w:val="es-ES"/>
        </w:rPr>
        <w:t>nexo 3).</w:t>
      </w:r>
    </w:p>
    <w:p w14:paraId="36799870" w14:textId="77777777" w:rsidR="005F002B" w:rsidRPr="001A2E55" w:rsidRDefault="005F002B" w:rsidP="00162710">
      <w:pPr>
        <w:rPr>
          <w:rFonts w:asciiTheme="minorHAnsi" w:hAnsiTheme="minorHAnsi" w:cstheme="minorHAnsi"/>
          <w:noProof/>
          <w:lang w:val="es-ES"/>
        </w:rPr>
      </w:pPr>
    </w:p>
    <w:p w14:paraId="49B60BD9" w14:textId="6D89B81F" w:rsidR="005F002B" w:rsidRPr="001A2E55" w:rsidRDefault="00274B21" w:rsidP="00162710">
      <w:pPr>
        <w:rPr>
          <w:rFonts w:asciiTheme="minorHAnsi" w:hAnsiTheme="minorHAnsi" w:cstheme="minorHAnsi"/>
          <w:noProof/>
          <w:lang w:val="es-ES"/>
        </w:rPr>
      </w:pPr>
      <w:r w:rsidRPr="001A2E55">
        <w:rPr>
          <w:rFonts w:asciiTheme="minorHAnsi" w:hAnsiTheme="minorHAnsi" w:cstheme="minorHAnsi"/>
          <w:noProof/>
          <w:lang w:val="es-ES"/>
        </w:rPr>
        <w:t>13.</w:t>
      </w:r>
      <w:r w:rsidRPr="001A2E55">
        <w:rPr>
          <w:rFonts w:asciiTheme="minorHAnsi" w:hAnsiTheme="minorHAnsi" w:cstheme="minorHAnsi"/>
          <w:noProof/>
          <w:lang w:val="es-ES"/>
        </w:rPr>
        <w:tab/>
        <w:t xml:space="preserve">En consonancia con la práctica habitual aplicada para reuniones previas a la COP, la Secretaría desea señalar a la atención del Comité Permanente la necesidad de utilizar temporalmente los fondos de reserva, como préstamo para complementar la financiación voluntaria para el apoyo </w:t>
      </w:r>
      <w:r w:rsidRPr="001A2E55">
        <w:rPr>
          <w:rFonts w:asciiTheme="minorHAnsi" w:hAnsiTheme="minorHAnsi" w:cstheme="minorHAnsi"/>
          <w:noProof/>
          <w:lang w:val="es-ES"/>
        </w:rPr>
        <w:lastRenderedPageBreak/>
        <w:t>a los delegados de la COP15, mientras que la Secretaría continúa sus actividades de recaudación de fondos.</w:t>
      </w:r>
    </w:p>
    <w:p w14:paraId="02C8C962" w14:textId="77777777" w:rsidR="00274B21" w:rsidRPr="001A2E55" w:rsidRDefault="00274B21" w:rsidP="00162710">
      <w:pPr>
        <w:rPr>
          <w:rFonts w:asciiTheme="minorHAnsi" w:hAnsiTheme="minorHAnsi" w:cstheme="minorHAnsi"/>
          <w:noProof/>
          <w:lang w:val="es-ES"/>
        </w:rPr>
      </w:pPr>
    </w:p>
    <w:p w14:paraId="689CEEFB" w14:textId="57F69BB8" w:rsidR="00274B21" w:rsidRPr="001A2E55" w:rsidRDefault="00274B21" w:rsidP="00162710">
      <w:pPr>
        <w:rPr>
          <w:rFonts w:asciiTheme="minorHAnsi" w:hAnsiTheme="minorHAnsi" w:cstheme="minorHAnsi"/>
          <w:noProof/>
          <w:lang w:val="es-ES"/>
        </w:rPr>
      </w:pPr>
      <w:r w:rsidRPr="001A2E55">
        <w:rPr>
          <w:rFonts w:asciiTheme="minorHAnsi" w:hAnsiTheme="minorHAnsi" w:cstheme="minorHAnsi"/>
          <w:noProof/>
          <w:lang w:val="es-ES"/>
        </w:rPr>
        <w:t>14.</w:t>
      </w:r>
      <w:r w:rsidRPr="001A2E55">
        <w:rPr>
          <w:rFonts w:asciiTheme="minorHAnsi" w:hAnsiTheme="minorHAnsi" w:cstheme="minorHAnsi"/>
          <w:noProof/>
          <w:lang w:val="es-ES"/>
        </w:rPr>
        <w:tab/>
        <w:t>Como se explica en los párrafos 19 y 20, más adelante, la Secretaría solicita que el Comité Permanente autorice, con carácter excepcional, el uso temporal de los fondos de reserva por un importe máximo de 534 000 francos suizos para este fin. Después de la COP15, la Secretaría presentará un informe sobre los fondos recaudados y el reembolso del préstamo.</w:t>
      </w:r>
    </w:p>
    <w:p w14:paraId="41C64839" w14:textId="77777777" w:rsidR="005F002B" w:rsidRPr="001A2E55" w:rsidRDefault="005F002B" w:rsidP="00F22893">
      <w:pPr>
        <w:ind w:left="0" w:firstLine="0"/>
        <w:rPr>
          <w:rFonts w:asciiTheme="minorHAnsi" w:hAnsiTheme="minorHAnsi" w:cstheme="minorHAnsi"/>
          <w:noProof/>
          <w:lang w:val="es-ES"/>
        </w:rPr>
      </w:pPr>
    </w:p>
    <w:p w14:paraId="2C0AAAFB" w14:textId="6D9AB1E7" w:rsidR="003A790E" w:rsidRPr="001A2E55" w:rsidRDefault="00274B21" w:rsidP="00900594">
      <w:pPr>
        <w:rPr>
          <w:rFonts w:asciiTheme="minorHAnsi" w:hAnsiTheme="minorHAnsi" w:cstheme="minorHAnsi"/>
          <w:noProof/>
          <w:lang w:val="es-ES"/>
        </w:rPr>
      </w:pPr>
      <w:r w:rsidRPr="001A2E55">
        <w:rPr>
          <w:rFonts w:asciiTheme="minorHAnsi" w:hAnsiTheme="minorHAnsi" w:cstheme="minorHAnsi"/>
          <w:noProof/>
          <w:lang w:val="es-ES"/>
        </w:rPr>
        <w:t>15.</w:t>
      </w:r>
      <w:r w:rsidRPr="001A2E55">
        <w:rPr>
          <w:rFonts w:asciiTheme="minorHAnsi" w:hAnsiTheme="minorHAnsi" w:cstheme="minorHAnsi"/>
          <w:noProof/>
          <w:lang w:val="es-ES"/>
        </w:rPr>
        <w:tab/>
        <w:t>Por lo tanto, el excedente</w:t>
      </w:r>
      <w:r w:rsidR="00F22893" w:rsidRPr="001A2E55">
        <w:rPr>
          <w:rFonts w:asciiTheme="minorHAnsi" w:hAnsiTheme="minorHAnsi" w:cstheme="minorHAnsi"/>
          <w:noProof/>
          <w:lang w:val="es-ES"/>
        </w:rPr>
        <w:t xml:space="preserve"> del presupuesto</w:t>
      </w:r>
      <w:r w:rsidRPr="001A2E55">
        <w:rPr>
          <w:rFonts w:asciiTheme="minorHAnsi" w:hAnsiTheme="minorHAnsi" w:cstheme="minorHAnsi"/>
          <w:noProof/>
          <w:lang w:val="es-ES"/>
        </w:rPr>
        <w:t xml:space="preserve"> básico de 2024 que está disponible para su examen y asignación por el Comité Permanente es de un total estimado de 688 000 francos suizos. En el cuadro 2 que figura a continuación se resumen los detalles.</w:t>
      </w:r>
    </w:p>
    <w:p w14:paraId="0ACA12F5" w14:textId="77777777" w:rsidR="00274B21" w:rsidRPr="001A2E55" w:rsidRDefault="00274B21" w:rsidP="009E409F">
      <w:pPr>
        <w:rPr>
          <w:rFonts w:asciiTheme="minorHAnsi" w:hAnsiTheme="minorHAnsi" w:cstheme="minorHAnsi"/>
          <w:noProof/>
          <w:lang w:val="es-ES"/>
        </w:rPr>
      </w:pPr>
    </w:p>
    <w:p w14:paraId="3DB4F436" w14:textId="3DF99323" w:rsidR="003A790E" w:rsidRPr="001A2E55" w:rsidRDefault="001D398E" w:rsidP="001D398E">
      <w:pPr>
        <w:rPr>
          <w:rFonts w:asciiTheme="minorHAnsi" w:hAnsiTheme="minorHAnsi" w:cstheme="minorHAnsi"/>
          <w:i/>
          <w:noProof/>
          <w:lang w:val="es-ES"/>
        </w:rPr>
      </w:pPr>
      <w:r w:rsidRPr="001A2E55">
        <w:rPr>
          <w:rFonts w:asciiTheme="minorHAnsi" w:hAnsiTheme="minorHAnsi" w:cstheme="minorHAnsi"/>
          <w:i/>
          <w:noProof/>
          <w:lang w:val="es-ES"/>
        </w:rPr>
        <w:t>Cuadro</w:t>
      </w:r>
      <w:r w:rsidR="003A790E" w:rsidRPr="001A2E55">
        <w:rPr>
          <w:rFonts w:asciiTheme="minorHAnsi" w:hAnsiTheme="minorHAnsi" w:cstheme="minorHAnsi"/>
          <w:i/>
          <w:noProof/>
          <w:lang w:val="es-ES"/>
        </w:rPr>
        <w:t xml:space="preserve"> </w:t>
      </w:r>
      <w:r w:rsidR="002058A3" w:rsidRPr="001A2E55">
        <w:rPr>
          <w:rFonts w:asciiTheme="minorHAnsi" w:hAnsiTheme="minorHAnsi" w:cstheme="minorHAnsi"/>
          <w:i/>
          <w:noProof/>
          <w:lang w:val="es-ES"/>
        </w:rPr>
        <w:t>2</w:t>
      </w:r>
      <w:r w:rsidR="003A790E" w:rsidRPr="001A2E55">
        <w:rPr>
          <w:rFonts w:asciiTheme="minorHAnsi" w:hAnsiTheme="minorHAnsi" w:cstheme="minorHAnsi"/>
          <w:i/>
          <w:noProof/>
          <w:lang w:val="es-ES"/>
        </w:rPr>
        <w:t xml:space="preserve">: </w:t>
      </w:r>
      <w:r w:rsidR="005944CB" w:rsidRPr="001A2E55">
        <w:rPr>
          <w:rFonts w:asciiTheme="minorHAnsi" w:hAnsiTheme="minorHAnsi" w:cstheme="minorHAnsi"/>
          <w:i/>
          <w:noProof/>
          <w:lang w:val="es-ES"/>
        </w:rPr>
        <w:t>Excedente</w:t>
      </w:r>
      <w:r w:rsidRPr="001A2E55">
        <w:rPr>
          <w:rFonts w:asciiTheme="minorHAnsi" w:hAnsiTheme="minorHAnsi" w:cstheme="minorHAnsi"/>
          <w:i/>
          <w:noProof/>
          <w:lang w:val="es-ES"/>
        </w:rPr>
        <w:t xml:space="preserve"> del presupuesto básico de 202</w:t>
      </w:r>
      <w:r w:rsidR="005751EF" w:rsidRPr="001A2E55">
        <w:rPr>
          <w:rFonts w:asciiTheme="minorHAnsi" w:hAnsiTheme="minorHAnsi" w:cstheme="minorHAnsi"/>
          <w:i/>
          <w:noProof/>
          <w:lang w:val="es-ES"/>
        </w:rPr>
        <w:t>4</w:t>
      </w:r>
      <w:r w:rsidRPr="001A2E55">
        <w:rPr>
          <w:rFonts w:asciiTheme="minorHAnsi" w:hAnsiTheme="minorHAnsi" w:cstheme="minorHAnsi"/>
          <w:i/>
          <w:noProof/>
          <w:lang w:val="es-ES"/>
        </w:rPr>
        <w:t xml:space="preserve"> por asignar (en miles de francos suizos)</w:t>
      </w:r>
      <w:r w:rsidR="005751EF" w:rsidRPr="001A2E55">
        <w:rPr>
          <w:rFonts w:asciiTheme="minorHAnsi" w:hAnsiTheme="minorHAnsi" w:cstheme="minorHAnsi"/>
          <w:i/>
          <w:noProof/>
          <w:lang w:val="es-ES"/>
        </w:rPr>
        <w:t>, estimado a 30 de septiembre de 2024</w:t>
      </w:r>
    </w:p>
    <w:tbl>
      <w:tblPr>
        <w:tblW w:w="8926" w:type="dxa"/>
        <w:tblLook w:val="04A0" w:firstRow="1" w:lastRow="0" w:firstColumn="1" w:lastColumn="0" w:noHBand="0" w:noVBand="1"/>
      </w:tblPr>
      <w:tblGrid>
        <w:gridCol w:w="7225"/>
        <w:gridCol w:w="1701"/>
      </w:tblGrid>
      <w:tr w:rsidR="003A790E" w:rsidRPr="001A2E55" w14:paraId="0DFC92D2"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68BD99A" w14:textId="69699516" w:rsidR="001D398E" w:rsidRPr="001A2E55" w:rsidRDefault="003A790E"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 xml:space="preserve">(I) </w:t>
            </w:r>
            <w:r w:rsidR="001D398E" w:rsidRPr="001A2E55">
              <w:rPr>
                <w:rFonts w:asciiTheme="minorHAnsi" w:eastAsia="Times New Roman" w:hAnsiTheme="minorHAnsi" w:cstheme="minorHAnsi"/>
                <w:b/>
                <w:bCs/>
                <w:noProof/>
                <w:color w:val="000000"/>
                <w:lang w:val="es-ES" w:eastAsia="en-GB"/>
              </w:rPr>
              <w:t>Saldo del presupuesto básico a 31 de diciembre de 202</w:t>
            </w:r>
            <w:r w:rsidR="00274B21" w:rsidRPr="001A2E55">
              <w:rPr>
                <w:rFonts w:asciiTheme="minorHAnsi" w:eastAsia="Times New Roman" w:hAnsiTheme="minorHAnsi" w:cstheme="minorHAnsi"/>
                <w:b/>
                <w:bCs/>
                <w:noProof/>
                <w:color w:val="000000"/>
                <w:lang w:val="es-ES" w:eastAsia="en-GB"/>
              </w:rPr>
              <w:t>4</w:t>
            </w:r>
            <w:r w:rsidR="001D398E" w:rsidRPr="001A2E55">
              <w:rPr>
                <w:rFonts w:asciiTheme="minorHAnsi" w:eastAsia="Times New Roman" w:hAnsiTheme="minorHAnsi" w:cstheme="minorHAnsi"/>
                <w:b/>
                <w:bCs/>
                <w:noProof/>
                <w:color w:val="000000"/>
                <w:lang w:val="es-ES" w:eastAsia="en-GB"/>
              </w:rPr>
              <w:t xml:space="preserve"> según los estados</w:t>
            </w:r>
            <w:r w:rsidR="00274B21" w:rsidRPr="001A2E55">
              <w:rPr>
                <w:rFonts w:asciiTheme="minorHAnsi" w:eastAsia="Times New Roman" w:hAnsiTheme="minorHAnsi" w:cstheme="minorHAnsi"/>
                <w:b/>
                <w:bCs/>
                <w:noProof/>
                <w:color w:val="000000"/>
                <w:lang w:val="es-ES" w:eastAsia="en-GB"/>
              </w:rPr>
              <w:t xml:space="preserve"> financieros</w:t>
            </w:r>
            <w:r w:rsidR="001D398E" w:rsidRPr="001A2E55">
              <w:rPr>
                <w:rFonts w:asciiTheme="minorHAnsi" w:eastAsia="Times New Roman" w:hAnsiTheme="minorHAnsi" w:cstheme="minorHAnsi"/>
                <w:b/>
                <w:bCs/>
                <w:noProof/>
                <w:color w:val="000000"/>
                <w:lang w:val="es-ES" w:eastAsia="en-GB"/>
              </w:rPr>
              <w:t xml:space="preserve"> auditados </w:t>
            </w:r>
          </w:p>
          <w:p w14:paraId="6209959B" w14:textId="5006E712" w:rsidR="003A790E" w:rsidRPr="001A2E55" w:rsidRDefault="003A790E" w:rsidP="003A790E">
            <w:pPr>
              <w:ind w:left="0" w:firstLine="0"/>
              <w:rPr>
                <w:rFonts w:asciiTheme="minorHAnsi" w:eastAsia="Times New Roman" w:hAnsiTheme="minorHAnsi" w:cstheme="minorHAnsi"/>
                <w:b/>
                <w:bCs/>
                <w:noProof/>
                <w:color w:val="000000"/>
                <w:lang w:val="es-ES" w:eastAsia="en-GB"/>
              </w:rPr>
            </w:pPr>
          </w:p>
        </w:tc>
        <w:tc>
          <w:tcPr>
            <w:tcW w:w="1701" w:type="dxa"/>
            <w:tcBorders>
              <w:top w:val="single" w:sz="4" w:space="0" w:color="auto"/>
              <w:left w:val="nil"/>
              <w:bottom w:val="single" w:sz="4" w:space="0" w:color="auto"/>
              <w:right w:val="single" w:sz="4" w:space="0" w:color="auto"/>
            </w:tcBorders>
            <w:shd w:val="clear" w:color="000000" w:fill="DBE5F1"/>
            <w:noWrap/>
            <w:vAlign w:val="center"/>
            <w:hideMark/>
          </w:tcPr>
          <w:p w14:paraId="24BD51EC" w14:textId="07916631" w:rsidR="003A790E" w:rsidRPr="001A2E55" w:rsidRDefault="003A790E" w:rsidP="003A790E">
            <w:pPr>
              <w:ind w:left="0" w:firstLine="0"/>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3</w:t>
            </w:r>
            <w:r w:rsidR="001D398E" w:rsidRPr="001A2E55">
              <w:rPr>
                <w:rFonts w:asciiTheme="minorHAnsi" w:eastAsia="Times New Roman" w:hAnsiTheme="minorHAnsi" w:cstheme="minorHAnsi"/>
                <w:b/>
                <w:bCs/>
                <w:noProof/>
                <w:color w:val="000000"/>
                <w:lang w:val="es-ES" w:eastAsia="en-GB"/>
              </w:rPr>
              <w:t xml:space="preserve"> </w:t>
            </w:r>
            <w:r w:rsidR="00434428" w:rsidRPr="001A2E55">
              <w:rPr>
                <w:rFonts w:asciiTheme="minorHAnsi" w:eastAsia="Times New Roman" w:hAnsiTheme="minorHAnsi" w:cstheme="minorHAnsi"/>
                <w:b/>
                <w:bCs/>
                <w:noProof/>
                <w:color w:val="000000"/>
                <w:lang w:val="es-ES" w:eastAsia="en-GB"/>
              </w:rPr>
              <w:t>783</w:t>
            </w:r>
          </w:p>
        </w:tc>
      </w:tr>
      <w:tr w:rsidR="00274B21" w:rsidRPr="001A2E55" w14:paraId="524B0E9E"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tcPr>
          <w:p w14:paraId="5677F10A" w14:textId="5442A298" w:rsidR="00274B21" w:rsidRPr="001A2E55" w:rsidRDefault="00274B21"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 xml:space="preserve">(II) </w:t>
            </w:r>
            <w:r w:rsidR="005944CB" w:rsidRPr="001A2E55">
              <w:rPr>
                <w:rFonts w:asciiTheme="minorHAnsi" w:eastAsia="Times New Roman" w:hAnsiTheme="minorHAnsi" w:cstheme="minorHAnsi"/>
                <w:b/>
                <w:bCs/>
                <w:noProof/>
                <w:color w:val="000000"/>
                <w:lang w:val="es-ES" w:eastAsia="en-GB"/>
              </w:rPr>
              <w:t>G</w:t>
            </w:r>
            <w:r w:rsidR="0063266F" w:rsidRPr="001A2E55">
              <w:rPr>
                <w:rFonts w:asciiTheme="minorHAnsi" w:eastAsia="Times New Roman" w:hAnsiTheme="minorHAnsi" w:cstheme="minorHAnsi"/>
                <w:b/>
                <w:bCs/>
                <w:noProof/>
                <w:color w:val="000000"/>
                <w:lang w:val="es-ES" w:eastAsia="en-GB"/>
              </w:rPr>
              <w:t xml:space="preserve">astos netos </w:t>
            </w:r>
            <w:r w:rsidR="005944CB" w:rsidRPr="001A2E55">
              <w:rPr>
                <w:rFonts w:asciiTheme="minorHAnsi" w:eastAsia="Times New Roman" w:hAnsiTheme="minorHAnsi" w:cstheme="minorHAnsi"/>
                <w:b/>
                <w:bCs/>
                <w:noProof/>
                <w:color w:val="000000"/>
                <w:lang w:val="es-ES" w:eastAsia="en-GB"/>
              </w:rPr>
              <w:t xml:space="preserve">estimados </w:t>
            </w:r>
            <w:r w:rsidR="0063266F" w:rsidRPr="001A2E55">
              <w:rPr>
                <w:rFonts w:asciiTheme="minorHAnsi" w:eastAsia="Times New Roman" w:hAnsiTheme="minorHAnsi" w:cstheme="minorHAnsi"/>
                <w:b/>
                <w:bCs/>
                <w:noProof/>
                <w:color w:val="000000"/>
                <w:lang w:val="es-ES" w:eastAsia="en-GB"/>
              </w:rPr>
              <w:t xml:space="preserve">sobre ingresos </w:t>
            </w:r>
            <w:r w:rsidR="005944CB" w:rsidRPr="001A2E55">
              <w:rPr>
                <w:rFonts w:asciiTheme="minorHAnsi" w:eastAsia="Times New Roman" w:hAnsiTheme="minorHAnsi" w:cstheme="minorHAnsi"/>
                <w:b/>
                <w:bCs/>
                <w:noProof/>
                <w:color w:val="000000"/>
                <w:lang w:val="es-ES" w:eastAsia="en-GB"/>
              </w:rPr>
              <w:t>de</w:t>
            </w:r>
            <w:r w:rsidR="0063266F" w:rsidRPr="001A2E55">
              <w:rPr>
                <w:rFonts w:asciiTheme="minorHAnsi" w:eastAsia="Times New Roman" w:hAnsiTheme="minorHAnsi" w:cstheme="minorHAnsi"/>
                <w:b/>
                <w:bCs/>
                <w:noProof/>
                <w:color w:val="000000"/>
                <w:lang w:val="es-ES" w:eastAsia="en-GB"/>
              </w:rPr>
              <w:t xml:space="preserve"> 2024</w:t>
            </w:r>
          </w:p>
        </w:tc>
        <w:tc>
          <w:tcPr>
            <w:tcW w:w="1701" w:type="dxa"/>
            <w:tcBorders>
              <w:top w:val="single" w:sz="4" w:space="0" w:color="auto"/>
              <w:left w:val="nil"/>
              <w:bottom w:val="single" w:sz="4" w:space="0" w:color="auto"/>
              <w:right w:val="single" w:sz="4" w:space="0" w:color="auto"/>
            </w:tcBorders>
            <w:shd w:val="clear" w:color="000000" w:fill="DBE5F1"/>
            <w:noWrap/>
            <w:vAlign w:val="center"/>
          </w:tcPr>
          <w:p w14:paraId="5266F17C" w14:textId="482811D5" w:rsidR="00274B21" w:rsidRPr="001A2E55" w:rsidRDefault="0063266F" w:rsidP="003A790E">
            <w:pPr>
              <w:ind w:left="0" w:firstLine="0"/>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645</w:t>
            </w:r>
          </w:p>
        </w:tc>
      </w:tr>
      <w:tr w:rsidR="00274B21" w:rsidRPr="001A2E55" w14:paraId="28E930D8"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tcPr>
          <w:p w14:paraId="7F0CD1B9" w14:textId="677D177A" w:rsidR="00274B21" w:rsidRPr="001A2E55" w:rsidRDefault="0063266F"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 xml:space="preserve">(III=I-II) Saldo estimado del </w:t>
            </w:r>
            <w:r w:rsidR="00F22893" w:rsidRPr="001A2E55">
              <w:rPr>
                <w:rFonts w:asciiTheme="minorHAnsi" w:eastAsia="Times New Roman" w:hAnsiTheme="minorHAnsi" w:cstheme="minorHAnsi"/>
                <w:b/>
                <w:bCs/>
                <w:noProof/>
                <w:color w:val="000000"/>
                <w:lang w:val="es-ES" w:eastAsia="en-GB"/>
              </w:rPr>
              <w:t>presupuesto básico</w:t>
            </w:r>
            <w:r w:rsidRPr="001A2E55">
              <w:rPr>
                <w:rFonts w:asciiTheme="minorHAnsi" w:eastAsia="Times New Roman" w:hAnsiTheme="minorHAnsi" w:cstheme="minorHAnsi"/>
                <w:b/>
                <w:bCs/>
                <w:noProof/>
                <w:color w:val="000000"/>
                <w:lang w:val="es-ES" w:eastAsia="en-GB"/>
              </w:rPr>
              <w:t xml:space="preserve"> a 31 de diciembre de 2024</w:t>
            </w:r>
          </w:p>
        </w:tc>
        <w:tc>
          <w:tcPr>
            <w:tcW w:w="1701" w:type="dxa"/>
            <w:tcBorders>
              <w:top w:val="single" w:sz="4" w:space="0" w:color="auto"/>
              <w:left w:val="nil"/>
              <w:bottom w:val="single" w:sz="4" w:space="0" w:color="auto"/>
              <w:right w:val="single" w:sz="4" w:space="0" w:color="auto"/>
            </w:tcBorders>
            <w:shd w:val="clear" w:color="000000" w:fill="DBE5F1"/>
            <w:noWrap/>
            <w:vAlign w:val="center"/>
          </w:tcPr>
          <w:p w14:paraId="29D69A46" w14:textId="185C2C3C" w:rsidR="00274B21" w:rsidRPr="001A2E55" w:rsidRDefault="0063266F" w:rsidP="003A790E">
            <w:pPr>
              <w:ind w:left="0" w:firstLine="0"/>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3 138</w:t>
            </w:r>
          </w:p>
        </w:tc>
      </w:tr>
      <w:tr w:rsidR="003A790E" w:rsidRPr="00F81E8B" w14:paraId="78320A6A"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D992BBA" w14:textId="07375AE2" w:rsidR="003A790E" w:rsidRPr="001A2E55" w:rsidRDefault="001D398E"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Reserva, aprobada y previamente comprometida:</w:t>
            </w:r>
            <w:r w:rsidRPr="001A2E55">
              <w:rPr>
                <w:rFonts w:asciiTheme="minorHAnsi" w:eastAsia="Times New Roman" w:hAnsiTheme="minorHAnsi" w:cstheme="minorHAnsi"/>
                <w:b/>
                <w:bCs/>
                <w:noProof/>
                <w:color w:val="000000"/>
                <w:lang w:val="es-ES" w:eastAsia="en-GB"/>
              </w:rPr>
              <w:tab/>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82F4334" w14:textId="77777777" w:rsidR="003A790E" w:rsidRPr="001A2E55" w:rsidRDefault="003A790E"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 </w:t>
            </w:r>
          </w:p>
        </w:tc>
      </w:tr>
      <w:tr w:rsidR="003A790E" w:rsidRPr="001A2E55" w14:paraId="016565BD"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3A08940" w14:textId="35DFCBDC" w:rsidR="001D398E" w:rsidRPr="001A2E55" w:rsidRDefault="001D398E" w:rsidP="001D398E">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 xml:space="preserve">Fondo de reserva </w:t>
            </w:r>
            <w:r w:rsidR="006E71C7" w:rsidRPr="001A2E55">
              <w:rPr>
                <w:rFonts w:asciiTheme="minorHAnsi" w:eastAsia="Times New Roman" w:hAnsiTheme="minorHAnsi" w:cstheme="minorHAnsi"/>
                <w:noProof/>
                <w:color w:val="000000"/>
                <w:lang w:val="es-ES" w:eastAsia="en-GB"/>
              </w:rPr>
              <w:t>del</w:t>
            </w:r>
            <w:r w:rsidRPr="001A2E55">
              <w:rPr>
                <w:rFonts w:asciiTheme="minorHAnsi" w:eastAsia="Times New Roman" w:hAnsiTheme="minorHAnsi" w:cstheme="minorHAnsi"/>
                <w:noProof/>
                <w:color w:val="000000"/>
                <w:lang w:val="es-ES" w:eastAsia="en-GB"/>
              </w:rPr>
              <w:t xml:space="preserve"> 15 % (párrafo 33 de la Resolución XIII.2) </w:t>
            </w:r>
          </w:p>
          <w:p w14:paraId="32C66D42" w14:textId="1977BFAE" w:rsidR="003A790E" w:rsidRPr="001A2E55" w:rsidRDefault="003A790E" w:rsidP="003A790E">
            <w:pPr>
              <w:ind w:left="0" w:firstLine="0"/>
              <w:rPr>
                <w:rFonts w:asciiTheme="minorHAnsi" w:eastAsia="Times New Roman" w:hAnsiTheme="minorHAnsi" w:cstheme="minorHAnsi"/>
                <w:noProof/>
                <w:color w:val="000000"/>
                <w:lang w:val="es-ES"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14:paraId="015A546C" w14:textId="77777777" w:rsidR="003A790E" w:rsidRPr="001A2E55" w:rsidRDefault="003A790E"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762</w:t>
            </w:r>
          </w:p>
        </w:tc>
      </w:tr>
      <w:tr w:rsidR="003A790E" w:rsidRPr="001A2E55" w14:paraId="1C417F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FCC779" w14:textId="2319C7A6" w:rsidR="003A790E" w:rsidRPr="001A2E55" w:rsidRDefault="001D398E" w:rsidP="00A260F0">
            <w:pPr>
              <w:ind w:left="0" w:firstLine="0"/>
              <w:rPr>
                <w:rFonts w:asciiTheme="minorHAnsi" w:eastAsia="Times New Roman" w:hAnsiTheme="minorHAnsi" w:cstheme="minorHAnsi"/>
                <w:noProof/>
                <w:lang w:val="es-ES" w:eastAsia="en-GB"/>
              </w:rPr>
            </w:pPr>
            <w:r w:rsidRPr="001A2E55">
              <w:rPr>
                <w:rFonts w:asciiTheme="minorHAnsi" w:eastAsia="Times New Roman" w:hAnsiTheme="minorHAnsi" w:cstheme="minorHAnsi"/>
                <w:noProof/>
                <w:lang w:val="es-ES" w:eastAsia="en-GB"/>
              </w:rPr>
              <w:t xml:space="preserve">Uso aprobado por la </w:t>
            </w:r>
            <w:r w:rsidR="009E409F" w:rsidRPr="001A2E55">
              <w:rPr>
                <w:rFonts w:asciiTheme="minorHAnsi" w:eastAsia="Times New Roman" w:hAnsiTheme="minorHAnsi" w:cstheme="minorHAnsi"/>
                <w:noProof/>
                <w:lang w:val="es-ES" w:eastAsia="en-GB"/>
              </w:rPr>
              <w:t xml:space="preserve">COP14 </w:t>
            </w:r>
            <w:r w:rsidRPr="001A2E55">
              <w:rPr>
                <w:rFonts w:asciiTheme="minorHAnsi" w:eastAsia="Times New Roman" w:hAnsiTheme="minorHAnsi" w:cstheme="minorHAnsi"/>
                <w:noProof/>
                <w:lang w:val="es-ES" w:eastAsia="en-GB"/>
              </w:rPr>
              <w:t xml:space="preserve">de los ahorros </w:t>
            </w:r>
            <w:r w:rsidR="009E409F" w:rsidRPr="001A2E55">
              <w:rPr>
                <w:rFonts w:asciiTheme="minorHAnsi" w:eastAsia="Times New Roman" w:hAnsiTheme="minorHAnsi" w:cstheme="minorHAnsi"/>
                <w:noProof/>
                <w:lang w:val="es-ES" w:eastAsia="en-GB"/>
              </w:rPr>
              <w:t>para 2025</w:t>
            </w:r>
            <w:r w:rsidRPr="001A2E55">
              <w:rPr>
                <w:rFonts w:asciiTheme="minorHAnsi" w:eastAsia="Times New Roman" w:hAnsiTheme="minorHAnsi" w:cstheme="minorHAnsi"/>
                <w:noProof/>
                <w:lang w:val="es-ES" w:eastAsia="en-GB"/>
              </w:rPr>
              <w:t xml:space="preserve"> </w:t>
            </w:r>
            <w:r w:rsidR="009E409F" w:rsidRPr="001A2E55">
              <w:rPr>
                <w:rFonts w:asciiTheme="minorHAnsi" w:eastAsia="Times New Roman" w:hAnsiTheme="minorHAnsi" w:cstheme="minorHAnsi"/>
                <w:noProof/>
                <w:lang w:val="es-ES" w:eastAsia="en-GB"/>
              </w:rPr>
              <w:t>(párrafo 15 de la Resolución XIV.1)</w:t>
            </w:r>
          </w:p>
        </w:tc>
        <w:tc>
          <w:tcPr>
            <w:tcW w:w="1701" w:type="dxa"/>
            <w:tcBorders>
              <w:top w:val="nil"/>
              <w:left w:val="nil"/>
              <w:bottom w:val="single" w:sz="4" w:space="0" w:color="auto"/>
              <w:right w:val="single" w:sz="4" w:space="0" w:color="auto"/>
            </w:tcBorders>
            <w:shd w:val="clear" w:color="auto" w:fill="auto"/>
            <w:noWrap/>
            <w:vAlign w:val="center"/>
            <w:hideMark/>
          </w:tcPr>
          <w:p w14:paraId="617D3AB1" w14:textId="4CA66233" w:rsidR="003A790E" w:rsidRPr="001A2E55" w:rsidRDefault="0063266F"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76</w:t>
            </w:r>
          </w:p>
        </w:tc>
      </w:tr>
      <w:tr w:rsidR="00CB7768" w:rsidRPr="001A2E55" w14:paraId="622A18C4"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14:paraId="081A0565" w14:textId="7A991C2F" w:rsidR="00CB7768" w:rsidRPr="001A2E55" w:rsidRDefault="00CB7768" w:rsidP="003A790E">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lang w:val="es-ES" w:eastAsia="en-GB"/>
              </w:rPr>
              <w:t xml:space="preserve">Uso aprobado por la COP14 </w:t>
            </w:r>
            <w:r w:rsidR="0063266F" w:rsidRPr="001A2E55">
              <w:rPr>
                <w:rFonts w:asciiTheme="minorHAnsi" w:eastAsia="Times New Roman" w:hAnsiTheme="minorHAnsi" w:cstheme="minorHAnsi"/>
                <w:noProof/>
                <w:lang w:val="es-ES" w:eastAsia="en-GB"/>
              </w:rPr>
              <w:t xml:space="preserve">sobre el uso </w:t>
            </w:r>
            <w:r w:rsidRPr="001A2E55">
              <w:rPr>
                <w:rFonts w:asciiTheme="minorHAnsi" w:eastAsia="Times New Roman" w:hAnsiTheme="minorHAnsi" w:cstheme="minorHAnsi"/>
                <w:noProof/>
                <w:lang w:val="es-ES" w:eastAsia="en-GB"/>
              </w:rPr>
              <w:t xml:space="preserve">de los ahorros para </w:t>
            </w:r>
            <w:r w:rsidR="00434428" w:rsidRPr="001A2E55">
              <w:rPr>
                <w:rFonts w:asciiTheme="minorHAnsi" w:eastAsia="Times New Roman" w:hAnsiTheme="minorHAnsi" w:cstheme="minorHAnsi"/>
                <w:noProof/>
                <w:lang w:val="es-ES" w:eastAsia="en-GB"/>
              </w:rPr>
              <w:t>2025</w:t>
            </w:r>
            <w:r w:rsidRPr="001A2E55">
              <w:rPr>
                <w:rFonts w:asciiTheme="minorHAnsi" w:eastAsia="Times New Roman" w:hAnsiTheme="minorHAnsi" w:cstheme="minorHAnsi"/>
                <w:noProof/>
                <w:lang w:val="es-ES" w:eastAsia="en-GB"/>
              </w:rPr>
              <w:t xml:space="preserve"> (párrafo 16 de la Resolución XIV.1)</w:t>
            </w:r>
          </w:p>
        </w:tc>
        <w:tc>
          <w:tcPr>
            <w:tcW w:w="1701" w:type="dxa"/>
            <w:tcBorders>
              <w:top w:val="nil"/>
              <w:left w:val="nil"/>
              <w:bottom w:val="single" w:sz="4" w:space="0" w:color="auto"/>
              <w:right w:val="single" w:sz="4" w:space="0" w:color="auto"/>
            </w:tcBorders>
            <w:shd w:val="clear" w:color="auto" w:fill="auto"/>
            <w:noWrap/>
            <w:vAlign w:val="center"/>
          </w:tcPr>
          <w:p w14:paraId="694DA119" w14:textId="1C144C4C" w:rsidR="00CB7768" w:rsidRPr="001A2E55" w:rsidRDefault="0063266F"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120</w:t>
            </w:r>
          </w:p>
        </w:tc>
      </w:tr>
      <w:tr w:rsidR="003A790E" w:rsidRPr="001A2E55" w14:paraId="2477EDF6"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7CB795F" w14:textId="01655FC0" w:rsidR="003A790E" w:rsidRPr="001A2E55" w:rsidRDefault="0063266F" w:rsidP="003A790E">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S</w:t>
            </w:r>
            <w:r w:rsidR="001D398E" w:rsidRPr="001A2E55">
              <w:rPr>
                <w:rFonts w:asciiTheme="minorHAnsi" w:eastAsia="Times New Roman" w:hAnsiTheme="minorHAnsi" w:cstheme="minorHAnsi"/>
                <w:noProof/>
                <w:color w:val="000000"/>
                <w:lang w:val="es-ES" w:eastAsia="en-GB"/>
              </w:rPr>
              <w:t xml:space="preserve">aldos </w:t>
            </w:r>
            <w:r w:rsidR="00434428" w:rsidRPr="001A2E55">
              <w:rPr>
                <w:rFonts w:asciiTheme="minorHAnsi" w:eastAsia="Times New Roman" w:hAnsiTheme="minorHAnsi" w:cstheme="minorHAnsi"/>
                <w:noProof/>
                <w:color w:val="000000"/>
                <w:lang w:val="es-ES" w:eastAsia="en-GB"/>
              </w:rPr>
              <w:t>traspasados</w:t>
            </w:r>
            <w:r w:rsidRPr="001A2E55">
              <w:rPr>
                <w:rFonts w:asciiTheme="minorHAnsi" w:eastAsia="Times New Roman" w:hAnsiTheme="minorHAnsi" w:cstheme="minorHAnsi"/>
                <w:noProof/>
                <w:color w:val="000000"/>
                <w:lang w:val="es-ES" w:eastAsia="en-GB"/>
              </w:rPr>
              <w:t xml:space="preserve"> estimados</w:t>
            </w:r>
            <w:r w:rsidR="00CB7768" w:rsidRPr="001A2E55">
              <w:rPr>
                <w:rFonts w:asciiTheme="minorHAnsi" w:eastAsia="Times New Roman" w:hAnsiTheme="minorHAnsi" w:cstheme="minorHAnsi"/>
                <w:noProof/>
                <w:color w:val="000000"/>
                <w:lang w:val="es-ES" w:eastAsia="en-GB"/>
              </w:rPr>
              <w:t xml:space="preserve"> (c</w:t>
            </w:r>
            <w:r w:rsidR="001D398E" w:rsidRPr="001A2E55">
              <w:rPr>
                <w:rFonts w:asciiTheme="minorHAnsi" w:eastAsia="Times New Roman" w:hAnsiTheme="minorHAnsi" w:cstheme="minorHAnsi"/>
                <w:noProof/>
                <w:color w:val="000000"/>
                <w:lang w:val="es-ES" w:eastAsia="en-GB"/>
              </w:rPr>
              <w:t>uadro 1)</w:t>
            </w:r>
          </w:p>
        </w:tc>
        <w:tc>
          <w:tcPr>
            <w:tcW w:w="1701" w:type="dxa"/>
            <w:tcBorders>
              <w:top w:val="nil"/>
              <w:left w:val="nil"/>
              <w:bottom w:val="single" w:sz="4" w:space="0" w:color="auto"/>
              <w:right w:val="single" w:sz="4" w:space="0" w:color="auto"/>
            </w:tcBorders>
            <w:shd w:val="clear" w:color="auto" w:fill="auto"/>
            <w:noWrap/>
            <w:vAlign w:val="center"/>
            <w:hideMark/>
          </w:tcPr>
          <w:p w14:paraId="73FBF877" w14:textId="657EFFB2" w:rsidR="003A790E" w:rsidRPr="001A2E55" w:rsidRDefault="0063266F"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978</w:t>
            </w:r>
          </w:p>
        </w:tc>
      </w:tr>
      <w:tr w:rsidR="0063266F" w:rsidRPr="001A2E55" w14:paraId="50FF5654"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14:paraId="79C5FC8D" w14:textId="524C887A" w:rsidR="0063266F" w:rsidRPr="001A2E55" w:rsidRDefault="0063266F" w:rsidP="003A790E">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Uso temporal estimado de los fondos de reserva como préstamo para complementar la financiación voluntaria del apoyo a los delegados de la COP15</w:t>
            </w:r>
          </w:p>
        </w:tc>
        <w:tc>
          <w:tcPr>
            <w:tcW w:w="1701" w:type="dxa"/>
            <w:tcBorders>
              <w:top w:val="nil"/>
              <w:left w:val="nil"/>
              <w:bottom w:val="single" w:sz="4" w:space="0" w:color="auto"/>
              <w:right w:val="single" w:sz="4" w:space="0" w:color="auto"/>
            </w:tcBorders>
            <w:shd w:val="clear" w:color="auto" w:fill="auto"/>
            <w:noWrap/>
            <w:vAlign w:val="center"/>
          </w:tcPr>
          <w:p w14:paraId="3B76A0B0" w14:textId="498E73D8" w:rsidR="0063266F" w:rsidRPr="001A2E55" w:rsidRDefault="0063266F" w:rsidP="003A790E">
            <w:pPr>
              <w:ind w:left="0" w:firstLine="0"/>
              <w:jc w:val="right"/>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534</w:t>
            </w:r>
          </w:p>
        </w:tc>
      </w:tr>
      <w:tr w:rsidR="003A790E" w:rsidRPr="001A2E55" w14:paraId="697C2EFA" w14:textId="77777777" w:rsidTr="003A790E">
        <w:trPr>
          <w:trHeight w:val="375"/>
        </w:trPr>
        <w:tc>
          <w:tcPr>
            <w:tcW w:w="7225" w:type="dxa"/>
            <w:tcBorders>
              <w:top w:val="nil"/>
              <w:left w:val="single" w:sz="4" w:space="0" w:color="auto"/>
              <w:bottom w:val="single" w:sz="4" w:space="0" w:color="auto"/>
              <w:right w:val="single" w:sz="4" w:space="0" w:color="auto"/>
            </w:tcBorders>
            <w:shd w:val="clear" w:color="000000" w:fill="DDEBF7"/>
            <w:vAlign w:val="center"/>
            <w:hideMark/>
          </w:tcPr>
          <w:p w14:paraId="2923534F" w14:textId="5BBF7B9D" w:rsidR="003A790E" w:rsidRPr="001A2E55" w:rsidRDefault="003A790E"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(I</w:t>
            </w:r>
            <w:r w:rsidR="00F22893" w:rsidRPr="001A2E55">
              <w:rPr>
                <w:rFonts w:asciiTheme="minorHAnsi" w:eastAsia="Times New Roman" w:hAnsiTheme="minorHAnsi" w:cstheme="minorHAnsi"/>
                <w:b/>
                <w:bCs/>
                <w:noProof/>
                <w:color w:val="000000"/>
                <w:lang w:val="es-ES" w:eastAsia="en-GB"/>
              </w:rPr>
              <w:t>V</w:t>
            </w:r>
            <w:r w:rsidRPr="001A2E55">
              <w:rPr>
                <w:rFonts w:asciiTheme="minorHAnsi" w:eastAsia="Times New Roman" w:hAnsiTheme="minorHAnsi" w:cstheme="minorHAnsi"/>
                <w:b/>
                <w:bCs/>
                <w:noProof/>
                <w:color w:val="000000"/>
                <w:lang w:val="es-ES" w:eastAsia="en-GB"/>
              </w:rPr>
              <w:t xml:space="preserve">) </w:t>
            </w:r>
            <w:r w:rsidR="00EF05A9" w:rsidRPr="001A2E55">
              <w:rPr>
                <w:rFonts w:asciiTheme="minorHAnsi" w:eastAsia="Times New Roman" w:hAnsiTheme="minorHAnsi" w:cstheme="minorHAnsi"/>
                <w:b/>
                <w:bCs/>
                <w:noProof/>
                <w:color w:val="000000"/>
                <w:lang w:val="es-ES" w:eastAsia="en-GB"/>
              </w:rPr>
              <w:t>Reserva total</w:t>
            </w:r>
            <w:r w:rsidR="0063266F" w:rsidRPr="001A2E55">
              <w:rPr>
                <w:rFonts w:asciiTheme="minorHAnsi" w:eastAsia="Times New Roman" w:hAnsiTheme="minorHAnsi" w:cstheme="minorHAnsi"/>
                <w:b/>
                <w:bCs/>
                <w:noProof/>
                <w:color w:val="000000"/>
                <w:lang w:val="es-ES" w:eastAsia="en-GB"/>
              </w:rPr>
              <w:t xml:space="preserve"> estimada</w:t>
            </w:r>
            <w:r w:rsidR="00EF05A9" w:rsidRPr="001A2E55">
              <w:rPr>
                <w:rFonts w:asciiTheme="minorHAnsi" w:eastAsia="Times New Roman" w:hAnsiTheme="minorHAnsi" w:cstheme="minorHAnsi"/>
                <w:b/>
                <w:bCs/>
                <w:noProof/>
                <w:color w:val="000000"/>
                <w:lang w:val="es-ES" w:eastAsia="en-GB"/>
              </w:rPr>
              <w:t xml:space="preserve">, aprobada y previamente comprometida </w:t>
            </w:r>
          </w:p>
        </w:tc>
        <w:tc>
          <w:tcPr>
            <w:tcW w:w="1701" w:type="dxa"/>
            <w:tcBorders>
              <w:top w:val="nil"/>
              <w:left w:val="nil"/>
              <w:bottom w:val="single" w:sz="4" w:space="0" w:color="auto"/>
              <w:right w:val="single" w:sz="4" w:space="0" w:color="auto"/>
            </w:tcBorders>
            <w:shd w:val="clear" w:color="000000" w:fill="DBE5F1"/>
            <w:noWrap/>
            <w:vAlign w:val="center"/>
            <w:hideMark/>
          </w:tcPr>
          <w:p w14:paraId="4B3FCBD9" w14:textId="317761B2" w:rsidR="003A790E" w:rsidRPr="001A2E55" w:rsidRDefault="003A790E" w:rsidP="003A790E">
            <w:pPr>
              <w:ind w:left="0" w:firstLine="0"/>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2</w:t>
            </w:r>
            <w:r w:rsidR="00EF05A9" w:rsidRPr="001A2E55">
              <w:rPr>
                <w:rFonts w:asciiTheme="minorHAnsi" w:eastAsia="Times New Roman" w:hAnsiTheme="minorHAnsi" w:cstheme="minorHAnsi"/>
                <w:b/>
                <w:bCs/>
                <w:noProof/>
                <w:color w:val="000000"/>
                <w:lang w:val="es-ES" w:eastAsia="en-GB"/>
              </w:rPr>
              <w:t xml:space="preserve"> </w:t>
            </w:r>
            <w:r w:rsidR="0063266F" w:rsidRPr="001A2E55">
              <w:rPr>
                <w:rFonts w:asciiTheme="minorHAnsi" w:eastAsia="Times New Roman" w:hAnsiTheme="minorHAnsi" w:cstheme="minorHAnsi"/>
                <w:b/>
                <w:bCs/>
                <w:noProof/>
                <w:color w:val="000000"/>
                <w:lang w:val="es-ES" w:eastAsia="en-GB"/>
              </w:rPr>
              <w:t>470</w:t>
            </w:r>
          </w:p>
        </w:tc>
      </w:tr>
      <w:tr w:rsidR="003A790E" w:rsidRPr="001A2E55" w14:paraId="5B688ECC" w14:textId="77777777" w:rsidTr="003A790E">
        <w:trPr>
          <w:trHeight w:val="495"/>
        </w:trPr>
        <w:tc>
          <w:tcPr>
            <w:tcW w:w="7225" w:type="dxa"/>
            <w:tcBorders>
              <w:top w:val="nil"/>
              <w:left w:val="single" w:sz="4" w:space="0" w:color="auto"/>
              <w:bottom w:val="single" w:sz="4" w:space="0" w:color="auto"/>
              <w:right w:val="single" w:sz="4" w:space="0" w:color="auto"/>
            </w:tcBorders>
            <w:shd w:val="clear" w:color="000000" w:fill="9BC2E6"/>
            <w:vAlign w:val="center"/>
            <w:hideMark/>
          </w:tcPr>
          <w:p w14:paraId="5C232348" w14:textId="2366CE18" w:rsidR="003A790E" w:rsidRPr="001A2E55" w:rsidRDefault="003A790E" w:rsidP="003A790E">
            <w:pPr>
              <w:ind w:left="0" w:firstLine="0"/>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w:t>
            </w:r>
            <w:r w:rsidR="00F22893" w:rsidRPr="001A2E55">
              <w:rPr>
                <w:rFonts w:asciiTheme="minorHAnsi" w:eastAsia="Times New Roman" w:hAnsiTheme="minorHAnsi" w:cstheme="minorHAnsi"/>
                <w:b/>
                <w:bCs/>
                <w:noProof/>
                <w:color w:val="000000"/>
                <w:lang w:val="es-ES" w:eastAsia="en-GB"/>
              </w:rPr>
              <w:t>V</w:t>
            </w:r>
            <w:r w:rsidRPr="001A2E55">
              <w:rPr>
                <w:rFonts w:asciiTheme="minorHAnsi" w:eastAsia="Times New Roman" w:hAnsiTheme="minorHAnsi" w:cstheme="minorHAnsi"/>
                <w:b/>
                <w:bCs/>
                <w:noProof/>
                <w:color w:val="000000"/>
                <w:lang w:val="es-ES" w:eastAsia="en-GB"/>
              </w:rPr>
              <w:t>=I</w:t>
            </w:r>
            <w:r w:rsidR="00F22893" w:rsidRPr="001A2E55">
              <w:rPr>
                <w:rFonts w:asciiTheme="minorHAnsi" w:eastAsia="Times New Roman" w:hAnsiTheme="minorHAnsi" w:cstheme="minorHAnsi"/>
                <w:b/>
                <w:bCs/>
                <w:noProof/>
                <w:color w:val="000000"/>
                <w:lang w:val="es-ES" w:eastAsia="en-GB"/>
              </w:rPr>
              <w:t>II</w:t>
            </w:r>
            <w:r w:rsidRPr="001A2E55">
              <w:rPr>
                <w:rFonts w:asciiTheme="minorHAnsi" w:eastAsia="Times New Roman" w:hAnsiTheme="minorHAnsi" w:cstheme="minorHAnsi"/>
                <w:b/>
                <w:bCs/>
                <w:noProof/>
                <w:color w:val="000000"/>
                <w:lang w:val="es-ES" w:eastAsia="en-GB"/>
              </w:rPr>
              <w:t>-I</w:t>
            </w:r>
            <w:r w:rsidR="00F22893" w:rsidRPr="001A2E55">
              <w:rPr>
                <w:rFonts w:asciiTheme="minorHAnsi" w:eastAsia="Times New Roman" w:hAnsiTheme="minorHAnsi" w:cstheme="minorHAnsi"/>
                <w:b/>
                <w:bCs/>
                <w:noProof/>
                <w:color w:val="000000"/>
                <w:lang w:val="es-ES" w:eastAsia="en-GB"/>
              </w:rPr>
              <w:t>V</w:t>
            </w:r>
            <w:r w:rsidRPr="001A2E55">
              <w:rPr>
                <w:rFonts w:asciiTheme="minorHAnsi" w:eastAsia="Times New Roman" w:hAnsiTheme="minorHAnsi" w:cstheme="minorHAnsi"/>
                <w:b/>
                <w:bCs/>
                <w:noProof/>
                <w:color w:val="000000"/>
                <w:lang w:val="es-ES" w:eastAsia="en-GB"/>
              </w:rPr>
              <w:t xml:space="preserve">) </w:t>
            </w:r>
            <w:r w:rsidR="0063266F" w:rsidRPr="001A2E55">
              <w:rPr>
                <w:rFonts w:asciiTheme="minorHAnsi" w:eastAsia="Times New Roman" w:hAnsiTheme="minorHAnsi" w:cstheme="minorHAnsi"/>
                <w:b/>
                <w:bCs/>
                <w:noProof/>
                <w:color w:val="000000"/>
                <w:lang w:val="es-ES" w:eastAsia="en-GB"/>
              </w:rPr>
              <w:t xml:space="preserve">Excedente </w:t>
            </w:r>
            <w:r w:rsidR="00EF05A9" w:rsidRPr="001A2E55">
              <w:rPr>
                <w:rFonts w:asciiTheme="minorHAnsi" w:eastAsia="Times New Roman" w:hAnsiTheme="minorHAnsi" w:cstheme="minorHAnsi"/>
                <w:b/>
                <w:bCs/>
                <w:noProof/>
                <w:color w:val="000000"/>
                <w:lang w:val="es-ES" w:eastAsia="en-GB"/>
              </w:rPr>
              <w:t xml:space="preserve">del presupuesto básico </w:t>
            </w:r>
            <w:r w:rsidR="0063266F" w:rsidRPr="001A2E55">
              <w:rPr>
                <w:rFonts w:asciiTheme="minorHAnsi" w:eastAsia="Times New Roman" w:hAnsiTheme="minorHAnsi" w:cstheme="minorHAnsi"/>
                <w:b/>
                <w:bCs/>
                <w:noProof/>
                <w:color w:val="000000"/>
                <w:lang w:val="es-ES" w:eastAsia="en-GB"/>
              </w:rPr>
              <w:t>para 2024</w:t>
            </w:r>
            <w:r w:rsidR="00EF05A9" w:rsidRPr="001A2E55">
              <w:rPr>
                <w:rFonts w:asciiTheme="minorHAnsi" w:eastAsia="Times New Roman" w:hAnsiTheme="minorHAnsi" w:cstheme="minorHAnsi"/>
                <w:b/>
                <w:bCs/>
                <w:noProof/>
                <w:color w:val="000000"/>
                <w:lang w:val="es-ES" w:eastAsia="en-GB"/>
              </w:rPr>
              <w:t xml:space="preserve"> después de</w:t>
            </w:r>
            <w:r w:rsidR="00434428" w:rsidRPr="001A2E55">
              <w:rPr>
                <w:rFonts w:asciiTheme="minorHAnsi" w:eastAsia="Times New Roman" w:hAnsiTheme="minorHAnsi" w:cstheme="minorHAnsi"/>
                <w:b/>
                <w:bCs/>
                <w:noProof/>
                <w:color w:val="000000"/>
                <w:lang w:val="es-ES" w:eastAsia="en-GB"/>
              </w:rPr>
              <w:t xml:space="preserve"> la reserva,</w:t>
            </w:r>
            <w:r w:rsidR="006E71C7" w:rsidRPr="001A2E55">
              <w:rPr>
                <w:rFonts w:asciiTheme="minorHAnsi" w:eastAsia="Times New Roman" w:hAnsiTheme="minorHAnsi" w:cstheme="minorHAnsi"/>
                <w:b/>
                <w:bCs/>
                <w:noProof/>
                <w:color w:val="000000"/>
                <w:lang w:val="es-ES" w:eastAsia="en-GB"/>
              </w:rPr>
              <w:t xml:space="preserve"> </w:t>
            </w:r>
            <w:r w:rsidR="00EF05A9" w:rsidRPr="001A2E55">
              <w:rPr>
                <w:rFonts w:asciiTheme="minorHAnsi" w:eastAsia="Times New Roman" w:hAnsiTheme="minorHAnsi" w:cstheme="minorHAnsi"/>
                <w:b/>
                <w:bCs/>
                <w:noProof/>
                <w:color w:val="000000"/>
                <w:lang w:val="es-ES" w:eastAsia="en-GB"/>
              </w:rPr>
              <w:t>aprobad</w:t>
            </w:r>
            <w:r w:rsidR="00F22893" w:rsidRPr="001A2E55">
              <w:rPr>
                <w:rFonts w:asciiTheme="minorHAnsi" w:eastAsia="Times New Roman" w:hAnsiTheme="minorHAnsi" w:cstheme="minorHAnsi"/>
                <w:b/>
                <w:bCs/>
                <w:noProof/>
                <w:color w:val="000000"/>
                <w:lang w:val="es-ES" w:eastAsia="en-GB"/>
              </w:rPr>
              <w:t>o</w:t>
            </w:r>
            <w:r w:rsidR="00EF05A9" w:rsidRPr="001A2E55">
              <w:rPr>
                <w:rFonts w:asciiTheme="minorHAnsi" w:eastAsia="Times New Roman" w:hAnsiTheme="minorHAnsi" w:cstheme="minorHAnsi"/>
                <w:b/>
                <w:bCs/>
                <w:noProof/>
                <w:color w:val="000000"/>
                <w:lang w:val="es-ES" w:eastAsia="en-GB"/>
              </w:rPr>
              <w:t xml:space="preserve"> y previamente comprometid</w:t>
            </w:r>
            <w:r w:rsidR="00F22893" w:rsidRPr="001A2E55">
              <w:rPr>
                <w:rFonts w:asciiTheme="minorHAnsi" w:eastAsia="Times New Roman" w:hAnsiTheme="minorHAnsi" w:cstheme="minorHAnsi"/>
                <w:b/>
                <w:bCs/>
                <w:noProof/>
                <w:color w:val="000000"/>
                <w:lang w:val="es-ES" w:eastAsia="en-GB"/>
              </w:rPr>
              <w:t>o</w:t>
            </w:r>
            <w:r w:rsidR="00EF05A9" w:rsidRPr="001A2E55">
              <w:rPr>
                <w:rFonts w:asciiTheme="minorHAnsi" w:eastAsia="Times New Roman" w:hAnsiTheme="minorHAnsi" w:cstheme="minorHAnsi"/>
                <w:b/>
                <w:bCs/>
                <w:noProof/>
                <w:color w:val="000000"/>
                <w:lang w:val="es-ES" w:eastAsia="en-GB"/>
              </w:rPr>
              <w:t>, por asignar</w:t>
            </w:r>
          </w:p>
        </w:tc>
        <w:tc>
          <w:tcPr>
            <w:tcW w:w="1701" w:type="dxa"/>
            <w:tcBorders>
              <w:top w:val="nil"/>
              <w:left w:val="nil"/>
              <w:bottom w:val="single" w:sz="4" w:space="0" w:color="auto"/>
              <w:right w:val="single" w:sz="4" w:space="0" w:color="auto"/>
            </w:tcBorders>
            <w:shd w:val="clear" w:color="000000" w:fill="9BC2E6"/>
            <w:noWrap/>
            <w:vAlign w:val="center"/>
            <w:hideMark/>
          </w:tcPr>
          <w:p w14:paraId="4B0D61AA" w14:textId="57B6287E" w:rsidR="003A790E" w:rsidRPr="001A2E55" w:rsidRDefault="0063266F" w:rsidP="00EF05A9">
            <w:pPr>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668</w:t>
            </w:r>
          </w:p>
        </w:tc>
      </w:tr>
    </w:tbl>
    <w:p w14:paraId="645AC3AE" w14:textId="1BD492CF" w:rsidR="009151BF" w:rsidRPr="001A2E55" w:rsidRDefault="009151BF" w:rsidP="00F23CF3">
      <w:pPr>
        <w:ind w:left="0" w:firstLine="0"/>
        <w:rPr>
          <w:rFonts w:asciiTheme="minorHAnsi" w:hAnsiTheme="minorHAnsi" w:cstheme="minorHAnsi"/>
          <w:noProof/>
          <w:lang w:val="es-ES"/>
        </w:rPr>
      </w:pPr>
    </w:p>
    <w:p w14:paraId="348181A2" w14:textId="61153512" w:rsidR="005751EF" w:rsidRPr="001A2E55" w:rsidRDefault="005751EF" w:rsidP="00900594">
      <w:pPr>
        <w:rPr>
          <w:rFonts w:asciiTheme="minorHAnsi" w:hAnsiTheme="minorHAnsi" w:cstheme="minorHAnsi"/>
          <w:noProof/>
          <w:lang w:val="es-ES"/>
        </w:rPr>
      </w:pPr>
      <w:r w:rsidRPr="001A2E55">
        <w:rPr>
          <w:rFonts w:asciiTheme="minorHAnsi" w:hAnsiTheme="minorHAnsi" w:cstheme="minorHAnsi"/>
          <w:noProof/>
          <w:lang w:val="es-ES"/>
        </w:rPr>
        <w:t>16.</w:t>
      </w:r>
      <w:r w:rsidRPr="001A2E55">
        <w:rPr>
          <w:rFonts w:asciiTheme="minorHAnsi" w:hAnsiTheme="minorHAnsi" w:cstheme="minorHAnsi"/>
          <w:noProof/>
          <w:lang w:val="es-ES"/>
        </w:rPr>
        <w:tab/>
        <w:t xml:space="preserve">Como se informa en el párrafo 5 del documento SC63 Com.1, </w:t>
      </w:r>
      <w:r w:rsidRPr="001A2E55">
        <w:rPr>
          <w:rFonts w:asciiTheme="minorHAnsi" w:hAnsiTheme="minorHAnsi" w:cstheme="minorHAnsi"/>
          <w:i/>
          <w:iCs/>
          <w:noProof/>
          <w:lang w:val="es-ES"/>
        </w:rPr>
        <w:t>Informe del Subgrupo de Finanzas</w:t>
      </w:r>
      <w:r w:rsidRPr="001A2E55">
        <w:rPr>
          <w:rFonts w:asciiTheme="minorHAnsi" w:hAnsiTheme="minorHAnsi" w:cstheme="minorHAnsi"/>
          <w:noProof/>
          <w:lang w:val="es-ES"/>
        </w:rPr>
        <w:t>, de fecha 3 de junio de 2024:</w:t>
      </w:r>
    </w:p>
    <w:p w14:paraId="3F0391A3" w14:textId="77777777" w:rsidR="00900594" w:rsidRPr="001A2E55" w:rsidRDefault="00900594" w:rsidP="00900594">
      <w:pPr>
        <w:rPr>
          <w:rFonts w:asciiTheme="minorHAnsi" w:hAnsiTheme="minorHAnsi" w:cstheme="minorHAnsi"/>
          <w:noProof/>
          <w:lang w:val="es-ES"/>
        </w:rPr>
      </w:pPr>
    </w:p>
    <w:p w14:paraId="44E5A842" w14:textId="77777777" w:rsidR="00900594" w:rsidRPr="001A2E55" w:rsidRDefault="00900594" w:rsidP="00900594">
      <w:pPr>
        <w:ind w:firstLine="0"/>
        <w:rPr>
          <w:noProof/>
          <w:lang w:val="es-ES"/>
        </w:rPr>
      </w:pPr>
      <w:r w:rsidRPr="001A2E55">
        <w:rPr>
          <w:rFonts w:asciiTheme="minorHAnsi" w:hAnsiTheme="minorHAnsi" w:cstheme="minorHAnsi"/>
          <w:noProof/>
          <w:lang w:val="es-ES"/>
        </w:rPr>
        <w:t>“</w:t>
      </w:r>
      <w:r w:rsidRPr="001A2E55">
        <w:rPr>
          <w:noProof/>
          <w:lang w:val="es-ES"/>
        </w:rPr>
        <w:t>Los miembros del Subgrupo acordaron solicitar que la fecha límite para la presentación de propuestas para la asignación de los fondos excedentes fuera en octubre, así como celebrar una reunión virtual entre períodos de sesiones alrededor de principios de diciembre de 2024, una vez que se hubieran publicado los proyectos de resolución para la COP15 y antes de las reuniones regionales previas a la COP previstas para principios de 2025, con el fin de estudiar:</w:t>
      </w:r>
    </w:p>
    <w:p w14:paraId="3974B6AE" w14:textId="77777777" w:rsidR="00900594" w:rsidRPr="001A2E55" w:rsidRDefault="00900594" w:rsidP="00900594">
      <w:pPr>
        <w:ind w:left="426" w:hanging="1"/>
        <w:rPr>
          <w:noProof/>
          <w:lang w:val="es-ES"/>
        </w:rPr>
      </w:pPr>
      <w:r w:rsidRPr="001A2E55">
        <w:rPr>
          <w:noProof/>
          <w:lang w:val="es-ES"/>
        </w:rPr>
        <w:t>-</w:t>
      </w:r>
      <w:r w:rsidRPr="001A2E55">
        <w:rPr>
          <w:noProof/>
          <w:lang w:val="es-ES"/>
        </w:rPr>
        <w:tab/>
        <w:t>propuestas para la asignación de los fondos excedentes; y</w:t>
      </w:r>
    </w:p>
    <w:p w14:paraId="4D910EB9" w14:textId="27581CF1" w:rsidR="00900594" w:rsidRPr="001A2E55" w:rsidRDefault="00900594" w:rsidP="00900594">
      <w:pPr>
        <w:ind w:left="426" w:hanging="1"/>
        <w:rPr>
          <w:noProof/>
          <w:lang w:val="es-ES"/>
        </w:rPr>
      </w:pPr>
      <w:r w:rsidRPr="001A2E55">
        <w:rPr>
          <w:noProof/>
          <w:lang w:val="es-ES"/>
        </w:rPr>
        <w:lastRenderedPageBreak/>
        <w:t>-</w:t>
      </w:r>
      <w:r w:rsidRPr="001A2E55">
        <w:rPr>
          <w:noProof/>
          <w:lang w:val="es-ES"/>
        </w:rPr>
        <w:tab/>
        <w:t>la propuesta de plan presupuestario de la Secretaría para el próximo trienio, que debería tener en cuenta las presiones inflacionistas sobre las actividades del presupuesto básico y el aumento de las actividades de la Secretaría</w:t>
      </w:r>
      <w:r w:rsidRPr="001A2E55">
        <w:rPr>
          <w:rStyle w:val="FootnoteReference"/>
          <w:noProof/>
          <w:lang w:val="es-ES"/>
        </w:rPr>
        <w:footnoteReference w:id="3"/>
      </w:r>
      <w:r w:rsidRPr="001A2E55">
        <w:rPr>
          <w:noProof/>
          <w:lang w:val="es-ES"/>
        </w:rPr>
        <w:t>.”</w:t>
      </w:r>
    </w:p>
    <w:p w14:paraId="47F8518C" w14:textId="50EE9D0F" w:rsidR="00900594" w:rsidRPr="001A2E55" w:rsidRDefault="00900594" w:rsidP="00900594">
      <w:pPr>
        <w:ind w:firstLine="0"/>
        <w:rPr>
          <w:rFonts w:asciiTheme="minorHAnsi" w:hAnsiTheme="minorHAnsi" w:cstheme="minorHAnsi"/>
          <w:noProof/>
          <w:lang w:val="es-ES"/>
        </w:rPr>
      </w:pPr>
    </w:p>
    <w:p w14:paraId="691FBCD4" w14:textId="340DE3F6" w:rsidR="00B23A72" w:rsidRPr="001A2E55" w:rsidRDefault="00900594" w:rsidP="00B23A72">
      <w:pPr>
        <w:pStyle w:val="NoSpacing"/>
        <w:ind w:left="0" w:firstLine="0"/>
        <w:rPr>
          <w:rFonts w:asciiTheme="minorHAnsi" w:hAnsiTheme="minorHAnsi" w:cstheme="minorHAnsi"/>
          <w:bCs/>
          <w:noProof/>
          <w:lang w:val="es-ES"/>
        </w:rPr>
      </w:pPr>
      <w:r w:rsidRPr="001A2E55">
        <w:rPr>
          <w:rFonts w:asciiTheme="minorHAnsi" w:hAnsiTheme="minorHAnsi" w:cstheme="minorHAnsi"/>
          <w:bCs/>
          <w:noProof/>
          <w:lang w:val="es-ES"/>
        </w:rPr>
        <w:t xml:space="preserve">El Subgrupo se reunirá de forma virtual en diciembre de 2024 y presentará sugerencias </w:t>
      </w:r>
      <w:r w:rsidR="00F22893" w:rsidRPr="001A2E55">
        <w:rPr>
          <w:rFonts w:asciiTheme="minorHAnsi" w:hAnsiTheme="minorHAnsi" w:cstheme="minorHAnsi"/>
          <w:bCs/>
          <w:noProof/>
          <w:lang w:val="es-ES"/>
        </w:rPr>
        <w:t>para</w:t>
      </w:r>
      <w:r w:rsidRPr="001A2E55">
        <w:rPr>
          <w:rFonts w:asciiTheme="minorHAnsi" w:hAnsiTheme="minorHAnsi" w:cstheme="minorHAnsi"/>
          <w:bCs/>
          <w:noProof/>
          <w:lang w:val="es-ES"/>
        </w:rPr>
        <w:t xml:space="preserve"> la asignación de fondos excedentes a la reunión SC64 en enero.</w:t>
      </w:r>
    </w:p>
    <w:p w14:paraId="596D9D31" w14:textId="77777777" w:rsidR="00F22893" w:rsidRPr="001A2E55" w:rsidRDefault="00F22893" w:rsidP="00B23A72">
      <w:pPr>
        <w:pStyle w:val="NoSpacing"/>
        <w:ind w:left="0" w:firstLine="0"/>
        <w:rPr>
          <w:rFonts w:asciiTheme="minorHAnsi" w:hAnsiTheme="minorHAnsi" w:cstheme="minorHAnsi"/>
          <w:b/>
          <w:noProof/>
          <w:spacing w:val="-2"/>
          <w:lang w:val="es-ES"/>
        </w:rPr>
      </w:pPr>
    </w:p>
    <w:p w14:paraId="4BC29A52" w14:textId="3F0900DE" w:rsidR="00FA2D07" w:rsidRPr="001A2E55" w:rsidRDefault="00FA2D07" w:rsidP="00B23A72">
      <w:pPr>
        <w:pStyle w:val="NoSpacing"/>
        <w:ind w:left="0" w:firstLine="0"/>
        <w:rPr>
          <w:rFonts w:asciiTheme="minorHAnsi" w:hAnsiTheme="minorHAnsi" w:cstheme="minorHAnsi"/>
          <w:b/>
          <w:noProof/>
          <w:spacing w:val="-2"/>
          <w:lang w:val="es-ES"/>
        </w:rPr>
      </w:pPr>
      <w:r w:rsidRPr="001A2E55">
        <w:rPr>
          <w:rFonts w:asciiTheme="minorHAnsi" w:hAnsiTheme="minorHAnsi" w:cstheme="minorHAnsi"/>
          <w:b/>
          <w:noProof/>
          <w:spacing w:val="-2"/>
          <w:lang w:val="es-ES"/>
        </w:rPr>
        <w:t>Resultados</w:t>
      </w:r>
      <w:r w:rsidR="005751EF" w:rsidRPr="001A2E55">
        <w:rPr>
          <w:rFonts w:asciiTheme="minorHAnsi" w:hAnsiTheme="minorHAnsi" w:cstheme="minorHAnsi"/>
          <w:b/>
          <w:noProof/>
          <w:spacing w:val="-2"/>
          <w:lang w:val="es-ES"/>
        </w:rPr>
        <w:t xml:space="preserve"> estimados</w:t>
      </w:r>
      <w:r w:rsidRPr="001A2E55">
        <w:rPr>
          <w:rFonts w:asciiTheme="minorHAnsi" w:hAnsiTheme="minorHAnsi" w:cstheme="minorHAnsi"/>
          <w:b/>
          <w:noProof/>
          <w:spacing w:val="-2"/>
          <w:lang w:val="es-ES"/>
        </w:rPr>
        <w:t xml:space="preserve"> de 202</w:t>
      </w:r>
      <w:r w:rsidR="005751EF" w:rsidRPr="001A2E55">
        <w:rPr>
          <w:rFonts w:asciiTheme="minorHAnsi" w:hAnsiTheme="minorHAnsi" w:cstheme="minorHAnsi"/>
          <w:b/>
          <w:noProof/>
          <w:spacing w:val="-2"/>
          <w:lang w:val="es-ES"/>
        </w:rPr>
        <w:t>4</w:t>
      </w:r>
      <w:r w:rsidRPr="001A2E55">
        <w:rPr>
          <w:rFonts w:asciiTheme="minorHAnsi" w:hAnsiTheme="minorHAnsi" w:cstheme="minorHAnsi"/>
          <w:b/>
          <w:noProof/>
          <w:spacing w:val="-2"/>
          <w:lang w:val="es-ES"/>
        </w:rPr>
        <w:t xml:space="preserve">: </w:t>
      </w:r>
      <w:r w:rsidR="005751EF" w:rsidRPr="001A2E55">
        <w:rPr>
          <w:rFonts w:asciiTheme="minorHAnsi" w:hAnsiTheme="minorHAnsi" w:cstheme="minorHAnsi"/>
          <w:b/>
          <w:noProof/>
          <w:spacing w:val="-2"/>
          <w:lang w:val="es-ES"/>
        </w:rPr>
        <w:t>estado</w:t>
      </w:r>
      <w:r w:rsidR="00F23CF3" w:rsidRPr="001A2E55">
        <w:rPr>
          <w:rFonts w:asciiTheme="minorHAnsi" w:hAnsiTheme="minorHAnsi" w:cstheme="minorHAnsi"/>
          <w:b/>
          <w:noProof/>
          <w:spacing w:val="-2"/>
          <w:lang w:val="es-ES"/>
        </w:rPr>
        <w:t xml:space="preserve"> de los fondos del </w:t>
      </w:r>
      <w:r w:rsidRPr="001A2E55">
        <w:rPr>
          <w:rFonts w:asciiTheme="minorHAnsi" w:hAnsiTheme="minorHAnsi" w:cstheme="minorHAnsi"/>
          <w:b/>
          <w:noProof/>
          <w:spacing w:val="-2"/>
          <w:lang w:val="es-ES"/>
        </w:rPr>
        <w:t xml:space="preserve">presupuesto </w:t>
      </w:r>
      <w:r w:rsidR="005751EF" w:rsidRPr="001A2E55">
        <w:rPr>
          <w:rFonts w:asciiTheme="minorHAnsi" w:hAnsiTheme="minorHAnsi" w:cstheme="minorHAnsi"/>
          <w:b/>
          <w:noProof/>
          <w:spacing w:val="-2"/>
          <w:lang w:val="es-ES"/>
        </w:rPr>
        <w:t>complementario</w:t>
      </w:r>
      <w:r w:rsidRPr="001A2E55">
        <w:rPr>
          <w:rFonts w:asciiTheme="minorHAnsi" w:hAnsiTheme="minorHAnsi" w:cstheme="minorHAnsi"/>
          <w:b/>
          <w:noProof/>
          <w:spacing w:val="-2"/>
          <w:lang w:val="es-ES"/>
        </w:rPr>
        <w:t xml:space="preserve"> y contribuciones voluntarias </w:t>
      </w:r>
    </w:p>
    <w:p w14:paraId="6A5BD270" w14:textId="77777777" w:rsidR="00C73471" w:rsidRPr="001A2E55" w:rsidRDefault="00C73471" w:rsidP="00162710">
      <w:pPr>
        <w:pStyle w:val="NoSpacing"/>
        <w:keepNext/>
        <w:rPr>
          <w:rFonts w:asciiTheme="minorHAnsi" w:hAnsiTheme="minorHAnsi" w:cstheme="minorHAnsi"/>
          <w:b/>
          <w:noProof/>
          <w:lang w:val="es-ES"/>
        </w:rPr>
      </w:pPr>
    </w:p>
    <w:p w14:paraId="3DC919F4" w14:textId="11262B88" w:rsidR="002A7F28" w:rsidRPr="001A2E55" w:rsidRDefault="00434428" w:rsidP="00464D2B">
      <w:pPr>
        <w:rPr>
          <w:rFonts w:asciiTheme="minorHAnsi" w:hAnsiTheme="minorHAnsi" w:cstheme="minorHAnsi"/>
          <w:noProof/>
          <w:spacing w:val="-2"/>
          <w:lang w:val="es-ES"/>
        </w:rPr>
      </w:pPr>
      <w:r w:rsidRPr="001A2E55">
        <w:rPr>
          <w:rFonts w:asciiTheme="minorHAnsi" w:hAnsiTheme="minorHAnsi" w:cstheme="minorHAnsi"/>
          <w:noProof/>
          <w:spacing w:val="-2"/>
          <w:lang w:val="es-ES"/>
        </w:rPr>
        <w:t>1</w:t>
      </w:r>
      <w:r w:rsidR="002A7F28" w:rsidRPr="001A2E55">
        <w:rPr>
          <w:rFonts w:asciiTheme="minorHAnsi" w:hAnsiTheme="minorHAnsi" w:cstheme="minorHAnsi"/>
          <w:noProof/>
          <w:spacing w:val="-2"/>
          <w:lang w:val="es-ES"/>
        </w:rPr>
        <w:t>7</w:t>
      </w:r>
      <w:r w:rsidR="00112F62" w:rsidRPr="001A2E55">
        <w:rPr>
          <w:rFonts w:asciiTheme="minorHAnsi" w:hAnsiTheme="minorHAnsi" w:cstheme="minorHAnsi"/>
          <w:noProof/>
          <w:spacing w:val="-2"/>
          <w:lang w:val="es-ES"/>
        </w:rPr>
        <w:t>.</w:t>
      </w:r>
      <w:r w:rsidR="00112F62" w:rsidRPr="001A2E55">
        <w:rPr>
          <w:rFonts w:asciiTheme="minorHAnsi" w:hAnsiTheme="minorHAnsi" w:cstheme="minorHAnsi"/>
          <w:noProof/>
          <w:spacing w:val="-2"/>
          <w:lang w:val="es-ES"/>
        </w:rPr>
        <w:tab/>
      </w:r>
      <w:r w:rsidR="002A7F28" w:rsidRPr="001A2E55">
        <w:rPr>
          <w:rFonts w:asciiTheme="minorHAnsi" w:hAnsiTheme="minorHAnsi" w:cstheme="minorHAnsi"/>
          <w:noProof/>
          <w:spacing w:val="-2"/>
          <w:lang w:val="es-ES"/>
        </w:rPr>
        <w:t>Los detalles de la financiación complementaria a 30 de septiembre de 2024 figuran en el anexo 2. El informe final se presentará a la reunión SC65 en julio de 2025 en la COP15.</w:t>
      </w:r>
    </w:p>
    <w:p w14:paraId="572970A9" w14:textId="77777777" w:rsidR="00112F62" w:rsidRPr="001A2E55" w:rsidRDefault="00112F62" w:rsidP="00237F04">
      <w:pPr>
        <w:ind w:left="0" w:firstLine="0"/>
        <w:rPr>
          <w:rFonts w:asciiTheme="minorHAnsi" w:hAnsiTheme="minorHAnsi" w:cstheme="minorHAnsi"/>
          <w:noProof/>
          <w:lang w:val="es-ES"/>
        </w:rPr>
      </w:pPr>
    </w:p>
    <w:p w14:paraId="22A47821" w14:textId="736F8B1F" w:rsidR="00237F04" w:rsidRPr="001A2E55" w:rsidRDefault="00641AD5" w:rsidP="00237F04">
      <w:pPr>
        <w:rPr>
          <w:rFonts w:asciiTheme="minorHAnsi" w:hAnsiTheme="minorHAnsi" w:cstheme="minorHAnsi"/>
          <w:noProof/>
          <w:lang w:val="es-ES"/>
        </w:rPr>
      </w:pPr>
      <w:r w:rsidRPr="001A2E55">
        <w:rPr>
          <w:rFonts w:asciiTheme="minorHAnsi" w:hAnsiTheme="minorHAnsi" w:cstheme="minorHAnsi"/>
          <w:noProof/>
          <w:lang w:val="es-ES"/>
        </w:rPr>
        <w:t>1</w:t>
      </w:r>
      <w:r w:rsidR="002A7F28" w:rsidRPr="001A2E55">
        <w:rPr>
          <w:rFonts w:asciiTheme="minorHAnsi" w:hAnsiTheme="minorHAnsi" w:cstheme="minorHAnsi"/>
          <w:noProof/>
          <w:lang w:val="es-ES"/>
        </w:rPr>
        <w:t>8</w:t>
      </w:r>
      <w:r w:rsidR="00112F62" w:rsidRPr="001A2E55">
        <w:rPr>
          <w:rFonts w:asciiTheme="minorHAnsi" w:hAnsiTheme="minorHAnsi" w:cstheme="minorHAnsi"/>
          <w:noProof/>
          <w:lang w:val="es-ES"/>
        </w:rPr>
        <w:t>.</w:t>
      </w:r>
      <w:r w:rsidR="00112F62" w:rsidRPr="001A2E55">
        <w:rPr>
          <w:rFonts w:asciiTheme="minorHAnsi" w:hAnsiTheme="minorHAnsi" w:cstheme="minorHAnsi"/>
          <w:noProof/>
          <w:lang w:val="es-ES"/>
        </w:rPr>
        <w:tab/>
      </w:r>
      <w:r w:rsidR="00237F04" w:rsidRPr="001A2E55">
        <w:rPr>
          <w:rFonts w:asciiTheme="minorHAnsi" w:hAnsiTheme="minorHAnsi" w:cstheme="minorHAnsi"/>
          <w:noProof/>
          <w:lang w:val="es-ES"/>
        </w:rPr>
        <w:t xml:space="preserve">Las contribuciones voluntarias recibidas </w:t>
      </w:r>
      <w:r w:rsidR="00D905F6" w:rsidRPr="001A2E55">
        <w:rPr>
          <w:rFonts w:asciiTheme="minorHAnsi" w:hAnsiTheme="minorHAnsi" w:cstheme="minorHAnsi"/>
          <w:noProof/>
          <w:lang w:val="es-ES"/>
        </w:rPr>
        <w:t>a 30 de septiembre de 2024</w:t>
      </w:r>
      <w:r w:rsidR="00237F04" w:rsidRPr="001A2E55">
        <w:rPr>
          <w:rFonts w:asciiTheme="minorHAnsi" w:hAnsiTheme="minorHAnsi" w:cstheme="minorHAnsi"/>
          <w:noProof/>
          <w:lang w:val="es-ES"/>
        </w:rPr>
        <w:t xml:space="preserve"> </w:t>
      </w:r>
      <w:r w:rsidR="00A717B3" w:rsidRPr="001A2E55">
        <w:rPr>
          <w:rFonts w:asciiTheme="minorHAnsi" w:hAnsiTheme="minorHAnsi" w:cstheme="minorHAnsi"/>
          <w:noProof/>
          <w:lang w:val="es-ES"/>
        </w:rPr>
        <w:t>figuran</w:t>
      </w:r>
      <w:r w:rsidR="00237F04" w:rsidRPr="001A2E55">
        <w:rPr>
          <w:rFonts w:asciiTheme="minorHAnsi" w:hAnsiTheme="minorHAnsi" w:cstheme="minorHAnsi"/>
          <w:noProof/>
          <w:lang w:val="es-ES"/>
        </w:rPr>
        <w:t xml:space="preserve"> en el </w:t>
      </w:r>
      <w:r w:rsidR="00F23CF3" w:rsidRPr="001A2E55">
        <w:rPr>
          <w:rFonts w:asciiTheme="minorHAnsi" w:hAnsiTheme="minorHAnsi" w:cstheme="minorHAnsi"/>
          <w:noProof/>
          <w:lang w:val="es-ES"/>
        </w:rPr>
        <w:t>c</w:t>
      </w:r>
      <w:r w:rsidR="00237F04" w:rsidRPr="001A2E55">
        <w:rPr>
          <w:rFonts w:asciiTheme="minorHAnsi" w:hAnsiTheme="minorHAnsi" w:cstheme="minorHAnsi"/>
          <w:noProof/>
          <w:lang w:val="es-ES"/>
        </w:rPr>
        <w:t>uadro 3</w:t>
      </w:r>
      <w:r w:rsidR="00A717B3" w:rsidRPr="001A2E55">
        <w:rPr>
          <w:rFonts w:asciiTheme="minorHAnsi" w:hAnsiTheme="minorHAnsi" w:cstheme="minorHAnsi"/>
          <w:noProof/>
          <w:lang w:val="es-ES"/>
        </w:rPr>
        <w:t xml:space="preserve">, </w:t>
      </w:r>
      <w:r w:rsidR="00237F04" w:rsidRPr="001A2E55">
        <w:rPr>
          <w:rFonts w:asciiTheme="minorHAnsi" w:hAnsiTheme="minorHAnsi" w:cstheme="minorHAnsi"/>
          <w:noProof/>
          <w:lang w:val="es-ES"/>
        </w:rPr>
        <w:t xml:space="preserve">a continuación. De acuerdo con las instrucciones del Comité Permanente </w:t>
      </w:r>
      <w:r w:rsidR="00B60458" w:rsidRPr="001A2E55">
        <w:rPr>
          <w:rFonts w:asciiTheme="minorHAnsi" w:hAnsiTheme="minorHAnsi" w:cstheme="minorHAnsi"/>
          <w:noProof/>
          <w:lang w:val="es-ES"/>
        </w:rPr>
        <w:t>en virtud de</w:t>
      </w:r>
      <w:r w:rsidR="00237F04" w:rsidRPr="001A2E55">
        <w:rPr>
          <w:rFonts w:asciiTheme="minorHAnsi" w:hAnsiTheme="minorHAnsi" w:cstheme="minorHAnsi"/>
          <w:noProof/>
          <w:lang w:val="es-ES"/>
        </w:rPr>
        <w:t xml:space="preserve"> la Decisión SC53-32, el cuadro ofrece un panorama general de las contribuciones recibidas y su </w:t>
      </w:r>
      <w:r w:rsidR="00A717B3" w:rsidRPr="001A2E55">
        <w:rPr>
          <w:rFonts w:asciiTheme="minorHAnsi" w:hAnsiTheme="minorHAnsi" w:cstheme="minorHAnsi"/>
          <w:noProof/>
          <w:lang w:val="es-ES"/>
        </w:rPr>
        <w:t>uso específico</w:t>
      </w:r>
      <w:r w:rsidR="00237F04" w:rsidRPr="001A2E55">
        <w:rPr>
          <w:rFonts w:asciiTheme="minorHAnsi" w:hAnsiTheme="minorHAnsi" w:cstheme="minorHAnsi"/>
          <w:noProof/>
          <w:lang w:val="es-ES"/>
        </w:rPr>
        <w:t xml:space="preserve">. </w:t>
      </w:r>
    </w:p>
    <w:p w14:paraId="39E697F4" w14:textId="77777777" w:rsidR="00DE67E9" w:rsidRPr="001A2E55" w:rsidRDefault="00DE67E9" w:rsidP="009D2CC9">
      <w:pPr>
        <w:pStyle w:val="NoSpacing"/>
        <w:keepNext/>
        <w:ind w:left="0" w:firstLine="0"/>
        <w:rPr>
          <w:rFonts w:asciiTheme="minorHAnsi" w:eastAsia="Times New Roman" w:hAnsiTheme="minorHAnsi" w:cstheme="minorHAnsi"/>
          <w:i/>
          <w:iCs/>
          <w:noProof/>
          <w:lang w:val="es-ES" w:eastAsia="en-GB"/>
        </w:rPr>
      </w:pPr>
    </w:p>
    <w:p w14:paraId="57059377" w14:textId="4875F093" w:rsidR="00156347" w:rsidRPr="001A2E55" w:rsidRDefault="00237F04" w:rsidP="00156347">
      <w:pPr>
        <w:pStyle w:val="NoSpacing"/>
        <w:keepNext/>
        <w:ind w:left="0" w:firstLine="0"/>
        <w:rPr>
          <w:rFonts w:asciiTheme="minorHAnsi" w:hAnsiTheme="minorHAnsi" w:cstheme="minorHAnsi"/>
          <w:i/>
          <w:noProof/>
          <w:lang w:val="es-ES"/>
        </w:rPr>
      </w:pPr>
      <w:r w:rsidRPr="001A2E55">
        <w:rPr>
          <w:rFonts w:asciiTheme="minorHAnsi" w:hAnsiTheme="minorHAnsi" w:cstheme="minorHAnsi"/>
          <w:i/>
          <w:iCs/>
          <w:noProof/>
          <w:lang w:val="es-ES"/>
        </w:rPr>
        <w:t xml:space="preserve">Cuadro 3: </w:t>
      </w:r>
      <w:r w:rsidRPr="001A2E55">
        <w:rPr>
          <w:rFonts w:asciiTheme="minorHAnsi" w:hAnsiTheme="minorHAnsi" w:cstheme="minorHAnsi"/>
          <w:i/>
          <w:noProof/>
          <w:lang w:val="es-ES"/>
        </w:rPr>
        <w:t xml:space="preserve">Ingresos </w:t>
      </w:r>
      <w:r w:rsidRPr="001A2E55">
        <w:rPr>
          <w:rFonts w:asciiTheme="minorHAnsi" w:hAnsiTheme="minorHAnsi" w:cstheme="minorHAnsi"/>
          <w:i/>
          <w:noProof/>
          <w:color w:val="000000" w:themeColor="text1"/>
          <w:lang w:val="es-ES"/>
        </w:rPr>
        <w:t xml:space="preserve">para proyectos por </w:t>
      </w:r>
      <w:r w:rsidRPr="001A2E55">
        <w:rPr>
          <w:rFonts w:asciiTheme="minorHAnsi" w:hAnsiTheme="minorHAnsi" w:cstheme="minorHAnsi"/>
          <w:i/>
          <w:noProof/>
          <w:lang w:val="es-ES"/>
        </w:rPr>
        <w:t>contribuciones voluntarias complementarias recibidas en 202</w:t>
      </w:r>
      <w:r w:rsidR="00D905F6" w:rsidRPr="001A2E55">
        <w:rPr>
          <w:rFonts w:asciiTheme="minorHAnsi" w:hAnsiTheme="minorHAnsi" w:cstheme="minorHAnsi"/>
          <w:i/>
          <w:noProof/>
          <w:lang w:val="es-ES"/>
        </w:rPr>
        <w:t>4 (a 30 de septiembre de 2024)</w:t>
      </w:r>
      <w:r w:rsidRPr="001A2E55">
        <w:rPr>
          <w:rFonts w:asciiTheme="minorHAnsi" w:hAnsiTheme="minorHAnsi" w:cstheme="minorHAnsi"/>
          <w:i/>
          <w:noProof/>
          <w:lang w:val="es-ES"/>
        </w:rPr>
        <w:t xml:space="preserve"> (en miles de francos suizos, con posibles diferencias de redondeo)</w:t>
      </w:r>
    </w:p>
    <w:tbl>
      <w:tblPr>
        <w:tblW w:w="9062" w:type="dxa"/>
        <w:tblCellMar>
          <w:top w:w="57" w:type="dxa"/>
          <w:left w:w="57" w:type="dxa"/>
          <w:bottom w:w="57" w:type="dxa"/>
          <w:right w:w="57" w:type="dxa"/>
        </w:tblCellMar>
        <w:tblLook w:val="04A0" w:firstRow="1" w:lastRow="0" w:firstColumn="1" w:lastColumn="0" w:noHBand="0" w:noVBand="1"/>
      </w:tblPr>
      <w:tblGrid>
        <w:gridCol w:w="3392"/>
        <w:gridCol w:w="1418"/>
        <w:gridCol w:w="4252"/>
      </w:tblGrid>
      <w:tr w:rsidR="00156347" w:rsidRPr="001A2E55" w14:paraId="1DF118CB" w14:textId="77777777" w:rsidTr="0002368D">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BF72762" w14:textId="098ED847" w:rsidR="00156347" w:rsidRPr="001A2E55" w:rsidRDefault="00641AD5" w:rsidP="005D4B97">
            <w:pPr>
              <w:ind w:left="0" w:firstLine="0"/>
              <w:jc w:val="center"/>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Nombre del d</w:t>
            </w:r>
            <w:r w:rsidR="00156347" w:rsidRPr="001A2E55">
              <w:rPr>
                <w:rFonts w:asciiTheme="minorHAnsi" w:eastAsia="Times New Roman" w:hAnsiTheme="minorHAnsi" w:cstheme="minorHAnsi"/>
                <w:b/>
                <w:bCs/>
                <w:noProof/>
                <w:color w:val="000000"/>
                <w:lang w:val="es-ES" w:eastAsia="en-GB"/>
              </w:rPr>
              <w:t>onante</w:t>
            </w:r>
          </w:p>
        </w:tc>
        <w:tc>
          <w:tcPr>
            <w:tcW w:w="1418"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23AE8457" w14:textId="728C93AD" w:rsidR="00156347" w:rsidRPr="001A2E55" w:rsidRDefault="001A2E55" w:rsidP="005D4B97">
            <w:pPr>
              <w:ind w:left="0" w:right="89" w:firstLine="0"/>
              <w:jc w:val="center"/>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Monto del</w:t>
            </w:r>
            <w:r w:rsidR="00156347" w:rsidRPr="001A2E55">
              <w:rPr>
                <w:rFonts w:asciiTheme="minorHAnsi" w:eastAsia="Times New Roman" w:hAnsiTheme="minorHAnsi" w:cstheme="minorHAnsi"/>
                <w:b/>
                <w:bCs/>
                <w:noProof/>
                <w:color w:val="000000"/>
                <w:lang w:val="es-ES" w:eastAsia="en-GB"/>
              </w:rPr>
              <w:t xml:space="preserve"> ingreso</w:t>
            </w:r>
          </w:p>
        </w:tc>
        <w:tc>
          <w:tcPr>
            <w:tcW w:w="425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7917B7BF" w14:textId="0DB09048" w:rsidR="00156347" w:rsidRPr="001A2E55" w:rsidRDefault="00156347" w:rsidP="005D4B97">
            <w:pPr>
              <w:ind w:left="0" w:firstLine="0"/>
              <w:jc w:val="center"/>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Descripción</w:t>
            </w:r>
          </w:p>
        </w:tc>
      </w:tr>
      <w:tr w:rsidR="00641AD5" w:rsidRPr="00F81E8B" w14:paraId="7CF87BB9"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hideMark/>
          </w:tcPr>
          <w:p w14:paraId="3E6C5AAC" w14:textId="77777777" w:rsidR="00641AD5" w:rsidRPr="001A2E55" w:rsidRDefault="00641AD5"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Alemania</w:t>
            </w:r>
          </w:p>
        </w:tc>
        <w:tc>
          <w:tcPr>
            <w:tcW w:w="1418" w:type="dxa"/>
            <w:tcBorders>
              <w:top w:val="nil"/>
              <w:left w:val="nil"/>
              <w:bottom w:val="single" w:sz="8" w:space="0" w:color="auto"/>
              <w:right w:val="single" w:sz="8" w:space="0" w:color="auto"/>
            </w:tcBorders>
            <w:shd w:val="clear" w:color="auto" w:fill="auto"/>
            <w:vAlign w:val="center"/>
            <w:hideMark/>
          </w:tcPr>
          <w:p w14:paraId="5DDF49A1" w14:textId="0222E69E" w:rsidR="00641AD5"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185</w:t>
            </w:r>
          </w:p>
        </w:tc>
        <w:tc>
          <w:tcPr>
            <w:tcW w:w="4252" w:type="dxa"/>
            <w:tcBorders>
              <w:top w:val="nil"/>
              <w:left w:val="nil"/>
              <w:bottom w:val="single" w:sz="8" w:space="0" w:color="auto"/>
              <w:right w:val="single" w:sz="8" w:space="0" w:color="auto"/>
            </w:tcBorders>
            <w:shd w:val="clear" w:color="auto" w:fill="auto"/>
            <w:vAlign w:val="center"/>
            <w:hideMark/>
          </w:tcPr>
          <w:p w14:paraId="5A189AD3" w14:textId="77777777" w:rsidR="00641AD5" w:rsidRPr="001A2E55" w:rsidRDefault="00641AD5"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Uso racional de los humedales del Caribe</w:t>
            </w:r>
          </w:p>
        </w:tc>
      </w:tr>
      <w:tr w:rsidR="00641AD5" w:rsidRPr="00F81E8B" w14:paraId="6D3D706E"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hideMark/>
          </w:tcPr>
          <w:p w14:paraId="63AF57B3" w14:textId="77777777" w:rsidR="00641AD5" w:rsidRPr="001A2E55" w:rsidRDefault="00641AD5"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Canadá</w:t>
            </w:r>
          </w:p>
        </w:tc>
        <w:tc>
          <w:tcPr>
            <w:tcW w:w="1418" w:type="dxa"/>
            <w:tcBorders>
              <w:top w:val="nil"/>
              <w:left w:val="nil"/>
              <w:bottom w:val="single" w:sz="8" w:space="0" w:color="auto"/>
              <w:right w:val="single" w:sz="8" w:space="0" w:color="auto"/>
            </w:tcBorders>
            <w:shd w:val="clear" w:color="auto" w:fill="auto"/>
            <w:vAlign w:val="center"/>
            <w:hideMark/>
          </w:tcPr>
          <w:p w14:paraId="58C452A8" w14:textId="4B478398" w:rsidR="00641AD5"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36</w:t>
            </w:r>
          </w:p>
        </w:tc>
        <w:tc>
          <w:tcPr>
            <w:tcW w:w="4252" w:type="dxa"/>
            <w:tcBorders>
              <w:top w:val="nil"/>
              <w:left w:val="nil"/>
              <w:bottom w:val="single" w:sz="8" w:space="0" w:color="auto"/>
              <w:right w:val="single" w:sz="8" w:space="0" w:color="auto"/>
            </w:tcBorders>
            <w:shd w:val="clear" w:color="auto" w:fill="auto"/>
            <w:vAlign w:val="center"/>
            <w:hideMark/>
          </w:tcPr>
          <w:p w14:paraId="7EA3CEB2" w14:textId="66987565" w:rsidR="00641AD5"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Las mujeres en los humedales</w:t>
            </w:r>
            <w:r w:rsidR="00641AD5" w:rsidRPr="001A2E55">
              <w:rPr>
                <w:rFonts w:asciiTheme="minorHAnsi" w:eastAsia="Times New Roman" w:hAnsiTheme="minorHAnsi" w:cstheme="minorHAnsi"/>
                <w:noProof/>
                <w:color w:val="000000" w:themeColor="text1"/>
                <w:lang w:val="es-ES" w:eastAsia="en-GB"/>
              </w:rPr>
              <w:t xml:space="preserve"> </w:t>
            </w:r>
          </w:p>
        </w:tc>
      </w:tr>
      <w:tr w:rsidR="00641AD5" w:rsidRPr="00F81E8B" w14:paraId="4635DCB9"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hideMark/>
          </w:tcPr>
          <w:p w14:paraId="73F6011D" w14:textId="77777777" w:rsidR="00641AD5" w:rsidRPr="001A2E55" w:rsidRDefault="00641AD5" w:rsidP="0015634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Danone</w:t>
            </w:r>
          </w:p>
        </w:tc>
        <w:tc>
          <w:tcPr>
            <w:tcW w:w="1418" w:type="dxa"/>
            <w:tcBorders>
              <w:top w:val="nil"/>
              <w:left w:val="nil"/>
              <w:bottom w:val="single" w:sz="8" w:space="0" w:color="auto"/>
              <w:right w:val="single" w:sz="8" w:space="0" w:color="auto"/>
            </w:tcBorders>
            <w:shd w:val="clear" w:color="auto" w:fill="auto"/>
            <w:vAlign w:val="center"/>
            <w:hideMark/>
          </w:tcPr>
          <w:p w14:paraId="3F95A434" w14:textId="234B46E1" w:rsidR="00641AD5" w:rsidRPr="001A2E55" w:rsidRDefault="00D12B41" w:rsidP="0015634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66</w:t>
            </w:r>
          </w:p>
        </w:tc>
        <w:tc>
          <w:tcPr>
            <w:tcW w:w="4252" w:type="dxa"/>
            <w:tcBorders>
              <w:top w:val="nil"/>
              <w:left w:val="nil"/>
              <w:bottom w:val="single" w:sz="8" w:space="0" w:color="auto"/>
              <w:right w:val="single" w:sz="8" w:space="0" w:color="auto"/>
            </w:tcBorders>
            <w:shd w:val="clear" w:color="auto" w:fill="auto"/>
            <w:vAlign w:val="center"/>
            <w:hideMark/>
          </w:tcPr>
          <w:p w14:paraId="6AC943AB" w14:textId="77777777" w:rsidR="00641AD5" w:rsidRPr="001A2E55" w:rsidRDefault="00641AD5" w:rsidP="0015634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Actividades de proyectos de Danone</w:t>
            </w:r>
          </w:p>
        </w:tc>
      </w:tr>
      <w:tr w:rsidR="00641AD5" w:rsidRPr="001A2E55" w14:paraId="53BAF677"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hideMark/>
          </w:tcPr>
          <w:p w14:paraId="1B618ABD" w14:textId="77777777" w:rsidR="00641AD5" w:rsidRPr="001A2E55" w:rsidRDefault="00641AD5"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Estados Unidos de América</w:t>
            </w:r>
          </w:p>
        </w:tc>
        <w:tc>
          <w:tcPr>
            <w:tcW w:w="1418" w:type="dxa"/>
            <w:tcBorders>
              <w:top w:val="nil"/>
              <w:left w:val="nil"/>
              <w:bottom w:val="single" w:sz="8" w:space="0" w:color="auto"/>
              <w:right w:val="single" w:sz="8" w:space="0" w:color="auto"/>
            </w:tcBorders>
            <w:shd w:val="clear" w:color="auto" w:fill="auto"/>
            <w:vAlign w:val="center"/>
            <w:hideMark/>
          </w:tcPr>
          <w:p w14:paraId="08142CDC" w14:textId="70B30551" w:rsidR="00641AD5"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13</w:t>
            </w:r>
          </w:p>
        </w:tc>
        <w:tc>
          <w:tcPr>
            <w:tcW w:w="4252" w:type="dxa"/>
            <w:tcBorders>
              <w:top w:val="nil"/>
              <w:left w:val="nil"/>
              <w:bottom w:val="single" w:sz="8" w:space="0" w:color="auto"/>
              <w:right w:val="single" w:sz="8" w:space="0" w:color="auto"/>
            </w:tcBorders>
            <w:shd w:val="clear" w:color="auto" w:fill="auto"/>
            <w:vAlign w:val="center"/>
          </w:tcPr>
          <w:p w14:paraId="0909B03E" w14:textId="2B20F2FF" w:rsidR="00641AD5" w:rsidRPr="001A2E55" w:rsidRDefault="0010177A"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Evaluación de sitios Ramsar</w:t>
            </w:r>
          </w:p>
        </w:tc>
      </w:tr>
      <w:tr w:rsidR="00D12B41" w:rsidRPr="001A2E55" w14:paraId="38D4BD67"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18E11E8E" w14:textId="6E9662A1" w:rsidR="00D12B41" w:rsidRPr="001A2E55" w:rsidRDefault="00D12B41"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Nagao Wetland Fund</w:t>
            </w:r>
          </w:p>
        </w:tc>
        <w:tc>
          <w:tcPr>
            <w:tcW w:w="1418" w:type="dxa"/>
            <w:tcBorders>
              <w:top w:val="nil"/>
              <w:left w:val="nil"/>
              <w:bottom w:val="single" w:sz="8" w:space="0" w:color="auto"/>
              <w:right w:val="single" w:sz="8" w:space="0" w:color="auto"/>
            </w:tcBorders>
            <w:shd w:val="clear" w:color="auto" w:fill="auto"/>
            <w:vAlign w:val="center"/>
          </w:tcPr>
          <w:p w14:paraId="0F5DFBD0" w14:textId="278025C6" w:rsidR="00D12B41"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58</w:t>
            </w:r>
          </w:p>
        </w:tc>
        <w:tc>
          <w:tcPr>
            <w:tcW w:w="4252" w:type="dxa"/>
            <w:tcBorders>
              <w:top w:val="nil"/>
              <w:left w:val="nil"/>
              <w:bottom w:val="single" w:sz="8" w:space="0" w:color="auto"/>
              <w:right w:val="single" w:sz="8" w:space="0" w:color="auto"/>
            </w:tcBorders>
            <w:shd w:val="clear" w:color="auto" w:fill="auto"/>
            <w:vAlign w:val="center"/>
          </w:tcPr>
          <w:p w14:paraId="23922651" w14:textId="2F341D60" w:rsidR="00D12B41" w:rsidRPr="001A2E55" w:rsidRDefault="00157C89"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NEF Japón</w:t>
            </w:r>
          </w:p>
        </w:tc>
      </w:tr>
      <w:tr w:rsidR="00D12B41" w:rsidRPr="00F81E8B" w14:paraId="5BEEA883"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0F5CC07D" w14:textId="23CF4910" w:rsidR="00D12B41" w:rsidRPr="001A2E55" w:rsidRDefault="00D12B41"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Noruega</w:t>
            </w:r>
          </w:p>
        </w:tc>
        <w:tc>
          <w:tcPr>
            <w:tcW w:w="1418" w:type="dxa"/>
            <w:tcBorders>
              <w:top w:val="nil"/>
              <w:left w:val="nil"/>
              <w:bottom w:val="single" w:sz="8" w:space="0" w:color="auto"/>
              <w:right w:val="single" w:sz="8" w:space="0" w:color="auto"/>
            </w:tcBorders>
            <w:shd w:val="clear" w:color="auto" w:fill="auto"/>
            <w:vAlign w:val="center"/>
          </w:tcPr>
          <w:p w14:paraId="74513840" w14:textId="4C39DFAF" w:rsidR="00D12B41"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12</w:t>
            </w:r>
          </w:p>
        </w:tc>
        <w:tc>
          <w:tcPr>
            <w:tcW w:w="4252" w:type="dxa"/>
            <w:tcBorders>
              <w:top w:val="nil"/>
              <w:left w:val="nil"/>
              <w:bottom w:val="single" w:sz="8" w:space="0" w:color="auto"/>
              <w:right w:val="single" w:sz="8" w:space="0" w:color="auto"/>
            </w:tcBorders>
            <w:shd w:val="clear" w:color="auto" w:fill="auto"/>
            <w:vAlign w:val="center"/>
          </w:tcPr>
          <w:p w14:paraId="6AE7DBF8" w14:textId="53EB0F1F" w:rsidR="00D12B41"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Plan de trabajo del GECT 2023-2025</w:t>
            </w:r>
          </w:p>
        </w:tc>
      </w:tr>
      <w:tr w:rsidR="00641AD5" w:rsidRPr="00F81E8B" w14:paraId="2928BFB8"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hideMark/>
          </w:tcPr>
          <w:p w14:paraId="1BB9CC66" w14:textId="40F84B9F" w:rsidR="00641AD5" w:rsidRPr="001A2E55" w:rsidRDefault="00641AD5"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Reino Unido</w:t>
            </w:r>
            <w:r w:rsidR="00F22893" w:rsidRPr="001A2E55">
              <w:rPr>
                <w:rFonts w:asciiTheme="minorHAnsi" w:eastAsia="Times New Roman" w:hAnsiTheme="minorHAnsi" w:cstheme="minorHAnsi"/>
                <w:noProof/>
                <w:color w:val="000000"/>
                <w:lang w:val="es-ES" w:eastAsia="en-GB"/>
              </w:rPr>
              <w:t xml:space="preserve"> de Gran Bretaña e Irlanda del Norte</w:t>
            </w:r>
          </w:p>
        </w:tc>
        <w:tc>
          <w:tcPr>
            <w:tcW w:w="1418" w:type="dxa"/>
            <w:tcBorders>
              <w:top w:val="nil"/>
              <w:left w:val="nil"/>
              <w:bottom w:val="single" w:sz="8" w:space="0" w:color="auto"/>
              <w:right w:val="single" w:sz="8" w:space="0" w:color="auto"/>
            </w:tcBorders>
            <w:shd w:val="clear" w:color="auto" w:fill="auto"/>
            <w:vAlign w:val="center"/>
            <w:hideMark/>
          </w:tcPr>
          <w:p w14:paraId="41E33288" w14:textId="1BF0C79C" w:rsidR="00641AD5" w:rsidRPr="001A2E55" w:rsidRDefault="0002368D"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22</w:t>
            </w:r>
          </w:p>
        </w:tc>
        <w:tc>
          <w:tcPr>
            <w:tcW w:w="4252" w:type="dxa"/>
            <w:tcBorders>
              <w:top w:val="nil"/>
              <w:left w:val="nil"/>
              <w:bottom w:val="single" w:sz="8" w:space="0" w:color="auto"/>
              <w:right w:val="single" w:sz="8" w:space="0" w:color="auto"/>
            </w:tcBorders>
            <w:shd w:val="clear" w:color="auto" w:fill="auto"/>
            <w:vAlign w:val="center"/>
          </w:tcPr>
          <w:p w14:paraId="44165E34" w14:textId="77777777" w:rsidR="00641AD5" w:rsidRPr="001A2E55" w:rsidRDefault="00641AD5"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Plan de trabajo del GECT 2023-2025</w:t>
            </w:r>
          </w:p>
        </w:tc>
      </w:tr>
      <w:tr w:rsidR="00641AD5" w:rsidRPr="00F81E8B" w14:paraId="44B41388"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4D7DCFF8" w14:textId="77777777" w:rsidR="00641AD5" w:rsidRPr="001A2E55" w:rsidRDefault="00641AD5"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Suiza</w:t>
            </w:r>
          </w:p>
        </w:tc>
        <w:tc>
          <w:tcPr>
            <w:tcW w:w="1418" w:type="dxa"/>
            <w:tcBorders>
              <w:top w:val="nil"/>
              <w:left w:val="nil"/>
              <w:bottom w:val="single" w:sz="8" w:space="0" w:color="auto"/>
              <w:right w:val="single" w:sz="8" w:space="0" w:color="auto"/>
            </w:tcBorders>
            <w:shd w:val="clear" w:color="auto" w:fill="auto"/>
            <w:vAlign w:val="center"/>
          </w:tcPr>
          <w:p w14:paraId="6EA04085" w14:textId="04F3016F" w:rsidR="00641AD5"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50</w:t>
            </w:r>
          </w:p>
        </w:tc>
        <w:tc>
          <w:tcPr>
            <w:tcW w:w="4252" w:type="dxa"/>
            <w:tcBorders>
              <w:top w:val="nil"/>
              <w:left w:val="nil"/>
              <w:bottom w:val="single" w:sz="8" w:space="0" w:color="auto"/>
              <w:right w:val="single" w:sz="8" w:space="0" w:color="auto"/>
            </w:tcBorders>
            <w:shd w:val="clear" w:color="auto" w:fill="auto"/>
            <w:vAlign w:val="center"/>
          </w:tcPr>
          <w:p w14:paraId="14D82FF2" w14:textId="0A4CCEBE" w:rsidR="00641AD5"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Apoyo a delegados patrocinados por la COP14</w:t>
            </w:r>
          </w:p>
        </w:tc>
      </w:tr>
      <w:tr w:rsidR="00D12B41" w:rsidRPr="00F81E8B" w14:paraId="73D55AB8"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448F8B86" w14:textId="2D0475F2" w:rsidR="00D12B41" w:rsidRPr="001A2E55" w:rsidRDefault="00D12B41"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Suiza</w:t>
            </w:r>
          </w:p>
        </w:tc>
        <w:tc>
          <w:tcPr>
            <w:tcW w:w="1418" w:type="dxa"/>
            <w:tcBorders>
              <w:top w:val="nil"/>
              <w:left w:val="nil"/>
              <w:bottom w:val="single" w:sz="8" w:space="0" w:color="auto"/>
              <w:right w:val="single" w:sz="8" w:space="0" w:color="auto"/>
            </w:tcBorders>
            <w:shd w:val="clear" w:color="auto" w:fill="auto"/>
            <w:vAlign w:val="center"/>
          </w:tcPr>
          <w:p w14:paraId="51E86C8B" w14:textId="5FC90F56" w:rsidR="00D12B41"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40</w:t>
            </w:r>
          </w:p>
        </w:tc>
        <w:tc>
          <w:tcPr>
            <w:tcW w:w="4252" w:type="dxa"/>
            <w:tcBorders>
              <w:top w:val="nil"/>
              <w:left w:val="nil"/>
              <w:bottom w:val="single" w:sz="8" w:space="0" w:color="auto"/>
              <w:right w:val="single" w:sz="8" w:space="0" w:color="auto"/>
            </w:tcBorders>
            <w:shd w:val="clear" w:color="auto" w:fill="auto"/>
            <w:vAlign w:val="center"/>
          </w:tcPr>
          <w:p w14:paraId="5C98FAAB" w14:textId="62A6C557" w:rsidR="00D12B41"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Reunión regional previa a la reunión SC64</w:t>
            </w:r>
          </w:p>
        </w:tc>
      </w:tr>
      <w:tr w:rsidR="00D12B41" w:rsidRPr="001A2E55" w14:paraId="1956A759"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14D3721F" w14:textId="0A064A7E" w:rsidR="00D12B41" w:rsidRPr="001A2E55" w:rsidRDefault="00D12B41"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Suiza</w:t>
            </w:r>
          </w:p>
        </w:tc>
        <w:tc>
          <w:tcPr>
            <w:tcW w:w="1418" w:type="dxa"/>
            <w:tcBorders>
              <w:top w:val="nil"/>
              <w:left w:val="nil"/>
              <w:bottom w:val="single" w:sz="8" w:space="0" w:color="auto"/>
              <w:right w:val="single" w:sz="8" w:space="0" w:color="auto"/>
            </w:tcBorders>
            <w:shd w:val="clear" w:color="auto" w:fill="auto"/>
            <w:vAlign w:val="center"/>
          </w:tcPr>
          <w:p w14:paraId="0ECDBC86" w14:textId="1D784F82" w:rsidR="00D12B41"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50</w:t>
            </w:r>
          </w:p>
        </w:tc>
        <w:tc>
          <w:tcPr>
            <w:tcW w:w="4252" w:type="dxa"/>
            <w:tcBorders>
              <w:top w:val="nil"/>
              <w:left w:val="nil"/>
              <w:bottom w:val="single" w:sz="8" w:space="0" w:color="auto"/>
              <w:right w:val="single" w:sz="8" w:space="0" w:color="auto"/>
            </w:tcBorders>
            <w:shd w:val="clear" w:color="auto" w:fill="auto"/>
            <w:vAlign w:val="center"/>
          </w:tcPr>
          <w:p w14:paraId="05C60912" w14:textId="05EAE470" w:rsidR="00D12B41"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Inventarios nacionales de humedales</w:t>
            </w:r>
          </w:p>
        </w:tc>
      </w:tr>
      <w:tr w:rsidR="00D12B41" w:rsidRPr="001A2E55" w14:paraId="74D25780" w14:textId="77777777" w:rsidTr="0002368D">
        <w:tc>
          <w:tcPr>
            <w:tcW w:w="3392" w:type="dxa"/>
            <w:tcBorders>
              <w:top w:val="nil"/>
              <w:left w:val="single" w:sz="8" w:space="0" w:color="auto"/>
              <w:bottom w:val="single" w:sz="8" w:space="0" w:color="auto"/>
              <w:right w:val="single" w:sz="8" w:space="0" w:color="auto"/>
            </w:tcBorders>
            <w:shd w:val="clear" w:color="auto" w:fill="auto"/>
            <w:vAlign w:val="center"/>
          </w:tcPr>
          <w:p w14:paraId="2C9B4FE2" w14:textId="7EAC4C65" w:rsidR="00D12B41" w:rsidRPr="001A2E55" w:rsidRDefault="00D12B41"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Zimbabwe</w:t>
            </w:r>
          </w:p>
        </w:tc>
        <w:tc>
          <w:tcPr>
            <w:tcW w:w="1418" w:type="dxa"/>
            <w:tcBorders>
              <w:top w:val="nil"/>
              <w:left w:val="nil"/>
              <w:bottom w:val="single" w:sz="8" w:space="0" w:color="auto"/>
              <w:right w:val="single" w:sz="8" w:space="0" w:color="auto"/>
            </w:tcBorders>
            <w:shd w:val="clear" w:color="auto" w:fill="auto"/>
            <w:vAlign w:val="center"/>
          </w:tcPr>
          <w:p w14:paraId="5D54694A" w14:textId="46C98E1B" w:rsidR="00D12B41" w:rsidRPr="001A2E55" w:rsidRDefault="00D12B41" w:rsidP="005D4B97">
            <w:pPr>
              <w:ind w:left="0" w:right="89" w:firstLine="0"/>
              <w:jc w:val="right"/>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599</w:t>
            </w:r>
          </w:p>
        </w:tc>
        <w:tc>
          <w:tcPr>
            <w:tcW w:w="4252" w:type="dxa"/>
            <w:tcBorders>
              <w:top w:val="nil"/>
              <w:left w:val="nil"/>
              <w:bottom w:val="single" w:sz="8" w:space="0" w:color="auto"/>
              <w:right w:val="single" w:sz="8" w:space="0" w:color="auto"/>
            </w:tcBorders>
            <w:shd w:val="clear" w:color="auto" w:fill="auto"/>
            <w:vAlign w:val="center"/>
          </w:tcPr>
          <w:p w14:paraId="0A583412" w14:textId="7F2E54BD" w:rsidR="00D12B41" w:rsidRPr="001A2E55" w:rsidRDefault="00D12B41" w:rsidP="005D4B97">
            <w:pPr>
              <w:ind w:left="0" w:firstLine="0"/>
              <w:rPr>
                <w:rFonts w:asciiTheme="minorHAnsi" w:eastAsia="Times New Roman" w:hAnsiTheme="minorHAnsi" w:cstheme="minorHAnsi"/>
                <w:noProof/>
                <w:color w:val="000000" w:themeColor="text1"/>
                <w:lang w:val="es-ES" w:eastAsia="en-GB"/>
              </w:rPr>
            </w:pPr>
            <w:r w:rsidRPr="001A2E55">
              <w:rPr>
                <w:rFonts w:asciiTheme="minorHAnsi" w:eastAsia="Times New Roman" w:hAnsiTheme="minorHAnsi" w:cstheme="minorHAnsi"/>
                <w:noProof/>
                <w:color w:val="000000" w:themeColor="text1"/>
                <w:lang w:val="es-ES" w:eastAsia="en-GB"/>
              </w:rPr>
              <w:t>Reunión COP15</w:t>
            </w:r>
          </w:p>
        </w:tc>
      </w:tr>
      <w:tr w:rsidR="00156347" w:rsidRPr="001A2E55" w14:paraId="5106D5F2" w14:textId="77777777" w:rsidTr="0002368D">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2B0FD366" w14:textId="6CAE4964" w:rsidR="00156347" w:rsidRPr="001A2E55" w:rsidRDefault="00156347" w:rsidP="005D4B97">
            <w:pPr>
              <w:ind w:left="0" w:firstLine="0"/>
              <w:rPr>
                <w:rFonts w:asciiTheme="minorHAnsi" w:eastAsia="Times New Roman" w:hAnsiTheme="minorHAnsi" w:cstheme="minorHAnsi"/>
                <w:b/>
                <w:bCs/>
                <w:noProof/>
                <w:lang w:val="es-ES" w:eastAsia="en-GB"/>
              </w:rPr>
            </w:pPr>
            <w:r w:rsidRPr="001A2E55">
              <w:rPr>
                <w:rFonts w:asciiTheme="minorHAnsi" w:eastAsia="Times New Roman" w:hAnsiTheme="minorHAnsi" w:cstheme="minorHAnsi"/>
                <w:b/>
                <w:bCs/>
                <w:noProof/>
                <w:lang w:val="es-ES" w:eastAsia="en-GB"/>
              </w:rPr>
              <w:t xml:space="preserve">Total, contribuciones voluntarias complementarias </w:t>
            </w:r>
            <w:r w:rsidR="00CD0CD8" w:rsidRPr="001A2E55">
              <w:rPr>
                <w:rFonts w:asciiTheme="minorHAnsi" w:eastAsia="Times New Roman" w:hAnsiTheme="minorHAnsi" w:cstheme="minorHAnsi"/>
                <w:b/>
                <w:bCs/>
                <w:noProof/>
                <w:lang w:val="es-ES" w:eastAsia="en-GB"/>
              </w:rPr>
              <w:t>de</w:t>
            </w:r>
            <w:r w:rsidRPr="001A2E55">
              <w:rPr>
                <w:rFonts w:asciiTheme="minorHAnsi" w:eastAsia="Times New Roman" w:hAnsiTheme="minorHAnsi" w:cstheme="minorHAnsi"/>
                <w:b/>
                <w:bCs/>
                <w:noProof/>
                <w:lang w:val="es-ES" w:eastAsia="en-GB"/>
              </w:rPr>
              <w:t xml:space="preserve"> 202</w:t>
            </w:r>
            <w:r w:rsidR="00157C89" w:rsidRPr="001A2E55">
              <w:rPr>
                <w:rFonts w:asciiTheme="minorHAnsi" w:eastAsia="Times New Roman" w:hAnsiTheme="minorHAnsi" w:cstheme="minorHAnsi"/>
                <w:b/>
                <w:bCs/>
                <w:noProof/>
                <w:lang w:val="es-ES" w:eastAsia="en-GB"/>
              </w:rPr>
              <w:t>4 (</w:t>
            </w:r>
            <w:r w:rsidR="00CD0CD8" w:rsidRPr="001A2E55">
              <w:rPr>
                <w:rFonts w:asciiTheme="minorHAnsi" w:eastAsia="Times New Roman" w:hAnsiTheme="minorHAnsi" w:cstheme="minorHAnsi"/>
                <w:b/>
                <w:bCs/>
                <w:noProof/>
                <w:lang w:val="es-ES" w:eastAsia="en-GB"/>
              </w:rPr>
              <w:t xml:space="preserve">recibidas hasta el </w:t>
            </w:r>
            <w:r w:rsidR="00157C89" w:rsidRPr="001A2E55">
              <w:rPr>
                <w:rFonts w:asciiTheme="minorHAnsi" w:eastAsia="Times New Roman" w:hAnsiTheme="minorHAnsi" w:cstheme="minorHAnsi"/>
                <w:b/>
                <w:bCs/>
                <w:noProof/>
                <w:lang w:val="es-ES" w:eastAsia="en-GB"/>
              </w:rPr>
              <w:t>30 de septiembre de 2024)</w:t>
            </w:r>
          </w:p>
        </w:tc>
        <w:tc>
          <w:tcPr>
            <w:tcW w:w="1418" w:type="dxa"/>
            <w:tcBorders>
              <w:top w:val="nil"/>
              <w:left w:val="nil"/>
              <w:bottom w:val="single" w:sz="8" w:space="0" w:color="auto"/>
              <w:right w:val="single" w:sz="8" w:space="0" w:color="auto"/>
            </w:tcBorders>
            <w:shd w:val="clear" w:color="auto" w:fill="DBE5F1" w:themeFill="accent1" w:themeFillTint="33"/>
            <w:vAlign w:val="center"/>
            <w:hideMark/>
          </w:tcPr>
          <w:p w14:paraId="192DB478" w14:textId="73E88CB1" w:rsidR="00156347" w:rsidRPr="001A2E55" w:rsidRDefault="00157C89" w:rsidP="005D4B97">
            <w:pPr>
              <w:ind w:left="0" w:right="89" w:firstLine="0"/>
              <w:jc w:val="right"/>
              <w:rPr>
                <w:rFonts w:asciiTheme="minorHAnsi" w:eastAsia="Times New Roman" w:hAnsiTheme="minorHAnsi" w:cstheme="minorHAnsi"/>
                <w:b/>
                <w:bCs/>
                <w:noProof/>
                <w:color w:val="000000"/>
                <w:lang w:val="es-ES" w:eastAsia="en-GB"/>
              </w:rPr>
            </w:pPr>
            <w:r w:rsidRPr="001A2E55">
              <w:rPr>
                <w:rFonts w:asciiTheme="minorHAnsi" w:eastAsia="Times New Roman" w:hAnsiTheme="minorHAnsi" w:cstheme="minorHAnsi"/>
                <w:b/>
                <w:bCs/>
                <w:noProof/>
                <w:color w:val="000000"/>
                <w:lang w:val="es-ES" w:eastAsia="en-GB"/>
              </w:rPr>
              <w:t>1 131</w:t>
            </w:r>
          </w:p>
        </w:tc>
        <w:tc>
          <w:tcPr>
            <w:tcW w:w="4252" w:type="dxa"/>
            <w:tcBorders>
              <w:top w:val="nil"/>
              <w:left w:val="nil"/>
              <w:bottom w:val="single" w:sz="8" w:space="0" w:color="auto"/>
              <w:right w:val="single" w:sz="8" w:space="0" w:color="auto"/>
            </w:tcBorders>
            <w:shd w:val="clear" w:color="auto" w:fill="DBE5F1" w:themeFill="accent1" w:themeFillTint="33"/>
            <w:vAlign w:val="center"/>
            <w:hideMark/>
          </w:tcPr>
          <w:p w14:paraId="09710CDB" w14:textId="77777777" w:rsidR="00156347" w:rsidRPr="001A2E55" w:rsidRDefault="00156347" w:rsidP="005D4B97">
            <w:pPr>
              <w:ind w:left="0" w:firstLine="0"/>
              <w:rPr>
                <w:rFonts w:asciiTheme="minorHAnsi" w:eastAsia="Times New Roman" w:hAnsiTheme="minorHAnsi" w:cstheme="minorHAnsi"/>
                <w:noProof/>
                <w:color w:val="000000"/>
                <w:lang w:val="es-ES" w:eastAsia="en-GB"/>
              </w:rPr>
            </w:pPr>
            <w:r w:rsidRPr="001A2E55">
              <w:rPr>
                <w:rFonts w:asciiTheme="minorHAnsi" w:eastAsia="Times New Roman" w:hAnsiTheme="minorHAnsi" w:cstheme="minorHAnsi"/>
                <w:noProof/>
                <w:color w:val="000000"/>
                <w:lang w:val="es-ES" w:eastAsia="en-GB"/>
              </w:rPr>
              <w:t> </w:t>
            </w:r>
          </w:p>
        </w:tc>
      </w:tr>
    </w:tbl>
    <w:p w14:paraId="46DAF8F4" w14:textId="049EB9B7" w:rsidR="00FB2D0B" w:rsidRPr="001A2E55" w:rsidRDefault="00156347" w:rsidP="00C94A35">
      <w:pPr>
        <w:pStyle w:val="NoSpacing"/>
        <w:keepNext/>
        <w:ind w:left="0" w:firstLine="0"/>
        <w:rPr>
          <w:rFonts w:asciiTheme="minorHAnsi" w:hAnsiTheme="minorHAnsi" w:cstheme="minorHAnsi"/>
          <w:noProof/>
          <w:highlight w:val="yellow"/>
          <w:lang w:val="es-ES"/>
        </w:rPr>
      </w:pPr>
      <w:r w:rsidRPr="001A2E55">
        <w:rPr>
          <w:rFonts w:asciiTheme="minorHAnsi" w:hAnsiTheme="minorHAnsi" w:cstheme="minorHAnsi"/>
          <w:noProof/>
          <w:highlight w:val="yellow"/>
          <w:lang w:val="es-ES"/>
        </w:rPr>
        <w:t xml:space="preserve"> </w:t>
      </w:r>
    </w:p>
    <w:p w14:paraId="444B0466" w14:textId="77777777" w:rsidR="00C94A35" w:rsidRPr="001A2E55" w:rsidRDefault="00C94A35" w:rsidP="00C94A35">
      <w:pPr>
        <w:pStyle w:val="NoSpacing"/>
        <w:keepNext/>
        <w:ind w:left="0" w:firstLine="0"/>
        <w:rPr>
          <w:rFonts w:asciiTheme="minorHAnsi" w:hAnsiTheme="minorHAnsi" w:cstheme="minorHAnsi"/>
          <w:noProof/>
          <w:highlight w:val="yellow"/>
          <w:lang w:val="es-ES"/>
        </w:rPr>
      </w:pPr>
    </w:p>
    <w:p w14:paraId="594A4025" w14:textId="3FAAC260" w:rsidR="006B6F03" w:rsidRPr="001A2E55" w:rsidRDefault="00C94A35" w:rsidP="006E2F73">
      <w:pPr>
        <w:rPr>
          <w:rFonts w:asciiTheme="minorHAnsi" w:hAnsiTheme="minorHAnsi" w:cstheme="minorHAnsi"/>
          <w:noProof/>
          <w:lang w:val="es-ES"/>
        </w:rPr>
      </w:pPr>
      <w:r w:rsidRPr="001A2E55">
        <w:rPr>
          <w:rFonts w:asciiTheme="minorHAnsi" w:hAnsiTheme="minorHAnsi" w:cstheme="minorHAnsi"/>
          <w:noProof/>
          <w:lang w:val="es-ES"/>
        </w:rPr>
        <w:t>1</w:t>
      </w:r>
      <w:r w:rsidR="00383B30" w:rsidRPr="001A2E55">
        <w:rPr>
          <w:rFonts w:asciiTheme="minorHAnsi" w:hAnsiTheme="minorHAnsi" w:cstheme="minorHAnsi"/>
          <w:noProof/>
          <w:lang w:val="es-ES"/>
        </w:rPr>
        <w:t>9</w:t>
      </w:r>
      <w:r w:rsidR="00E820ED" w:rsidRPr="001A2E55">
        <w:rPr>
          <w:rFonts w:asciiTheme="minorHAnsi" w:hAnsiTheme="minorHAnsi" w:cstheme="minorHAnsi"/>
          <w:noProof/>
          <w:lang w:val="es-ES"/>
        </w:rPr>
        <w:t>.</w:t>
      </w:r>
      <w:r w:rsidR="00E820ED" w:rsidRPr="001A2E55">
        <w:rPr>
          <w:rFonts w:asciiTheme="minorHAnsi" w:hAnsiTheme="minorHAnsi" w:cstheme="minorHAnsi"/>
          <w:noProof/>
          <w:lang w:val="es-ES"/>
        </w:rPr>
        <w:tab/>
      </w:r>
      <w:r w:rsidR="00641AD5" w:rsidRPr="001A2E55">
        <w:rPr>
          <w:rFonts w:asciiTheme="minorHAnsi" w:hAnsiTheme="minorHAnsi" w:cstheme="minorHAnsi"/>
          <w:noProof/>
          <w:lang w:val="es-ES"/>
        </w:rPr>
        <w:t>En 202</w:t>
      </w:r>
      <w:r w:rsidR="00383B30" w:rsidRPr="001A2E55">
        <w:rPr>
          <w:rFonts w:asciiTheme="minorHAnsi" w:hAnsiTheme="minorHAnsi" w:cstheme="minorHAnsi"/>
          <w:noProof/>
          <w:lang w:val="es-ES"/>
        </w:rPr>
        <w:t>4</w:t>
      </w:r>
      <w:r w:rsidR="00E820ED" w:rsidRPr="001A2E55">
        <w:rPr>
          <w:rFonts w:asciiTheme="minorHAnsi" w:hAnsiTheme="minorHAnsi" w:cstheme="minorHAnsi"/>
          <w:noProof/>
          <w:lang w:val="es-ES"/>
        </w:rPr>
        <w:t xml:space="preserve"> </w:t>
      </w:r>
      <w:r w:rsidR="00641AD5" w:rsidRPr="001A2E55">
        <w:rPr>
          <w:rFonts w:asciiTheme="minorHAnsi" w:hAnsiTheme="minorHAnsi" w:cstheme="minorHAnsi"/>
          <w:noProof/>
          <w:lang w:val="es-ES"/>
        </w:rPr>
        <w:t xml:space="preserve">se estableció contacto con </w:t>
      </w:r>
      <w:r w:rsidR="00E820ED" w:rsidRPr="001A2E55">
        <w:rPr>
          <w:rFonts w:asciiTheme="minorHAnsi" w:hAnsiTheme="minorHAnsi" w:cstheme="minorHAnsi"/>
          <w:noProof/>
          <w:lang w:val="es-ES"/>
        </w:rPr>
        <w:t xml:space="preserve">las Partes Contratantes y otros posibles donantes en relación con la financiación de otras partidas prioritarias no básicas presupuestadas que figuran en el </w:t>
      </w:r>
      <w:r w:rsidR="00641AD5" w:rsidRPr="001A2E55">
        <w:rPr>
          <w:rFonts w:asciiTheme="minorHAnsi" w:hAnsiTheme="minorHAnsi" w:cstheme="minorHAnsi"/>
          <w:noProof/>
          <w:lang w:val="es-ES"/>
        </w:rPr>
        <w:t>a</w:t>
      </w:r>
      <w:r w:rsidR="00E820ED" w:rsidRPr="001A2E55">
        <w:rPr>
          <w:rFonts w:asciiTheme="minorHAnsi" w:hAnsiTheme="minorHAnsi" w:cstheme="minorHAnsi"/>
          <w:noProof/>
          <w:lang w:val="es-ES"/>
        </w:rPr>
        <w:t>nexo 4 de la Resolución XIV.1.</w:t>
      </w:r>
      <w:r w:rsidR="00383B30" w:rsidRPr="001A2E55">
        <w:rPr>
          <w:rFonts w:asciiTheme="minorHAnsi" w:hAnsiTheme="minorHAnsi" w:cstheme="minorHAnsi"/>
          <w:noProof/>
          <w:lang w:val="es-ES"/>
        </w:rPr>
        <w:t xml:space="preserve"> Una prioridad fundamental a este respecto que las Partes </w:t>
      </w:r>
      <w:r w:rsidR="00383B30" w:rsidRPr="001A2E55">
        <w:rPr>
          <w:rFonts w:asciiTheme="minorHAnsi" w:hAnsiTheme="minorHAnsi" w:cstheme="minorHAnsi"/>
          <w:noProof/>
          <w:lang w:val="es-ES"/>
        </w:rPr>
        <w:lastRenderedPageBreak/>
        <w:t>deben tener en cuenta en 2024 y 2025 es la financiación para la COP15, en especial para la participación de delegados patrocinados. La Secretaría agradecería recibir orientaciones de las Partes Contratantes sobre posibles donantes para cubrir los gastos de viaje a fin de garantizar la participación de todas las Partes Contratantes en la COP15.</w:t>
      </w:r>
    </w:p>
    <w:p w14:paraId="12699B84" w14:textId="77777777" w:rsidR="00E820ED" w:rsidRPr="001A2E55" w:rsidRDefault="00E820ED" w:rsidP="00641AD5">
      <w:pPr>
        <w:ind w:left="0" w:firstLine="0"/>
        <w:rPr>
          <w:rFonts w:asciiTheme="minorHAnsi" w:hAnsiTheme="minorHAnsi" w:cstheme="minorHAnsi"/>
          <w:noProof/>
          <w:lang w:val="es-ES"/>
        </w:rPr>
      </w:pPr>
    </w:p>
    <w:p w14:paraId="53405D45" w14:textId="6ADC34EA" w:rsidR="00C80A3E" w:rsidRPr="001A2E55" w:rsidRDefault="00383B30" w:rsidP="00162710">
      <w:pPr>
        <w:rPr>
          <w:rFonts w:asciiTheme="minorHAnsi" w:hAnsiTheme="minorHAnsi" w:cstheme="minorHAnsi"/>
          <w:noProof/>
          <w:lang w:val="es-ES"/>
        </w:rPr>
      </w:pPr>
      <w:r w:rsidRPr="001A2E55">
        <w:rPr>
          <w:rFonts w:asciiTheme="minorHAnsi" w:hAnsiTheme="minorHAnsi" w:cstheme="minorHAnsi"/>
          <w:noProof/>
          <w:lang w:val="es-ES"/>
        </w:rPr>
        <w:t>20</w:t>
      </w:r>
      <w:r w:rsidR="00B10EA9" w:rsidRPr="001A2E55">
        <w:rPr>
          <w:rFonts w:asciiTheme="minorHAnsi" w:hAnsiTheme="minorHAnsi" w:cstheme="minorHAnsi"/>
          <w:noProof/>
          <w:lang w:val="es-ES"/>
        </w:rPr>
        <w:t>.</w:t>
      </w:r>
      <w:r w:rsidR="00B10EA9" w:rsidRPr="001A2E55">
        <w:rPr>
          <w:rFonts w:asciiTheme="minorHAnsi" w:hAnsiTheme="minorHAnsi" w:cstheme="minorHAnsi"/>
          <w:noProof/>
          <w:lang w:val="es-ES"/>
        </w:rPr>
        <w:tab/>
      </w:r>
      <w:r w:rsidRPr="001A2E55">
        <w:rPr>
          <w:rFonts w:asciiTheme="minorHAnsi" w:hAnsiTheme="minorHAnsi" w:cstheme="minorHAnsi"/>
          <w:noProof/>
          <w:lang w:val="es-ES"/>
        </w:rPr>
        <w:t xml:space="preserve">El presupuesto estimado para </w:t>
      </w:r>
      <w:r w:rsidR="00CA2DDB" w:rsidRPr="001A2E55">
        <w:rPr>
          <w:rFonts w:asciiTheme="minorHAnsi" w:hAnsiTheme="minorHAnsi" w:cstheme="minorHAnsi"/>
          <w:noProof/>
          <w:lang w:val="es-ES"/>
        </w:rPr>
        <w:t>la participación de</w:t>
      </w:r>
      <w:r w:rsidRPr="001A2E55">
        <w:rPr>
          <w:rFonts w:asciiTheme="minorHAnsi" w:hAnsiTheme="minorHAnsi" w:cstheme="minorHAnsi"/>
          <w:noProof/>
          <w:lang w:val="es-ES"/>
        </w:rPr>
        <w:t xml:space="preserve"> todas las Partes Contratantes en la COP15 es de 584 000 francos suizos. </w:t>
      </w:r>
      <w:r w:rsidR="00CA2DDB" w:rsidRPr="001A2E55">
        <w:rPr>
          <w:rFonts w:asciiTheme="minorHAnsi" w:hAnsiTheme="minorHAnsi" w:cstheme="minorHAnsi"/>
          <w:noProof/>
          <w:lang w:val="es-ES"/>
        </w:rPr>
        <w:t>A</w:t>
      </w:r>
      <w:r w:rsidRPr="001A2E55">
        <w:rPr>
          <w:rFonts w:asciiTheme="minorHAnsi" w:hAnsiTheme="minorHAnsi" w:cstheme="minorHAnsi"/>
          <w:noProof/>
          <w:lang w:val="es-ES"/>
        </w:rPr>
        <w:t xml:space="preserve"> 30 de septiembre de 2024, se </w:t>
      </w:r>
      <w:r w:rsidR="00CA2DDB" w:rsidRPr="001A2E55">
        <w:rPr>
          <w:rFonts w:asciiTheme="minorHAnsi" w:hAnsiTheme="minorHAnsi" w:cstheme="minorHAnsi"/>
          <w:noProof/>
          <w:lang w:val="es-ES"/>
        </w:rPr>
        <w:t>había recibido</w:t>
      </w:r>
      <w:r w:rsidRPr="001A2E55">
        <w:rPr>
          <w:rFonts w:asciiTheme="minorHAnsi" w:hAnsiTheme="minorHAnsi" w:cstheme="minorHAnsi"/>
          <w:noProof/>
          <w:lang w:val="es-ES"/>
        </w:rPr>
        <w:t xml:space="preserve"> la </w:t>
      </w:r>
      <w:r w:rsidR="00B315DA" w:rsidRPr="001A2E55">
        <w:rPr>
          <w:rFonts w:asciiTheme="minorHAnsi" w:hAnsiTheme="minorHAnsi" w:cstheme="minorHAnsi"/>
          <w:noProof/>
          <w:lang w:val="es-ES"/>
        </w:rPr>
        <w:t>suma</w:t>
      </w:r>
      <w:r w:rsidRPr="001A2E55">
        <w:rPr>
          <w:rFonts w:asciiTheme="minorHAnsi" w:hAnsiTheme="minorHAnsi" w:cstheme="minorHAnsi"/>
          <w:noProof/>
          <w:lang w:val="es-ES"/>
        </w:rPr>
        <w:t xml:space="preserve"> de 50 000 francos suizos. Por lo tanto, </w:t>
      </w:r>
      <w:r w:rsidR="00B315DA" w:rsidRPr="001A2E55">
        <w:rPr>
          <w:rFonts w:asciiTheme="minorHAnsi" w:hAnsiTheme="minorHAnsi" w:cstheme="minorHAnsi"/>
          <w:noProof/>
          <w:lang w:val="es-ES"/>
        </w:rPr>
        <w:t xml:space="preserve">en el momento de redactar este documento, </w:t>
      </w:r>
      <w:r w:rsidRPr="001A2E55">
        <w:rPr>
          <w:rFonts w:asciiTheme="minorHAnsi" w:hAnsiTheme="minorHAnsi" w:cstheme="minorHAnsi"/>
          <w:noProof/>
          <w:lang w:val="es-ES"/>
        </w:rPr>
        <w:t xml:space="preserve">el déficit para cubrir </w:t>
      </w:r>
      <w:r w:rsidR="00B315DA" w:rsidRPr="001A2E55">
        <w:rPr>
          <w:rFonts w:asciiTheme="minorHAnsi" w:hAnsiTheme="minorHAnsi" w:cstheme="minorHAnsi"/>
          <w:noProof/>
          <w:lang w:val="es-ES"/>
        </w:rPr>
        <w:t>completamente</w:t>
      </w:r>
      <w:r w:rsidRPr="001A2E55">
        <w:rPr>
          <w:rFonts w:asciiTheme="minorHAnsi" w:hAnsiTheme="minorHAnsi" w:cstheme="minorHAnsi"/>
          <w:noProof/>
          <w:lang w:val="es-ES"/>
        </w:rPr>
        <w:t xml:space="preserve"> la participación de 124 delegados </w:t>
      </w:r>
      <w:r w:rsidR="00B315DA" w:rsidRPr="001A2E55">
        <w:rPr>
          <w:rFonts w:asciiTheme="minorHAnsi" w:hAnsiTheme="minorHAnsi" w:cstheme="minorHAnsi"/>
          <w:noProof/>
          <w:lang w:val="es-ES"/>
        </w:rPr>
        <w:t>que reúnen los requisitos</w:t>
      </w:r>
      <w:r w:rsidRPr="001A2E55">
        <w:rPr>
          <w:rFonts w:asciiTheme="minorHAnsi" w:hAnsiTheme="minorHAnsi" w:cstheme="minorHAnsi"/>
          <w:noProof/>
          <w:lang w:val="es-ES"/>
        </w:rPr>
        <w:t xml:space="preserve"> era de 534</w:t>
      </w:r>
      <w:r w:rsidR="00B315DA" w:rsidRPr="001A2E55">
        <w:rPr>
          <w:rFonts w:asciiTheme="minorHAnsi" w:hAnsiTheme="minorHAnsi" w:cstheme="minorHAnsi"/>
          <w:noProof/>
          <w:lang w:val="es-ES"/>
        </w:rPr>
        <w:t xml:space="preserve"> 000</w:t>
      </w:r>
      <w:r w:rsidRPr="001A2E55">
        <w:rPr>
          <w:rFonts w:asciiTheme="minorHAnsi" w:hAnsiTheme="minorHAnsi" w:cstheme="minorHAnsi"/>
          <w:noProof/>
          <w:lang w:val="es-ES"/>
        </w:rPr>
        <w:t xml:space="preserve"> </w:t>
      </w:r>
      <w:r w:rsidR="00B315DA" w:rsidRPr="001A2E55">
        <w:rPr>
          <w:rFonts w:asciiTheme="minorHAnsi" w:hAnsiTheme="minorHAnsi" w:cstheme="minorHAnsi"/>
          <w:noProof/>
          <w:lang w:val="es-ES"/>
        </w:rPr>
        <w:t>francos suizos</w:t>
      </w:r>
      <w:r w:rsidRPr="001A2E55">
        <w:rPr>
          <w:rFonts w:asciiTheme="minorHAnsi" w:hAnsiTheme="minorHAnsi" w:cstheme="minorHAnsi"/>
          <w:noProof/>
          <w:lang w:val="es-ES"/>
        </w:rPr>
        <w:t xml:space="preserve">. Cabe señalar que esta </w:t>
      </w:r>
      <w:r w:rsidR="00B315DA" w:rsidRPr="001A2E55">
        <w:rPr>
          <w:rFonts w:asciiTheme="minorHAnsi" w:hAnsiTheme="minorHAnsi" w:cstheme="minorHAnsi"/>
          <w:noProof/>
          <w:lang w:val="es-ES"/>
        </w:rPr>
        <w:t>suma</w:t>
      </w:r>
      <w:r w:rsidRPr="001A2E55">
        <w:rPr>
          <w:rFonts w:asciiTheme="minorHAnsi" w:hAnsiTheme="minorHAnsi" w:cstheme="minorHAnsi"/>
          <w:noProof/>
          <w:lang w:val="es-ES"/>
        </w:rPr>
        <w:t xml:space="preserve"> no incluye la financiación voluntaria </w:t>
      </w:r>
      <w:r w:rsidR="00CA2DDB" w:rsidRPr="001A2E55">
        <w:rPr>
          <w:rFonts w:asciiTheme="minorHAnsi" w:hAnsiTheme="minorHAnsi" w:cstheme="minorHAnsi"/>
          <w:noProof/>
          <w:lang w:val="es-ES"/>
        </w:rPr>
        <w:t>para sufragar</w:t>
      </w:r>
      <w:r w:rsidRPr="001A2E55">
        <w:rPr>
          <w:rFonts w:asciiTheme="minorHAnsi" w:hAnsiTheme="minorHAnsi" w:cstheme="minorHAnsi"/>
          <w:noProof/>
          <w:lang w:val="es-ES"/>
        </w:rPr>
        <w:t xml:space="preserve"> las reuniones regionales previas a la COP15.</w:t>
      </w:r>
    </w:p>
    <w:p w14:paraId="3F705A60" w14:textId="77777777" w:rsidR="00383B30" w:rsidRPr="001A2E55" w:rsidRDefault="00383B30" w:rsidP="00162710">
      <w:pPr>
        <w:rPr>
          <w:rFonts w:asciiTheme="minorHAnsi" w:hAnsiTheme="minorHAnsi" w:cstheme="minorHAnsi"/>
          <w:noProof/>
          <w:lang w:val="es-ES"/>
        </w:rPr>
      </w:pPr>
    </w:p>
    <w:p w14:paraId="67A06883" w14:textId="57FA1751" w:rsidR="00383B30" w:rsidRPr="001A2E55" w:rsidRDefault="00383B30" w:rsidP="00162710">
      <w:pPr>
        <w:rPr>
          <w:rFonts w:asciiTheme="minorHAnsi" w:hAnsiTheme="minorHAnsi" w:cstheme="minorHAnsi"/>
          <w:noProof/>
          <w:lang w:val="es-ES"/>
        </w:rPr>
      </w:pPr>
      <w:r w:rsidRPr="001A2E55">
        <w:rPr>
          <w:rFonts w:asciiTheme="minorHAnsi" w:hAnsiTheme="minorHAnsi" w:cstheme="minorHAnsi"/>
          <w:noProof/>
          <w:lang w:val="es-ES"/>
        </w:rPr>
        <w:t>21.</w:t>
      </w:r>
      <w:r w:rsidRPr="001A2E55">
        <w:rPr>
          <w:rFonts w:asciiTheme="minorHAnsi" w:hAnsiTheme="minorHAnsi" w:cstheme="minorHAnsi"/>
          <w:noProof/>
          <w:lang w:val="es-ES"/>
        </w:rPr>
        <w:tab/>
        <w:t>La Secretaría desea expresar su sincero agradecimiento a las Partes Contratantes y a los donantes por sus contribuciones voluntarias a las actividades no financiadas con cargo al presupuesto básico de la Convención.</w:t>
      </w:r>
    </w:p>
    <w:p w14:paraId="57EED139" w14:textId="77777777" w:rsidR="007768A1" w:rsidRPr="001A2E55" w:rsidRDefault="007768A1" w:rsidP="00C80A3E">
      <w:pPr>
        <w:pStyle w:val="NoSpacing"/>
        <w:ind w:left="0" w:firstLine="0"/>
        <w:rPr>
          <w:rFonts w:asciiTheme="minorHAnsi" w:hAnsiTheme="minorHAnsi" w:cstheme="minorHAnsi"/>
          <w:b/>
          <w:noProof/>
          <w:lang w:val="es-ES"/>
        </w:rPr>
      </w:pPr>
    </w:p>
    <w:p w14:paraId="1930C08A" w14:textId="77777777" w:rsidR="00C80A3E" w:rsidRPr="001A2E55" w:rsidRDefault="00C80A3E" w:rsidP="00C80A3E">
      <w:pPr>
        <w:pStyle w:val="ListParagraph"/>
        <w:ind w:left="426" w:hanging="426"/>
        <w:rPr>
          <w:rFonts w:asciiTheme="minorHAnsi" w:hAnsiTheme="minorHAnsi" w:cstheme="minorHAnsi"/>
          <w:i/>
          <w:noProof/>
          <w:lang w:val="es-ES"/>
        </w:rPr>
      </w:pPr>
      <w:r w:rsidRPr="001A2E55">
        <w:rPr>
          <w:rFonts w:asciiTheme="minorHAnsi" w:hAnsiTheme="minorHAnsi" w:cstheme="minorHAnsi"/>
          <w:i/>
          <w:noProof/>
          <w:lang w:val="es-ES"/>
        </w:rPr>
        <w:t>Contribuciones voluntarias de países africanos</w:t>
      </w:r>
    </w:p>
    <w:p w14:paraId="6C3D0F1C" w14:textId="77777777" w:rsidR="00A42238" w:rsidRPr="001A2E55" w:rsidRDefault="00A42238" w:rsidP="00043287">
      <w:pPr>
        <w:pStyle w:val="NoSpacing"/>
        <w:keepNext/>
        <w:rPr>
          <w:rFonts w:asciiTheme="minorHAnsi" w:hAnsiTheme="minorHAnsi" w:cstheme="minorHAnsi"/>
          <w:b/>
          <w:noProof/>
          <w:lang w:val="es-ES"/>
        </w:rPr>
      </w:pPr>
    </w:p>
    <w:p w14:paraId="1CB009AF" w14:textId="17FC18D2" w:rsidR="00172861" w:rsidRPr="001A2E55" w:rsidRDefault="002E09F2" w:rsidP="00172861">
      <w:pPr>
        <w:rPr>
          <w:rFonts w:asciiTheme="minorHAnsi" w:hAnsiTheme="minorHAnsi" w:cstheme="minorHAnsi"/>
          <w:noProof/>
          <w:lang w:val="es-ES"/>
        </w:rPr>
      </w:pPr>
      <w:r w:rsidRPr="001A2E55">
        <w:rPr>
          <w:rFonts w:asciiTheme="minorHAnsi" w:hAnsiTheme="minorHAnsi" w:cstheme="minorHAnsi"/>
          <w:noProof/>
          <w:lang w:val="es-ES"/>
        </w:rPr>
        <w:t>2</w:t>
      </w:r>
      <w:r w:rsidR="00ED3231" w:rsidRPr="001A2E55">
        <w:rPr>
          <w:rFonts w:asciiTheme="minorHAnsi" w:hAnsiTheme="minorHAnsi" w:cstheme="minorHAnsi"/>
          <w:noProof/>
          <w:lang w:val="es-ES"/>
        </w:rPr>
        <w:t>2</w:t>
      </w:r>
      <w:r w:rsidR="00B10EA9" w:rsidRPr="001A2E55">
        <w:rPr>
          <w:rFonts w:asciiTheme="minorHAnsi" w:hAnsiTheme="minorHAnsi" w:cstheme="minorHAnsi"/>
          <w:noProof/>
          <w:lang w:val="es-ES"/>
        </w:rPr>
        <w:t>.</w:t>
      </w:r>
      <w:r w:rsidR="00B10EA9" w:rsidRPr="001A2E55">
        <w:rPr>
          <w:rFonts w:asciiTheme="minorHAnsi" w:hAnsiTheme="minorHAnsi" w:cstheme="minorHAnsi"/>
          <w:noProof/>
          <w:lang w:val="es-ES"/>
        </w:rPr>
        <w:tab/>
      </w:r>
      <w:r w:rsidR="00E22AFE" w:rsidRPr="001A2E55">
        <w:rPr>
          <w:rFonts w:asciiTheme="minorHAnsi" w:hAnsiTheme="minorHAnsi" w:cstheme="minorHAnsi"/>
          <w:noProof/>
          <w:lang w:val="es-ES"/>
        </w:rPr>
        <w:t>En 202</w:t>
      </w:r>
      <w:r w:rsidR="00172861" w:rsidRPr="001A2E55">
        <w:rPr>
          <w:rFonts w:asciiTheme="minorHAnsi" w:hAnsiTheme="minorHAnsi" w:cstheme="minorHAnsi"/>
          <w:noProof/>
          <w:lang w:val="es-ES"/>
        </w:rPr>
        <w:t>4</w:t>
      </w:r>
      <w:r w:rsidR="00E22AFE" w:rsidRPr="001A2E55">
        <w:rPr>
          <w:rFonts w:asciiTheme="minorHAnsi" w:hAnsiTheme="minorHAnsi" w:cstheme="minorHAnsi"/>
          <w:noProof/>
          <w:lang w:val="es-ES"/>
        </w:rPr>
        <w:t xml:space="preserve">, se recibió una contribución voluntaria de </w:t>
      </w:r>
      <w:r w:rsidR="005960BA" w:rsidRPr="001A2E55">
        <w:rPr>
          <w:rFonts w:asciiTheme="minorHAnsi" w:hAnsiTheme="minorHAnsi" w:cstheme="minorHAnsi"/>
          <w:noProof/>
          <w:lang w:val="es-ES"/>
        </w:rPr>
        <w:t>1</w:t>
      </w:r>
      <w:r w:rsidR="00E22AFE" w:rsidRPr="001A2E55">
        <w:rPr>
          <w:rFonts w:asciiTheme="minorHAnsi" w:hAnsiTheme="minorHAnsi" w:cstheme="minorHAnsi"/>
          <w:noProof/>
          <w:lang w:val="es-ES"/>
        </w:rPr>
        <w:t xml:space="preserve"> 000 francos suizos de las Partes Contratantes de la región de África</w:t>
      </w:r>
      <w:r w:rsidR="00172861" w:rsidRPr="001A2E55">
        <w:rPr>
          <w:rFonts w:asciiTheme="minorHAnsi" w:hAnsiTheme="minorHAnsi" w:cstheme="minorHAnsi"/>
          <w:noProof/>
          <w:lang w:val="es-ES"/>
        </w:rPr>
        <w:t xml:space="preserve"> hasta el 30 de septiembre de 2024, como se informa en el documento SC64 Doc.9.2 </w:t>
      </w:r>
      <w:r w:rsidR="00172861" w:rsidRPr="001A2E55">
        <w:rPr>
          <w:rFonts w:asciiTheme="minorHAnsi" w:hAnsiTheme="minorHAnsi" w:cstheme="minorHAnsi"/>
          <w:i/>
          <w:iCs/>
          <w:noProof/>
          <w:lang w:val="es-ES"/>
        </w:rPr>
        <w:t>Estado de las contribuciones anuales</w:t>
      </w:r>
      <w:r w:rsidR="00172861" w:rsidRPr="001A2E55">
        <w:rPr>
          <w:rFonts w:asciiTheme="minorHAnsi" w:hAnsiTheme="minorHAnsi" w:cstheme="minorHAnsi"/>
          <w:noProof/>
          <w:lang w:val="es-ES"/>
        </w:rPr>
        <w:t>. La cifra al cierre del ejercicio se publicará en la versión revisada del documento en enero de 2025.</w:t>
      </w:r>
    </w:p>
    <w:p w14:paraId="65479B4F" w14:textId="77777777" w:rsidR="00ED64C2" w:rsidRPr="001A2E55" w:rsidRDefault="00ED64C2" w:rsidP="00162710">
      <w:pPr>
        <w:ind w:left="0" w:firstLine="0"/>
        <w:rPr>
          <w:rFonts w:asciiTheme="minorHAnsi" w:hAnsiTheme="minorHAnsi" w:cstheme="minorHAnsi"/>
          <w:noProof/>
          <w:lang w:val="es-ES"/>
        </w:rPr>
      </w:pPr>
    </w:p>
    <w:p w14:paraId="071E1233" w14:textId="60D4549C" w:rsidR="00B6236E" w:rsidRPr="001A2E55" w:rsidRDefault="00A1363E" w:rsidP="00162710">
      <w:pPr>
        <w:pStyle w:val="NoSpacing"/>
        <w:rPr>
          <w:rFonts w:asciiTheme="minorHAnsi" w:hAnsiTheme="minorHAnsi" w:cstheme="minorHAnsi"/>
          <w:noProof/>
          <w:lang w:val="es-ES"/>
        </w:rPr>
      </w:pPr>
      <w:r w:rsidRPr="001A2E55">
        <w:rPr>
          <w:rFonts w:asciiTheme="minorHAnsi" w:hAnsiTheme="minorHAnsi" w:cstheme="minorHAnsi"/>
          <w:b/>
          <w:noProof/>
          <w:lang w:val="es-ES"/>
        </w:rPr>
        <w:t>Presupuesto básico para 202</w:t>
      </w:r>
      <w:r w:rsidR="00172861" w:rsidRPr="001A2E55">
        <w:rPr>
          <w:rFonts w:asciiTheme="minorHAnsi" w:hAnsiTheme="minorHAnsi" w:cstheme="minorHAnsi"/>
          <w:b/>
          <w:noProof/>
          <w:lang w:val="es-ES"/>
        </w:rPr>
        <w:t>5 (estimado)</w:t>
      </w:r>
    </w:p>
    <w:p w14:paraId="27ACE29B" w14:textId="77777777" w:rsidR="00B6236E" w:rsidRPr="001A2E55" w:rsidRDefault="00B6236E" w:rsidP="00162710">
      <w:pPr>
        <w:pStyle w:val="NoSpacing"/>
        <w:ind w:left="360" w:firstLine="0"/>
        <w:rPr>
          <w:rFonts w:asciiTheme="minorHAnsi" w:hAnsiTheme="minorHAnsi" w:cstheme="minorHAnsi"/>
          <w:noProof/>
          <w:lang w:val="es-ES"/>
        </w:rPr>
      </w:pPr>
    </w:p>
    <w:p w14:paraId="4A3C98D8" w14:textId="7A34E9EF" w:rsidR="00ED3231" w:rsidRPr="001A2E55" w:rsidRDefault="00C94A35" w:rsidP="00A1363E">
      <w:pPr>
        <w:rPr>
          <w:rFonts w:asciiTheme="minorHAnsi" w:hAnsiTheme="minorHAnsi" w:cstheme="minorHAnsi"/>
          <w:noProof/>
          <w:lang w:val="es-ES"/>
        </w:rPr>
      </w:pPr>
      <w:r w:rsidRPr="001A2E55">
        <w:rPr>
          <w:rFonts w:asciiTheme="minorHAnsi" w:hAnsiTheme="minorHAnsi" w:cstheme="minorHAnsi"/>
          <w:noProof/>
          <w:lang w:val="es-ES"/>
        </w:rPr>
        <w:t>2</w:t>
      </w:r>
      <w:r w:rsidR="00ED3231" w:rsidRPr="001A2E55">
        <w:rPr>
          <w:rFonts w:asciiTheme="minorHAnsi" w:hAnsiTheme="minorHAnsi" w:cstheme="minorHAnsi"/>
          <w:noProof/>
          <w:lang w:val="es-ES"/>
        </w:rPr>
        <w:t>3</w:t>
      </w:r>
      <w:r w:rsidR="00B6236E" w:rsidRPr="001A2E55">
        <w:rPr>
          <w:rFonts w:asciiTheme="minorHAnsi" w:hAnsiTheme="minorHAnsi" w:cstheme="minorHAnsi"/>
          <w:noProof/>
          <w:lang w:val="es-ES"/>
        </w:rPr>
        <w:t>.</w:t>
      </w:r>
      <w:r w:rsidR="00B6236E" w:rsidRPr="001A2E55">
        <w:rPr>
          <w:rFonts w:asciiTheme="minorHAnsi" w:hAnsiTheme="minorHAnsi" w:cstheme="minorHAnsi"/>
          <w:noProof/>
          <w:lang w:val="es-ES"/>
        </w:rPr>
        <w:tab/>
      </w:r>
      <w:r w:rsidR="00A1363E" w:rsidRPr="001A2E55">
        <w:rPr>
          <w:rFonts w:asciiTheme="minorHAnsi" w:hAnsiTheme="minorHAnsi" w:cstheme="minorHAnsi"/>
          <w:noProof/>
          <w:lang w:val="es-ES"/>
        </w:rPr>
        <w:t xml:space="preserve">En el </w:t>
      </w:r>
      <w:r w:rsidRPr="001A2E55">
        <w:rPr>
          <w:rFonts w:asciiTheme="minorHAnsi" w:hAnsiTheme="minorHAnsi" w:cstheme="minorHAnsi"/>
          <w:noProof/>
          <w:lang w:val="es-ES"/>
        </w:rPr>
        <w:t>a</w:t>
      </w:r>
      <w:r w:rsidR="00A1363E" w:rsidRPr="001A2E55">
        <w:rPr>
          <w:rFonts w:asciiTheme="minorHAnsi" w:hAnsiTheme="minorHAnsi" w:cstheme="minorHAnsi"/>
          <w:noProof/>
          <w:lang w:val="es-ES"/>
        </w:rPr>
        <w:t xml:space="preserve">nexo </w:t>
      </w:r>
      <w:r w:rsidR="00172861" w:rsidRPr="001A2E55">
        <w:rPr>
          <w:rFonts w:asciiTheme="minorHAnsi" w:hAnsiTheme="minorHAnsi" w:cstheme="minorHAnsi"/>
          <w:noProof/>
          <w:lang w:val="es-ES"/>
        </w:rPr>
        <w:t>3</w:t>
      </w:r>
      <w:r w:rsidR="00A1363E" w:rsidRPr="001A2E55">
        <w:rPr>
          <w:rFonts w:asciiTheme="minorHAnsi" w:hAnsiTheme="minorHAnsi" w:cstheme="minorHAnsi"/>
          <w:noProof/>
          <w:lang w:val="es-ES"/>
        </w:rPr>
        <w:t xml:space="preserve"> se ofrece una </w:t>
      </w:r>
      <w:r w:rsidR="009D4761" w:rsidRPr="001A2E55">
        <w:rPr>
          <w:rFonts w:asciiTheme="minorHAnsi" w:hAnsiTheme="minorHAnsi" w:cstheme="minorHAnsi"/>
          <w:noProof/>
          <w:lang w:val="es-ES"/>
        </w:rPr>
        <w:t>sinopsis</w:t>
      </w:r>
      <w:r w:rsidR="00A1363E" w:rsidRPr="001A2E55">
        <w:rPr>
          <w:rFonts w:asciiTheme="minorHAnsi" w:hAnsiTheme="minorHAnsi" w:cstheme="minorHAnsi"/>
          <w:noProof/>
          <w:lang w:val="es-ES"/>
        </w:rPr>
        <w:t xml:space="preserve"> del presupuesto para 202</w:t>
      </w:r>
      <w:r w:rsidR="00172861" w:rsidRPr="001A2E55">
        <w:rPr>
          <w:rFonts w:asciiTheme="minorHAnsi" w:hAnsiTheme="minorHAnsi" w:cstheme="minorHAnsi"/>
          <w:noProof/>
          <w:lang w:val="es-ES"/>
        </w:rPr>
        <w:t>5</w:t>
      </w:r>
      <w:r w:rsidR="00A1363E" w:rsidRPr="001A2E55">
        <w:rPr>
          <w:rFonts w:asciiTheme="minorHAnsi" w:hAnsiTheme="minorHAnsi" w:cstheme="minorHAnsi"/>
          <w:noProof/>
          <w:lang w:val="es-ES"/>
        </w:rPr>
        <w:t xml:space="preserve">. </w:t>
      </w:r>
      <w:r w:rsidR="007D0F55" w:rsidRPr="001A2E55">
        <w:rPr>
          <w:rFonts w:asciiTheme="minorHAnsi" w:hAnsiTheme="minorHAnsi" w:cstheme="minorHAnsi"/>
          <w:noProof/>
          <w:lang w:val="es-ES"/>
        </w:rPr>
        <w:t>Esto i</w:t>
      </w:r>
      <w:r w:rsidR="004511CF" w:rsidRPr="001A2E55">
        <w:rPr>
          <w:rFonts w:asciiTheme="minorHAnsi" w:hAnsiTheme="minorHAnsi" w:cstheme="minorHAnsi"/>
          <w:noProof/>
          <w:lang w:val="es-ES"/>
        </w:rPr>
        <w:t>ncluye</w:t>
      </w:r>
      <w:r w:rsidR="00A1363E" w:rsidRPr="001A2E55">
        <w:rPr>
          <w:rFonts w:asciiTheme="minorHAnsi" w:hAnsiTheme="minorHAnsi" w:cstheme="minorHAnsi"/>
          <w:noProof/>
          <w:lang w:val="es-ES"/>
        </w:rPr>
        <w:t xml:space="preserve"> el presupuesto aprobado por la COP</w:t>
      </w:r>
      <w:r w:rsidR="00DC61D4" w:rsidRPr="001A2E55">
        <w:rPr>
          <w:rFonts w:asciiTheme="minorHAnsi" w:hAnsiTheme="minorHAnsi" w:cstheme="minorHAnsi"/>
          <w:noProof/>
          <w:lang w:val="es-ES"/>
        </w:rPr>
        <w:t>14</w:t>
      </w:r>
      <w:r w:rsidR="00A1363E" w:rsidRPr="001A2E55">
        <w:rPr>
          <w:rFonts w:asciiTheme="minorHAnsi" w:hAnsiTheme="minorHAnsi" w:cstheme="minorHAnsi"/>
          <w:noProof/>
          <w:lang w:val="es-ES"/>
        </w:rPr>
        <w:t xml:space="preserve"> que asciende a 5</w:t>
      </w:r>
      <w:r w:rsidR="004511CF" w:rsidRPr="001A2E55">
        <w:rPr>
          <w:rFonts w:asciiTheme="minorHAnsi" w:hAnsiTheme="minorHAnsi" w:cstheme="minorHAnsi"/>
          <w:noProof/>
          <w:lang w:val="es-ES"/>
        </w:rPr>
        <w:t xml:space="preserve"> </w:t>
      </w:r>
      <w:r w:rsidR="00A1363E" w:rsidRPr="001A2E55">
        <w:rPr>
          <w:rFonts w:asciiTheme="minorHAnsi" w:hAnsiTheme="minorHAnsi" w:cstheme="minorHAnsi"/>
          <w:noProof/>
          <w:lang w:val="es-ES"/>
        </w:rPr>
        <w:t>081</w:t>
      </w:r>
      <w:r w:rsidR="004511CF" w:rsidRPr="001A2E55">
        <w:rPr>
          <w:rFonts w:asciiTheme="minorHAnsi" w:hAnsiTheme="minorHAnsi" w:cstheme="minorHAnsi"/>
          <w:noProof/>
          <w:lang w:val="es-ES"/>
        </w:rPr>
        <w:t xml:space="preserve"> </w:t>
      </w:r>
      <w:r w:rsidR="00A1363E" w:rsidRPr="001A2E55">
        <w:rPr>
          <w:rFonts w:asciiTheme="minorHAnsi" w:hAnsiTheme="minorHAnsi" w:cstheme="minorHAnsi"/>
          <w:noProof/>
          <w:lang w:val="es-ES"/>
        </w:rPr>
        <w:t xml:space="preserve">000 </w:t>
      </w:r>
      <w:r w:rsidR="00E343E6" w:rsidRPr="001A2E55">
        <w:rPr>
          <w:rFonts w:asciiTheme="minorHAnsi" w:hAnsiTheme="minorHAnsi" w:cstheme="minorHAnsi"/>
          <w:noProof/>
          <w:lang w:val="es-ES"/>
        </w:rPr>
        <w:t>francos suizos</w:t>
      </w:r>
      <w:r w:rsidR="003059C4" w:rsidRPr="001A2E55">
        <w:rPr>
          <w:rFonts w:asciiTheme="minorHAnsi" w:hAnsiTheme="minorHAnsi" w:cstheme="minorHAnsi"/>
          <w:noProof/>
          <w:lang w:val="es-ES"/>
        </w:rPr>
        <w:t>,</w:t>
      </w:r>
      <w:r w:rsidR="00A1363E" w:rsidRPr="001A2E55">
        <w:rPr>
          <w:rFonts w:asciiTheme="minorHAnsi" w:hAnsiTheme="minorHAnsi" w:cstheme="minorHAnsi"/>
          <w:noProof/>
          <w:lang w:val="es-ES"/>
        </w:rPr>
        <w:t xml:space="preserve"> el uso autorizado de los ahorros del presupuesto de 202</w:t>
      </w:r>
      <w:r w:rsidR="008A636A" w:rsidRPr="001A2E55">
        <w:rPr>
          <w:rFonts w:asciiTheme="minorHAnsi" w:hAnsiTheme="minorHAnsi" w:cstheme="minorHAnsi"/>
          <w:noProof/>
          <w:lang w:val="es-ES"/>
        </w:rPr>
        <w:t>1</w:t>
      </w:r>
      <w:r w:rsidR="00A1363E" w:rsidRPr="001A2E55">
        <w:rPr>
          <w:rFonts w:asciiTheme="minorHAnsi" w:hAnsiTheme="minorHAnsi" w:cstheme="minorHAnsi"/>
          <w:noProof/>
          <w:lang w:val="es-ES"/>
        </w:rPr>
        <w:t xml:space="preserve"> que </w:t>
      </w:r>
      <w:r w:rsidR="007D0F55" w:rsidRPr="001A2E55">
        <w:rPr>
          <w:rFonts w:asciiTheme="minorHAnsi" w:hAnsiTheme="minorHAnsi" w:cstheme="minorHAnsi"/>
          <w:noProof/>
          <w:lang w:val="es-ES"/>
        </w:rPr>
        <w:t>suman</w:t>
      </w:r>
      <w:r w:rsidR="00A1363E" w:rsidRPr="001A2E55">
        <w:rPr>
          <w:rFonts w:asciiTheme="minorHAnsi" w:hAnsiTheme="minorHAnsi" w:cstheme="minorHAnsi"/>
          <w:noProof/>
          <w:lang w:val="es-ES"/>
        </w:rPr>
        <w:t xml:space="preserve"> 196</w:t>
      </w:r>
      <w:r w:rsidR="004511CF" w:rsidRPr="001A2E55">
        <w:rPr>
          <w:rFonts w:asciiTheme="minorHAnsi" w:hAnsiTheme="minorHAnsi" w:cstheme="minorHAnsi"/>
          <w:noProof/>
          <w:lang w:val="es-ES"/>
        </w:rPr>
        <w:t xml:space="preserve"> </w:t>
      </w:r>
      <w:r w:rsidR="00A1363E" w:rsidRPr="001A2E55">
        <w:rPr>
          <w:rFonts w:asciiTheme="minorHAnsi" w:hAnsiTheme="minorHAnsi" w:cstheme="minorHAnsi"/>
          <w:noProof/>
          <w:lang w:val="es-ES"/>
        </w:rPr>
        <w:t xml:space="preserve">000 </w:t>
      </w:r>
      <w:r w:rsidR="00E343E6" w:rsidRPr="001A2E55">
        <w:rPr>
          <w:rFonts w:asciiTheme="minorHAnsi" w:hAnsiTheme="minorHAnsi" w:cstheme="minorHAnsi"/>
          <w:noProof/>
          <w:lang w:val="es-ES"/>
        </w:rPr>
        <w:t>francos suizos</w:t>
      </w:r>
      <w:r w:rsidR="003059C4" w:rsidRPr="001A2E55">
        <w:rPr>
          <w:rFonts w:asciiTheme="minorHAnsi" w:hAnsiTheme="minorHAnsi" w:cstheme="minorHAnsi"/>
          <w:noProof/>
          <w:lang w:val="es-ES"/>
        </w:rPr>
        <w:t>,</w:t>
      </w:r>
      <w:r w:rsidR="00A1363E" w:rsidRPr="001A2E55">
        <w:rPr>
          <w:rFonts w:asciiTheme="minorHAnsi" w:hAnsiTheme="minorHAnsi" w:cstheme="minorHAnsi"/>
          <w:noProof/>
          <w:lang w:val="es-ES"/>
        </w:rPr>
        <w:t xml:space="preserve"> </w:t>
      </w:r>
      <w:r w:rsidR="00ED3231" w:rsidRPr="001A2E55">
        <w:rPr>
          <w:rFonts w:asciiTheme="minorHAnsi" w:hAnsiTheme="minorHAnsi" w:cstheme="minorHAnsi"/>
          <w:noProof/>
          <w:lang w:val="es-ES"/>
        </w:rPr>
        <w:t xml:space="preserve">y el traspaso de los fondos presupuestarios de 2024 que se gastarán en 2025, estimados en un total de 978 000 francos suizos. Por </w:t>
      </w:r>
      <w:r w:rsidR="007D0F55" w:rsidRPr="001A2E55">
        <w:rPr>
          <w:rFonts w:asciiTheme="minorHAnsi" w:hAnsiTheme="minorHAnsi" w:cstheme="minorHAnsi"/>
          <w:noProof/>
          <w:lang w:val="es-ES"/>
        </w:rPr>
        <w:t>consiguiente</w:t>
      </w:r>
      <w:r w:rsidR="00ED3231" w:rsidRPr="001A2E55">
        <w:rPr>
          <w:rFonts w:asciiTheme="minorHAnsi" w:hAnsiTheme="minorHAnsi" w:cstheme="minorHAnsi"/>
          <w:noProof/>
          <w:lang w:val="es-ES"/>
        </w:rPr>
        <w:t xml:space="preserve">, el presupuesto básico total estimado para 2025 </w:t>
      </w:r>
      <w:r w:rsidR="007D0F55" w:rsidRPr="001A2E55">
        <w:rPr>
          <w:rFonts w:asciiTheme="minorHAnsi" w:hAnsiTheme="minorHAnsi" w:cstheme="minorHAnsi"/>
          <w:noProof/>
          <w:lang w:val="es-ES"/>
        </w:rPr>
        <w:t>será de</w:t>
      </w:r>
      <w:r w:rsidR="00ED3231" w:rsidRPr="001A2E55">
        <w:rPr>
          <w:rFonts w:asciiTheme="minorHAnsi" w:hAnsiTheme="minorHAnsi" w:cstheme="minorHAnsi"/>
          <w:noProof/>
          <w:lang w:val="es-ES"/>
        </w:rPr>
        <w:t xml:space="preserve"> 6 254 000 francos</w:t>
      </w:r>
      <w:r w:rsidR="007D0F55" w:rsidRPr="001A2E55">
        <w:rPr>
          <w:rFonts w:asciiTheme="minorHAnsi" w:hAnsiTheme="minorHAnsi" w:cstheme="minorHAnsi"/>
          <w:noProof/>
          <w:lang w:val="es-ES"/>
        </w:rPr>
        <w:t xml:space="preserve"> suizos</w:t>
      </w:r>
      <w:r w:rsidR="00ED3231" w:rsidRPr="001A2E55">
        <w:rPr>
          <w:rFonts w:asciiTheme="minorHAnsi" w:hAnsiTheme="minorHAnsi" w:cstheme="minorHAnsi"/>
          <w:noProof/>
          <w:lang w:val="es-ES"/>
        </w:rPr>
        <w:t>. El informe final se presentará a la reunión SC65</w:t>
      </w:r>
      <w:r w:rsidR="007D0F55" w:rsidRPr="001A2E55">
        <w:rPr>
          <w:rFonts w:asciiTheme="minorHAnsi" w:hAnsiTheme="minorHAnsi" w:cstheme="minorHAnsi"/>
          <w:noProof/>
          <w:lang w:val="es-ES"/>
        </w:rPr>
        <w:t xml:space="preserve"> que se celebrará</w:t>
      </w:r>
      <w:r w:rsidR="00ED3231" w:rsidRPr="001A2E55">
        <w:rPr>
          <w:rFonts w:asciiTheme="minorHAnsi" w:hAnsiTheme="minorHAnsi" w:cstheme="minorHAnsi"/>
          <w:noProof/>
          <w:lang w:val="es-ES"/>
        </w:rPr>
        <w:t xml:space="preserve"> en julio de 2025</w:t>
      </w:r>
      <w:r w:rsidR="007D0F55" w:rsidRPr="001A2E55">
        <w:rPr>
          <w:rFonts w:asciiTheme="minorHAnsi" w:hAnsiTheme="minorHAnsi" w:cstheme="minorHAnsi"/>
          <w:noProof/>
          <w:lang w:val="es-ES"/>
        </w:rPr>
        <w:t>,</w:t>
      </w:r>
      <w:r w:rsidR="00ED3231" w:rsidRPr="001A2E55">
        <w:rPr>
          <w:rFonts w:asciiTheme="minorHAnsi" w:hAnsiTheme="minorHAnsi" w:cstheme="minorHAnsi"/>
          <w:noProof/>
          <w:lang w:val="es-ES"/>
        </w:rPr>
        <w:t xml:space="preserve"> en</w:t>
      </w:r>
      <w:r w:rsidR="007D0F55" w:rsidRPr="001A2E55">
        <w:rPr>
          <w:rFonts w:asciiTheme="minorHAnsi" w:hAnsiTheme="minorHAnsi" w:cstheme="minorHAnsi"/>
          <w:noProof/>
          <w:lang w:val="es-ES"/>
        </w:rPr>
        <w:t xml:space="preserve"> </w:t>
      </w:r>
      <w:r w:rsidR="00ED3231" w:rsidRPr="001A2E55">
        <w:rPr>
          <w:rFonts w:asciiTheme="minorHAnsi" w:hAnsiTheme="minorHAnsi" w:cstheme="minorHAnsi"/>
          <w:noProof/>
          <w:lang w:val="es-ES"/>
        </w:rPr>
        <w:t>la COP15.</w:t>
      </w:r>
    </w:p>
    <w:p w14:paraId="2116DC0D" w14:textId="77777777" w:rsidR="00ED3231" w:rsidRPr="001A2E55" w:rsidRDefault="00ED3231" w:rsidP="00A1363E">
      <w:pPr>
        <w:rPr>
          <w:rFonts w:asciiTheme="minorHAnsi" w:hAnsiTheme="minorHAnsi" w:cstheme="minorHAnsi"/>
          <w:noProof/>
          <w:lang w:val="es-ES"/>
        </w:rPr>
      </w:pPr>
    </w:p>
    <w:p w14:paraId="37B3CB71" w14:textId="0E3701D3" w:rsidR="00ED3231" w:rsidRPr="001A2E55" w:rsidRDefault="00ED3231" w:rsidP="00A1363E">
      <w:pPr>
        <w:rPr>
          <w:rFonts w:asciiTheme="minorHAnsi" w:hAnsiTheme="minorHAnsi" w:cstheme="minorHAnsi"/>
          <w:noProof/>
          <w:lang w:val="es-ES"/>
        </w:rPr>
      </w:pPr>
      <w:r w:rsidRPr="001A2E55">
        <w:rPr>
          <w:rFonts w:asciiTheme="minorHAnsi" w:hAnsiTheme="minorHAnsi" w:cstheme="minorHAnsi"/>
          <w:noProof/>
          <w:lang w:val="es-ES"/>
        </w:rPr>
        <w:t>24.</w:t>
      </w:r>
      <w:r w:rsidRPr="001A2E55">
        <w:rPr>
          <w:rFonts w:asciiTheme="minorHAnsi" w:hAnsiTheme="minorHAnsi" w:cstheme="minorHAnsi"/>
          <w:noProof/>
          <w:lang w:val="es-ES"/>
        </w:rPr>
        <w:tab/>
        <w:t>La Secretaría desea señalar que la asignación de fondos a las iniciativas regionales de Ramsar que se propone en el presupuesto básico para 2025 se examinará en la reunión SC65 en julio de 2025, sobre la base del informe de la Secretaría sobre las IRR que se publicará tras la recepción de todos los informes de las IRR</w:t>
      </w:r>
      <w:r w:rsidR="00E66499" w:rsidRPr="001A2E55">
        <w:rPr>
          <w:rFonts w:asciiTheme="minorHAnsi" w:hAnsiTheme="minorHAnsi" w:cstheme="minorHAnsi"/>
          <w:noProof/>
          <w:lang w:val="es-ES"/>
        </w:rPr>
        <w:t>, cuyo plazo de presentación vence el</w:t>
      </w:r>
      <w:r w:rsidRPr="001A2E55">
        <w:rPr>
          <w:rFonts w:asciiTheme="minorHAnsi" w:hAnsiTheme="minorHAnsi" w:cstheme="minorHAnsi"/>
          <w:noProof/>
          <w:lang w:val="es-ES"/>
        </w:rPr>
        <w:t xml:space="preserve"> 17 de enero de 2025.</w:t>
      </w:r>
    </w:p>
    <w:p w14:paraId="761CAFE7" w14:textId="45951CE4" w:rsidR="005704AC" w:rsidRPr="001A2E55" w:rsidRDefault="005704AC">
      <w:pPr>
        <w:rPr>
          <w:rFonts w:asciiTheme="minorHAnsi" w:hAnsiTheme="minorHAnsi" w:cstheme="minorHAnsi"/>
          <w:noProof/>
          <w:lang w:val="es-ES"/>
        </w:rPr>
      </w:pPr>
      <w:r w:rsidRPr="001A2E55">
        <w:rPr>
          <w:rFonts w:asciiTheme="minorHAnsi" w:hAnsiTheme="minorHAnsi" w:cstheme="minorHAnsi"/>
          <w:noProof/>
          <w:lang w:val="es-ES"/>
        </w:rPr>
        <w:br w:type="page"/>
      </w:r>
    </w:p>
    <w:p w14:paraId="1DA3CFF1" w14:textId="77777777" w:rsidR="00CB0FED" w:rsidRDefault="00CB0FED" w:rsidP="005704AC">
      <w:pPr>
        <w:pStyle w:val="NoSpacing"/>
        <w:ind w:left="0" w:firstLine="0"/>
        <w:rPr>
          <w:rFonts w:asciiTheme="minorHAnsi" w:hAnsiTheme="minorHAnsi" w:cstheme="minorHAnsi"/>
          <w:b/>
          <w:noProof/>
          <w:sz w:val="24"/>
          <w:szCs w:val="24"/>
          <w:lang w:val="es-ES"/>
        </w:rPr>
        <w:sectPr w:rsidR="00CB0FED" w:rsidSect="00F81E8B">
          <w:footerReference w:type="default" r:id="rId11"/>
          <w:pgSz w:w="11906" w:h="16838" w:code="9"/>
          <w:pgMar w:top="1440" w:right="1440" w:bottom="1440" w:left="1440" w:header="709" w:footer="709" w:gutter="0"/>
          <w:cols w:space="708"/>
          <w:titlePg/>
          <w:docGrid w:linePitch="360"/>
        </w:sectPr>
      </w:pPr>
    </w:p>
    <w:p w14:paraId="5F7CD624" w14:textId="77777777" w:rsidR="005704AC" w:rsidRPr="001A2E55" w:rsidRDefault="005704AC" w:rsidP="005704AC">
      <w:pPr>
        <w:pStyle w:val="NoSpacing"/>
        <w:ind w:left="0" w:firstLine="0"/>
        <w:rPr>
          <w:rFonts w:asciiTheme="minorHAnsi" w:hAnsiTheme="minorHAnsi" w:cstheme="minorHAnsi"/>
          <w:b/>
          <w:noProof/>
          <w:sz w:val="24"/>
          <w:szCs w:val="24"/>
          <w:lang w:val="es-ES"/>
        </w:rPr>
      </w:pPr>
      <w:r w:rsidRPr="001A2E55">
        <w:rPr>
          <w:rFonts w:asciiTheme="minorHAnsi" w:hAnsiTheme="minorHAnsi" w:cstheme="minorHAnsi"/>
          <w:b/>
          <w:noProof/>
          <w:sz w:val="24"/>
          <w:szCs w:val="24"/>
          <w:lang w:val="es-ES"/>
        </w:rPr>
        <w:lastRenderedPageBreak/>
        <w:t>Anexo 1</w:t>
      </w:r>
    </w:p>
    <w:p w14:paraId="7C9259B8" w14:textId="406C9AD5" w:rsidR="005704AC" w:rsidRPr="001A2E55" w:rsidRDefault="005704AC" w:rsidP="005704AC">
      <w:pPr>
        <w:pStyle w:val="NoSpacing"/>
        <w:ind w:left="0" w:firstLine="0"/>
        <w:rPr>
          <w:rFonts w:asciiTheme="minorHAnsi" w:hAnsiTheme="minorHAnsi" w:cstheme="minorHAnsi"/>
          <w:b/>
          <w:noProof/>
          <w:lang w:val="es-ES"/>
        </w:rPr>
      </w:pPr>
      <w:r w:rsidRPr="001A2E55">
        <w:rPr>
          <w:rFonts w:asciiTheme="minorHAnsi" w:hAnsiTheme="minorHAnsi" w:cstheme="minorHAnsi"/>
          <w:b/>
          <w:noProof/>
          <w:lang w:val="es-ES"/>
        </w:rPr>
        <w:t xml:space="preserve">Resultados </w:t>
      </w:r>
      <w:r w:rsidR="003E3A26" w:rsidRPr="001A2E55">
        <w:rPr>
          <w:rFonts w:asciiTheme="minorHAnsi" w:hAnsiTheme="minorHAnsi" w:cstheme="minorHAnsi"/>
          <w:b/>
          <w:noProof/>
          <w:lang w:val="es-ES"/>
        </w:rPr>
        <w:t xml:space="preserve">estimados </w:t>
      </w:r>
      <w:r w:rsidRPr="001A2E55">
        <w:rPr>
          <w:rFonts w:asciiTheme="minorHAnsi" w:hAnsiTheme="minorHAnsi" w:cstheme="minorHAnsi"/>
          <w:b/>
          <w:noProof/>
          <w:lang w:val="es-ES"/>
        </w:rPr>
        <w:t>del presupuesto básico de 202</w:t>
      </w:r>
      <w:r w:rsidR="00ED3231" w:rsidRPr="001A2E55">
        <w:rPr>
          <w:rFonts w:asciiTheme="minorHAnsi" w:hAnsiTheme="minorHAnsi" w:cstheme="minorHAnsi"/>
          <w:b/>
          <w:noProof/>
          <w:lang w:val="es-ES"/>
        </w:rPr>
        <w:t>4</w:t>
      </w:r>
      <w:r w:rsidRPr="001A2E55">
        <w:rPr>
          <w:rFonts w:asciiTheme="minorHAnsi" w:hAnsiTheme="minorHAnsi" w:cstheme="minorHAnsi"/>
          <w:b/>
          <w:noProof/>
          <w:lang w:val="es-ES"/>
        </w:rPr>
        <w:t xml:space="preserve"> para el período comprendido entre el 1 de enero y el 31 de diciembre de 202</w:t>
      </w:r>
      <w:r w:rsidR="003E3A26" w:rsidRPr="001A2E55">
        <w:rPr>
          <w:rFonts w:asciiTheme="minorHAnsi" w:hAnsiTheme="minorHAnsi" w:cstheme="minorHAnsi"/>
          <w:b/>
          <w:noProof/>
          <w:lang w:val="es-ES"/>
        </w:rPr>
        <w:t>4, a 30 de septiembre de 2024</w:t>
      </w:r>
    </w:p>
    <w:p w14:paraId="1588ED98" w14:textId="77777777" w:rsidR="005704AC" w:rsidRPr="001A2E55" w:rsidRDefault="005704AC" w:rsidP="005704AC">
      <w:pPr>
        <w:pStyle w:val="NoSpacing"/>
        <w:ind w:left="0" w:firstLine="0"/>
        <w:rPr>
          <w:rFonts w:asciiTheme="minorHAnsi" w:hAnsiTheme="minorHAnsi" w:cstheme="minorHAnsi"/>
          <w:bCs/>
          <w:i/>
          <w:noProof/>
          <w:sz w:val="20"/>
          <w:szCs w:val="20"/>
          <w:lang w:val="es-ES"/>
        </w:rPr>
      </w:pPr>
      <w:r w:rsidRPr="001A2E55">
        <w:rPr>
          <w:rFonts w:asciiTheme="minorHAnsi" w:hAnsiTheme="minorHAnsi" w:cstheme="minorHAnsi"/>
          <w:bCs/>
          <w:i/>
          <w:noProof/>
          <w:sz w:val="20"/>
          <w:szCs w:val="20"/>
          <w:lang w:val="es-ES"/>
        </w:rPr>
        <w:t>(en miles de francos suizos, con posibles diferencias por redondeo)</w:t>
      </w:r>
    </w:p>
    <w:p w14:paraId="410F9C89" w14:textId="77777777" w:rsidR="005704AC" w:rsidRPr="001A2E55" w:rsidRDefault="005704AC" w:rsidP="005704AC">
      <w:pPr>
        <w:pStyle w:val="NoSpacing"/>
        <w:ind w:left="0" w:firstLine="0"/>
        <w:rPr>
          <w:rFonts w:asciiTheme="minorHAnsi" w:hAnsiTheme="minorHAnsi" w:cstheme="minorHAnsi"/>
          <w:bCs/>
          <w:i/>
          <w:noProof/>
          <w:sz w:val="20"/>
          <w:szCs w:val="20"/>
          <w:lang w:val="es-ES"/>
        </w:rPr>
      </w:pPr>
    </w:p>
    <w:tbl>
      <w:tblPr>
        <w:tblW w:w="15655" w:type="dxa"/>
        <w:tblInd w:w="-856" w:type="dxa"/>
        <w:tblLayout w:type="fixed"/>
        <w:tblCellMar>
          <w:left w:w="57" w:type="dxa"/>
          <w:right w:w="57" w:type="dxa"/>
        </w:tblCellMar>
        <w:tblLook w:val="04A0" w:firstRow="1" w:lastRow="0" w:firstColumn="1" w:lastColumn="0" w:noHBand="0" w:noVBand="1"/>
      </w:tblPr>
      <w:tblGrid>
        <w:gridCol w:w="3828"/>
        <w:gridCol w:w="1478"/>
        <w:gridCol w:w="1478"/>
        <w:gridCol w:w="1478"/>
        <w:gridCol w:w="1479"/>
        <w:gridCol w:w="1478"/>
        <w:gridCol w:w="1478"/>
        <w:gridCol w:w="1479"/>
        <w:gridCol w:w="1479"/>
      </w:tblGrid>
      <w:tr w:rsidR="0023160D" w:rsidRPr="001A2E55" w14:paraId="5009AC15" w14:textId="77777777" w:rsidTr="0023160D">
        <w:trPr>
          <w:tblHeader/>
        </w:trPr>
        <w:tc>
          <w:tcPr>
            <w:tcW w:w="3828" w:type="dxa"/>
            <w:tcBorders>
              <w:top w:val="single" w:sz="4" w:space="0" w:color="auto"/>
              <w:left w:val="single" w:sz="4" w:space="0" w:color="auto"/>
              <w:bottom w:val="nil"/>
              <w:right w:val="nil"/>
            </w:tcBorders>
            <w:shd w:val="clear" w:color="000000" w:fill="D6E3BC"/>
            <w:vAlign w:val="center"/>
            <w:hideMark/>
          </w:tcPr>
          <w:p w14:paraId="6348F56C"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xml:space="preserve">Presupuesto de 2024 de la Convención sobre los Humedales </w:t>
            </w:r>
          </w:p>
          <w:p w14:paraId="00FC28A6"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p>
          <w:p w14:paraId="64B017CF"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aprobado por la COP14</w:t>
            </w:r>
          </w:p>
          <w:p w14:paraId="0EF51614" w14:textId="528E402F"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(en miles de francos suizos)</w:t>
            </w:r>
          </w:p>
        </w:tc>
        <w:tc>
          <w:tcPr>
            <w:tcW w:w="1478" w:type="dxa"/>
            <w:tcBorders>
              <w:top w:val="single" w:sz="4" w:space="0" w:color="auto"/>
              <w:left w:val="single" w:sz="4" w:space="0" w:color="auto"/>
              <w:right w:val="single" w:sz="4" w:space="0" w:color="auto"/>
            </w:tcBorders>
            <w:shd w:val="clear" w:color="000000" w:fill="D6E3BC"/>
            <w:vAlign w:val="center"/>
            <w:hideMark/>
          </w:tcPr>
          <w:p w14:paraId="0447B485"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Presupuesto aprobado por la COP14</w:t>
            </w:r>
          </w:p>
          <w:p w14:paraId="7544B4C0"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4482869D"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7C53F878"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333B64DB"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6C888BE5"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6B5CBCBA" w14:textId="0898E4A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(A)</w:t>
            </w:r>
          </w:p>
        </w:tc>
        <w:tc>
          <w:tcPr>
            <w:tcW w:w="1478" w:type="dxa"/>
            <w:tcBorders>
              <w:top w:val="single" w:sz="4" w:space="0" w:color="auto"/>
              <w:left w:val="single" w:sz="4" w:space="0" w:color="auto"/>
              <w:right w:val="single" w:sz="4" w:space="0" w:color="auto"/>
            </w:tcBorders>
            <w:shd w:val="clear" w:color="000000" w:fill="D6E3BC"/>
            <w:vAlign w:val="center"/>
            <w:hideMark/>
          </w:tcPr>
          <w:p w14:paraId="2B3AC1D6"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Uso de los ahorros del presupuesto de 2021 aprobado por la COP14</w:t>
            </w:r>
          </w:p>
          <w:p w14:paraId="06EBD63E"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6DF52601"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0B3C3CB6"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5FC12600" w14:textId="70BFDADD"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(B)</w:t>
            </w:r>
          </w:p>
        </w:tc>
        <w:tc>
          <w:tcPr>
            <w:tcW w:w="1478" w:type="dxa"/>
            <w:tcBorders>
              <w:top w:val="single" w:sz="4" w:space="0" w:color="auto"/>
              <w:left w:val="single" w:sz="4" w:space="0" w:color="auto"/>
              <w:right w:val="single" w:sz="4" w:space="0" w:color="auto"/>
            </w:tcBorders>
            <w:shd w:val="clear" w:color="000000" w:fill="D6E3BC"/>
            <w:vAlign w:val="center"/>
            <w:hideMark/>
          </w:tcPr>
          <w:p w14:paraId="0DA9516B" w14:textId="77777777" w:rsidR="0023160D" w:rsidRPr="001A2E55" w:rsidRDefault="0023160D" w:rsidP="005D4B97">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z w:val="20"/>
                <w:szCs w:val="20"/>
                <w:lang w:val="es-ES" w:eastAsia="en-GB"/>
              </w:rPr>
              <w:t xml:space="preserve">Fondos previamente comprometidos de 2023 a gastar en 2024 </w:t>
            </w:r>
            <w:r w:rsidRPr="001A2E55">
              <w:rPr>
                <w:rFonts w:asciiTheme="minorHAnsi" w:eastAsia="Times New Roman" w:hAnsiTheme="minorHAnsi" w:cstheme="minorHAnsi"/>
                <w:b/>
                <w:bCs/>
                <w:noProof/>
                <w:spacing w:val="-4"/>
                <w:sz w:val="20"/>
                <w:szCs w:val="20"/>
                <w:lang w:val="es-ES" w:eastAsia="en-GB"/>
              </w:rPr>
              <w:t>(aprobado por la reunión SC63)</w:t>
            </w:r>
          </w:p>
          <w:p w14:paraId="7A5C3E21"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0FDBC6B6" w14:textId="361FBB2B" w:rsidR="0023160D" w:rsidRPr="001A2E55" w:rsidRDefault="0023160D" w:rsidP="005D4B97">
            <w:pPr>
              <w:ind w:left="0" w:firstLine="0"/>
              <w:jc w:val="center"/>
              <w:rPr>
                <w:rFonts w:asciiTheme="minorHAnsi" w:eastAsia="Times New Roman" w:hAnsiTheme="minorHAnsi" w:cstheme="minorHAnsi"/>
                <w:b/>
                <w:bCs/>
                <w:noProof/>
                <w:spacing w:val="-4"/>
                <w:sz w:val="20"/>
                <w:szCs w:val="20"/>
                <w:lang w:val="es-ES" w:eastAsia="en-GB"/>
              </w:rPr>
            </w:pPr>
            <w:r w:rsidRPr="001A2E55">
              <w:rPr>
                <w:rFonts w:asciiTheme="minorHAnsi" w:eastAsia="Times New Roman" w:hAnsiTheme="minorHAnsi" w:cstheme="minorHAnsi"/>
                <w:b/>
                <w:bCs/>
                <w:noProof/>
                <w:sz w:val="20"/>
                <w:szCs w:val="20"/>
                <w:lang w:val="es-ES" w:eastAsia="en-GB"/>
              </w:rPr>
              <w:t>(C)</w:t>
            </w:r>
          </w:p>
        </w:tc>
        <w:tc>
          <w:tcPr>
            <w:tcW w:w="1479" w:type="dxa"/>
            <w:tcBorders>
              <w:top w:val="single" w:sz="4" w:space="0" w:color="auto"/>
              <w:left w:val="single" w:sz="4" w:space="0" w:color="auto"/>
              <w:right w:val="single" w:sz="4" w:space="0" w:color="auto"/>
            </w:tcBorders>
            <w:shd w:val="clear" w:color="000000" w:fill="D6E3BC"/>
            <w:vAlign w:val="center"/>
            <w:hideMark/>
          </w:tcPr>
          <w:p w14:paraId="4D4FC7A1" w14:textId="4B7A0C00"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Presupuesto total de 2024</w:t>
            </w:r>
          </w:p>
          <w:p w14:paraId="5D93E4AF"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0CB49B1A"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5C1DF93E"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76FAF508"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069A54A7"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5A681C12"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7D62FF7E" w14:textId="69AE2FAE"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(D)=A+B+C</w:t>
            </w:r>
          </w:p>
        </w:tc>
        <w:tc>
          <w:tcPr>
            <w:tcW w:w="1478" w:type="dxa"/>
            <w:tcBorders>
              <w:top w:val="single" w:sz="4" w:space="0" w:color="auto"/>
              <w:left w:val="single" w:sz="4" w:space="0" w:color="auto"/>
              <w:right w:val="single" w:sz="4" w:space="0" w:color="auto"/>
            </w:tcBorders>
            <w:shd w:val="clear" w:color="000000" w:fill="D6E3BC"/>
            <w:vAlign w:val="center"/>
            <w:hideMark/>
          </w:tcPr>
          <w:p w14:paraId="0F0F0356"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Ingresos y gastos reales a 30 de septiembre de 2024</w:t>
            </w:r>
          </w:p>
          <w:p w14:paraId="21E649C0"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3E7F72D0"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3B2F274A"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59F07AA2" w14:textId="3A6476D2"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(E)</w:t>
            </w:r>
          </w:p>
        </w:tc>
        <w:tc>
          <w:tcPr>
            <w:tcW w:w="1478" w:type="dxa"/>
            <w:tcBorders>
              <w:top w:val="single" w:sz="4" w:space="0" w:color="auto"/>
              <w:left w:val="nil"/>
              <w:right w:val="nil"/>
            </w:tcBorders>
            <w:shd w:val="clear" w:color="000000" w:fill="D6E3BC"/>
            <w:vAlign w:val="center"/>
            <w:hideMark/>
          </w:tcPr>
          <w:p w14:paraId="62A39B74"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xml:space="preserve">Gastos estimados para el período comprendido entre el 1 de octubre y el 31 de diciembre de 2024 </w:t>
            </w:r>
          </w:p>
          <w:p w14:paraId="799D8E69" w14:textId="398F9253"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(F)</w:t>
            </w:r>
          </w:p>
        </w:tc>
        <w:tc>
          <w:tcPr>
            <w:tcW w:w="1479" w:type="dxa"/>
            <w:tcBorders>
              <w:top w:val="single" w:sz="4" w:space="0" w:color="auto"/>
              <w:left w:val="single" w:sz="4" w:space="0" w:color="auto"/>
              <w:bottom w:val="nil"/>
              <w:right w:val="single" w:sz="4" w:space="0" w:color="auto"/>
            </w:tcBorders>
            <w:shd w:val="clear" w:color="000000" w:fill="D6E3BC"/>
          </w:tcPr>
          <w:p w14:paraId="325EFA87" w14:textId="79635852"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Ajustes al presupuesto propuestos por la Secretaría</w:t>
            </w:r>
          </w:p>
          <w:p w14:paraId="56C421EC"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p>
          <w:p w14:paraId="5385101A"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2E7FE1CB"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2FE60E71"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2C6D5220" w14:textId="7B05FDC9"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(G)</w:t>
            </w:r>
          </w:p>
        </w:tc>
        <w:tc>
          <w:tcPr>
            <w:tcW w:w="1479" w:type="dxa"/>
            <w:tcBorders>
              <w:top w:val="single" w:sz="4" w:space="0" w:color="auto"/>
              <w:left w:val="single" w:sz="4" w:space="0" w:color="auto"/>
              <w:right w:val="single" w:sz="4" w:space="0" w:color="auto"/>
            </w:tcBorders>
            <w:shd w:val="clear" w:color="000000" w:fill="D6E3BC"/>
            <w:vAlign w:val="center"/>
            <w:hideMark/>
          </w:tcPr>
          <w:p w14:paraId="442DE9B7" w14:textId="7777777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Saldo</w:t>
            </w:r>
          </w:p>
          <w:p w14:paraId="45E42B4B"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70CE6843"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6A1BF884"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51FB4D3A"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38581035"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00A1110D"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304DDCE3" w14:textId="77777777" w:rsidR="0023160D" w:rsidRDefault="0023160D" w:rsidP="005D4B97">
            <w:pPr>
              <w:ind w:left="0" w:firstLine="0"/>
              <w:jc w:val="center"/>
              <w:rPr>
                <w:rFonts w:asciiTheme="minorHAnsi" w:eastAsia="Times New Roman" w:hAnsiTheme="minorHAnsi" w:cstheme="minorHAnsi"/>
                <w:b/>
                <w:bCs/>
                <w:noProof/>
                <w:sz w:val="20"/>
                <w:szCs w:val="20"/>
                <w:lang w:val="es-ES" w:eastAsia="en-GB"/>
              </w:rPr>
            </w:pPr>
          </w:p>
          <w:p w14:paraId="78F45264" w14:textId="3E17C0D7" w:rsidR="0023160D" w:rsidRPr="001A2E55" w:rsidRDefault="0023160D"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(H)=(E)-(F)+(G)</w:t>
            </w:r>
          </w:p>
        </w:tc>
      </w:tr>
      <w:tr w:rsidR="005704AC" w:rsidRPr="001A2E55" w14:paraId="1C4A7142" w14:textId="77777777" w:rsidTr="00D135FB">
        <w:tc>
          <w:tcPr>
            <w:tcW w:w="3828" w:type="dxa"/>
            <w:tcBorders>
              <w:top w:val="single" w:sz="4" w:space="0" w:color="auto"/>
              <w:left w:val="single" w:sz="4" w:space="0" w:color="auto"/>
              <w:right w:val="nil"/>
            </w:tcBorders>
            <w:shd w:val="clear" w:color="auto" w:fill="auto"/>
            <w:noWrap/>
            <w:vAlign w:val="center"/>
            <w:hideMark/>
          </w:tcPr>
          <w:p w14:paraId="21775F0D"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p w14:paraId="7B863E7A"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INGRESOS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6817B678"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70C00603"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11B39AED"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324B3710"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0A8C26CD"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single" w:sz="4" w:space="0" w:color="auto"/>
              <w:left w:val="nil"/>
              <w:bottom w:val="nil"/>
              <w:right w:val="nil"/>
            </w:tcBorders>
            <w:shd w:val="clear" w:color="auto" w:fill="auto"/>
            <w:noWrap/>
            <w:vAlign w:val="center"/>
            <w:hideMark/>
          </w:tcPr>
          <w:p w14:paraId="3DB92C9D"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tcPr>
          <w:p w14:paraId="03F147F9"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D321"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r>
      <w:tr w:rsidR="005704AC" w:rsidRPr="001A2E55" w14:paraId="131BBC8E"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EE7A367"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Contribuciones de las Partes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899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3 779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D0857B"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69DAF0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A50763D" w14:textId="397296B8"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3 779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BD4BBB4"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3 779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B31D569" w14:textId="138ED00A"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21D50213" w14:textId="68CFBEC3"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6015"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r>
      <w:tr w:rsidR="005704AC" w:rsidRPr="001A2E55" w14:paraId="43F8D631" w14:textId="77777777" w:rsidTr="00D135FB">
        <w:tc>
          <w:tcPr>
            <w:tcW w:w="3828" w:type="dxa"/>
            <w:tcBorders>
              <w:top w:val="nil"/>
              <w:left w:val="single" w:sz="4" w:space="0" w:color="auto"/>
              <w:bottom w:val="nil"/>
              <w:right w:val="nil"/>
            </w:tcBorders>
            <w:shd w:val="clear" w:color="auto" w:fill="auto"/>
            <w:noWrap/>
            <w:vAlign w:val="center"/>
            <w:hideMark/>
          </w:tcPr>
          <w:p w14:paraId="2A1D4C88"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Contribuciones voluntarias</w:t>
            </w:r>
          </w:p>
        </w:tc>
        <w:tc>
          <w:tcPr>
            <w:tcW w:w="1478" w:type="dxa"/>
            <w:tcBorders>
              <w:top w:val="nil"/>
              <w:left w:val="single" w:sz="4" w:space="0" w:color="auto"/>
              <w:bottom w:val="nil"/>
              <w:right w:val="single" w:sz="4" w:space="0" w:color="auto"/>
            </w:tcBorders>
            <w:shd w:val="clear" w:color="auto" w:fill="auto"/>
            <w:noWrap/>
            <w:vAlign w:val="center"/>
            <w:hideMark/>
          </w:tcPr>
          <w:p w14:paraId="410DD90B"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1 065</w:t>
            </w:r>
          </w:p>
        </w:tc>
        <w:tc>
          <w:tcPr>
            <w:tcW w:w="1478" w:type="dxa"/>
            <w:tcBorders>
              <w:top w:val="nil"/>
              <w:left w:val="nil"/>
              <w:bottom w:val="nil"/>
              <w:right w:val="single" w:sz="4" w:space="0" w:color="auto"/>
            </w:tcBorders>
            <w:shd w:val="clear" w:color="auto" w:fill="auto"/>
            <w:noWrap/>
            <w:vAlign w:val="center"/>
            <w:hideMark/>
          </w:tcPr>
          <w:p w14:paraId="4B4C5A74"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4B36FDB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17B02CB3" w14:textId="5A821127"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1 065</w:t>
            </w:r>
          </w:p>
        </w:tc>
        <w:tc>
          <w:tcPr>
            <w:tcW w:w="1478" w:type="dxa"/>
            <w:tcBorders>
              <w:top w:val="nil"/>
              <w:left w:val="nil"/>
              <w:bottom w:val="nil"/>
              <w:right w:val="single" w:sz="4" w:space="0" w:color="auto"/>
            </w:tcBorders>
            <w:shd w:val="clear" w:color="auto" w:fill="auto"/>
            <w:noWrap/>
            <w:vAlign w:val="center"/>
            <w:hideMark/>
          </w:tcPr>
          <w:p w14:paraId="5CAF92FC"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1 065</w:t>
            </w:r>
          </w:p>
        </w:tc>
        <w:tc>
          <w:tcPr>
            <w:tcW w:w="1478" w:type="dxa"/>
            <w:tcBorders>
              <w:top w:val="nil"/>
              <w:left w:val="nil"/>
              <w:bottom w:val="nil"/>
              <w:right w:val="single" w:sz="4" w:space="0" w:color="auto"/>
            </w:tcBorders>
            <w:shd w:val="clear" w:color="auto" w:fill="auto"/>
            <w:noWrap/>
            <w:vAlign w:val="center"/>
            <w:hideMark/>
          </w:tcPr>
          <w:p w14:paraId="56A6C415" w14:textId="017C4D07"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56BD411B" w14:textId="18A3A52A"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7CBB"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r>
      <w:tr w:rsidR="005704AC" w:rsidRPr="001A2E55" w14:paraId="7354CF47"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C3E01D9"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Impuesto sobre la renta</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9B8D3"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944C13"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C372B13"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B7C5E42" w14:textId="7B4A5C25"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D38C219" w14:textId="6E614EF6"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71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57B14CB" w14:textId="45639243"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73</w:t>
            </w:r>
          </w:p>
        </w:tc>
        <w:tc>
          <w:tcPr>
            <w:tcW w:w="1479" w:type="dxa"/>
            <w:tcBorders>
              <w:top w:val="single" w:sz="4" w:space="0" w:color="auto"/>
              <w:left w:val="single" w:sz="4" w:space="0" w:color="auto"/>
              <w:bottom w:val="single" w:sz="4" w:space="0" w:color="auto"/>
              <w:right w:val="single" w:sz="4" w:space="0" w:color="auto"/>
            </w:tcBorders>
          </w:tcPr>
          <w:p w14:paraId="3DD9962C" w14:textId="17EEDB26"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FB70" w14:textId="2A1E3EFF" w:rsidR="005704AC" w:rsidRPr="001A2E55" w:rsidRDefault="00172679"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81</w:t>
            </w:r>
          </w:p>
        </w:tc>
      </w:tr>
      <w:tr w:rsidR="005704AC" w:rsidRPr="001A2E55" w14:paraId="46DA4065" w14:textId="77777777" w:rsidTr="00D135FB">
        <w:tc>
          <w:tcPr>
            <w:tcW w:w="3828" w:type="dxa"/>
            <w:tcBorders>
              <w:top w:val="nil"/>
              <w:left w:val="single" w:sz="4" w:space="0" w:color="auto"/>
              <w:bottom w:val="nil"/>
              <w:right w:val="nil"/>
            </w:tcBorders>
            <w:shd w:val="clear" w:color="auto" w:fill="auto"/>
            <w:noWrap/>
            <w:vAlign w:val="center"/>
            <w:hideMark/>
          </w:tcPr>
          <w:p w14:paraId="17A0BD99" w14:textId="5ED07A5A"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Otros ingresos (</w:t>
            </w:r>
            <w:r w:rsidR="00806B85" w:rsidRPr="001A2E55">
              <w:rPr>
                <w:rFonts w:asciiTheme="minorHAnsi" w:eastAsia="Times New Roman" w:hAnsiTheme="minorHAnsi" w:cstheme="minorHAnsi"/>
                <w:noProof/>
                <w:sz w:val="20"/>
                <w:szCs w:val="20"/>
                <w:lang w:val="es-ES" w:eastAsia="en-GB"/>
              </w:rPr>
              <w:t>incluidos los</w:t>
            </w:r>
            <w:r w:rsidRPr="001A2E55">
              <w:rPr>
                <w:rFonts w:asciiTheme="minorHAnsi" w:eastAsia="Times New Roman" w:hAnsiTheme="minorHAnsi" w:cstheme="minorHAnsi"/>
                <w:noProof/>
                <w:sz w:val="20"/>
                <w:szCs w:val="20"/>
                <w:lang w:val="es-ES" w:eastAsia="en-GB"/>
              </w:rPr>
              <w:t xml:space="preserve"> ingresos por intereses)</w:t>
            </w:r>
          </w:p>
        </w:tc>
        <w:tc>
          <w:tcPr>
            <w:tcW w:w="1478" w:type="dxa"/>
            <w:tcBorders>
              <w:top w:val="nil"/>
              <w:left w:val="single" w:sz="4" w:space="0" w:color="auto"/>
              <w:bottom w:val="nil"/>
              <w:right w:val="single" w:sz="4" w:space="0" w:color="auto"/>
            </w:tcBorders>
            <w:shd w:val="clear" w:color="auto" w:fill="auto"/>
            <w:noWrap/>
            <w:vAlign w:val="center"/>
            <w:hideMark/>
          </w:tcPr>
          <w:p w14:paraId="0C96522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12</w:t>
            </w:r>
          </w:p>
        </w:tc>
        <w:tc>
          <w:tcPr>
            <w:tcW w:w="1478" w:type="dxa"/>
            <w:tcBorders>
              <w:top w:val="nil"/>
              <w:left w:val="nil"/>
              <w:bottom w:val="nil"/>
              <w:right w:val="single" w:sz="4" w:space="0" w:color="auto"/>
            </w:tcBorders>
            <w:shd w:val="clear" w:color="auto" w:fill="auto"/>
            <w:noWrap/>
            <w:vAlign w:val="center"/>
            <w:hideMark/>
          </w:tcPr>
          <w:p w14:paraId="7DDA652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3E6771D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21873BDE"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5C1089AA"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12</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2CA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19</w:t>
            </w:r>
          </w:p>
        </w:tc>
        <w:tc>
          <w:tcPr>
            <w:tcW w:w="1479" w:type="dxa"/>
            <w:tcBorders>
              <w:top w:val="single" w:sz="4" w:space="0" w:color="auto"/>
              <w:left w:val="single" w:sz="4" w:space="0" w:color="auto"/>
              <w:bottom w:val="single" w:sz="4" w:space="0" w:color="auto"/>
              <w:right w:val="single" w:sz="4" w:space="0" w:color="auto"/>
            </w:tcBorders>
          </w:tcPr>
          <w:p w14:paraId="6084D49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ACB3"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(7)</w:t>
            </w:r>
          </w:p>
        </w:tc>
      </w:tr>
      <w:tr w:rsidR="005704AC" w:rsidRPr="001A2E55" w14:paraId="6840C799" w14:textId="77777777" w:rsidTr="00D135FB">
        <w:tc>
          <w:tcPr>
            <w:tcW w:w="3828" w:type="dxa"/>
            <w:tcBorders>
              <w:top w:val="single" w:sz="4" w:space="0" w:color="auto"/>
              <w:left w:val="single" w:sz="4" w:space="0" w:color="auto"/>
              <w:bottom w:val="single" w:sz="4" w:space="0" w:color="auto"/>
              <w:right w:val="nil"/>
            </w:tcBorders>
            <w:shd w:val="clear" w:color="000000" w:fill="D6E3BC"/>
            <w:noWrap/>
            <w:vAlign w:val="center"/>
            <w:hideMark/>
          </w:tcPr>
          <w:p w14:paraId="3DE535B6"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TOTAL, INGRESOS</w:t>
            </w:r>
          </w:p>
        </w:tc>
        <w:tc>
          <w:tcPr>
            <w:tcW w:w="147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1D4A6AD9"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5 081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4AF1D79B"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3AE927CE"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000000" w:fill="D6E3BC"/>
            <w:noWrap/>
            <w:vAlign w:val="center"/>
            <w:hideMark/>
          </w:tcPr>
          <w:p w14:paraId="1DA8E327" w14:textId="362DAA0F" w:rsidR="005704AC" w:rsidRPr="001A2E55" w:rsidRDefault="00172679"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5 081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731F166C" w14:textId="7FCAAA71" w:rsidR="005704AC" w:rsidRPr="001A2E55" w:rsidRDefault="00172679"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4 953</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0AAC237A" w14:textId="2FC496CC" w:rsidR="005704AC" w:rsidRPr="001A2E55" w:rsidRDefault="00172679"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79</w:t>
            </w:r>
          </w:p>
        </w:tc>
        <w:tc>
          <w:tcPr>
            <w:tcW w:w="1479" w:type="dxa"/>
            <w:tcBorders>
              <w:top w:val="single" w:sz="4" w:space="0" w:color="auto"/>
              <w:left w:val="single" w:sz="4" w:space="0" w:color="auto"/>
              <w:bottom w:val="single" w:sz="4" w:space="0" w:color="auto"/>
              <w:right w:val="single" w:sz="4" w:space="0" w:color="auto"/>
            </w:tcBorders>
            <w:shd w:val="clear" w:color="000000" w:fill="D6E3BC"/>
          </w:tcPr>
          <w:p w14:paraId="08D9A4B7" w14:textId="23D9EA53" w:rsidR="005704AC" w:rsidRPr="001A2E55" w:rsidRDefault="00172679"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090A619" w14:textId="0FFB365D" w:rsidR="005704AC" w:rsidRPr="001A2E55" w:rsidRDefault="00172679"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49</w:t>
            </w:r>
          </w:p>
        </w:tc>
      </w:tr>
      <w:tr w:rsidR="005704AC" w:rsidRPr="001A2E55" w14:paraId="2F3E8CF0" w14:textId="77777777" w:rsidTr="00D135FB">
        <w:tc>
          <w:tcPr>
            <w:tcW w:w="3828" w:type="dxa"/>
            <w:tcBorders>
              <w:top w:val="nil"/>
              <w:left w:val="single" w:sz="4" w:space="0" w:color="auto"/>
              <w:right w:val="nil"/>
            </w:tcBorders>
            <w:shd w:val="clear" w:color="auto" w:fill="auto"/>
            <w:noWrap/>
            <w:vAlign w:val="center"/>
            <w:hideMark/>
          </w:tcPr>
          <w:p w14:paraId="18363378"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p w14:paraId="726131DF"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GASTOS</w:t>
            </w:r>
          </w:p>
        </w:tc>
        <w:tc>
          <w:tcPr>
            <w:tcW w:w="1478" w:type="dxa"/>
            <w:tcBorders>
              <w:top w:val="nil"/>
              <w:left w:val="single" w:sz="4" w:space="0" w:color="auto"/>
              <w:bottom w:val="nil"/>
              <w:right w:val="single" w:sz="4" w:space="0" w:color="auto"/>
            </w:tcBorders>
            <w:shd w:val="clear" w:color="auto" w:fill="auto"/>
            <w:noWrap/>
            <w:vAlign w:val="center"/>
            <w:hideMark/>
          </w:tcPr>
          <w:p w14:paraId="15C32975"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7B1A2147"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347B8E57"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9" w:type="dxa"/>
            <w:tcBorders>
              <w:top w:val="nil"/>
              <w:left w:val="single" w:sz="4" w:space="0" w:color="auto"/>
              <w:bottom w:val="nil"/>
              <w:right w:val="single" w:sz="4" w:space="0" w:color="auto"/>
            </w:tcBorders>
            <w:shd w:val="clear" w:color="auto" w:fill="auto"/>
            <w:noWrap/>
            <w:vAlign w:val="center"/>
            <w:hideMark/>
          </w:tcPr>
          <w:p w14:paraId="031068AA"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278BF90F"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c>
          <w:tcPr>
            <w:tcW w:w="1478" w:type="dxa"/>
            <w:tcBorders>
              <w:top w:val="nil"/>
              <w:left w:val="nil"/>
              <w:bottom w:val="nil"/>
              <w:right w:val="nil"/>
            </w:tcBorders>
            <w:shd w:val="clear" w:color="auto" w:fill="auto"/>
            <w:noWrap/>
            <w:vAlign w:val="center"/>
            <w:hideMark/>
          </w:tcPr>
          <w:p w14:paraId="3FDE69E0"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p>
        </w:tc>
        <w:tc>
          <w:tcPr>
            <w:tcW w:w="1479" w:type="dxa"/>
            <w:tcBorders>
              <w:top w:val="nil"/>
              <w:left w:val="single" w:sz="4" w:space="0" w:color="auto"/>
              <w:bottom w:val="nil"/>
              <w:right w:val="single" w:sz="4" w:space="0" w:color="auto"/>
            </w:tcBorders>
          </w:tcPr>
          <w:p w14:paraId="52909469"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0F9A586A" w14:textId="77777777" w:rsidR="005704AC" w:rsidRPr="001A2E55" w:rsidRDefault="005704AC" w:rsidP="005D4B97">
            <w:pPr>
              <w:ind w:left="0" w:firstLine="0"/>
              <w:jc w:val="right"/>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 </w:t>
            </w:r>
          </w:p>
        </w:tc>
      </w:tr>
      <w:tr w:rsidR="00172679" w:rsidRPr="001A2E55" w14:paraId="610C5D6B"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0DB19008" w14:textId="77777777" w:rsidR="00172679" w:rsidRPr="001A2E55" w:rsidRDefault="00172679" w:rsidP="0017267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A. Personal directivo de la Secretaría y gobernanza</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FEF4943" w14:textId="708E2B4C"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1 062</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9DA7EAF" w14:textId="230118EE"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E3AD66A" w14:textId="6085776C"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12408E5B" w14:textId="7886A06F"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1 067</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1A1F779" w14:textId="69A471B4"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959</w:t>
            </w:r>
          </w:p>
        </w:tc>
        <w:tc>
          <w:tcPr>
            <w:tcW w:w="1478" w:type="dxa"/>
            <w:tcBorders>
              <w:top w:val="single" w:sz="4" w:space="0" w:color="auto"/>
              <w:left w:val="nil"/>
              <w:bottom w:val="single" w:sz="4" w:space="0" w:color="auto"/>
              <w:right w:val="nil"/>
            </w:tcBorders>
            <w:shd w:val="clear" w:color="000000" w:fill="EAF1DD"/>
            <w:noWrap/>
            <w:vAlign w:val="center"/>
            <w:hideMark/>
          </w:tcPr>
          <w:p w14:paraId="4D9FC28F" w14:textId="0BB67A1B"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300</w:t>
            </w:r>
          </w:p>
        </w:tc>
        <w:tc>
          <w:tcPr>
            <w:tcW w:w="1479" w:type="dxa"/>
            <w:tcBorders>
              <w:top w:val="single" w:sz="4" w:space="0" w:color="auto"/>
              <w:left w:val="single" w:sz="4" w:space="0" w:color="auto"/>
              <w:bottom w:val="single" w:sz="4" w:space="0" w:color="auto"/>
              <w:right w:val="single" w:sz="4" w:space="0" w:color="auto"/>
            </w:tcBorders>
            <w:shd w:val="clear" w:color="000000" w:fill="EAF1DD"/>
            <w:vAlign w:val="center"/>
          </w:tcPr>
          <w:p w14:paraId="04F7CD7B" w14:textId="5FE70C46"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192</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1929FE2" w14:textId="3DA930C6"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172679" w:rsidRPr="001A2E55" w14:paraId="6AAEFEB9" w14:textId="77777777" w:rsidTr="00594C76">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268B42E" w14:textId="77777777" w:rsidR="00172679" w:rsidRPr="001A2E55" w:rsidRDefault="00172679" w:rsidP="0017267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082C" w14:textId="66FECDA7"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1 022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A77A6C" w14:textId="45FE6DC8"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C102D38" w14:textId="75AEBAEE"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3A388B9" w14:textId="09F72EF3"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1 022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C0F0B5" w14:textId="4B971CF7"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866</w:t>
            </w:r>
          </w:p>
        </w:tc>
        <w:tc>
          <w:tcPr>
            <w:tcW w:w="1478" w:type="dxa"/>
            <w:tcBorders>
              <w:top w:val="single" w:sz="4" w:space="0" w:color="auto"/>
              <w:left w:val="nil"/>
              <w:bottom w:val="single" w:sz="4" w:space="0" w:color="auto"/>
              <w:right w:val="nil"/>
            </w:tcBorders>
            <w:shd w:val="clear" w:color="auto" w:fill="auto"/>
            <w:noWrap/>
            <w:hideMark/>
          </w:tcPr>
          <w:p w14:paraId="3BDF1EE1" w14:textId="33083910"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273</w:t>
            </w:r>
          </w:p>
        </w:tc>
        <w:tc>
          <w:tcPr>
            <w:tcW w:w="1479" w:type="dxa"/>
            <w:tcBorders>
              <w:top w:val="single" w:sz="4" w:space="0" w:color="auto"/>
              <w:left w:val="single" w:sz="4" w:space="0" w:color="auto"/>
              <w:bottom w:val="single" w:sz="4" w:space="0" w:color="auto"/>
              <w:right w:val="single" w:sz="4" w:space="0" w:color="auto"/>
            </w:tcBorders>
          </w:tcPr>
          <w:p w14:paraId="79B07062" w14:textId="5AE19B60"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46DB" w14:textId="12F34A33" w:rsidR="00172679" w:rsidRPr="001A2E55" w:rsidRDefault="00172679" w:rsidP="0017267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FA1FCB" w:rsidRPr="001A2E55" w14:paraId="5952D8B5" w14:textId="77777777" w:rsidTr="000744F8">
        <w:tc>
          <w:tcPr>
            <w:tcW w:w="3828" w:type="dxa"/>
            <w:tcBorders>
              <w:top w:val="single" w:sz="4" w:space="0" w:color="auto"/>
              <w:left w:val="single" w:sz="4" w:space="0" w:color="auto"/>
              <w:bottom w:val="nil"/>
              <w:right w:val="nil"/>
            </w:tcBorders>
            <w:shd w:val="clear" w:color="auto" w:fill="auto"/>
            <w:noWrap/>
            <w:vAlign w:val="center"/>
            <w:hideMark/>
          </w:tcPr>
          <w:p w14:paraId="566EDDC4"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763E9658" w14:textId="7CB0F17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w:t>
            </w:r>
          </w:p>
        </w:tc>
        <w:tc>
          <w:tcPr>
            <w:tcW w:w="1478" w:type="dxa"/>
            <w:tcBorders>
              <w:top w:val="single" w:sz="4" w:space="0" w:color="auto"/>
              <w:left w:val="nil"/>
              <w:bottom w:val="nil"/>
              <w:right w:val="single" w:sz="4" w:space="0" w:color="auto"/>
            </w:tcBorders>
            <w:shd w:val="clear" w:color="auto" w:fill="auto"/>
            <w:noWrap/>
            <w:vAlign w:val="center"/>
            <w:hideMark/>
          </w:tcPr>
          <w:p w14:paraId="5A1AAE9F" w14:textId="4CA4361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single" w:sz="4" w:space="0" w:color="auto"/>
              <w:left w:val="nil"/>
              <w:bottom w:val="nil"/>
              <w:right w:val="single" w:sz="4" w:space="0" w:color="auto"/>
            </w:tcBorders>
            <w:shd w:val="clear" w:color="auto" w:fill="auto"/>
            <w:noWrap/>
            <w:vAlign w:val="center"/>
            <w:hideMark/>
          </w:tcPr>
          <w:p w14:paraId="4CA9DEF4" w14:textId="01EB3DE6"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nil"/>
              <w:right w:val="single" w:sz="4" w:space="0" w:color="auto"/>
            </w:tcBorders>
            <w:shd w:val="clear" w:color="auto" w:fill="auto"/>
            <w:noWrap/>
            <w:vAlign w:val="center"/>
            <w:hideMark/>
          </w:tcPr>
          <w:p w14:paraId="2BDB24A3" w14:textId="2E2E92FC"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45</w:t>
            </w:r>
          </w:p>
        </w:tc>
        <w:tc>
          <w:tcPr>
            <w:tcW w:w="1478" w:type="dxa"/>
            <w:tcBorders>
              <w:top w:val="single" w:sz="4" w:space="0" w:color="auto"/>
              <w:left w:val="nil"/>
              <w:bottom w:val="nil"/>
              <w:right w:val="single" w:sz="4" w:space="0" w:color="auto"/>
            </w:tcBorders>
            <w:shd w:val="clear" w:color="auto" w:fill="auto"/>
            <w:noWrap/>
            <w:vAlign w:val="center"/>
            <w:hideMark/>
          </w:tcPr>
          <w:p w14:paraId="11194D92" w14:textId="1021E9E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93</w:t>
            </w:r>
          </w:p>
        </w:tc>
        <w:tc>
          <w:tcPr>
            <w:tcW w:w="1478" w:type="dxa"/>
            <w:tcBorders>
              <w:top w:val="single" w:sz="4" w:space="0" w:color="auto"/>
              <w:left w:val="nil"/>
              <w:bottom w:val="nil"/>
              <w:right w:val="nil"/>
            </w:tcBorders>
            <w:shd w:val="clear" w:color="auto" w:fill="auto"/>
            <w:noWrap/>
            <w:hideMark/>
          </w:tcPr>
          <w:p w14:paraId="12C1910A" w14:textId="24D3740A"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c>
          <w:tcPr>
            <w:tcW w:w="1479" w:type="dxa"/>
            <w:tcBorders>
              <w:top w:val="single" w:sz="4" w:space="0" w:color="auto"/>
              <w:left w:val="single" w:sz="4" w:space="0" w:color="auto"/>
              <w:bottom w:val="nil"/>
              <w:right w:val="single" w:sz="4" w:space="0" w:color="auto"/>
            </w:tcBorders>
          </w:tcPr>
          <w:p w14:paraId="26E5EC8C" w14:textId="1E5BA22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75</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5DB08E60" w14:textId="77AC277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FA1FCB" w:rsidRPr="001A2E55" w14:paraId="4B533D63" w14:textId="77777777" w:rsidTr="00DD74EF">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5A507DCE"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B.  Movilización de recursos y promoción</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CF730CF" w14:textId="7C99F0F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508</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2186166" w14:textId="4932F4CE"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C5D449F" w14:textId="1AF9C4F6"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263</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311E54F0" w14:textId="297CABB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817</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73AD5878" w14:textId="0C74EA0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490</w:t>
            </w:r>
          </w:p>
        </w:tc>
        <w:tc>
          <w:tcPr>
            <w:tcW w:w="1478" w:type="dxa"/>
            <w:tcBorders>
              <w:top w:val="single" w:sz="4" w:space="0" w:color="auto"/>
              <w:left w:val="nil"/>
              <w:bottom w:val="single" w:sz="4" w:space="0" w:color="auto"/>
              <w:right w:val="nil"/>
            </w:tcBorders>
            <w:shd w:val="clear" w:color="000000" w:fill="EAF1DD"/>
            <w:noWrap/>
            <w:hideMark/>
          </w:tcPr>
          <w:p w14:paraId="5C27F944" w14:textId="17DD867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185</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04928158" w14:textId="7020E87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(75)</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378C611" w14:textId="206D54F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67</w:t>
            </w:r>
          </w:p>
        </w:tc>
      </w:tr>
      <w:tr w:rsidR="005704AC" w:rsidRPr="001A2E55" w14:paraId="0AD918CE"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66D62E"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8D09"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B66271"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6EB708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148BF0B"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ED5ADDC"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352</w:t>
            </w:r>
          </w:p>
        </w:tc>
        <w:tc>
          <w:tcPr>
            <w:tcW w:w="1478" w:type="dxa"/>
            <w:tcBorders>
              <w:top w:val="single" w:sz="4" w:space="0" w:color="auto"/>
              <w:left w:val="nil"/>
              <w:bottom w:val="single" w:sz="4" w:space="0" w:color="auto"/>
              <w:right w:val="nil"/>
            </w:tcBorders>
            <w:shd w:val="clear" w:color="auto" w:fill="auto"/>
            <w:noWrap/>
            <w:vAlign w:val="center"/>
            <w:hideMark/>
          </w:tcPr>
          <w:p w14:paraId="467BB8D9"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346</w:t>
            </w:r>
          </w:p>
        </w:tc>
        <w:tc>
          <w:tcPr>
            <w:tcW w:w="1479" w:type="dxa"/>
            <w:tcBorders>
              <w:top w:val="single" w:sz="4" w:space="0" w:color="auto"/>
              <w:left w:val="single" w:sz="4" w:space="0" w:color="auto"/>
              <w:bottom w:val="single" w:sz="4" w:space="0" w:color="auto"/>
              <w:right w:val="single" w:sz="4" w:space="0" w:color="auto"/>
            </w:tcBorders>
          </w:tcPr>
          <w:p w14:paraId="136F3FAA"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A26A3"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6</w:t>
            </w:r>
          </w:p>
        </w:tc>
      </w:tr>
      <w:tr w:rsidR="00FA1FCB" w:rsidRPr="001A2E55" w14:paraId="090099E4" w14:textId="77777777" w:rsidTr="00FD775E">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599454B"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Programa de CECoP</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1967" w14:textId="30CD82F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C4F3F03" w14:textId="6C34E44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7313195" w14:textId="026EA042"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109</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547CC49" w14:textId="4154135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139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E74FE56" w14:textId="5740F211"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32</w:t>
            </w:r>
          </w:p>
        </w:tc>
        <w:tc>
          <w:tcPr>
            <w:tcW w:w="1478" w:type="dxa"/>
            <w:tcBorders>
              <w:top w:val="single" w:sz="4" w:space="0" w:color="auto"/>
              <w:left w:val="nil"/>
              <w:bottom w:val="single" w:sz="4" w:space="0" w:color="auto"/>
              <w:right w:val="nil"/>
            </w:tcBorders>
            <w:shd w:val="clear" w:color="auto" w:fill="auto"/>
            <w:noWrap/>
            <w:hideMark/>
          </w:tcPr>
          <w:p w14:paraId="294DFFB6" w14:textId="3AAE03E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479" w:type="dxa"/>
            <w:tcBorders>
              <w:top w:val="single" w:sz="4" w:space="0" w:color="auto"/>
              <w:left w:val="single" w:sz="4" w:space="0" w:color="auto"/>
              <w:bottom w:val="single" w:sz="4" w:space="0" w:color="auto"/>
              <w:right w:val="single" w:sz="4" w:space="0" w:color="auto"/>
            </w:tcBorders>
          </w:tcPr>
          <w:p w14:paraId="3057B41F" w14:textId="40D9337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DC49" w14:textId="3E9108D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47</w:t>
            </w:r>
          </w:p>
        </w:tc>
      </w:tr>
      <w:tr w:rsidR="00FA1FCB" w:rsidRPr="001A2E55" w14:paraId="555E0375" w14:textId="77777777" w:rsidTr="001D35A3">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71C6A3C"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Comunicaciones, traducciones, publicaciones e informes sobre la aplicación</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78A9" w14:textId="0BAF26F1"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A359E6C" w14:textId="1031C36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60B6377" w14:textId="286A7B4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DF3719E" w14:textId="1F00E11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F5AACBC" w14:textId="231EE64A"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132</w:t>
            </w:r>
          </w:p>
        </w:tc>
        <w:tc>
          <w:tcPr>
            <w:tcW w:w="1478" w:type="dxa"/>
            <w:tcBorders>
              <w:top w:val="single" w:sz="4" w:space="0" w:color="auto"/>
              <w:left w:val="nil"/>
              <w:bottom w:val="single" w:sz="4" w:space="0" w:color="auto"/>
              <w:right w:val="nil"/>
            </w:tcBorders>
            <w:shd w:val="clear" w:color="auto" w:fill="auto"/>
            <w:noWrap/>
            <w:hideMark/>
          </w:tcPr>
          <w:p w14:paraId="54A1AFB1" w14:textId="7AF06EE1"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9" w:type="dxa"/>
            <w:tcBorders>
              <w:top w:val="single" w:sz="4" w:space="0" w:color="auto"/>
              <w:left w:val="single" w:sz="4" w:space="0" w:color="auto"/>
              <w:bottom w:val="single" w:sz="4" w:space="0" w:color="auto"/>
              <w:right w:val="single" w:sz="4" w:space="0" w:color="auto"/>
            </w:tcBorders>
          </w:tcPr>
          <w:p w14:paraId="59DDFBD5" w14:textId="74DAAA7E"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EEC0" w14:textId="331CE51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r>
      <w:tr w:rsidR="00FA1FCB" w:rsidRPr="001A2E55" w14:paraId="6A18948D" w14:textId="77777777" w:rsidTr="00636EAF">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DF5865"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lastRenderedPageBreak/>
              <w:t>Apoyo y desarrollo del sitio web/servicios informáticos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0278" w14:textId="3405B8B2"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1E7F07" w14:textId="2F1733A6"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0FBE352" w14:textId="37A8A0F8"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38</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A4C87F8" w14:textId="787ECE9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94</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509245C" w14:textId="12AA9638"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w:t>
            </w:r>
          </w:p>
        </w:tc>
        <w:tc>
          <w:tcPr>
            <w:tcW w:w="1478" w:type="dxa"/>
            <w:tcBorders>
              <w:top w:val="single" w:sz="4" w:space="0" w:color="auto"/>
              <w:left w:val="nil"/>
              <w:bottom w:val="single" w:sz="4" w:space="0" w:color="auto"/>
              <w:right w:val="nil"/>
            </w:tcBorders>
            <w:shd w:val="clear" w:color="auto" w:fill="auto"/>
            <w:noWrap/>
            <w:hideMark/>
          </w:tcPr>
          <w:p w14:paraId="2AC4D396" w14:textId="195A238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18</w:t>
            </w:r>
          </w:p>
        </w:tc>
        <w:tc>
          <w:tcPr>
            <w:tcW w:w="1479" w:type="dxa"/>
            <w:tcBorders>
              <w:top w:val="single" w:sz="4" w:space="0" w:color="auto"/>
              <w:left w:val="single" w:sz="4" w:space="0" w:color="auto"/>
              <w:bottom w:val="single" w:sz="4" w:space="0" w:color="auto"/>
              <w:right w:val="single" w:sz="4" w:space="0" w:color="auto"/>
            </w:tcBorders>
          </w:tcPr>
          <w:p w14:paraId="5BF5E620" w14:textId="32116169"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A4227" w14:textId="3417B4B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r>
      <w:tr w:rsidR="00FA1FCB" w:rsidRPr="001A2E55" w14:paraId="1300DA23" w14:textId="77777777" w:rsidTr="00B9658F">
        <w:tc>
          <w:tcPr>
            <w:tcW w:w="3828" w:type="dxa"/>
            <w:tcBorders>
              <w:top w:val="nil"/>
              <w:left w:val="single" w:sz="4" w:space="0" w:color="auto"/>
              <w:bottom w:val="single" w:sz="4" w:space="0" w:color="auto"/>
              <w:right w:val="nil"/>
            </w:tcBorders>
            <w:shd w:val="clear" w:color="auto" w:fill="auto"/>
            <w:noWrap/>
            <w:vAlign w:val="center"/>
            <w:hideMark/>
          </w:tcPr>
          <w:p w14:paraId="798D0955"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2ABF665" w14:textId="17ED720C"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478" w:type="dxa"/>
            <w:tcBorders>
              <w:top w:val="nil"/>
              <w:left w:val="nil"/>
              <w:bottom w:val="single" w:sz="4" w:space="0" w:color="auto"/>
              <w:right w:val="single" w:sz="4" w:space="0" w:color="auto"/>
            </w:tcBorders>
            <w:shd w:val="clear" w:color="auto" w:fill="auto"/>
            <w:noWrap/>
            <w:vAlign w:val="center"/>
            <w:hideMark/>
          </w:tcPr>
          <w:p w14:paraId="0A18458E" w14:textId="3ACC897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6031094A" w14:textId="4E0C7B28"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543E3845" w14:textId="02BB80E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w:t>
            </w:r>
          </w:p>
        </w:tc>
        <w:tc>
          <w:tcPr>
            <w:tcW w:w="1478" w:type="dxa"/>
            <w:tcBorders>
              <w:top w:val="nil"/>
              <w:left w:val="nil"/>
              <w:bottom w:val="single" w:sz="4" w:space="0" w:color="auto"/>
              <w:right w:val="single" w:sz="4" w:space="0" w:color="auto"/>
            </w:tcBorders>
            <w:shd w:val="clear" w:color="auto" w:fill="auto"/>
            <w:noWrap/>
            <w:vAlign w:val="center"/>
            <w:hideMark/>
          </w:tcPr>
          <w:p w14:paraId="7201877B" w14:textId="6A9AFE93"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nil"/>
            </w:tcBorders>
            <w:shd w:val="clear" w:color="auto" w:fill="auto"/>
            <w:noWrap/>
            <w:hideMark/>
          </w:tcPr>
          <w:p w14:paraId="3FB76069" w14:textId="4CF6C6CA"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single" w:sz="4" w:space="0" w:color="auto"/>
              <w:bottom w:val="single" w:sz="4" w:space="0" w:color="auto"/>
              <w:right w:val="single" w:sz="4" w:space="0" w:color="auto"/>
            </w:tcBorders>
          </w:tcPr>
          <w:p w14:paraId="78FA772E" w14:textId="3B1D74CA"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BBB1426" w14:textId="14A4F8D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5704AC" w:rsidRPr="001A2E55" w14:paraId="1A21A13F"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22BD2C82"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C.  Asesoramiento y apoyo regionales</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E614F1E"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1 309</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06250E37"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69EFF10"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121</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2CABF3A9"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BAF74FB"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1 440</w:t>
            </w:r>
          </w:p>
        </w:tc>
        <w:tc>
          <w:tcPr>
            <w:tcW w:w="1478" w:type="dxa"/>
            <w:tcBorders>
              <w:top w:val="single" w:sz="4" w:space="0" w:color="auto"/>
              <w:left w:val="nil"/>
              <w:bottom w:val="single" w:sz="4" w:space="0" w:color="auto"/>
              <w:right w:val="nil"/>
            </w:tcBorders>
            <w:shd w:val="clear" w:color="000000" w:fill="EAF1DD"/>
            <w:noWrap/>
            <w:vAlign w:val="center"/>
            <w:hideMark/>
          </w:tcPr>
          <w:p w14:paraId="7527B22C"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1 109</w:t>
            </w:r>
          </w:p>
        </w:tc>
        <w:tc>
          <w:tcPr>
            <w:tcW w:w="14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EB3EE5"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(39)</w:t>
            </w:r>
          </w:p>
        </w:tc>
        <w:tc>
          <w:tcPr>
            <w:tcW w:w="147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D882D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292</w:t>
            </w:r>
          </w:p>
        </w:tc>
      </w:tr>
      <w:tr w:rsidR="00FA1FCB" w:rsidRPr="001A2E55" w14:paraId="18016F06" w14:textId="77777777" w:rsidTr="009B3C6F">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733A7A9"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B398" w14:textId="297E8B0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1 249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FFDA6B6" w14:textId="246DA33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0F15B74" w14:textId="0DE44F3A"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177</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164E219F" w14:textId="28B5A2FE"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1 426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E6C983E" w14:textId="3DAA9BDC"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766</w:t>
            </w:r>
          </w:p>
        </w:tc>
        <w:tc>
          <w:tcPr>
            <w:tcW w:w="1478" w:type="dxa"/>
            <w:tcBorders>
              <w:top w:val="single" w:sz="4" w:space="0" w:color="auto"/>
              <w:left w:val="nil"/>
              <w:bottom w:val="single" w:sz="4" w:space="0" w:color="auto"/>
              <w:right w:val="nil"/>
            </w:tcBorders>
            <w:shd w:val="clear" w:color="auto" w:fill="auto"/>
            <w:noWrap/>
            <w:hideMark/>
          </w:tcPr>
          <w:p w14:paraId="3719674E" w14:textId="4CDB832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278</w:t>
            </w:r>
          </w:p>
        </w:tc>
        <w:tc>
          <w:tcPr>
            <w:tcW w:w="1479" w:type="dxa"/>
            <w:tcBorders>
              <w:top w:val="single" w:sz="4" w:space="0" w:color="auto"/>
              <w:left w:val="single" w:sz="4" w:space="0" w:color="auto"/>
              <w:bottom w:val="single" w:sz="4" w:space="0" w:color="auto"/>
              <w:right w:val="single" w:sz="4" w:space="0" w:color="auto"/>
            </w:tcBorders>
          </w:tcPr>
          <w:p w14:paraId="649CDA93" w14:textId="4A4F12F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1EED" w14:textId="0BBA633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225</w:t>
            </w:r>
          </w:p>
        </w:tc>
      </w:tr>
      <w:tr w:rsidR="00FA1FCB" w:rsidRPr="001A2E55" w14:paraId="23317BC2" w14:textId="77777777" w:rsidTr="005E4747">
        <w:tc>
          <w:tcPr>
            <w:tcW w:w="3828" w:type="dxa"/>
            <w:tcBorders>
              <w:top w:val="single" w:sz="4" w:space="0" w:color="auto"/>
              <w:left w:val="single" w:sz="4" w:space="0" w:color="auto"/>
              <w:bottom w:val="nil"/>
              <w:right w:val="nil"/>
            </w:tcBorders>
            <w:shd w:val="clear" w:color="auto" w:fill="auto"/>
            <w:noWrap/>
            <w:vAlign w:val="center"/>
            <w:hideMark/>
          </w:tcPr>
          <w:p w14:paraId="0A0CF5A7"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2E38AB2F" w14:textId="3759948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67</w:t>
            </w:r>
          </w:p>
        </w:tc>
        <w:tc>
          <w:tcPr>
            <w:tcW w:w="1478" w:type="dxa"/>
            <w:tcBorders>
              <w:top w:val="single" w:sz="4" w:space="0" w:color="auto"/>
              <w:left w:val="nil"/>
              <w:bottom w:val="nil"/>
              <w:right w:val="single" w:sz="4" w:space="0" w:color="auto"/>
            </w:tcBorders>
            <w:shd w:val="clear" w:color="auto" w:fill="auto"/>
            <w:noWrap/>
            <w:vAlign w:val="center"/>
            <w:hideMark/>
          </w:tcPr>
          <w:p w14:paraId="4F0C07A9" w14:textId="61D8726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478" w:type="dxa"/>
            <w:tcBorders>
              <w:top w:val="single" w:sz="4" w:space="0" w:color="auto"/>
              <w:left w:val="nil"/>
              <w:bottom w:val="nil"/>
              <w:right w:val="single" w:sz="4" w:space="0" w:color="auto"/>
            </w:tcBorders>
            <w:shd w:val="clear" w:color="auto" w:fill="auto"/>
            <w:noWrap/>
            <w:vAlign w:val="center"/>
            <w:hideMark/>
          </w:tcPr>
          <w:p w14:paraId="1B8EB337" w14:textId="30A56E6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19</w:t>
            </w:r>
          </w:p>
        </w:tc>
        <w:tc>
          <w:tcPr>
            <w:tcW w:w="1479" w:type="dxa"/>
            <w:tcBorders>
              <w:top w:val="single" w:sz="4" w:space="0" w:color="auto"/>
              <w:left w:val="nil"/>
              <w:bottom w:val="nil"/>
              <w:right w:val="single" w:sz="4" w:space="0" w:color="auto"/>
            </w:tcBorders>
            <w:shd w:val="clear" w:color="auto" w:fill="auto"/>
            <w:noWrap/>
            <w:vAlign w:val="center"/>
            <w:hideMark/>
          </w:tcPr>
          <w:p w14:paraId="4C7E1022" w14:textId="7B9D445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96</w:t>
            </w:r>
          </w:p>
        </w:tc>
        <w:tc>
          <w:tcPr>
            <w:tcW w:w="1478" w:type="dxa"/>
            <w:tcBorders>
              <w:top w:val="single" w:sz="4" w:space="0" w:color="auto"/>
              <w:left w:val="nil"/>
              <w:bottom w:val="nil"/>
              <w:right w:val="single" w:sz="4" w:space="0" w:color="auto"/>
            </w:tcBorders>
            <w:shd w:val="clear" w:color="auto" w:fill="auto"/>
            <w:noWrap/>
            <w:vAlign w:val="center"/>
            <w:hideMark/>
          </w:tcPr>
          <w:p w14:paraId="1B3DC950" w14:textId="2C2B9889"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20</w:t>
            </w:r>
          </w:p>
        </w:tc>
        <w:tc>
          <w:tcPr>
            <w:tcW w:w="1478" w:type="dxa"/>
            <w:tcBorders>
              <w:top w:val="single" w:sz="4" w:space="0" w:color="auto"/>
              <w:left w:val="nil"/>
              <w:bottom w:val="nil"/>
              <w:right w:val="nil"/>
            </w:tcBorders>
            <w:shd w:val="clear" w:color="auto" w:fill="auto"/>
            <w:noWrap/>
            <w:hideMark/>
          </w:tcPr>
          <w:p w14:paraId="2C60B730" w14:textId="2B965B7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16</w:t>
            </w:r>
          </w:p>
        </w:tc>
        <w:tc>
          <w:tcPr>
            <w:tcW w:w="1479" w:type="dxa"/>
            <w:tcBorders>
              <w:top w:val="single" w:sz="4" w:space="0" w:color="auto"/>
              <w:left w:val="single" w:sz="4" w:space="0" w:color="auto"/>
              <w:bottom w:val="nil"/>
              <w:right w:val="single" w:sz="4" w:space="0" w:color="auto"/>
            </w:tcBorders>
          </w:tcPr>
          <w:p w14:paraId="15607DF6" w14:textId="1E46D9E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31CD11D2" w14:textId="2DC06722"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FA1FCB" w:rsidRPr="001A2E55" w14:paraId="06FAA2E9" w14:textId="77777777" w:rsidTr="00E25D32">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C658C7B"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Misiones Ramsar de Asesoramiento</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1DB5" w14:textId="1E8527F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13F661E" w14:textId="132463E6"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83D8409" w14:textId="3CA5E54E"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96</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AFF1FEA" w14:textId="0858DB3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783B43" w14:textId="1C48BF4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478" w:type="dxa"/>
            <w:tcBorders>
              <w:top w:val="single" w:sz="4" w:space="0" w:color="auto"/>
              <w:left w:val="nil"/>
              <w:bottom w:val="single" w:sz="4" w:space="0" w:color="auto"/>
              <w:right w:val="nil"/>
            </w:tcBorders>
            <w:shd w:val="clear" w:color="auto" w:fill="auto"/>
            <w:noWrap/>
            <w:hideMark/>
          </w:tcPr>
          <w:p w14:paraId="0786385C" w14:textId="5851500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w:t>
            </w:r>
          </w:p>
        </w:tc>
        <w:tc>
          <w:tcPr>
            <w:tcW w:w="1479" w:type="dxa"/>
            <w:tcBorders>
              <w:top w:val="single" w:sz="4" w:space="0" w:color="auto"/>
              <w:left w:val="single" w:sz="4" w:space="0" w:color="auto"/>
              <w:bottom w:val="single" w:sz="4" w:space="0" w:color="auto"/>
              <w:right w:val="single" w:sz="4" w:space="0" w:color="auto"/>
            </w:tcBorders>
          </w:tcPr>
          <w:p w14:paraId="432CCBAE" w14:textId="7777777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BD23" w14:textId="404B29DC"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77</w:t>
            </w:r>
          </w:p>
        </w:tc>
      </w:tr>
      <w:tr w:rsidR="00FA1FCB" w:rsidRPr="001A2E55" w14:paraId="0ADE5501" w14:textId="77777777" w:rsidTr="005E1694">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58488B27" w14:textId="77777777"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D.  Apoyo a las iniciativas regionales</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20F2E15" w14:textId="5E66F65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B67D071" w14:textId="69F3E21F"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8B45FC8" w14:textId="6717BB0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120</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6ACB689A" w14:textId="16A1E3E0"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220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878B9D5" w14:textId="02BD49B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22</w:t>
            </w:r>
          </w:p>
        </w:tc>
        <w:tc>
          <w:tcPr>
            <w:tcW w:w="1478" w:type="dxa"/>
            <w:tcBorders>
              <w:top w:val="single" w:sz="4" w:space="0" w:color="auto"/>
              <w:left w:val="nil"/>
              <w:bottom w:val="single" w:sz="4" w:space="0" w:color="auto"/>
              <w:right w:val="nil"/>
            </w:tcBorders>
            <w:shd w:val="clear" w:color="000000" w:fill="EAF1DD"/>
            <w:noWrap/>
            <w:hideMark/>
          </w:tcPr>
          <w:p w14:paraId="6A7DEAC8" w14:textId="5EBEEC64"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43</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7BA4E2A7" w14:textId="7777777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F98255D" w14:textId="02146D6D"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155</w:t>
            </w:r>
          </w:p>
        </w:tc>
      </w:tr>
      <w:tr w:rsidR="00FA1FCB" w:rsidRPr="001A2E55" w14:paraId="40606829" w14:textId="77777777" w:rsidTr="0054638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E6FB05A" w14:textId="3F1259F4" w:rsidR="00FA1FCB" w:rsidRPr="001A2E55" w:rsidRDefault="00FA1FCB" w:rsidP="00FA1FC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Redes y centros regionales: Presupuesto disponible que no se asignó en 2023 y 2024*</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2DE1" w14:textId="2028CF0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6611FD" w14:textId="4ED6910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DCCFD7D" w14:textId="161A708B"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84</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C257183" w14:textId="63825319"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38084E9" w14:textId="2CD1AD5D"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nil"/>
            </w:tcBorders>
            <w:shd w:val="clear" w:color="auto" w:fill="auto"/>
            <w:noWrap/>
            <w:vAlign w:val="center"/>
            <w:hideMark/>
          </w:tcPr>
          <w:p w14:paraId="64779BB6" w14:textId="7CE7931D"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vAlign w:val="center"/>
          </w:tcPr>
          <w:p w14:paraId="5B9D7061" w14:textId="77777777"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1C38" w14:textId="3A2D3AC5" w:rsidR="00FA1FCB" w:rsidRPr="001A2E55" w:rsidRDefault="00FA1FCB" w:rsidP="00FA1FC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155</w:t>
            </w:r>
          </w:p>
        </w:tc>
      </w:tr>
      <w:tr w:rsidR="00BD44AB" w:rsidRPr="001A2E55" w14:paraId="4A4D9ED2" w14:textId="77777777" w:rsidTr="0054638B">
        <w:tc>
          <w:tcPr>
            <w:tcW w:w="3828" w:type="dxa"/>
            <w:tcBorders>
              <w:top w:val="single" w:sz="4" w:space="0" w:color="auto"/>
              <w:left w:val="single" w:sz="4" w:space="0" w:color="auto"/>
              <w:bottom w:val="single" w:sz="4" w:space="0" w:color="auto"/>
              <w:right w:val="nil"/>
            </w:tcBorders>
            <w:shd w:val="clear" w:color="auto" w:fill="auto"/>
            <w:noWrap/>
            <w:vAlign w:val="center"/>
          </w:tcPr>
          <w:p w14:paraId="1EE56692" w14:textId="3FF94C91"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Iniciativa regional de Ramsar Danube WILDisland 2024</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CC49B" w14:textId="6EAB8535"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29</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562F58C8" w14:textId="452246F4"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716DCEC3" w14:textId="4F08CC7E"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1CA21471" w14:textId="1F99CD0D"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29</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10F6E16F" w14:textId="6A5C25F1"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17</w:t>
            </w:r>
          </w:p>
        </w:tc>
        <w:tc>
          <w:tcPr>
            <w:tcW w:w="1478" w:type="dxa"/>
            <w:tcBorders>
              <w:top w:val="single" w:sz="4" w:space="0" w:color="auto"/>
              <w:left w:val="nil"/>
              <w:bottom w:val="single" w:sz="4" w:space="0" w:color="auto"/>
              <w:right w:val="nil"/>
            </w:tcBorders>
            <w:shd w:val="clear" w:color="auto" w:fill="auto"/>
            <w:noWrap/>
            <w:vAlign w:val="center"/>
          </w:tcPr>
          <w:p w14:paraId="6A332382" w14:textId="6C286D8F"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12</w:t>
            </w:r>
          </w:p>
        </w:tc>
        <w:tc>
          <w:tcPr>
            <w:tcW w:w="1479" w:type="dxa"/>
            <w:tcBorders>
              <w:top w:val="single" w:sz="4" w:space="0" w:color="auto"/>
              <w:left w:val="single" w:sz="4" w:space="0" w:color="auto"/>
              <w:bottom w:val="single" w:sz="4" w:space="0" w:color="auto"/>
              <w:right w:val="single" w:sz="4" w:space="0" w:color="auto"/>
            </w:tcBorders>
            <w:vAlign w:val="center"/>
          </w:tcPr>
          <w:p w14:paraId="46E6174E"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8E674" w14:textId="65FFED13" w:rsidR="00BD44AB" w:rsidRPr="001A2E55" w:rsidRDefault="00BD44AB" w:rsidP="00BD44AB">
            <w:pPr>
              <w:ind w:left="0" w:firstLine="0"/>
              <w:jc w:val="right"/>
              <w:rPr>
                <w:rFonts w:eastAsia="Times New Roman" w:cs="Calibri"/>
                <w:noProof/>
                <w:sz w:val="20"/>
                <w:szCs w:val="20"/>
                <w:lang w:val="es-ES" w:eastAsia="en-GB"/>
              </w:rPr>
            </w:pPr>
            <w:r w:rsidRPr="001A2E55">
              <w:rPr>
                <w:rFonts w:eastAsia="Times New Roman" w:cs="Calibri"/>
                <w:noProof/>
                <w:sz w:val="20"/>
                <w:szCs w:val="20"/>
                <w:lang w:val="es-ES" w:eastAsia="en-GB"/>
              </w:rPr>
              <w:t>0</w:t>
            </w:r>
          </w:p>
        </w:tc>
      </w:tr>
      <w:tr w:rsidR="00BD44AB" w:rsidRPr="001A2E55" w14:paraId="39BD7BD7" w14:textId="77777777" w:rsidTr="00756F72">
        <w:tc>
          <w:tcPr>
            <w:tcW w:w="3828" w:type="dxa"/>
            <w:tcBorders>
              <w:top w:val="single" w:sz="4" w:space="0" w:color="auto"/>
              <w:left w:val="single" w:sz="4" w:space="0" w:color="auto"/>
              <w:bottom w:val="single" w:sz="4" w:space="0" w:color="auto"/>
              <w:right w:val="nil"/>
            </w:tcBorders>
            <w:shd w:val="clear" w:color="auto" w:fill="auto"/>
            <w:noWrap/>
            <w:vAlign w:val="center"/>
          </w:tcPr>
          <w:p w14:paraId="4D88C23D" w14:textId="315CC728"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xml:space="preserve">Traspasado de las actividades realizadas en 2023 por las IRR de África meridional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073BB" w14:textId="2665013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4AB4910B" w14:textId="6D40D0E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0C2D311C" w14:textId="42CB4965"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3CC1B80B" w14:textId="1857BA0A"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6EBE52AA" w14:textId="337CE3A5"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nil"/>
            </w:tcBorders>
            <w:shd w:val="clear" w:color="auto" w:fill="auto"/>
            <w:noWrap/>
            <w:vAlign w:val="center"/>
          </w:tcPr>
          <w:p w14:paraId="16762757" w14:textId="07937FF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w:t>
            </w:r>
          </w:p>
        </w:tc>
        <w:tc>
          <w:tcPr>
            <w:tcW w:w="1479" w:type="dxa"/>
            <w:tcBorders>
              <w:top w:val="single" w:sz="4" w:space="0" w:color="auto"/>
              <w:left w:val="single" w:sz="4" w:space="0" w:color="auto"/>
              <w:bottom w:val="single" w:sz="4" w:space="0" w:color="auto"/>
              <w:right w:val="single" w:sz="4" w:space="0" w:color="auto"/>
            </w:tcBorders>
            <w:vAlign w:val="center"/>
          </w:tcPr>
          <w:p w14:paraId="4DCFF784"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64A9" w14:textId="1A3012B0"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BD44AB" w:rsidRPr="001A2E55" w14:paraId="4E9E7AFC" w14:textId="77777777" w:rsidTr="001F4017">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544B5C8" w14:textId="60E4D43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Traspas</w:t>
            </w:r>
            <w:r w:rsidR="00894E14" w:rsidRPr="001A2E55">
              <w:rPr>
                <w:rFonts w:asciiTheme="minorHAnsi" w:eastAsia="Times New Roman" w:hAnsiTheme="minorHAnsi" w:cstheme="minorHAnsi"/>
                <w:noProof/>
                <w:sz w:val="20"/>
                <w:szCs w:val="20"/>
                <w:lang w:val="es-ES" w:eastAsia="en-GB"/>
              </w:rPr>
              <w:t>o de 2023</w:t>
            </w:r>
            <w:r w:rsidRPr="001A2E55">
              <w:rPr>
                <w:rFonts w:asciiTheme="minorHAnsi" w:eastAsia="Times New Roman" w:hAnsiTheme="minorHAnsi" w:cstheme="minorHAnsi"/>
                <w:noProof/>
                <w:sz w:val="20"/>
                <w:szCs w:val="20"/>
                <w:lang w:val="es-ES" w:eastAsia="en-GB"/>
              </w:rPr>
              <w:t xml:space="preserve"> de la Cuenca del Amazonas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88DB" w14:textId="4A25814F"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AD5132C" w14:textId="45306A10"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B4D621E" w14:textId="58D3866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24</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2B9D85D" w14:textId="15AC211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24</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EAE3BDB" w14:textId="1CDA60F6"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single" w:sz="4" w:space="0" w:color="auto"/>
              <w:left w:val="nil"/>
              <w:bottom w:val="single" w:sz="4" w:space="0" w:color="auto"/>
              <w:right w:val="nil"/>
            </w:tcBorders>
            <w:shd w:val="clear" w:color="auto" w:fill="auto"/>
            <w:noWrap/>
            <w:hideMark/>
          </w:tcPr>
          <w:p w14:paraId="1D3B12C2" w14:textId="5C226F41"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19</w:t>
            </w:r>
          </w:p>
        </w:tc>
        <w:tc>
          <w:tcPr>
            <w:tcW w:w="1479" w:type="dxa"/>
            <w:tcBorders>
              <w:top w:val="single" w:sz="4" w:space="0" w:color="auto"/>
              <w:left w:val="single" w:sz="4" w:space="0" w:color="auto"/>
              <w:bottom w:val="single" w:sz="4" w:space="0" w:color="auto"/>
              <w:right w:val="single" w:sz="4" w:space="0" w:color="auto"/>
            </w:tcBorders>
          </w:tcPr>
          <w:p w14:paraId="7E4B59EA"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641D" w14:textId="62ECA7E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BD44AB" w:rsidRPr="001A2E55" w14:paraId="37B8AF48" w14:textId="77777777" w:rsidTr="003A7813">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30E0F635"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E.  Servicios Científicos y Técnicos</w:t>
            </w:r>
          </w:p>
        </w:tc>
        <w:tc>
          <w:tcPr>
            <w:tcW w:w="1478" w:type="dxa"/>
            <w:tcBorders>
              <w:top w:val="nil"/>
              <w:left w:val="nil"/>
              <w:bottom w:val="single" w:sz="4" w:space="0" w:color="auto"/>
              <w:right w:val="single" w:sz="4" w:space="0" w:color="auto"/>
            </w:tcBorders>
            <w:shd w:val="clear" w:color="000000" w:fill="EAF1DD"/>
            <w:noWrap/>
            <w:vAlign w:val="center"/>
            <w:hideMark/>
          </w:tcPr>
          <w:p w14:paraId="41520EDE" w14:textId="352BBC52"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817</w:t>
            </w:r>
          </w:p>
        </w:tc>
        <w:tc>
          <w:tcPr>
            <w:tcW w:w="1478" w:type="dxa"/>
            <w:tcBorders>
              <w:top w:val="nil"/>
              <w:left w:val="nil"/>
              <w:bottom w:val="single" w:sz="4" w:space="0" w:color="auto"/>
              <w:right w:val="single" w:sz="4" w:space="0" w:color="auto"/>
            </w:tcBorders>
            <w:shd w:val="clear" w:color="000000" w:fill="EAF1DD"/>
            <w:noWrap/>
            <w:vAlign w:val="center"/>
            <w:hideMark/>
          </w:tcPr>
          <w:p w14:paraId="04113CA9" w14:textId="7A1CF65B"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nil"/>
              <w:left w:val="nil"/>
              <w:bottom w:val="single" w:sz="4" w:space="0" w:color="auto"/>
              <w:right w:val="single" w:sz="4" w:space="0" w:color="auto"/>
            </w:tcBorders>
            <w:shd w:val="clear" w:color="000000" w:fill="EAF1DD"/>
            <w:noWrap/>
            <w:vAlign w:val="center"/>
            <w:hideMark/>
          </w:tcPr>
          <w:p w14:paraId="2450C2FD" w14:textId="35E686C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373</w:t>
            </w:r>
          </w:p>
        </w:tc>
        <w:tc>
          <w:tcPr>
            <w:tcW w:w="1479" w:type="dxa"/>
            <w:tcBorders>
              <w:top w:val="nil"/>
              <w:left w:val="nil"/>
              <w:bottom w:val="single" w:sz="4" w:space="0" w:color="auto"/>
              <w:right w:val="single" w:sz="4" w:space="0" w:color="auto"/>
            </w:tcBorders>
            <w:shd w:val="clear" w:color="000000" w:fill="EAF1DD"/>
            <w:noWrap/>
            <w:vAlign w:val="center"/>
            <w:hideMark/>
          </w:tcPr>
          <w:p w14:paraId="4955221A" w14:textId="42713671"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1 195</w:t>
            </w:r>
          </w:p>
        </w:tc>
        <w:tc>
          <w:tcPr>
            <w:tcW w:w="1478" w:type="dxa"/>
            <w:tcBorders>
              <w:top w:val="nil"/>
              <w:left w:val="nil"/>
              <w:bottom w:val="single" w:sz="4" w:space="0" w:color="auto"/>
              <w:right w:val="single" w:sz="4" w:space="0" w:color="auto"/>
            </w:tcBorders>
            <w:shd w:val="clear" w:color="000000" w:fill="EAF1DD"/>
            <w:noWrap/>
            <w:vAlign w:val="center"/>
            <w:hideMark/>
          </w:tcPr>
          <w:p w14:paraId="620A1024" w14:textId="227B2DD8"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692</w:t>
            </w:r>
          </w:p>
        </w:tc>
        <w:tc>
          <w:tcPr>
            <w:tcW w:w="1478" w:type="dxa"/>
            <w:tcBorders>
              <w:top w:val="nil"/>
              <w:left w:val="nil"/>
              <w:bottom w:val="single" w:sz="4" w:space="0" w:color="auto"/>
              <w:right w:val="nil"/>
            </w:tcBorders>
            <w:shd w:val="clear" w:color="000000" w:fill="EAF1DD"/>
            <w:noWrap/>
            <w:hideMark/>
          </w:tcPr>
          <w:p w14:paraId="371A26F8" w14:textId="416D12EE"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324</w:t>
            </w:r>
          </w:p>
        </w:tc>
        <w:tc>
          <w:tcPr>
            <w:tcW w:w="1479" w:type="dxa"/>
            <w:tcBorders>
              <w:top w:val="nil"/>
              <w:left w:val="single" w:sz="4" w:space="0" w:color="auto"/>
              <w:bottom w:val="nil"/>
              <w:right w:val="single" w:sz="4" w:space="0" w:color="auto"/>
            </w:tcBorders>
            <w:shd w:val="clear" w:color="000000" w:fill="EAF1DD"/>
          </w:tcPr>
          <w:p w14:paraId="0155D589" w14:textId="107C12F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9" w:type="dxa"/>
            <w:tcBorders>
              <w:top w:val="nil"/>
              <w:left w:val="single" w:sz="4" w:space="0" w:color="auto"/>
              <w:bottom w:val="nil"/>
              <w:right w:val="single" w:sz="4" w:space="0" w:color="auto"/>
            </w:tcBorders>
            <w:shd w:val="clear" w:color="000000" w:fill="EAF1DD"/>
            <w:noWrap/>
            <w:vAlign w:val="center"/>
            <w:hideMark/>
          </w:tcPr>
          <w:p w14:paraId="54ED894A" w14:textId="3F4B458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233</w:t>
            </w:r>
          </w:p>
        </w:tc>
      </w:tr>
      <w:tr w:rsidR="00BD44AB" w:rsidRPr="001A2E55" w14:paraId="72ECACA0" w14:textId="77777777" w:rsidTr="0045448F">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3292277"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09BF" w14:textId="20CA57E5"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AAEA80B" w14:textId="05053A15"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971AF06" w14:textId="5E372DFF"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37</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9544AED" w14:textId="595801D6"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686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1CB4674" w14:textId="0531B68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485</w:t>
            </w:r>
          </w:p>
        </w:tc>
        <w:tc>
          <w:tcPr>
            <w:tcW w:w="1478" w:type="dxa"/>
            <w:tcBorders>
              <w:top w:val="single" w:sz="4" w:space="0" w:color="auto"/>
              <w:left w:val="nil"/>
              <w:bottom w:val="single" w:sz="4" w:space="0" w:color="auto"/>
              <w:right w:val="nil"/>
            </w:tcBorders>
            <w:shd w:val="clear" w:color="auto" w:fill="auto"/>
            <w:noWrap/>
            <w:hideMark/>
          </w:tcPr>
          <w:p w14:paraId="1E5AC09C" w14:textId="68D17302"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156</w:t>
            </w:r>
          </w:p>
        </w:tc>
        <w:tc>
          <w:tcPr>
            <w:tcW w:w="1479" w:type="dxa"/>
            <w:tcBorders>
              <w:top w:val="single" w:sz="4" w:space="0" w:color="auto"/>
              <w:left w:val="single" w:sz="4" w:space="0" w:color="auto"/>
              <w:bottom w:val="single" w:sz="4" w:space="0" w:color="auto"/>
              <w:right w:val="single" w:sz="4" w:space="0" w:color="auto"/>
            </w:tcBorders>
          </w:tcPr>
          <w:p w14:paraId="1A9BECE0"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B1CCC" w14:textId="1E889E1C"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44</w:t>
            </w:r>
          </w:p>
        </w:tc>
      </w:tr>
      <w:tr w:rsidR="00BD44AB" w:rsidRPr="001A2E55" w14:paraId="10E76F34" w14:textId="77777777" w:rsidTr="00C976E7">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CA77354"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4B70" w14:textId="315E324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95ACD26" w14:textId="2E70CC8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B7CECE3" w14:textId="5B71FFDE"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21</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298C89D" w14:textId="0E65988E"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A54E429" w14:textId="37C2A8B4"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25</w:t>
            </w:r>
          </w:p>
        </w:tc>
        <w:tc>
          <w:tcPr>
            <w:tcW w:w="1478" w:type="dxa"/>
            <w:tcBorders>
              <w:top w:val="single" w:sz="4" w:space="0" w:color="auto"/>
              <w:left w:val="nil"/>
              <w:bottom w:val="single" w:sz="4" w:space="0" w:color="auto"/>
              <w:right w:val="nil"/>
            </w:tcBorders>
            <w:shd w:val="clear" w:color="auto" w:fill="auto"/>
            <w:noWrap/>
            <w:hideMark/>
          </w:tcPr>
          <w:p w14:paraId="65C1CA6B" w14:textId="34B7FAE5"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479" w:type="dxa"/>
            <w:tcBorders>
              <w:top w:val="single" w:sz="4" w:space="0" w:color="auto"/>
              <w:left w:val="single" w:sz="4" w:space="0" w:color="auto"/>
              <w:bottom w:val="single" w:sz="4" w:space="0" w:color="auto"/>
              <w:right w:val="single" w:sz="4" w:space="0" w:color="auto"/>
            </w:tcBorders>
          </w:tcPr>
          <w:p w14:paraId="567F4D53"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5CEA" w14:textId="38EE5536"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w:t>
            </w:r>
          </w:p>
        </w:tc>
      </w:tr>
      <w:tr w:rsidR="00BD44AB" w:rsidRPr="001A2E55" w14:paraId="555EF431" w14:textId="77777777" w:rsidTr="00B65FAE">
        <w:tc>
          <w:tcPr>
            <w:tcW w:w="3828" w:type="dxa"/>
            <w:tcBorders>
              <w:top w:val="nil"/>
              <w:left w:val="single" w:sz="4" w:space="0" w:color="auto"/>
              <w:bottom w:val="single" w:sz="4" w:space="0" w:color="auto"/>
              <w:right w:val="nil"/>
            </w:tcBorders>
            <w:shd w:val="clear" w:color="auto" w:fill="auto"/>
            <w:noWrap/>
            <w:vAlign w:val="center"/>
            <w:hideMark/>
          </w:tcPr>
          <w:p w14:paraId="19A1CA7A"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sz w:val="20"/>
                <w:szCs w:val="20"/>
                <w:lang w:val="es-ES"/>
              </w:rPr>
              <w:t>Viajes de la Presidencia del GECT</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EE160B7" w14:textId="3C9E6616"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574847BD" w14:textId="7A22D950"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0AF4EFDC" w14:textId="2FB4A79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9" w:type="dxa"/>
            <w:tcBorders>
              <w:top w:val="nil"/>
              <w:left w:val="nil"/>
              <w:bottom w:val="single" w:sz="4" w:space="0" w:color="auto"/>
              <w:right w:val="single" w:sz="4" w:space="0" w:color="auto"/>
            </w:tcBorders>
            <w:shd w:val="clear" w:color="auto" w:fill="auto"/>
            <w:noWrap/>
            <w:vAlign w:val="center"/>
            <w:hideMark/>
          </w:tcPr>
          <w:p w14:paraId="71A2885C" w14:textId="285D0E6F"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w:t>
            </w:r>
          </w:p>
        </w:tc>
        <w:tc>
          <w:tcPr>
            <w:tcW w:w="1478" w:type="dxa"/>
            <w:tcBorders>
              <w:top w:val="nil"/>
              <w:left w:val="nil"/>
              <w:bottom w:val="single" w:sz="4" w:space="0" w:color="auto"/>
              <w:right w:val="single" w:sz="4" w:space="0" w:color="auto"/>
            </w:tcBorders>
            <w:shd w:val="clear" w:color="auto" w:fill="auto"/>
            <w:noWrap/>
            <w:vAlign w:val="center"/>
            <w:hideMark/>
          </w:tcPr>
          <w:p w14:paraId="03562F88" w14:textId="2733397F"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w:t>
            </w:r>
          </w:p>
        </w:tc>
        <w:tc>
          <w:tcPr>
            <w:tcW w:w="1478" w:type="dxa"/>
            <w:tcBorders>
              <w:top w:val="nil"/>
              <w:left w:val="nil"/>
              <w:bottom w:val="single" w:sz="4" w:space="0" w:color="auto"/>
              <w:right w:val="nil"/>
            </w:tcBorders>
            <w:shd w:val="clear" w:color="auto" w:fill="auto"/>
            <w:noWrap/>
            <w:hideMark/>
          </w:tcPr>
          <w:p w14:paraId="1C6A1C7F" w14:textId="506B672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w:t>
            </w:r>
          </w:p>
        </w:tc>
        <w:tc>
          <w:tcPr>
            <w:tcW w:w="1479" w:type="dxa"/>
            <w:tcBorders>
              <w:top w:val="nil"/>
              <w:left w:val="single" w:sz="4" w:space="0" w:color="auto"/>
              <w:bottom w:val="single" w:sz="4" w:space="0" w:color="auto"/>
              <w:right w:val="single" w:sz="4" w:space="0" w:color="auto"/>
            </w:tcBorders>
          </w:tcPr>
          <w:p w14:paraId="2DD3EE6F" w14:textId="436097C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66ED7F0" w14:textId="38F15BD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BD44AB" w:rsidRPr="001A2E55" w14:paraId="4525D2A1" w14:textId="77777777" w:rsidTr="00AA7BD4">
        <w:tc>
          <w:tcPr>
            <w:tcW w:w="3828" w:type="dxa"/>
            <w:tcBorders>
              <w:top w:val="nil"/>
              <w:left w:val="single" w:sz="4" w:space="0" w:color="auto"/>
              <w:bottom w:val="nil"/>
              <w:right w:val="nil"/>
            </w:tcBorders>
            <w:shd w:val="clear" w:color="auto" w:fill="auto"/>
            <w:noWrap/>
            <w:vAlign w:val="center"/>
            <w:hideMark/>
          </w:tcPr>
          <w:p w14:paraId="36CAEC1F"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themeColor="text1"/>
                <w:sz w:val="20"/>
                <w:szCs w:val="20"/>
                <w:lang w:val="es-ES"/>
              </w:rPr>
              <w:t>Trabajo del GECT</w:t>
            </w:r>
          </w:p>
        </w:tc>
        <w:tc>
          <w:tcPr>
            <w:tcW w:w="1478" w:type="dxa"/>
            <w:tcBorders>
              <w:top w:val="nil"/>
              <w:left w:val="single" w:sz="4" w:space="0" w:color="auto"/>
              <w:bottom w:val="nil"/>
              <w:right w:val="single" w:sz="4" w:space="0" w:color="auto"/>
            </w:tcBorders>
            <w:shd w:val="clear" w:color="auto" w:fill="auto"/>
            <w:noWrap/>
            <w:vAlign w:val="center"/>
            <w:hideMark/>
          </w:tcPr>
          <w:p w14:paraId="21D11F74" w14:textId="016C70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c>
          <w:tcPr>
            <w:tcW w:w="1478" w:type="dxa"/>
            <w:tcBorders>
              <w:top w:val="nil"/>
              <w:left w:val="nil"/>
              <w:bottom w:val="nil"/>
              <w:right w:val="single" w:sz="4" w:space="0" w:color="auto"/>
            </w:tcBorders>
            <w:shd w:val="clear" w:color="auto" w:fill="auto"/>
            <w:noWrap/>
            <w:vAlign w:val="center"/>
            <w:hideMark/>
          </w:tcPr>
          <w:p w14:paraId="6EB075D6" w14:textId="37B6C6C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8" w:type="dxa"/>
            <w:tcBorders>
              <w:top w:val="nil"/>
              <w:left w:val="nil"/>
              <w:bottom w:val="nil"/>
              <w:right w:val="single" w:sz="4" w:space="0" w:color="auto"/>
            </w:tcBorders>
            <w:shd w:val="clear" w:color="auto" w:fill="auto"/>
            <w:noWrap/>
            <w:vAlign w:val="center"/>
            <w:hideMark/>
          </w:tcPr>
          <w:p w14:paraId="02A584A3" w14:textId="41666D52"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61</w:t>
            </w:r>
          </w:p>
        </w:tc>
        <w:tc>
          <w:tcPr>
            <w:tcW w:w="1479" w:type="dxa"/>
            <w:tcBorders>
              <w:top w:val="nil"/>
              <w:left w:val="nil"/>
              <w:bottom w:val="single" w:sz="4" w:space="0" w:color="auto"/>
              <w:right w:val="single" w:sz="4" w:space="0" w:color="auto"/>
            </w:tcBorders>
            <w:shd w:val="clear" w:color="auto" w:fill="auto"/>
            <w:noWrap/>
            <w:vAlign w:val="center"/>
            <w:hideMark/>
          </w:tcPr>
          <w:p w14:paraId="22DE184A" w14:textId="7990FBD4"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101</w:t>
            </w:r>
          </w:p>
        </w:tc>
        <w:tc>
          <w:tcPr>
            <w:tcW w:w="1478" w:type="dxa"/>
            <w:tcBorders>
              <w:top w:val="nil"/>
              <w:left w:val="nil"/>
              <w:bottom w:val="nil"/>
              <w:right w:val="single" w:sz="4" w:space="0" w:color="auto"/>
            </w:tcBorders>
            <w:shd w:val="clear" w:color="auto" w:fill="auto"/>
            <w:noWrap/>
            <w:vAlign w:val="center"/>
            <w:hideMark/>
          </w:tcPr>
          <w:p w14:paraId="3D5695C5" w14:textId="610B5678"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c>
          <w:tcPr>
            <w:tcW w:w="1478" w:type="dxa"/>
            <w:tcBorders>
              <w:top w:val="nil"/>
              <w:left w:val="nil"/>
              <w:bottom w:val="nil"/>
              <w:right w:val="nil"/>
            </w:tcBorders>
            <w:shd w:val="clear" w:color="auto" w:fill="auto"/>
            <w:noWrap/>
            <w:hideMark/>
          </w:tcPr>
          <w:p w14:paraId="3DBC6A9A" w14:textId="4441F04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9" w:type="dxa"/>
            <w:tcBorders>
              <w:top w:val="nil"/>
              <w:left w:val="single" w:sz="4" w:space="0" w:color="auto"/>
              <w:bottom w:val="nil"/>
              <w:right w:val="single" w:sz="4" w:space="0" w:color="auto"/>
            </w:tcBorders>
          </w:tcPr>
          <w:p w14:paraId="00526D17" w14:textId="30AB16F4"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9" w:type="dxa"/>
            <w:tcBorders>
              <w:top w:val="nil"/>
              <w:left w:val="single" w:sz="4" w:space="0" w:color="auto"/>
              <w:bottom w:val="nil"/>
              <w:right w:val="single" w:sz="4" w:space="0" w:color="auto"/>
            </w:tcBorders>
            <w:shd w:val="clear" w:color="auto" w:fill="auto"/>
            <w:noWrap/>
            <w:vAlign w:val="center"/>
            <w:hideMark/>
          </w:tcPr>
          <w:p w14:paraId="752FC858" w14:textId="3E8CA8F2"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14</w:t>
            </w:r>
          </w:p>
        </w:tc>
      </w:tr>
      <w:tr w:rsidR="00BD44AB" w:rsidRPr="001A2E55" w14:paraId="275DE5ED" w14:textId="77777777" w:rsidTr="005C3A13">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70E39B0" w14:textId="131D6AE9"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sz w:val="20"/>
                <w:szCs w:val="20"/>
                <w:lang w:val="es-ES"/>
              </w:rPr>
              <w:t>Reuniones del GECT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EE8D" w14:textId="30DB289A"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C177A5B" w14:textId="49575BDA"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BBDB473" w14:textId="35266E6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w:t>
            </w:r>
          </w:p>
        </w:tc>
        <w:tc>
          <w:tcPr>
            <w:tcW w:w="1479" w:type="dxa"/>
            <w:tcBorders>
              <w:top w:val="nil"/>
              <w:left w:val="nil"/>
              <w:bottom w:val="single" w:sz="4" w:space="0" w:color="auto"/>
              <w:right w:val="single" w:sz="4" w:space="0" w:color="auto"/>
            </w:tcBorders>
            <w:shd w:val="clear" w:color="auto" w:fill="auto"/>
            <w:noWrap/>
            <w:vAlign w:val="center"/>
            <w:hideMark/>
          </w:tcPr>
          <w:p w14:paraId="57C06CE1" w14:textId="738A6896"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C1DCA0F" w14:textId="3561A90A"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67</w:t>
            </w:r>
          </w:p>
        </w:tc>
        <w:tc>
          <w:tcPr>
            <w:tcW w:w="1478" w:type="dxa"/>
            <w:tcBorders>
              <w:top w:val="single" w:sz="4" w:space="0" w:color="auto"/>
              <w:left w:val="nil"/>
              <w:bottom w:val="single" w:sz="4" w:space="0" w:color="auto"/>
              <w:right w:val="nil"/>
            </w:tcBorders>
            <w:shd w:val="clear" w:color="auto" w:fill="auto"/>
            <w:noWrap/>
            <w:hideMark/>
          </w:tcPr>
          <w:p w14:paraId="6DDD5E83" w14:textId="287736BB"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43</w:t>
            </w:r>
          </w:p>
        </w:tc>
        <w:tc>
          <w:tcPr>
            <w:tcW w:w="1479" w:type="dxa"/>
            <w:tcBorders>
              <w:top w:val="single" w:sz="4" w:space="0" w:color="auto"/>
              <w:left w:val="single" w:sz="4" w:space="0" w:color="auto"/>
              <w:bottom w:val="single" w:sz="4" w:space="0" w:color="auto"/>
              <w:right w:val="single" w:sz="4" w:space="0" w:color="auto"/>
            </w:tcBorders>
          </w:tcPr>
          <w:p w14:paraId="607FC937" w14:textId="007B5D8F"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261D" w14:textId="5D199E5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BD44AB" w:rsidRPr="001A2E55" w14:paraId="07BED70C" w14:textId="77777777" w:rsidTr="0054245D">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4A8233"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Quinto Plan Estratégico (2022 - 2024)</w:t>
            </w:r>
          </w:p>
        </w:tc>
        <w:tc>
          <w:tcPr>
            <w:tcW w:w="1478" w:type="dxa"/>
            <w:tcBorders>
              <w:top w:val="nil"/>
              <w:left w:val="nil"/>
              <w:bottom w:val="single" w:sz="4" w:space="0" w:color="auto"/>
              <w:right w:val="single" w:sz="4" w:space="0" w:color="auto"/>
            </w:tcBorders>
            <w:shd w:val="clear" w:color="auto" w:fill="auto"/>
            <w:noWrap/>
            <w:vAlign w:val="center"/>
            <w:hideMark/>
          </w:tcPr>
          <w:p w14:paraId="3D71B4D8" w14:textId="4581E32C"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E33A5E6" w14:textId="28B17708"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E7043D2" w14:textId="45BEC1C0"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9" w:type="dxa"/>
            <w:tcBorders>
              <w:top w:val="nil"/>
              <w:left w:val="nil"/>
              <w:bottom w:val="single" w:sz="4" w:space="0" w:color="auto"/>
              <w:right w:val="single" w:sz="4" w:space="0" w:color="auto"/>
            </w:tcBorders>
            <w:shd w:val="clear" w:color="auto" w:fill="auto"/>
            <w:noWrap/>
            <w:vAlign w:val="center"/>
            <w:hideMark/>
          </w:tcPr>
          <w:p w14:paraId="23E68BE8" w14:textId="3B7B116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8" w:type="dxa"/>
            <w:tcBorders>
              <w:top w:val="nil"/>
              <w:left w:val="nil"/>
              <w:bottom w:val="single" w:sz="4" w:space="0" w:color="auto"/>
              <w:right w:val="single" w:sz="4" w:space="0" w:color="auto"/>
            </w:tcBorders>
            <w:shd w:val="clear" w:color="auto" w:fill="auto"/>
            <w:noWrap/>
            <w:vAlign w:val="center"/>
            <w:hideMark/>
          </w:tcPr>
          <w:p w14:paraId="5E921B18" w14:textId="6EFD24F1"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23</w:t>
            </w:r>
          </w:p>
        </w:tc>
        <w:tc>
          <w:tcPr>
            <w:tcW w:w="1478" w:type="dxa"/>
            <w:tcBorders>
              <w:top w:val="nil"/>
              <w:left w:val="nil"/>
              <w:bottom w:val="single" w:sz="4" w:space="0" w:color="auto"/>
              <w:right w:val="nil"/>
            </w:tcBorders>
            <w:shd w:val="clear" w:color="auto" w:fill="auto"/>
            <w:noWrap/>
            <w:hideMark/>
          </w:tcPr>
          <w:p w14:paraId="2626636D" w14:textId="2AD8488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single" w:sz="4" w:space="0" w:color="auto"/>
              <w:bottom w:val="single" w:sz="4" w:space="0" w:color="auto"/>
              <w:right w:val="single" w:sz="4" w:space="0" w:color="auto"/>
            </w:tcBorders>
          </w:tcPr>
          <w:p w14:paraId="29C1222B"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1488FBA" w14:textId="6F3F156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r>
      <w:tr w:rsidR="00BD44AB" w:rsidRPr="001A2E55" w14:paraId="110D418F" w14:textId="77777777" w:rsidTr="00831DE9">
        <w:tc>
          <w:tcPr>
            <w:tcW w:w="3828" w:type="dxa"/>
            <w:tcBorders>
              <w:top w:val="nil"/>
              <w:left w:val="single" w:sz="4" w:space="0" w:color="auto"/>
              <w:bottom w:val="nil"/>
              <w:right w:val="nil"/>
            </w:tcBorders>
            <w:shd w:val="clear" w:color="auto" w:fill="auto"/>
            <w:noWrap/>
            <w:vAlign w:val="center"/>
            <w:hideMark/>
          </w:tcPr>
          <w:p w14:paraId="3F4CA03B" w14:textId="77777777" w:rsidR="00BD44AB" w:rsidRPr="001A2E55" w:rsidRDefault="00BD44AB" w:rsidP="00BD44AB">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ODS 6.61 (Inventarios)</w:t>
            </w:r>
          </w:p>
        </w:tc>
        <w:tc>
          <w:tcPr>
            <w:tcW w:w="1478" w:type="dxa"/>
            <w:tcBorders>
              <w:top w:val="nil"/>
              <w:left w:val="single" w:sz="4" w:space="0" w:color="auto"/>
              <w:bottom w:val="nil"/>
              <w:right w:val="single" w:sz="4" w:space="0" w:color="auto"/>
            </w:tcBorders>
            <w:shd w:val="clear" w:color="auto" w:fill="auto"/>
            <w:noWrap/>
            <w:vAlign w:val="center"/>
            <w:hideMark/>
          </w:tcPr>
          <w:p w14:paraId="79ABCC19" w14:textId="78C7BBE3"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4EC1E506" w14:textId="448E5A79"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7F7C0073" w14:textId="231B834E"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42</w:t>
            </w:r>
          </w:p>
        </w:tc>
        <w:tc>
          <w:tcPr>
            <w:tcW w:w="1479" w:type="dxa"/>
            <w:tcBorders>
              <w:top w:val="nil"/>
              <w:left w:val="nil"/>
              <w:bottom w:val="nil"/>
              <w:right w:val="single" w:sz="4" w:space="0" w:color="auto"/>
            </w:tcBorders>
            <w:shd w:val="clear" w:color="auto" w:fill="auto"/>
            <w:noWrap/>
            <w:vAlign w:val="center"/>
            <w:hideMark/>
          </w:tcPr>
          <w:p w14:paraId="532A43D9" w14:textId="33CAB888"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42</w:t>
            </w:r>
          </w:p>
        </w:tc>
        <w:tc>
          <w:tcPr>
            <w:tcW w:w="1478" w:type="dxa"/>
            <w:tcBorders>
              <w:top w:val="nil"/>
              <w:left w:val="nil"/>
              <w:bottom w:val="nil"/>
              <w:right w:val="single" w:sz="4" w:space="0" w:color="auto"/>
            </w:tcBorders>
            <w:shd w:val="clear" w:color="auto" w:fill="auto"/>
            <w:noWrap/>
            <w:vAlign w:val="center"/>
            <w:hideMark/>
          </w:tcPr>
          <w:p w14:paraId="1779B047" w14:textId="7E58074D"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8" w:type="dxa"/>
            <w:tcBorders>
              <w:top w:val="nil"/>
              <w:left w:val="nil"/>
              <w:bottom w:val="single" w:sz="4" w:space="0" w:color="auto"/>
              <w:right w:val="nil"/>
            </w:tcBorders>
            <w:shd w:val="clear" w:color="auto" w:fill="auto"/>
            <w:noWrap/>
            <w:hideMark/>
          </w:tcPr>
          <w:p w14:paraId="326C6278" w14:textId="7F01DC32"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479" w:type="dxa"/>
            <w:tcBorders>
              <w:top w:val="nil"/>
              <w:left w:val="single" w:sz="4" w:space="0" w:color="auto"/>
              <w:bottom w:val="nil"/>
              <w:right w:val="single" w:sz="4" w:space="0" w:color="auto"/>
            </w:tcBorders>
          </w:tcPr>
          <w:p w14:paraId="030A64CC" w14:textId="77777777"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40C9995C" w14:textId="3550EA48" w:rsidR="00BD44AB" w:rsidRPr="001A2E55" w:rsidRDefault="00BD44AB" w:rsidP="00BD44AB">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r>
      <w:tr w:rsidR="0055073A" w:rsidRPr="00F81E8B" w14:paraId="273D4B7A" w14:textId="77777777" w:rsidTr="00522338">
        <w:tc>
          <w:tcPr>
            <w:tcW w:w="15655" w:type="dxa"/>
            <w:gridSpan w:val="9"/>
            <w:tcBorders>
              <w:top w:val="single" w:sz="4" w:space="0" w:color="auto"/>
            </w:tcBorders>
            <w:shd w:val="clear" w:color="auto" w:fill="auto"/>
            <w:noWrap/>
            <w:vAlign w:val="center"/>
          </w:tcPr>
          <w:p w14:paraId="35A21CF2" w14:textId="2152F089" w:rsidR="0055073A" w:rsidRPr="001A2E55" w:rsidRDefault="0055073A" w:rsidP="00522338">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xml:space="preserve">* </w:t>
            </w:r>
            <w:r w:rsidR="00BD44AB" w:rsidRPr="001A2E55">
              <w:rPr>
                <w:rFonts w:asciiTheme="minorHAnsi" w:eastAsia="Times New Roman" w:hAnsiTheme="minorHAnsi" w:cstheme="minorHAnsi"/>
                <w:noProof/>
                <w:sz w:val="20"/>
                <w:szCs w:val="20"/>
                <w:lang w:val="es-ES" w:eastAsia="en-GB"/>
              </w:rPr>
              <w:t>Esta partida presenta un exceso debido a la celebración de dos reuniones del GECT en 2024, ya que la reunión presupuestada para 2025 se celebrará en diciembre de 2024</w:t>
            </w:r>
            <w:r w:rsidRPr="001A2E55">
              <w:rPr>
                <w:rFonts w:asciiTheme="minorHAnsi" w:eastAsia="Times New Roman" w:hAnsiTheme="minorHAnsi" w:cstheme="minorHAnsi"/>
                <w:noProof/>
                <w:sz w:val="20"/>
                <w:szCs w:val="20"/>
                <w:lang w:val="es-ES" w:eastAsia="en-GB"/>
              </w:rPr>
              <w:t>.</w:t>
            </w:r>
          </w:p>
        </w:tc>
      </w:tr>
      <w:tr w:rsidR="003F45FC" w:rsidRPr="001A2E55" w14:paraId="38552166" w14:textId="77777777" w:rsidTr="00241414">
        <w:tc>
          <w:tcPr>
            <w:tcW w:w="3828" w:type="dxa"/>
            <w:tcBorders>
              <w:top w:val="single" w:sz="4" w:space="0" w:color="auto"/>
              <w:left w:val="single" w:sz="4" w:space="0" w:color="auto"/>
              <w:bottom w:val="single" w:sz="4" w:space="0" w:color="auto"/>
              <w:right w:val="nil"/>
            </w:tcBorders>
            <w:shd w:val="clear" w:color="auto" w:fill="auto"/>
            <w:noWrap/>
            <w:hideMark/>
          </w:tcPr>
          <w:p w14:paraId="4498BAFA" w14:textId="77777777" w:rsidR="003F45FC" w:rsidRPr="001A2E55" w:rsidRDefault="003F45FC" w:rsidP="003F45FC">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lastRenderedPageBreak/>
              <w:t>Servicio de Información sobre Sitios Ramsar (mantenimiento y desarrollo)</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F338" w14:textId="7D8C592D"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A04827C" w14:textId="788E0CC6"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A0EB266" w14:textId="4AB723ED"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63</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0DEEDB7" w14:textId="26CFFA3D"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123</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52464C" w14:textId="3DD8417D"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c>
          <w:tcPr>
            <w:tcW w:w="1478" w:type="dxa"/>
            <w:tcBorders>
              <w:top w:val="nil"/>
              <w:left w:val="nil"/>
              <w:bottom w:val="single" w:sz="4" w:space="0" w:color="auto"/>
              <w:right w:val="nil"/>
            </w:tcBorders>
            <w:shd w:val="clear" w:color="auto" w:fill="auto"/>
            <w:noWrap/>
            <w:vAlign w:val="center"/>
            <w:hideMark/>
          </w:tcPr>
          <w:p w14:paraId="265F89A8" w14:textId="581739B8"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25</w:t>
            </w:r>
          </w:p>
        </w:tc>
        <w:tc>
          <w:tcPr>
            <w:tcW w:w="1479" w:type="dxa"/>
            <w:tcBorders>
              <w:top w:val="single" w:sz="4" w:space="0" w:color="auto"/>
              <w:left w:val="single" w:sz="4" w:space="0" w:color="auto"/>
              <w:bottom w:val="single" w:sz="4" w:space="0" w:color="auto"/>
              <w:right w:val="single" w:sz="4" w:space="0" w:color="auto"/>
            </w:tcBorders>
            <w:vAlign w:val="center"/>
          </w:tcPr>
          <w:p w14:paraId="3A30C6C7" w14:textId="77777777"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68479" w14:textId="506B3A05"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w:t>
            </w:r>
          </w:p>
        </w:tc>
      </w:tr>
      <w:tr w:rsidR="003F45FC" w:rsidRPr="001A2E55" w14:paraId="6995ED6F" w14:textId="77777777" w:rsidTr="00771C36">
        <w:tc>
          <w:tcPr>
            <w:tcW w:w="3828" w:type="dxa"/>
            <w:tcBorders>
              <w:left w:val="single" w:sz="4" w:space="0" w:color="auto"/>
              <w:bottom w:val="single" w:sz="4" w:space="0" w:color="auto"/>
              <w:right w:val="nil"/>
            </w:tcBorders>
            <w:shd w:val="clear" w:color="auto" w:fill="auto"/>
            <w:noWrap/>
          </w:tcPr>
          <w:p w14:paraId="588D905F" w14:textId="77777777" w:rsidR="003F45FC" w:rsidRPr="001A2E55" w:rsidRDefault="003F45FC" w:rsidP="003F45FC">
            <w:pPr>
              <w:ind w:left="0" w:firstLine="0"/>
              <w:rPr>
                <w:rFonts w:asciiTheme="minorHAnsi" w:hAnsiTheme="minorHAnsi" w:cstheme="minorHAnsi"/>
                <w:bCs/>
                <w:noProof/>
                <w:sz w:val="20"/>
                <w:szCs w:val="20"/>
                <w:lang w:val="es-ES"/>
              </w:rPr>
            </w:pPr>
            <w:r w:rsidRPr="001A2E55">
              <w:rPr>
                <w:rFonts w:asciiTheme="minorHAnsi" w:hAnsiTheme="minorHAnsi" w:cstheme="minorHAnsi"/>
                <w:bCs/>
                <w:noProof/>
                <w:sz w:val="20"/>
                <w:szCs w:val="20"/>
                <w:lang w:val="es-ES"/>
              </w:rPr>
              <w:t xml:space="preserve">Servicio de Información sobre Sitios Ramsar </w:t>
            </w:r>
          </w:p>
          <w:p w14:paraId="34EF213E" w14:textId="3C05761F" w:rsidR="003F45FC" w:rsidRPr="001A2E55" w:rsidRDefault="003F45FC" w:rsidP="003F45FC">
            <w:pPr>
              <w:ind w:left="0" w:firstLine="0"/>
              <w:rPr>
                <w:rFonts w:asciiTheme="minorHAnsi" w:hAnsiTheme="minorHAnsi" w:cstheme="minorHAnsi"/>
                <w:bCs/>
                <w:noProof/>
                <w:sz w:val="20"/>
                <w:szCs w:val="20"/>
                <w:lang w:val="es-ES"/>
              </w:rPr>
            </w:pPr>
            <w:r w:rsidRPr="001A2E55">
              <w:rPr>
                <w:rFonts w:asciiTheme="minorHAnsi" w:hAnsiTheme="minorHAnsi" w:cstheme="minorHAnsi"/>
                <w:bCs/>
                <w:noProof/>
                <w:sz w:val="20"/>
                <w:szCs w:val="20"/>
                <w:lang w:val="es-ES"/>
              </w:rPr>
              <w:t>(apoyo técnico para el trienio 2023-2025)</w:t>
            </w:r>
          </w:p>
        </w:tc>
        <w:tc>
          <w:tcPr>
            <w:tcW w:w="1478" w:type="dxa"/>
            <w:tcBorders>
              <w:left w:val="single" w:sz="4" w:space="0" w:color="auto"/>
              <w:bottom w:val="single" w:sz="4" w:space="0" w:color="auto"/>
              <w:right w:val="single" w:sz="4" w:space="0" w:color="auto"/>
            </w:tcBorders>
            <w:shd w:val="clear" w:color="auto" w:fill="auto"/>
            <w:noWrap/>
            <w:vAlign w:val="center"/>
          </w:tcPr>
          <w:p w14:paraId="54DB2389" w14:textId="61D5BA29"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left w:val="nil"/>
              <w:bottom w:val="single" w:sz="4" w:space="0" w:color="auto"/>
              <w:right w:val="single" w:sz="4" w:space="0" w:color="auto"/>
            </w:tcBorders>
            <w:shd w:val="clear" w:color="auto" w:fill="auto"/>
            <w:noWrap/>
            <w:vAlign w:val="center"/>
          </w:tcPr>
          <w:p w14:paraId="75EF1AB4" w14:textId="24460993"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left w:val="nil"/>
              <w:bottom w:val="single" w:sz="4" w:space="0" w:color="auto"/>
              <w:right w:val="single" w:sz="4" w:space="0" w:color="auto"/>
            </w:tcBorders>
            <w:shd w:val="clear" w:color="auto" w:fill="auto"/>
            <w:noWrap/>
            <w:vAlign w:val="center"/>
          </w:tcPr>
          <w:p w14:paraId="70E066B8" w14:textId="06F8962B"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90</w:t>
            </w:r>
          </w:p>
        </w:tc>
        <w:tc>
          <w:tcPr>
            <w:tcW w:w="1479" w:type="dxa"/>
            <w:tcBorders>
              <w:left w:val="nil"/>
              <w:bottom w:val="single" w:sz="4" w:space="0" w:color="auto"/>
              <w:right w:val="single" w:sz="4" w:space="0" w:color="auto"/>
            </w:tcBorders>
            <w:shd w:val="clear" w:color="auto" w:fill="auto"/>
            <w:noWrap/>
            <w:vAlign w:val="center"/>
          </w:tcPr>
          <w:p w14:paraId="6BD1A072" w14:textId="355FE5DF"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90</w:t>
            </w:r>
          </w:p>
        </w:tc>
        <w:tc>
          <w:tcPr>
            <w:tcW w:w="1478" w:type="dxa"/>
            <w:tcBorders>
              <w:left w:val="nil"/>
              <w:bottom w:val="single" w:sz="4" w:space="0" w:color="auto"/>
              <w:right w:val="single" w:sz="4" w:space="0" w:color="auto"/>
            </w:tcBorders>
            <w:shd w:val="clear" w:color="auto" w:fill="auto"/>
            <w:noWrap/>
            <w:vAlign w:val="center"/>
          </w:tcPr>
          <w:p w14:paraId="64051C24" w14:textId="678A0836"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w:t>
            </w:r>
          </w:p>
        </w:tc>
        <w:tc>
          <w:tcPr>
            <w:tcW w:w="1478" w:type="dxa"/>
            <w:tcBorders>
              <w:left w:val="nil"/>
              <w:bottom w:val="single" w:sz="4" w:space="0" w:color="auto"/>
              <w:right w:val="nil"/>
            </w:tcBorders>
            <w:shd w:val="clear" w:color="auto" w:fill="auto"/>
            <w:noWrap/>
            <w:vAlign w:val="center"/>
          </w:tcPr>
          <w:p w14:paraId="33156C1E" w14:textId="3C20C8A3" w:rsidR="003F45FC" w:rsidRPr="001A2E55" w:rsidDel="00084A3E"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25</w:t>
            </w:r>
          </w:p>
        </w:tc>
        <w:tc>
          <w:tcPr>
            <w:tcW w:w="1479" w:type="dxa"/>
            <w:tcBorders>
              <w:left w:val="single" w:sz="4" w:space="0" w:color="auto"/>
              <w:bottom w:val="single" w:sz="4" w:space="0" w:color="auto"/>
              <w:right w:val="single" w:sz="4" w:space="0" w:color="auto"/>
            </w:tcBorders>
            <w:vAlign w:val="center"/>
          </w:tcPr>
          <w:p w14:paraId="57E188F9" w14:textId="77777777" w:rsidR="003F45FC" w:rsidRPr="001A2E55" w:rsidRDefault="003F45FC" w:rsidP="003F45FC">
            <w:pPr>
              <w:ind w:left="0" w:firstLine="0"/>
              <w:jc w:val="right"/>
              <w:rPr>
                <w:rFonts w:asciiTheme="minorHAnsi" w:eastAsia="Times New Roman" w:hAnsiTheme="minorHAnsi" w:cstheme="minorHAnsi"/>
                <w:noProof/>
                <w:sz w:val="20"/>
                <w:szCs w:val="20"/>
                <w:lang w:val="es-ES" w:eastAsia="en-GB"/>
              </w:rPr>
            </w:pPr>
          </w:p>
        </w:tc>
        <w:tc>
          <w:tcPr>
            <w:tcW w:w="1479" w:type="dxa"/>
            <w:tcBorders>
              <w:left w:val="single" w:sz="4" w:space="0" w:color="auto"/>
              <w:bottom w:val="single" w:sz="4" w:space="0" w:color="auto"/>
              <w:right w:val="single" w:sz="4" w:space="0" w:color="auto"/>
            </w:tcBorders>
            <w:shd w:val="clear" w:color="auto" w:fill="auto"/>
            <w:noWrap/>
            <w:vAlign w:val="center"/>
          </w:tcPr>
          <w:p w14:paraId="02509CA4" w14:textId="21663F50" w:rsidR="003F45FC" w:rsidRPr="001A2E55" w:rsidDel="00084A3E" w:rsidRDefault="003F45FC" w:rsidP="003F45FC">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r>
      <w:tr w:rsidR="00361AA9" w:rsidRPr="001A2E55" w14:paraId="0E86C60F" w14:textId="77777777" w:rsidTr="00B523B1">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37C29B76" w14:textId="16520110"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xml:space="preserve">F.  </w:t>
            </w:r>
            <w:r w:rsidRPr="001A2E55">
              <w:rPr>
                <w:rFonts w:asciiTheme="minorHAnsi" w:hAnsiTheme="minorHAnsi" w:cstheme="minorHAnsi"/>
                <w:bCs/>
                <w:noProof/>
                <w:sz w:val="20"/>
                <w:szCs w:val="20"/>
                <w:lang w:val="es-ES"/>
              </w:rPr>
              <w:t>Administración/SISR/sitio web</w:t>
            </w:r>
          </w:p>
        </w:tc>
        <w:tc>
          <w:tcPr>
            <w:tcW w:w="1478" w:type="dxa"/>
            <w:tcBorders>
              <w:top w:val="nil"/>
              <w:left w:val="nil"/>
              <w:bottom w:val="single" w:sz="4" w:space="0" w:color="auto"/>
              <w:right w:val="single" w:sz="4" w:space="0" w:color="auto"/>
            </w:tcBorders>
            <w:shd w:val="clear" w:color="000000" w:fill="EAF1DD"/>
            <w:noWrap/>
            <w:vAlign w:val="center"/>
            <w:hideMark/>
          </w:tcPr>
          <w:p w14:paraId="3FD2CA12" w14:textId="1F99D20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478</w:t>
            </w:r>
          </w:p>
        </w:tc>
        <w:tc>
          <w:tcPr>
            <w:tcW w:w="1478" w:type="dxa"/>
            <w:tcBorders>
              <w:top w:val="nil"/>
              <w:left w:val="nil"/>
              <w:bottom w:val="single" w:sz="4" w:space="0" w:color="auto"/>
              <w:right w:val="single" w:sz="4" w:space="0" w:color="auto"/>
            </w:tcBorders>
            <w:shd w:val="clear" w:color="000000" w:fill="EAF1DD"/>
            <w:noWrap/>
            <w:vAlign w:val="center"/>
            <w:hideMark/>
          </w:tcPr>
          <w:p w14:paraId="149EE3F7" w14:textId="2E8F100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478" w:type="dxa"/>
            <w:tcBorders>
              <w:top w:val="nil"/>
              <w:left w:val="nil"/>
              <w:bottom w:val="single" w:sz="4" w:space="0" w:color="auto"/>
              <w:right w:val="single" w:sz="4" w:space="0" w:color="auto"/>
            </w:tcBorders>
            <w:shd w:val="clear" w:color="000000" w:fill="EAF1DD"/>
            <w:noWrap/>
            <w:vAlign w:val="center"/>
            <w:hideMark/>
          </w:tcPr>
          <w:p w14:paraId="2E9C42E3" w14:textId="0553E96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137</w:t>
            </w:r>
          </w:p>
        </w:tc>
        <w:tc>
          <w:tcPr>
            <w:tcW w:w="1479" w:type="dxa"/>
            <w:tcBorders>
              <w:top w:val="nil"/>
              <w:left w:val="nil"/>
              <w:bottom w:val="single" w:sz="4" w:space="0" w:color="auto"/>
              <w:right w:val="single" w:sz="4" w:space="0" w:color="auto"/>
            </w:tcBorders>
            <w:shd w:val="clear" w:color="000000" w:fill="EAF1DD"/>
            <w:noWrap/>
            <w:vAlign w:val="center"/>
            <w:hideMark/>
          </w:tcPr>
          <w:p w14:paraId="3BBED53B" w14:textId="42F49A3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626</w:t>
            </w:r>
          </w:p>
        </w:tc>
        <w:tc>
          <w:tcPr>
            <w:tcW w:w="1478" w:type="dxa"/>
            <w:tcBorders>
              <w:top w:val="nil"/>
              <w:left w:val="nil"/>
              <w:bottom w:val="single" w:sz="4" w:space="0" w:color="auto"/>
              <w:right w:val="single" w:sz="4" w:space="0" w:color="auto"/>
            </w:tcBorders>
            <w:shd w:val="clear" w:color="000000" w:fill="EAF1DD"/>
            <w:noWrap/>
            <w:vAlign w:val="center"/>
            <w:hideMark/>
          </w:tcPr>
          <w:p w14:paraId="23071F50" w14:textId="29E8E84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316</w:t>
            </w:r>
          </w:p>
        </w:tc>
        <w:tc>
          <w:tcPr>
            <w:tcW w:w="1478" w:type="dxa"/>
            <w:tcBorders>
              <w:top w:val="nil"/>
              <w:left w:val="nil"/>
              <w:bottom w:val="single" w:sz="4" w:space="0" w:color="auto"/>
              <w:right w:val="nil"/>
            </w:tcBorders>
            <w:shd w:val="clear" w:color="000000" w:fill="EAF1DD"/>
            <w:noWrap/>
            <w:hideMark/>
          </w:tcPr>
          <w:p w14:paraId="63490299" w14:textId="60A13DB2"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121</w:t>
            </w:r>
          </w:p>
        </w:tc>
        <w:tc>
          <w:tcPr>
            <w:tcW w:w="1479" w:type="dxa"/>
            <w:tcBorders>
              <w:top w:val="nil"/>
              <w:left w:val="nil"/>
              <w:bottom w:val="single" w:sz="4" w:space="0" w:color="auto"/>
              <w:right w:val="nil"/>
            </w:tcBorders>
            <w:shd w:val="clear" w:color="000000" w:fill="EAF1DD"/>
          </w:tcPr>
          <w:p w14:paraId="02F58CD0" w14:textId="464BC822"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(38)</w:t>
            </w:r>
          </w:p>
        </w:tc>
        <w:tc>
          <w:tcPr>
            <w:tcW w:w="1479" w:type="dxa"/>
            <w:tcBorders>
              <w:top w:val="nil"/>
              <w:left w:val="nil"/>
              <w:bottom w:val="single" w:sz="4" w:space="0" w:color="auto"/>
              <w:right w:val="single" w:sz="4" w:space="0" w:color="auto"/>
            </w:tcBorders>
            <w:shd w:val="clear" w:color="000000" w:fill="EAF1DD"/>
            <w:noWrap/>
            <w:vAlign w:val="center"/>
            <w:hideMark/>
          </w:tcPr>
          <w:p w14:paraId="2127CA40" w14:textId="76681E9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151</w:t>
            </w:r>
          </w:p>
        </w:tc>
      </w:tr>
      <w:tr w:rsidR="00361AA9" w:rsidRPr="001A2E55" w14:paraId="6EA66B3A" w14:textId="77777777" w:rsidTr="000D4FCD">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368D888"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C441" w14:textId="16A3B93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331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40CC35" w14:textId="3A39ACD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4E6B185" w14:textId="3E061C9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13511DB" w14:textId="4E8312B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339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BFAF6E5" w14:textId="24861EC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265</w:t>
            </w:r>
          </w:p>
        </w:tc>
        <w:tc>
          <w:tcPr>
            <w:tcW w:w="1478" w:type="dxa"/>
            <w:tcBorders>
              <w:top w:val="single" w:sz="4" w:space="0" w:color="auto"/>
              <w:left w:val="nil"/>
              <w:bottom w:val="single" w:sz="4" w:space="0" w:color="auto"/>
              <w:right w:val="nil"/>
            </w:tcBorders>
            <w:shd w:val="clear" w:color="auto" w:fill="auto"/>
            <w:noWrap/>
            <w:hideMark/>
          </w:tcPr>
          <w:p w14:paraId="75DE7E17" w14:textId="5A55D2B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90</w:t>
            </w:r>
          </w:p>
        </w:tc>
        <w:tc>
          <w:tcPr>
            <w:tcW w:w="1479" w:type="dxa"/>
            <w:tcBorders>
              <w:top w:val="single" w:sz="4" w:space="0" w:color="auto"/>
              <w:left w:val="single" w:sz="4" w:space="0" w:color="auto"/>
              <w:bottom w:val="single" w:sz="4" w:space="0" w:color="auto"/>
              <w:right w:val="single" w:sz="4" w:space="0" w:color="auto"/>
            </w:tcBorders>
          </w:tcPr>
          <w:p w14:paraId="73981C75" w14:textId="29809B9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A81F" w14:textId="7CF6785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68276F2F" w14:textId="77777777" w:rsidTr="001D65A3">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16C723B"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Costos de contratación y separación del personal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F31D" w14:textId="4664785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089636B" w14:textId="6707CA9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1B7FAE8" w14:textId="3039C0E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36</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A21537F" w14:textId="2FB22D71"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B8D1856" w14:textId="6EEF1A9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8" w:type="dxa"/>
            <w:tcBorders>
              <w:top w:val="single" w:sz="4" w:space="0" w:color="auto"/>
              <w:left w:val="nil"/>
              <w:bottom w:val="single" w:sz="4" w:space="0" w:color="auto"/>
              <w:right w:val="single" w:sz="4" w:space="0" w:color="auto"/>
            </w:tcBorders>
            <w:shd w:val="clear" w:color="auto" w:fill="auto"/>
            <w:noWrap/>
            <w:hideMark/>
          </w:tcPr>
          <w:p w14:paraId="7EEB75FA" w14:textId="5AE1D13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20</w:t>
            </w:r>
          </w:p>
        </w:tc>
        <w:tc>
          <w:tcPr>
            <w:tcW w:w="1479" w:type="dxa"/>
            <w:tcBorders>
              <w:top w:val="single" w:sz="4" w:space="0" w:color="auto"/>
              <w:left w:val="single" w:sz="4" w:space="0" w:color="auto"/>
              <w:bottom w:val="single" w:sz="4" w:space="0" w:color="auto"/>
              <w:right w:val="single" w:sz="4" w:space="0" w:color="auto"/>
            </w:tcBorders>
          </w:tcPr>
          <w:p w14:paraId="2A19F6C0"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BF233" w14:textId="1C6846E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w:t>
            </w:r>
          </w:p>
        </w:tc>
      </w:tr>
      <w:tr w:rsidR="00361AA9" w:rsidRPr="001A2E55" w14:paraId="15F4B6B2" w14:textId="77777777" w:rsidTr="00F20B56">
        <w:tc>
          <w:tcPr>
            <w:tcW w:w="3828" w:type="dxa"/>
            <w:tcBorders>
              <w:top w:val="nil"/>
              <w:left w:val="single" w:sz="4" w:space="0" w:color="auto"/>
              <w:bottom w:val="single" w:sz="4" w:space="0" w:color="auto"/>
              <w:right w:val="nil"/>
            </w:tcBorders>
            <w:shd w:val="clear" w:color="auto" w:fill="auto"/>
            <w:noWrap/>
            <w:vAlign w:val="center"/>
            <w:hideMark/>
          </w:tcPr>
          <w:p w14:paraId="4BE1440D"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BFC88BB" w14:textId="24B09C2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21637E3" w14:textId="62F408B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96AE404" w14:textId="5D4F4C3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44BA6484" w14:textId="21180CC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3DAEE77B" w14:textId="1241FDE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nil"/>
            </w:tcBorders>
            <w:shd w:val="clear" w:color="auto" w:fill="auto"/>
            <w:noWrap/>
            <w:hideMark/>
          </w:tcPr>
          <w:p w14:paraId="79F3371E" w14:textId="08B7664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tcPr>
          <w:p w14:paraId="02966726"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EFFC9FC" w14:textId="2923559C"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356A0727" w14:textId="77777777" w:rsidTr="00A530F0">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8119597" w14:textId="796814CA"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sz w:val="20"/>
                <w:szCs w:val="20"/>
                <w:lang w:val="es-ES"/>
              </w:rPr>
              <w:t>Equipo</w:t>
            </w:r>
            <w:r w:rsidR="00894E14" w:rsidRPr="001A2E55">
              <w:rPr>
                <w:rFonts w:asciiTheme="minorHAnsi" w:eastAsiaTheme="minorHAnsi" w:hAnsiTheme="minorHAnsi" w:cstheme="minorHAnsi"/>
                <w:noProof/>
                <w:sz w:val="20"/>
                <w:szCs w:val="20"/>
                <w:lang w:val="es-ES"/>
              </w:rPr>
              <w:t xml:space="preserve"> y suministros</w:t>
            </w:r>
            <w:r w:rsidRPr="001A2E55">
              <w:rPr>
                <w:rFonts w:asciiTheme="minorHAnsi" w:eastAsiaTheme="minorHAnsi" w:hAnsiTheme="minorHAnsi" w:cstheme="minorHAnsi"/>
                <w:noProof/>
                <w:sz w:val="20"/>
                <w:szCs w:val="20"/>
                <w:lang w:val="es-ES"/>
              </w:rPr>
              <w:t xml:space="preserve"> de oficina</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B446" w14:textId="66EB824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AA4A2EB" w14:textId="46CF3C51"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90AE1C5" w14:textId="04CC469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28</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1841895" w14:textId="16B12B2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123</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AFFA0C" w14:textId="5F16CA6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33</w:t>
            </w:r>
          </w:p>
        </w:tc>
        <w:tc>
          <w:tcPr>
            <w:tcW w:w="1478" w:type="dxa"/>
            <w:tcBorders>
              <w:top w:val="single" w:sz="4" w:space="0" w:color="auto"/>
              <w:left w:val="nil"/>
              <w:bottom w:val="single" w:sz="4" w:space="0" w:color="auto"/>
              <w:right w:val="nil"/>
            </w:tcBorders>
            <w:shd w:val="clear" w:color="auto" w:fill="auto"/>
            <w:noWrap/>
            <w:hideMark/>
          </w:tcPr>
          <w:p w14:paraId="41188A2E" w14:textId="5077B98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479" w:type="dxa"/>
            <w:tcBorders>
              <w:top w:val="single" w:sz="4" w:space="0" w:color="auto"/>
              <w:left w:val="single" w:sz="4" w:space="0" w:color="auto"/>
              <w:bottom w:val="single" w:sz="4" w:space="0" w:color="auto"/>
              <w:right w:val="single" w:sz="4" w:space="0" w:color="auto"/>
            </w:tcBorders>
          </w:tcPr>
          <w:p w14:paraId="6579EF3C" w14:textId="70B8C5B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B98D" w14:textId="70FA1E2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r>
      <w:tr w:rsidR="00361AA9" w:rsidRPr="001A2E55" w14:paraId="6ECC6782" w14:textId="77777777" w:rsidTr="00A15930">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FA12E19"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Planificación y creación de capacidad</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4123" w14:textId="40A60061"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B399D34" w14:textId="541952C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50A44A" w14:textId="591579F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65</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1CBB80E7" w14:textId="6CB96A6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76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04CE579" w14:textId="5C03BC9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w:t>
            </w:r>
          </w:p>
        </w:tc>
        <w:tc>
          <w:tcPr>
            <w:tcW w:w="1478" w:type="dxa"/>
            <w:tcBorders>
              <w:top w:val="single" w:sz="4" w:space="0" w:color="auto"/>
              <w:left w:val="nil"/>
              <w:bottom w:val="single" w:sz="4" w:space="0" w:color="auto"/>
              <w:right w:val="nil"/>
            </w:tcBorders>
            <w:shd w:val="clear" w:color="auto" w:fill="auto"/>
            <w:noWrap/>
            <w:hideMark/>
          </w:tcPr>
          <w:p w14:paraId="010C3EB5" w14:textId="726AE76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w:t>
            </w:r>
          </w:p>
        </w:tc>
        <w:tc>
          <w:tcPr>
            <w:tcW w:w="1479" w:type="dxa"/>
            <w:tcBorders>
              <w:top w:val="single" w:sz="4" w:space="0" w:color="auto"/>
              <w:left w:val="single" w:sz="4" w:space="0" w:color="auto"/>
              <w:bottom w:val="single" w:sz="4" w:space="0" w:color="auto"/>
              <w:right w:val="single" w:sz="4" w:space="0" w:color="auto"/>
            </w:tcBorders>
          </w:tcPr>
          <w:p w14:paraId="4DCE60DF"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730EB" w14:textId="3BB489F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r>
      <w:tr w:rsidR="00361AA9" w:rsidRPr="001A2E55" w14:paraId="79AD6D8A" w14:textId="77777777" w:rsidTr="00544891">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32ABD2A6" w14:textId="7EE5357B"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xml:space="preserve">G. </w:t>
            </w:r>
            <w:r w:rsidRPr="001A2E55">
              <w:rPr>
                <w:rFonts w:asciiTheme="minorHAnsi" w:hAnsiTheme="minorHAnsi" w:cstheme="minorHAnsi"/>
                <w:bCs/>
                <w:noProof/>
                <w:sz w:val="20"/>
                <w:szCs w:val="20"/>
                <w:lang w:val="es-ES"/>
              </w:rPr>
              <w:t>Servicios para el Comité Permanente</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4BD0965" w14:textId="215C08F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31E080F" w14:textId="66E0309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2281346" w14:textId="4531D1E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41</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26782685" w14:textId="0E7CBAA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191</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A6A77BB" w14:textId="78BB1D3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178</w:t>
            </w:r>
          </w:p>
        </w:tc>
        <w:tc>
          <w:tcPr>
            <w:tcW w:w="1478" w:type="dxa"/>
            <w:tcBorders>
              <w:top w:val="single" w:sz="4" w:space="0" w:color="auto"/>
              <w:left w:val="nil"/>
              <w:bottom w:val="single" w:sz="4" w:space="0" w:color="auto"/>
              <w:right w:val="nil"/>
            </w:tcBorders>
            <w:shd w:val="clear" w:color="000000" w:fill="EAF1DD"/>
            <w:noWrap/>
            <w:hideMark/>
          </w:tcPr>
          <w:p w14:paraId="118042B6" w14:textId="5A21EC9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63</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008C0AAD" w14:textId="1A1CF4D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84</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7823810" w14:textId="28D0747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r>
      <w:tr w:rsidR="00361AA9" w:rsidRPr="001A2E55" w14:paraId="35B22BC2" w14:textId="77777777" w:rsidTr="00007CE2">
        <w:tc>
          <w:tcPr>
            <w:tcW w:w="3828" w:type="dxa"/>
            <w:tcBorders>
              <w:top w:val="nil"/>
              <w:left w:val="single" w:sz="4" w:space="0" w:color="auto"/>
              <w:bottom w:val="nil"/>
              <w:right w:val="nil"/>
            </w:tcBorders>
            <w:shd w:val="clear" w:color="auto" w:fill="auto"/>
            <w:noWrap/>
            <w:vAlign w:val="center"/>
            <w:hideMark/>
          </w:tcPr>
          <w:p w14:paraId="0D504787"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Apoyo a los delegados del Comité Permanente</w:t>
            </w:r>
          </w:p>
        </w:tc>
        <w:tc>
          <w:tcPr>
            <w:tcW w:w="1478" w:type="dxa"/>
            <w:tcBorders>
              <w:top w:val="nil"/>
              <w:left w:val="single" w:sz="4" w:space="0" w:color="auto"/>
              <w:bottom w:val="nil"/>
              <w:right w:val="single" w:sz="4" w:space="0" w:color="auto"/>
            </w:tcBorders>
            <w:shd w:val="clear" w:color="auto" w:fill="auto"/>
            <w:noWrap/>
            <w:vAlign w:val="center"/>
            <w:hideMark/>
          </w:tcPr>
          <w:p w14:paraId="5BD4AFA0" w14:textId="2BB8DEE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45</w:t>
            </w:r>
          </w:p>
        </w:tc>
        <w:tc>
          <w:tcPr>
            <w:tcW w:w="1478" w:type="dxa"/>
            <w:tcBorders>
              <w:top w:val="nil"/>
              <w:left w:val="nil"/>
              <w:bottom w:val="nil"/>
              <w:right w:val="single" w:sz="4" w:space="0" w:color="auto"/>
            </w:tcBorders>
            <w:shd w:val="clear" w:color="auto" w:fill="auto"/>
            <w:noWrap/>
            <w:vAlign w:val="center"/>
            <w:hideMark/>
          </w:tcPr>
          <w:p w14:paraId="09628610" w14:textId="0E8DD64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23BDCDBC" w14:textId="2BE4535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438A686F" w14:textId="4167363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45</w:t>
            </w:r>
          </w:p>
        </w:tc>
        <w:tc>
          <w:tcPr>
            <w:tcW w:w="1478" w:type="dxa"/>
            <w:tcBorders>
              <w:top w:val="nil"/>
              <w:left w:val="nil"/>
              <w:bottom w:val="nil"/>
              <w:right w:val="single" w:sz="4" w:space="0" w:color="auto"/>
            </w:tcBorders>
            <w:shd w:val="clear" w:color="auto" w:fill="auto"/>
            <w:noWrap/>
            <w:vAlign w:val="center"/>
            <w:hideMark/>
          </w:tcPr>
          <w:p w14:paraId="2FD53A93" w14:textId="5AA83D6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8" w:type="dxa"/>
            <w:tcBorders>
              <w:top w:val="nil"/>
              <w:left w:val="nil"/>
              <w:bottom w:val="nil"/>
              <w:right w:val="nil"/>
            </w:tcBorders>
            <w:shd w:val="clear" w:color="auto" w:fill="auto"/>
            <w:noWrap/>
            <w:hideMark/>
          </w:tcPr>
          <w:p w14:paraId="2234E17C" w14:textId="36E580E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single" w:sz="4" w:space="0" w:color="auto"/>
              <w:bottom w:val="nil"/>
              <w:right w:val="single" w:sz="4" w:space="0" w:color="auto"/>
            </w:tcBorders>
          </w:tcPr>
          <w:p w14:paraId="61BB21D8" w14:textId="75D0EC8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479" w:type="dxa"/>
            <w:tcBorders>
              <w:top w:val="nil"/>
              <w:left w:val="single" w:sz="4" w:space="0" w:color="auto"/>
              <w:bottom w:val="nil"/>
              <w:right w:val="single" w:sz="4" w:space="0" w:color="auto"/>
            </w:tcBorders>
            <w:shd w:val="clear" w:color="auto" w:fill="auto"/>
            <w:noWrap/>
            <w:vAlign w:val="center"/>
            <w:hideMark/>
          </w:tcPr>
          <w:p w14:paraId="630E4677" w14:textId="3B6EB82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18497293" w14:textId="77777777" w:rsidTr="00461CB3">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F4573DE"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Reuniones del Comité Permanente</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BC93" w14:textId="5DF36C41"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DA144B1" w14:textId="5D5C2682"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ED52CB8" w14:textId="72892CB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3215055" w14:textId="6493EFB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0139D47" w14:textId="675B5ED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37</w:t>
            </w:r>
          </w:p>
        </w:tc>
        <w:tc>
          <w:tcPr>
            <w:tcW w:w="1478" w:type="dxa"/>
            <w:tcBorders>
              <w:top w:val="single" w:sz="4" w:space="0" w:color="auto"/>
              <w:left w:val="nil"/>
              <w:bottom w:val="single" w:sz="4" w:space="0" w:color="auto"/>
              <w:right w:val="nil"/>
            </w:tcBorders>
            <w:shd w:val="clear" w:color="auto" w:fill="auto"/>
            <w:noWrap/>
            <w:hideMark/>
          </w:tcPr>
          <w:p w14:paraId="1B8582D0" w14:textId="7536DAF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6BF82D1E" w14:textId="02D9DDE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C3A6" w14:textId="2437DAC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4EB81782" w14:textId="77777777" w:rsidTr="003A0480">
        <w:tc>
          <w:tcPr>
            <w:tcW w:w="3828" w:type="dxa"/>
            <w:tcBorders>
              <w:top w:val="nil"/>
              <w:left w:val="single" w:sz="4" w:space="0" w:color="auto"/>
              <w:bottom w:val="single" w:sz="4" w:space="0" w:color="auto"/>
              <w:right w:val="nil"/>
            </w:tcBorders>
            <w:shd w:val="clear" w:color="auto" w:fill="auto"/>
            <w:noWrap/>
            <w:vAlign w:val="center"/>
            <w:hideMark/>
          </w:tcPr>
          <w:p w14:paraId="54BD3EE1" w14:textId="599F347B"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 xml:space="preserve">Traducción para las reuniones del </w:t>
            </w:r>
            <w:r w:rsidR="00E84B6F" w:rsidRPr="001A2E55">
              <w:rPr>
                <w:rFonts w:asciiTheme="minorHAnsi" w:hAnsiTheme="minorHAnsi" w:cstheme="minorHAnsi"/>
                <w:bCs/>
                <w:noProof/>
                <w:sz w:val="20"/>
                <w:szCs w:val="20"/>
                <w:lang w:val="es-ES"/>
              </w:rPr>
              <w:t>Comité Permanente</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B221088" w14:textId="3E68368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8" w:type="dxa"/>
            <w:tcBorders>
              <w:top w:val="nil"/>
              <w:left w:val="nil"/>
              <w:bottom w:val="single" w:sz="4" w:space="0" w:color="auto"/>
              <w:right w:val="single" w:sz="4" w:space="0" w:color="auto"/>
            </w:tcBorders>
            <w:shd w:val="clear" w:color="auto" w:fill="auto"/>
            <w:noWrap/>
            <w:vAlign w:val="center"/>
            <w:hideMark/>
          </w:tcPr>
          <w:p w14:paraId="64E12698" w14:textId="3D87736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C92725B" w14:textId="38CE804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0939DE6F" w14:textId="549D1CA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8" w:type="dxa"/>
            <w:tcBorders>
              <w:top w:val="nil"/>
              <w:left w:val="nil"/>
              <w:bottom w:val="single" w:sz="4" w:space="0" w:color="auto"/>
              <w:right w:val="single" w:sz="4" w:space="0" w:color="auto"/>
            </w:tcBorders>
            <w:shd w:val="clear" w:color="auto" w:fill="auto"/>
            <w:noWrap/>
            <w:vAlign w:val="center"/>
            <w:hideMark/>
          </w:tcPr>
          <w:p w14:paraId="0C1705D8" w14:textId="7D2EB6CC"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8" w:type="dxa"/>
            <w:tcBorders>
              <w:top w:val="nil"/>
              <w:left w:val="nil"/>
              <w:bottom w:val="single" w:sz="4" w:space="0" w:color="auto"/>
              <w:right w:val="nil"/>
            </w:tcBorders>
            <w:shd w:val="clear" w:color="auto" w:fill="auto"/>
            <w:noWrap/>
            <w:hideMark/>
          </w:tcPr>
          <w:p w14:paraId="6A47E7D0" w14:textId="010885CC"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479" w:type="dxa"/>
            <w:tcBorders>
              <w:top w:val="nil"/>
              <w:left w:val="single" w:sz="4" w:space="0" w:color="auto"/>
              <w:bottom w:val="single" w:sz="4" w:space="0" w:color="auto"/>
              <w:right w:val="single" w:sz="4" w:space="0" w:color="auto"/>
            </w:tcBorders>
          </w:tcPr>
          <w:p w14:paraId="6395072E" w14:textId="3ACFAC1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74149C6" w14:textId="44BB75B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60D01296" w14:textId="77777777" w:rsidTr="00EE53AC">
        <w:tc>
          <w:tcPr>
            <w:tcW w:w="3828" w:type="dxa"/>
            <w:tcBorders>
              <w:top w:val="single" w:sz="4" w:space="0" w:color="auto"/>
              <w:left w:val="single" w:sz="4" w:space="0" w:color="auto"/>
              <w:bottom w:val="single" w:sz="4" w:space="0" w:color="auto"/>
              <w:right w:val="nil"/>
            </w:tcBorders>
            <w:shd w:val="clear" w:color="auto" w:fill="auto"/>
            <w:noWrap/>
            <w:hideMark/>
          </w:tcPr>
          <w:p w14:paraId="076AA342" w14:textId="1F0F2F3A"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 xml:space="preserve">Interpretación simultánea en las reuniones del </w:t>
            </w:r>
            <w:r w:rsidR="00E84B6F" w:rsidRPr="001A2E55">
              <w:rPr>
                <w:rFonts w:asciiTheme="minorHAnsi" w:hAnsiTheme="minorHAnsi" w:cstheme="minorHAnsi"/>
                <w:bCs/>
                <w:noProof/>
                <w:sz w:val="20"/>
                <w:szCs w:val="20"/>
                <w:lang w:val="es-ES"/>
              </w:rPr>
              <w:t>Comité Permanente</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C3F7" w14:textId="18C76B2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53B9BEA" w14:textId="49E47DF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AD96143" w14:textId="65DDC08C"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075078D" w14:textId="70D6256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4AF9F9D" w14:textId="6636827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33</w:t>
            </w:r>
          </w:p>
        </w:tc>
        <w:tc>
          <w:tcPr>
            <w:tcW w:w="1478" w:type="dxa"/>
            <w:tcBorders>
              <w:top w:val="single" w:sz="4" w:space="0" w:color="auto"/>
              <w:left w:val="nil"/>
              <w:bottom w:val="single" w:sz="4" w:space="0" w:color="auto"/>
              <w:right w:val="nil"/>
            </w:tcBorders>
            <w:shd w:val="clear" w:color="auto" w:fill="auto"/>
            <w:noWrap/>
            <w:hideMark/>
          </w:tcPr>
          <w:p w14:paraId="508B1962" w14:textId="6C406C2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479" w:type="dxa"/>
            <w:tcBorders>
              <w:top w:val="single" w:sz="4" w:space="0" w:color="auto"/>
              <w:left w:val="single" w:sz="4" w:space="0" w:color="auto"/>
              <w:bottom w:val="single" w:sz="4" w:space="0" w:color="auto"/>
              <w:right w:val="single" w:sz="4" w:space="0" w:color="auto"/>
            </w:tcBorders>
          </w:tcPr>
          <w:p w14:paraId="0359AC28" w14:textId="7F07051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2F0F" w14:textId="0B7A25D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r>
      <w:tr w:rsidR="00361AA9" w:rsidRPr="001A2E55" w14:paraId="58337215" w14:textId="77777777" w:rsidTr="00BC6713">
        <w:tc>
          <w:tcPr>
            <w:tcW w:w="3828" w:type="dxa"/>
            <w:tcBorders>
              <w:top w:val="nil"/>
              <w:left w:val="single" w:sz="4" w:space="0" w:color="auto"/>
              <w:bottom w:val="single" w:sz="4" w:space="0" w:color="auto"/>
              <w:right w:val="nil"/>
            </w:tcBorders>
            <w:shd w:val="clear" w:color="auto" w:fill="auto"/>
            <w:noWrap/>
            <w:hideMark/>
          </w:tcPr>
          <w:p w14:paraId="2965F0EA"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Grupo de trabajo sobre la eficacia</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6D8147A" w14:textId="3E0B523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A96737F" w14:textId="28EAFEE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8D9AD8C" w14:textId="2070F9D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w:t>
            </w:r>
          </w:p>
        </w:tc>
        <w:tc>
          <w:tcPr>
            <w:tcW w:w="1479" w:type="dxa"/>
            <w:tcBorders>
              <w:top w:val="nil"/>
              <w:left w:val="nil"/>
              <w:bottom w:val="single" w:sz="4" w:space="0" w:color="auto"/>
              <w:right w:val="single" w:sz="4" w:space="0" w:color="auto"/>
            </w:tcBorders>
            <w:shd w:val="clear" w:color="auto" w:fill="auto"/>
            <w:noWrap/>
            <w:vAlign w:val="center"/>
            <w:hideMark/>
          </w:tcPr>
          <w:p w14:paraId="41E3A89A" w14:textId="50D5B82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w:t>
            </w:r>
          </w:p>
        </w:tc>
        <w:tc>
          <w:tcPr>
            <w:tcW w:w="1478" w:type="dxa"/>
            <w:tcBorders>
              <w:top w:val="nil"/>
              <w:left w:val="nil"/>
              <w:bottom w:val="single" w:sz="4" w:space="0" w:color="auto"/>
              <w:right w:val="single" w:sz="4" w:space="0" w:color="auto"/>
            </w:tcBorders>
            <w:shd w:val="clear" w:color="auto" w:fill="auto"/>
            <w:noWrap/>
            <w:vAlign w:val="center"/>
            <w:hideMark/>
          </w:tcPr>
          <w:p w14:paraId="55C8067E" w14:textId="3A8E1E1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nil"/>
            </w:tcBorders>
            <w:shd w:val="clear" w:color="auto" w:fill="auto"/>
            <w:noWrap/>
            <w:hideMark/>
          </w:tcPr>
          <w:p w14:paraId="75ADF4D9" w14:textId="7925149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tcPr>
          <w:p w14:paraId="2D972A4F"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B3EEDBF" w14:textId="30C07D6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w:t>
            </w:r>
          </w:p>
        </w:tc>
      </w:tr>
      <w:tr w:rsidR="00361AA9" w:rsidRPr="001A2E55" w14:paraId="14FB2B12" w14:textId="77777777" w:rsidTr="0023151C">
        <w:tc>
          <w:tcPr>
            <w:tcW w:w="3828" w:type="dxa"/>
            <w:tcBorders>
              <w:top w:val="single" w:sz="4" w:space="0" w:color="auto"/>
              <w:left w:val="single" w:sz="4" w:space="0" w:color="auto"/>
              <w:bottom w:val="single" w:sz="4" w:space="0" w:color="auto"/>
              <w:right w:val="nil"/>
            </w:tcBorders>
            <w:shd w:val="clear" w:color="000000" w:fill="auto"/>
            <w:vAlign w:val="center"/>
          </w:tcPr>
          <w:p w14:paraId="48AC6439" w14:textId="49B63EF2" w:rsidR="00361AA9" w:rsidRPr="001A2E55" w:rsidRDefault="00361AA9" w:rsidP="00361AA9">
            <w:pPr>
              <w:ind w:left="0" w:firstLine="0"/>
              <w:rPr>
                <w:rFonts w:asciiTheme="minorHAnsi" w:hAnsiTheme="minorHAnsi" w:cstheme="minorHAnsi"/>
                <w:bCs/>
                <w:noProof/>
                <w:sz w:val="20"/>
                <w:szCs w:val="20"/>
                <w:lang w:val="es-ES"/>
              </w:rPr>
            </w:pPr>
            <w:r w:rsidRPr="001A2E55">
              <w:rPr>
                <w:rFonts w:asciiTheme="minorHAnsi" w:hAnsiTheme="minorHAnsi" w:cstheme="minorHAnsi"/>
                <w:bCs/>
                <w:noProof/>
                <w:sz w:val="20"/>
                <w:szCs w:val="20"/>
                <w:lang w:val="es-ES"/>
              </w:rPr>
              <w:t>Mejora de la eficacia y colaboración (Res. XIV.3)</w:t>
            </w:r>
          </w:p>
        </w:tc>
        <w:tc>
          <w:tcPr>
            <w:tcW w:w="14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88DBB52" w14:textId="01BF7FB4"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057FFC0" w14:textId="5C5753AB"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AFB1CC1" w14:textId="15042304"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7</w:t>
            </w:r>
          </w:p>
        </w:tc>
        <w:tc>
          <w:tcPr>
            <w:tcW w:w="1479" w:type="dxa"/>
            <w:tcBorders>
              <w:top w:val="single" w:sz="4" w:space="0" w:color="auto"/>
              <w:left w:val="nil"/>
              <w:bottom w:val="single" w:sz="4" w:space="0" w:color="auto"/>
              <w:right w:val="single" w:sz="4" w:space="0" w:color="auto"/>
            </w:tcBorders>
            <w:shd w:val="clear" w:color="000000" w:fill="auto"/>
            <w:noWrap/>
            <w:vAlign w:val="center"/>
          </w:tcPr>
          <w:p w14:paraId="2E8ACDD7" w14:textId="1360B344"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7</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E076DA6" w14:textId="00DCEF0D"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nil"/>
            </w:tcBorders>
            <w:shd w:val="clear" w:color="000000" w:fill="auto"/>
            <w:noWrap/>
            <w:vAlign w:val="center"/>
          </w:tcPr>
          <w:p w14:paraId="1E064A28" w14:textId="3562FD4F"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000000" w:fill="auto"/>
            <w:vAlign w:val="center"/>
          </w:tcPr>
          <w:p w14:paraId="725793A1" w14:textId="77777777" w:rsidR="00361AA9" w:rsidRPr="001A2E55" w:rsidRDefault="00361AA9" w:rsidP="00361AA9">
            <w:pPr>
              <w:ind w:left="0" w:firstLine="0"/>
              <w:jc w:val="right"/>
              <w:rPr>
                <w:rFonts w:asciiTheme="minorHAnsi" w:hAnsiTheme="minorHAnsi" w:cstheme="minorHAnsi"/>
                <w:bCs/>
                <w:noProof/>
                <w:sz w:val="20"/>
                <w:szCs w:val="20"/>
                <w:lang w:val="es-ES"/>
              </w:rPr>
            </w:pPr>
          </w:p>
        </w:tc>
        <w:tc>
          <w:tcPr>
            <w:tcW w:w="147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4C7830C" w14:textId="5BDB616C"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7</w:t>
            </w:r>
          </w:p>
        </w:tc>
      </w:tr>
      <w:tr w:rsidR="00361AA9" w:rsidRPr="001A2E55" w14:paraId="496719C3" w14:textId="77777777" w:rsidTr="00715763">
        <w:tc>
          <w:tcPr>
            <w:tcW w:w="3828" w:type="dxa"/>
            <w:tcBorders>
              <w:top w:val="single" w:sz="4" w:space="0" w:color="auto"/>
              <w:left w:val="single" w:sz="4" w:space="0" w:color="auto"/>
              <w:bottom w:val="single" w:sz="4" w:space="0" w:color="auto"/>
              <w:right w:val="nil"/>
            </w:tcBorders>
            <w:shd w:val="clear" w:color="000000" w:fill="auto"/>
            <w:vAlign w:val="center"/>
          </w:tcPr>
          <w:p w14:paraId="02AFFE80" w14:textId="77777777" w:rsidR="00361AA9" w:rsidRPr="001A2E55" w:rsidRDefault="00361AA9" w:rsidP="00361AA9">
            <w:pPr>
              <w:ind w:left="0" w:firstLine="0"/>
              <w:rPr>
                <w:rFonts w:asciiTheme="minorHAnsi" w:hAnsiTheme="minorHAnsi" w:cstheme="minorHAnsi"/>
                <w:bCs/>
                <w:noProof/>
                <w:sz w:val="20"/>
                <w:szCs w:val="20"/>
                <w:lang w:val="es-ES"/>
              </w:rPr>
            </w:pPr>
            <w:r w:rsidRPr="001A2E55">
              <w:rPr>
                <w:rFonts w:asciiTheme="minorHAnsi" w:hAnsiTheme="minorHAnsi" w:cstheme="minorHAnsi"/>
                <w:bCs/>
                <w:noProof/>
                <w:sz w:val="20"/>
                <w:szCs w:val="20"/>
                <w:lang w:val="es-ES"/>
              </w:rPr>
              <w:t>Examen de las resoluciones (Res. XIII.4)</w:t>
            </w:r>
          </w:p>
        </w:tc>
        <w:tc>
          <w:tcPr>
            <w:tcW w:w="14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4C32761" w14:textId="768032C2"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3DCA7488" w14:textId="34791EB9"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AE54A0B" w14:textId="7BE2D54D"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30</w:t>
            </w:r>
          </w:p>
        </w:tc>
        <w:tc>
          <w:tcPr>
            <w:tcW w:w="1479" w:type="dxa"/>
            <w:tcBorders>
              <w:top w:val="single" w:sz="4" w:space="0" w:color="auto"/>
              <w:left w:val="nil"/>
              <w:bottom w:val="single" w:sz="4" w:space="0" w:color="auto"/>
              <w:right w:val="single" w:sz="4" w:space="0" w:color="auto"/>
            </w:tcBorders>
            <w:shd w:val="clear" w:color="000000" w:fill="auto"/>
            <w:noWrap/>
            <w:vAlign w:val="center"/>
          </w:tcPr>
          <w:p w14:paraId="69564A28" w14:textId="3BB1F31A"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30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2E67C948" w14:textId="786992E7"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3</w:t>
            </w:r>
          </w:p>
        </w:tc>
        <w:tc>
          <w:tcPr>
            <w:tcW w:w="1478" w:type="dxa"/>
            <w:tcBorders>
              <w:top w:val="single" w:sz="4" w:space="0" w:color="auto"/>
              <w:left w:val="nil"/>
              <w:bottom w:val="single" w:sz="4" w:space="0" w:color="auto"/>
              <w:right w:val="nil"/>
            </w:tcBorders>
            <w:shd w:val="clear" w:color="000000" w:fill="auto"/>
            <w:noWrap/>
          </w:tcPr>
          <w:p w14:paraId="5EA1A672" w14:textId="77E6CEC4"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3</w:t>
            </w:r>
          </w:p>
        </w:tc>
        <w:tc>
          <w:tcPr>
            <w:tcW w:w="1479" w:type="dxa"/>
            <w:tcBorders>
              <w:top w:val="single" w:sz="4" w:space="0" w:color="auto"/>
              <w:left w:val="single" w:sz="4" w:space="0" w:color="auto"/>
              <w:bottom w:val="single" w:sz="4" w:space="0" w:color="auto"/>
              <w:right w:val="single" w:sz="4" w:space="0" w:color="auto"/>
            </w:tcBorders>
            <w:shd w:val="clear" w:color="000000" w:fill="auto"/>
          </w:tcPr>
          <w:p w14:paraId="7A7B54B4" w14:textId="77777777" w:rsidR="00361AA9" w:rsidRPr="001A2E55" w:rsidRDefault="00361AA9" w:rsidP="00361AA9">
            <w:pPr>
              <w:ind w:left="0" w:firstLine="0"/>
              <w:jc w:val="right"/>
              <w:rPr>
                <w:rFonts w:asciiTheme="minorHAnsi" w:hAnsiTheme="minorHAnsi" w:cstheme="minorHAnsi"/>
                <w:bCs/>
                <w:noProof/>
                <w:sz w:val="20"/>
                <w:szCs w:val="20"/>
                <w:lang w:val="es-ES"/>
              </w:rPr>
            </w:pPr>
          </w:p>
        </w:tc>
        <w:tc>
          <w:tcPr>
            <w:tcW w:w="147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86D6FCE" w14:textId="7D61E58C" w:rsidR="00361AA9" w:rsidRPr="001A2E55" w:rsidRDefault="00361AA9" w:rsidP="00361AA9">
            <w:pPr>
              <w:ind w:left="0" w:firstLine="0"/>
              <w:jc w:val="right"/>
              <w:rPr>
                <w:rFonts w:asciiTheme="minorHAnsi" w:hAnsiTheme="minorHAnsi" w:cstheme="minorHAnsi"/>
                <w:bCs/>
                <w:noProof/>
                <w:sz w:val="20"/>
                <w:szCs w:val="20"/>
                <w:lang w:val="es-ES"/>
              </w:rPr>
            </w:pPr>
            <w:r w:rsidRPr="001A2E55">
              <w:rPr>
                <w:rFonts w:eastAsia="Times New Roman" w:cs="Calibri"/>
                <w:noProof/>
                <w:sz w:val="20"/>
                <w:szCs w:val="20"/>
                <w:lang w:val="es-ES" w:eastAsia="en-GB"/>
              </w:rPr>
              <w:t>25</w:t>
            </w:r>
          </w:p>
        </w:tc>
      </w:tr>
      <w:tr w:rsidR="00715763" w:rsidRPr="001A2E55" w14:paraId="6C97F631" w14:textId="77777777" w:rsidTr="00715763">
        <w:tc>
          <w:tcPr>
            <w:tcW w:w="3828" w:type="dxa"/>
            <w:tcBorders>
              <w:top w:val="single" w:sz="4" w:space="0" w:color="auto"/>
              <w:bottom w:val="single" w:sz="4" w:space="0" w:color="auto"/>
            </w:tcBorders>
            <w:shd w:val="clear" w:color="000000" w:fill="auto"/>
            <w:vAlign w:val="center"/>
          </w:tcPr>
          <w:p w14:paraId="73C85D9C" w14:textId="77777777" w:rsidR="00715763" w:rsidRDefault="00715763" w:rsidP="00361AA9">
            <w:pPr>
              <w:ind w:left="0" w:firstLine="0"/>
              <w:rPr>
                <w:rFonts w:asciiTheme="minorHAnsi" w:hAnsiTheme="minorHAnsi" w:cstheme="minorHAnsi"/>
                <w:bCs/>
                <w:noProof/>
                <w:sz w:val="20"/>
                <w:szCs w:val="20"/>
                <w:lang w:val="es-ES"/>
              </w:rPr>
            </w:pPr>
          </w:p>
          <w:p w14:paraId="75CCC5F5" w14:textId="77777777" w:rsidR="00715763" w:rsidRPr="001A2E55" w:rsidRDefault="00715763" w:rsidP="00361AA9">
            <w:pPr>
              <w:ind w:left="0" w:firstLine="0"/>
              <w:rPr>
                <w:rFonts w:asciiTheme="minorHAnsi" w:hAnsiTheme="minorHAnsi" w:cstheme="minorHAnsi"/>
                <w:bCs/>
                <w:noProof/>
                <w:sz w:val="20"/>
                <w:szCs w:val="20"/>
                <w:lang w:val="es-ES"/>
              </w:rPr>
            </w:pPr>
          </w:p>
        </w:tc>
        <w:tc>
          <w:tcPr>
            <w:tcW w:w="1478" w:type="dxa"/>
            <w:tcBorders>
              <w:top w:val="single" w:sz="4" w:space="0" w:color="auto"/>
              <w:bottom w:val="single" w:sz="4" w:space="0" w:color="auto"/>
            </w:tcBorders>
            <w:shd w:val="clear" w:color="000000" w:fill="auto"/>
            <w:noWrap/>
            <w:vAlign w:val="center"/>
          </w:tcPr>
          <w:p w14:paraId="4BD344AF" w14:textId="77777777" w:rsidR="00715763" w:rsidRPr="001A2E55" w:rsidRDefault="00715763" w:rsidP="00361AA9">
            <w:pPr>
              <w:ind w:left="0" w:firstLine="0"/>
              <w:jc w:val="right"/>
              <w:rPr>
                <w:rFonts w:eastAsia="Times New Roman" w:cs="Calibri"/>
                <w:noProof/>
                <w:sz w:val="20"/>
                <w:szCs w:val="20"/>
                <w:lang w:val="es-ES" w:eastAsia="en-GB"/>
              </w:rPr>
            </w:pPr>
          </w:p>
        </w:tc>
        <w:tc>
          <w:tcPr>
            <w:tcW w:w="1478" w:type="dxa"/>
            <w:tcBorders>
              <w:top w:val="single" w:sz="4" w:space="0" w:color="auto"/>
              <w:bottom w:val="single" w:sz="4" w:space="0" w:color="auto"/>
            </w:tcBorders>
            <w:shd w:val="clear" w:color="000000" w:fill="auto"/>
            <w:noWrap/>
            <w:vAlign w:val="center"/>
          </w:tcPr>
          <w:p w14:paraId="02FED102" w14:textId="77777777" w:rsidR="00715763" w:rsidRPr="001A2E55" w:rsidRDefault="00715763" w:rsidP="00361AA9">
            <w:pPr>
              <w:ind w:left="0" w:firstLine="0"/>
              <w:jc w:val="right"/>
              <w:rPr>
                <w:rFonts w:eastAsia="Times New Roman" w:cs="Calibri"/>
                <w:noProof/>
                <w:sz w:val="20"/>
                <w:szCs w:val="20"/>
                <w:lang w:val="es-ES" w:eastAsia="en-GB"/>
              </w:rPr>
            </w:pPr>
          </w:p>
        </w:tc>
        <w:tc>
          <w:tcPr>
            <w:tcW w:w="1478" w:type="dxa"/>
            <w:tcBorders>
              <w:top w:val="single" w:sz="4" w:space="0" w:color="auto"/>
              <w:bottom w:val="single" w:sz="4" w:space="0" w:color="auto"/>
            </w:tcBorders>
            <w:shd w:val="clear" w:color="000000" w:fill="auto"/>
            <w:noWrap/>
            <w:vAlign w:val="center"/>
          </w:tcPr>
          <w:p w14:paraId="04A4EEA1" w14:textId="77777777" w:rsidR="00715763" w:rsidRPr="001A2E55" w:rsidRDefault="00715763" w:rsidP="00361AA9">
            <w:pPr>
              <w:ind w:left="0" w:firstLine="0"/>
              <w:jc w:val="right"/>
              <w:rPr>
                <w:rFonts w:eastAsia="Times New Roman" w:cs="Calibri"/>
                <w:noProof/>
                <w:sz w:val="20"/>
                <w:szCs w:val="20"/>
                <w:lang w:val="es-ES" w:eastAsia="en-GB"/>
              </w:rPr>
            </w:pPr>
          </w:p>
        </w:tc>
        <w:tc>
          <w:tcPr>
            <w:tcW w:w="1479" w:type="dxa"/>
            <w:tcBorders>
              <w:top w:val="single" w:sz="4" w:space="0" w:color="auto"/>
              <w:bottom w:val="single" w:sz="4" w:space="0" w:color="auto"/>
            </w:tcBorders>
            <w:shd w:val="clear" w:color="000000" w:fill="auto"/>
            <w:noWrap/>
            <w:vAlign w:val="center"/>
          </w:tcPr>
          <w:p w14:paraId="4663531C" w14:textId="77777777" w:rsidR="00715763" w:rsidRPr="001A2E55" w:rsidRDefault="00715763" w:rsidP="00361AA9">
            <w:pPr>
              <w:ind w:left="0" w:firstLine="0"/>
              <w:jc w:val="right"/>
              <w:rPr>
                <w:rFonts w:eastAsia="Times New Roman" w:cs="Calibri"/>
                <w:noProof/>
                <w:sz w:val="20"/>
                <w:szCs w:val="20"/>
                <w:lang w:val="es-ES" w:eastAsia="en-GB"/>
              </w:rPr>
            </w:pPr>
          </w:p>
        </w:tc>
        <w:tc>
          <w:tcPr>
            <w:tcW w:w="1478" w:type="dxa"/>
            <w:tcBorders>
              <w:top w:val="single" w:sz="4" w:space="0" w:color="auto"/>
              <w:bottom w:val="single" w:sz="4" w:space="0" w:color="auto"/>
            </w:tcBorders>
            <w:shd w:val="clear" w:color="000000" w:fill="auto"/>
            <w:noWrap/>
            <w:vAlign w:val="center"/>
          </w:tcPr>
          <w:p w14:paraId="6B78219E" w14:textId="77777777" w:rsidR="00715763" w:rsidRPr="001A2E55" w:rsidRDefault="00715763" w:rsidP="00361AA9">
            <w:pPr>
              <w:ind w:left="0" w:firstLine="0"/>
              <w:jc w:val="right"/>
              <w:rPr>
                <w:rFonts w:eastAsia="Times New Roman" w:cs="Calibri"/>
                <w:noProof/>
                <w:sz w:val="20"/>
                <w:szCs w:val="20"/>
                <w:lang w:val="es-ES" w:eastAsia="en-GB"/>
              </w:rPr>
            </w:pPr>
          </w:p>
        </w:tc>
        <w:tc>
          <w:tcPr>
            <w:tcW w:w="1478" w:type="dxa"/>
            <w:tcBorders>
              <w:top w:val="single" w:sz="4" w:space="0" w:color="auto"/>
              <w:bottom w:val="single" w:sz="4" w:space="0" w:color="auto"/>
            </w:tcBorders>
            <w:shd w:val="clear" w:color="000000" w:fill="auto"/>
            <w:noWrap/>
          </w:tcPr>
          <w:p w14:paraId="7AAE8DC0" w14:textId="77777777" w:rsidR="00715763" w:rsidRPr="001A2E55" w:rsidRDefault="00715763" w:rsidP="00361AA9">
            <w:pPr>
              <w:ind w:left="0" w:firstLine="0"/>
              <w:jc w:val="right"/>
              <w:rPr>
                <w:rFonts w:eastAsia="Times New Roman" w:cs="Calibri"/>
                <w:noProof/>
                <w:sz w:val="20"/>
                <w:szCs w:val="20"/>
                <w:lang w:val="es-ES" w:eastAsia="en-GB"/>
              </w:rPr>
            </w:pPr>
          </w:p>
        </w:tc>
        <w:tc>
          <w:tcPr>
            <w:tcW w:w="1479" w:type="dxa"/>
            <w:tcBorders>
              <w:top w:val="single" w:sz="4" w:space="0" w:color="auto"/>
              <w:bottom w:val="single" w:sz="4" w:space="0" w:color="auto"/>
            </w:tcBorders>
            <w:shd w:val="clear" w:color="000000" w:fill="auto"/>
          </w:tcPr>
          <w:p w14:paraId="1580F98F" w14:textId="77777777" w:rsidR="00715763" w:rsidRPr="001A2E55" w:rsidRDefault="00715763" w:rsidP="00361AA9">
            <w:pPr>
              <w:ind w:left="0" w:firstLine="0"/>
              <w:jc w:val="right"/>
              <w:rPr>
                <w:rFonts w:asciiTheme="minorHAnsi" w:hAnsiTheme="minorHAnsi" w:cstheme="minorHAnsi"/>
                <w:bCs/>
                <w:noProof/>
                <w:sz w:val="20"/>
                <w:szCs w:val="20"/>
                <w:lang w:val="es-ES"/>
              </w:rPr>
            </w:pPr>
          </w:p>
        </w:tc>
        <w:tc>
          <w:tcPr>
            <w:tcW w:w="1479" w:type="dxa"/>
            <w:tcBorders>
              <w:top w:val="single" w:sz="4" w:space="0" w:color="auto"/>
              <w:bottom w:val="single" w:sz="4" w:space="0" w:color="auto"/>
            </w:tcBorders>
            <w:shd w:val="clear" w:color="000000" w:fill="auto"/>
            <w:noWrap/>
            <w:vAlign w:val="center"/>
          </w:tcPr>
          <w:p w14:paraId="0FF2B1B4" w14:textId="77777777" w:rsidR="00715763" w:rsidRPr="001A2E55" w:rsidRDefault="00715763" w:rsidP="00361AA9">
            <w:pPr>
              <w:ind w:left="0" w:firstLine="0"/>
              <w:jc w:val="right"/>
              <w:rPr>
                <w:rFonts w:eastAsia="Times New Roman" w:cs="Calibri"/>
                <w:noProof/>
                <w:sz w:val="20"/>
                <w:szCs w:val="20"/>
                <w:lang w:val="es-ES" w:eastAsia="en-GB"/>
              </w:rPr>
            </w:pPr>
          </w:p>
        </w:tc>
      </w:tr>
      <w:tr w:rsidR="00361AA9" w:rsidRPr="001A2E55" w14:paraId="73CFEBED" w14:textId="77777777" w:rsidTr="00715763">
        <w:tc>
          <w:tcPr>
            <w:tcW w:w="3828" w:type="dxa"/>
            <w:tcBorders>
              <w:top w:val="single" w:sz="4" w:space="0" w:color="auto"/>
              <w:left w:val="single" w:sz="4" w:space="0" w:color="auto"/>
              <w:bottom w:val="single" w:sz="4" w:space="0" w:color="auto"/>
              <w:right w:val="nil"/>
            </w:tcBorders>
            <w:shd w:val="clear" w:color="000000" w:fill="EAF1DD"/>
            <w:vAlign w:val="center"/>
            <w:hideMark/>
          </w:tcPr>
          <w:p w14:paraId="13542536" w14:textId="03EBB5E4"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sz w:val="20"/>
                <w:szCs w:val="20"/>
                <w:lang w:val="es-ES"/>
              </w:rPr>
              <w:lastRenderedPageBreak/>
              <w:t xml:space="preserve">H.  </w:t>
            </w:r>
            <w:r w:rsidRPr="001A2E55">
              <w:rPr>
                <w:rFonts w:asciiTheme="minorHAnsi" w:hAnsiTheme="minorHAnsi" w:cstheme="minorHAnsi"/>
                <w:bCs/>
                <w:noProof/>
                <w:sz w:val="20"/>
                <w:szCs w:val="20"/>
                <w:lang w:val="es-ES"/>
              </w:rPr>
              <w:t>Gastos por servicios administrativos de la UICN (máximo)</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243427" w14:textId="4154552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541</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DF18419" w14:textId="31B4147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5659B4E" w14:textId="5C5BB53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0603F2A8" w14:textId="4360C29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542</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080B90C" w14:textId="5E2E577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401</w:t>
            </w:r>
          </w:p>
        </w:tc>
        <w:tc>
          <w:tcPr>
            <w:tcW w:w="1478" w:type="dxa"/>
            <w:tcBorders>
              <w:top w:val="single" w:sz="4" w:space="0" w:color="auto"/>
              <w:left w:val="nil"/>
              <w:bottom w:val="single" w:sz="4" w:space="0" w:color="auto"/>
              <w:right w:val="nil"/>
            </w:tcBorders>
            <w:shd w:val="clear" w:color="000000" w:fill="EAF1DD"/>
            <w:noWrap/>
            <w:vAlign w:val="center"/>
            <w:hideMark/>
          </w:tcPr>
          <w:p w14:paraId="4547ED08" w14:textId="4348CEC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134</w:t>
            </w:r>
          </w:p>
        </w:tc>
        <w:tc>
          <w:tcPr>
            <w:tcW w:w="1479" w:type="dxa"/>
            <w:tcBorders>
              <w:top w:val="single" w:sz="4" w:space="0" w:color="auto"/>
              <w:left w:val="single" w:sz="4" w:space="0" w:color="auto"/>
              <w:bottom w:val="single" w:sz="4" w:space="0" w:color="auto"/>
              <w:right w:val="single" w:sz="4" w:space="0" w:color="auto"/>
            </w:tcBorders>
            <w:shd w:val="clear" w:color="000000" w:fill="EAF1DD"/>
            <w:vAlign w:val="center"/>
          </w:tcPr>
          <w:p w14:paraId="735D266B"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797C0E5" w14:textId="3959C56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w:t>
            </w:r>
          </w:p>
        </w:tc>
      </w:tr>
      <w:tr w:rsidR="00361AA9" w:rsidRPr="001A2E55" w14:paraId="7E5B114C"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A9AE208"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Administración, RR.HH., finanzas y servicios informáticos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F4FD" w14:textId="0772EFA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80C94EE" w14:textId="27754DE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5BA5497" w14:textId="2448DF3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84BEE6F" w14:textId="2FE85F6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4070067" w14:textId="5AB3D16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401</w:t>
            </w:r>
          </w:p>
        </w:tc>
        <w:tc>
          <w:tcPr>
            <w:tcW w:w="1478" w:type="dxa"/>
            <w:tcBorders>
              <w:top w:val="single" w:sz="4" w:space="0" w:color="auto"/>
              <w:left w:val="nil"/>
              <w:bottom w:val="single" w:sz="4" w:space="0" w:color="auto"/>
              <w:right w:val="nil"/>
            </w:tcBorders>
            <w:shd w:val="clear" w:color="auto" w:fill="auto"/>
            <w:noWrap/>
            <w:vAlign w:val="center"/>
            <w:hideMark/>
          </w:tcPr>
          <w:p w14:paraId="6BA72E6E" w14:textId="1280B32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134</w:t>
            </w:r>
          </w:p>
        </w:tc>
        <w:tc>
          <w:tcPr>
            <w:tcW w:w="1479" w:type="dxa"/>
            <w:tcBorders>
              <w:top w:val="single" w:sz="4" w:space="0" w:color="auto"/>
              <w:left w:val="single" w:sz="4" w:space="0" w:color="auto"/>
              <w:bottom w:val="single" w:sz="4" w:space="0" w:color="auto"/>
              <w:right w:val="single" w:sz="4" w:space="0" w:color="auto"/>
            </w:tcBorders>
          </w:tcPr>
          <w:p w14:paraId="07AD28F3"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B6D7" w14:textId="3FB0A91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8</w:t>
            </w:r>
          </w:p>
        </w:tc>
      </w:tr>
      <w:tr w:rsidR="00361AA9" w:rsidRPr="001A2E55" w14:paraId="38D4EBFD" w14:textId="77777777" w:rsidTr="00D21C5D">
        <w:tc>
          <w:tcPr>
            <w:tcW w:w="3828" w:type="dxa"/>
            <w:tcBorders>
              <w:top w:val="nil"/>
              <w:left w:val="single" w:sz="4" w:space="0" w:color="auto"/>
              <w:bottom w:val="nil"/>
              <w:right w:val="nil"/>
            </w:tcBorders>
            <w:shd w:val="clear" w:color="000000" w:fill="EAF1DD"/>
            <w:noWrap/>
            <w:hideMark/>
          </w:tcPr>
          <w:p w14:paraId="06B37D7C" w14:textId="1207B90E"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sz w:val="20"/>
                <w:szCs w:val="20"/>
                <w:lang w:val="es-ES"/>
              </w:rPr>
              <w:t xml:space="preserve">I.  </w:t>
            </w:r>
            <w:r w:rsidRPr="001A2E55">
              <w:rPr>
                <w:rFonts w:asciiTheme="minorHAnsi" w:hAnsiTheme="minorHAnsi" w:cstheme="minorHAnsi"/>
                <w:bCs/>
                <w:noProof/>
                <w:sz w:val="20"/>
                <w:szCs w:val="20"/>
                <w:lang w:val="es-ES"/>
              </w:rPr>
              <w:t>Varios – Fondo de reserva</w:t>
            </w:r>
          </w:p>
        </w:tc>
        <w:tc>
          <w:tcPr>
            <w:tcW w:w="1478" w:type="dxa"/>
            <w:tcBorders>
              <w:top w:val="nil"/>
              <w:left w:val="single" w:sz="4" w:space="0" w:color="auto"/>
              <w:bottom w:val="nil"/>
              <w:right w:val="single" w:sz="4" w:space="0" w:color="auto"/>
            </w:tcBorders>
            <w:shd w:val="clear" w:color="000000" w:fill="EAF1DD"/>
            <w:noWrap/>
            <w:vAlign w:val="center"/>
            <w:hideMark/>
          </w:tcPr>
          <w:p w14:paraId="2EE1AEAD" w14:textId="59BF598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109</w:t>
            </w:r>
          </w:p>
        </w:tc>
        <w:tc>
          <w:tcPr>
            <w:tcW w:w="1478" w:type="dxa"/>
            <w:tcBorders>
              <w:top w:val="nil"/>
              <w:left w:val="nil"/>
              <w:bottom w:val="nil"/>
              <w:right w:val="single" w:sz="4" w:space="0" w:color="auto"/>
            </w:tcBorders>
            <w:shd w:val="clear" w:color="000000" w:fill="EAF1DD"/>
            <w:noWrap/>
            <w:vAlign w:val="center"/>
            <w:hideMark/>
          </w:tcPr>
          <w:p w14:paraId="22F6F845" w14:textId="59716931"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120</w:t>
            </w:r>
          </w:p>
        </w:tc>
        <w:tc>
          <w:tcPr>
            <w:tcW w:w="1478" w:type="dxa"/>
            <w:tcBorders>
              <w:top w:val="nil"/>
              <w:left w:val="nil"/>
              <w:bottom w:val="nil"/>
              <w:right w:val="single" w:sz="4" w:space="0" w:color="auto"/>
            </w:tcBorders>
            <w:shd w:val="clear" w:color="000000" w:fill="EAF1DD"/>
            <w:noWrap/>
            <w:vAlign w:val="center"/>
            <w:hideMark/>
          </w:tcPr>
          <w:p w14:paraId="779F253D" w14:textId="3CB91E9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9" w:type="dxa"/>
            <w:tcBorders>
              <w:top w:val="nil"/>
              <w:left w:val="nil"/>
              <w:bottom w:val="nil"/>
              <w:right w:val="single" w:sz="4" w:space="0" w:color="auto"/>
            </w:tcBorders>
            <w:shd w:val="clear" w:color="000000" w:fill="EAF1DD"/>
            <w:noWrap/>
            <w:vAlign w:val="center"/>
            <w:hideMark/>
          </w:tcPr>
          <w:p w14:paraId="2F647B83" w14:textId="7C17541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234</w:t>
            </w:r>
          </w:p>
        </w:tc>
        <w:tc>
          <w:tcPr>
            <w:tcW w:w="1478" w:type="dxa"/>
            <w:tcBorders>
              <w:top w:val="nil"/>
              <w:left w:val="nil"/>
              <w:bottom w:val="nil"/>
              <w:right w:val="single" w:sz="4" w:space="0" w:color="auto"/>
            </w:tcBorders>
            <w:shd w:val="clear" w:color="000000" w:fill="EAF1DD"/>
            <w:noWrap/>
            <w:vAlign w:val="center"/>
            <w:hideMark/>
          </w:tcPr>
          <w:p w14:paraId="3CE32F3A" w14:textId="41BF038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w:t>
            </w:r>
          </w:p>
        </w:tc>
        <w:tc>
          <w:tcPr>
            <w:tcW w:w="1478" w:type="dxa"/>
            <w:tcBorders>
              <w:top w:val="nil"/>
              <w:left w:val="nil"/>
              <w:bottom w:val="nil"/>
              <w:right w:val="nil"/>
            </w:tcBorders>
            <w:shd w:val="clear" w:color="000000" w:fill="EAF1DD"/>
            <w:noWrap/>
            <w:hideMark/>
          </w:tcPr>
          <w:p w14:paraId="7297875A" w14:textId="524F9FF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191</w:t>
            </w:r>
          </w:p>
        </w:tc>
        <w:tc>
          <w:tcPr>
            <w:tcW w:w="1479" w:type="dxa"/>
            <w:tcBorders>
              <w:top w:val="nil"/>
              <w:left w:val="single" w:sz="4" w:space="0" w:color="auto"/>
              <w:bottom w:val="nil"/>
              <w:right w:val="single" w:sz="4" w:space="0" w:color="auto"/>
            </w:tcBorders>
            <w:shd w:val="clear" w:color="000000" w:fill="EAF1DD"/>
          </w:tcPr>
          <w:p w14:paraId="3A308C3F"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nil"/>
              <w:right w:val="single" w:sz="4" w:space="0" w:color="auto"/>
            </w:tcBorders>
            <w:shd w:val="clear" w:color="000000" w:fill="EAF1DD"/>
            <w:noWrap/>
            <w:vAlign w:val="center"/>
            <w:hideMark/>
          </w:tcPr>
          <w:p w14:paraId="73810CCC" w14:textId="05389B3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39</w:t>
            </w:r>
          </w:p>
        </w:tc>
      </w:tr>
      <w:tr w:rsidR="00361AA9" w:rsidRPr="001A2E55" w14:paraId="3A773289" w14:textId="77777777" w:rsidTr="00120611">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B6E28BE"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themeColor="text1"/>
                <w:sz w:val="20"/>
                <w:szCs w:val="20"/>
                <w:lang w:val="es-ES"/>
              </w:rPr>
              <w:t>Provisiones correspondientes al personal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E714" w14:textId="41C691E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236ACE1" w14:textId="75FE0183"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692F992" w14:textId="393136D2"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F7D3AF7" w14:textId="12CAEB5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24C0945" w14:textId="1DC15F2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nil"/>
            </w:tcBorders>
            <w:shd w:val="clear" w:color="auto" w:fill="auto"/>
            <w:noWrap/>
            <w:hideMark/>
          </w:tcPr>
          <w:p w14:paraId="1A0C795B" w14:textId="23B6ABA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20</w:t>
            </w:r>
          </w:p>
        </w:tc>
        <w:tc>
          <w:tcPr>
            <w:tcW w:w="1479" w:type="dxa"/>
            <w:tcBorders>
              <w:top w:val="single" w:sz="4" w:space="0" w:color="auto"/>
              <w:left w:val="single" w:sz="4" w:space="0" w:color="auto"/>
              <w:bottom w:val="single" w:sz="4" w:space="0" w:color="auto"/>
              <w:right w:val="single" w:sz="4" w:space="0" w:color="auto"/>
            </w:tcBorders>
          </w:tcPr>
          <w:p w14:paraId="6B985100"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6F00" w14:textId="36B9723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783CDF39" w14:textId="77777777" w:rsidTr="006D6ECF">
        <w:tc>
          <w:tcPr>
            <w:tcW w:w="3828" w:type="dxa"/>
            <w:tcBorders>
              <w:top w:val="nil"/>
              <w:left w:val="single" w:sz="4" w:space="0" w:color="auto"/>
              <w:bottom w:val="single" w:sz="4" w:space="0" w:color="auto"/>
              <w:right w:val="nil"/>
            </w:tcBorders>
            <w:shd w:val="clear" w:color="auto" w:fill="auto"/>
            <w:noWrap/>
            <w:vAlign w:val="center"/>
            <w:hideMark/>
          </w:tcPr>
          <w:p w14:paraId="09DA7BF4"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heme="minorHAnsi" w:hAnsiTheme="minorHAnsi" w:cstheme="minorHAnsi"/>
                <w:noProof/>
                <w:color w:val="000000" w:themeColor="text1"/>
                <w:sz w:val="20"/>
                <w:szCs w:val="20"/>
                <w:lang w:val="es-ES"/>
              </w:rPr>
              <w:t>Provisiones correspondientes a las contribuciones pendientes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DD1EC60" w14:textId="002033B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c>
          <w:tcPr>
            <w:tcW w:w="1478" w:type="dxa"/>
            <w:tcBorders>
              <w:top w:val="nil"/>
              <w:left w:val="nil"/>
              <w:bottom w:val="single" w:sz="4" w:space="0" w:color="auto"/>
              <w:right w:val="single" w:sz="4" w:space="0" w:color="auto"/>
            </w:tcBorders>
            <w:shd w:val="clear" w:color="auto" w:fill="auto"/>
            <w:noWrap/>
            <w:vAlign w:val="center"/>
            <w:hideMark/>
          </w:tcPr>
          <w:p w14:paraId="1965E336" w14:textId="79F7BE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120</w:t>
            </w:r>
          </w:p>
        </w:tc>
        <w:tc>
          <w:tcPr>
            <w:tcW w:w="1478" w:type="dxa"/>
            <w:tcBorders>
              <w:top w:val="nil"/>
              <w:left w:val="nil"/>
              <w:bottom w:val="single" w:sz="4" w:space="0" w:color="auto"/>
              <w:right w:val="single" w:sz="4" w:space="0" w:color="auto"/>
            </w:tcBorders>
            <w:shd w:val="clear" w:color="auto" w:fill="auto"/>
            <w:noWrap/>
            <w:vAlign w:val="center"/>
            <w:hideMark/>
          </w:tcPr>
          <w:p w14:paraId="74CA5B44" w14:textId="74FB4B9B"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121C38F1" w14:textId="2850F94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150</w:t>
            </w:r>
          </w:p>
        </w:tc>
        <w:tc>
          <w:tcPr>
            <w:tcW w:w="1478" w:type="dxa"/>
            <w:tcBorders>
              <w:top w:val="nil"/>
              <w:left w:val="nil"/>
              <w:bottom w:val="single" w:sz="4" w:space="0" w:color="auto"/>
              <w:right w:val="single" w:sz="4" w:space="0" w:color="auto"/>
            </w:tcBorders>
            <w:shd w:val="clear" w:color="auto" w:fill="auto"/>
            <w:noWrap/>
            <w:vAlign w:val="center"/>
            <w:hideMark/>
          </w:tcPr>
          <w:p w14:paraId="5FC12521" w14:textId="23EC365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single" w:sz="4" w:space="0" w:color="auto"/>
              <w:right w:val="nil"/>
            </w:tcBorders>
            <w:shd w:val="clear" w:color="auto" w:fill="auto"/>
            <w:noWrap/>
            <w:hideMark/>
          </w:tcPr>
          <w:p w14:paraId="0FBA49F1" w14:textId="01FD99B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150</w:t>
            </w:r>
          </w:p>
        </w:tc>
        <w:tc>
          <w:tcPr>
            <w:tcW w:w="1479" w:type="dxa"/>
            <w:tcBorders>
              <w:top w:val="nil"/>
              <w:left w:val="single" w:sz="4" w:space="0" w:color="auto"/>
              <w:bottom w:val="single" w:sz="4" w:space="0" w:color="auto"/>
              <w:right w:val="single" w:sz="4" w:space="0" w:color="auto"/>
            </w:tcBorders>
          </w:tcPr>
          <w:p w14:paraId="78B36C0D"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6453632" w14:textId="0A94904D"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r>
      <w:tr w:rsidR="00361AA9" w:rsidRPr="001A2E55" w14:paraId="6811F811" w14:textId="77777777" w:rsidTr="009E697A">
        <w:tc>
          <w:tcPr>
            <w:tcW w:w="3828" w:type="dxa"/>
            <w:tcBorders>
              <w:top w:val="nil"/>
              <w:left w:val="single" w:sz="4" w:space="0" w:color="auto"/>
              <w:bottom w:val="nil"/>
              <w:right w:val="nil"/>
            </w:tcBorders>
            <w:shd w:val="clear" w:color="auto" w:fill="auto"/>
            <w:noWrap/>
            <w:hideMark/>
          </w:tcPr>
          <w:p w14:paraId="524C7D59"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bCs/>
                <w:noProof/>
                <w:sz w:val="20"/>
                <w:szCs w:val="20"/>
                <w:lang w:val="es-ES"/>
              </w:rPr>
              <w:t>Ganancias/pérdidas por fluctuaciones del tipo de cambio</w:t>
            </w:r>
          </w:p>
        </w:tc>
        <w:tc>
          <w:tcPr>
            <w:tcW w:w="1478" w:type="dxa"/>
            <w:tcBorders>
              <w:top w:val="nil"/>
              <w:left w:val="single" w:sz="4" w:space="0" w:color="auto"/>
              <w:bottom w:val="nil"/>
              <w:right w:val="single" w:sz="4" w:space="0" w:color="auto"/>
            </w:tcBorders>
            <w:shd w:val="clear" w:color="auto" w:fill="auto"/>
            <w:noWrap/>
            <w:vAlign w:val="center"/>
            <w:hideMark/>
          </w:tcPr>
          <w:p w14:paraId="5B71B20C" w14:textId="7BF043F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33C853B9" w14:textId="1EE7F87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2740A01F" w14:textId="37D8348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754B9CC6" w14:textId="23F09506"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70CA5E20" w14:textId="7713F54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w:t>
            </w:r>
          </w:p>
        </w:tc>
        <w:tc>
          <w:tcPr>
            <w:tcW w:w="1478" w:type="dxa"/>
            <w:tcBorders>
              <w:top w:val="nil"/>
              <w:left w:val="nil"/>
              <w:bottom w:val="nil"/>
              <w:right w:val="nil"/>
            </w:tcBorders>
            <w:shd w:val="clear" w:color="auto" w:fill="auto"/>
            <w:noWrap/>
            <w:hideMark/>
          </w:tcPr>
          <w:p w14:paraId="1E89D7C1" w14:textId="01838BF2"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w:t>
            </w:r>
          </w:p>
        </w:tc>
        <w:tc>
          <w:tcPr>
            <w:tcW w:w="1479" w:type="dxa"/>
            <w:tcBorders>
              <w:top w:val="nil"/>
              <w:left w:val="single" w:sz="4" w:space="0" w:color="auto"/>
              <w:bottom w:val="nil"/>
              <w:right w:val="single" w:sz="4" w:space="0" w:color="auto"/>
            </w:tcBorders>
          </w:tcPr>
          <w:p w14:paraId="2926D0C5"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5123DE3F" w14:textId="457EF498"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w:t>
            </w:r>
          </w:p>
        </w:tc>
      </w:tr>
      <w:tr w:rsidR="00361AA9" w:rsidRPr="001A2E55" w14:paraId="7CE3F7ED" w14:textId="77777777" w:rsidTr="00517661">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4669492" w14:textId="77777777" w:rsidR="00361AA9" w:rsidRPr="001A2E55" w:rsidRDefault="00361AA9" w:rsidP="00361AA9">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Servicios jurídicos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6A33" w14:textId="01B73BCA"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71CF31B" w14:textId="7E9059E5"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CA71EB6" w14:textId="5951C2F4"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2520607" w14:textId="10ACA3A9"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FBE398C" w14:textId="4477F4AF"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478" w:type="dxa"/>
            <w:tcBorders>
              <w:top w:val="single" w:sz="4" w:space="0" w:color="auto"/>
              <w:left w:val="nil"/>
              <w:bottom w:val="single" w:sz="4" w:space="0" w:color="auto"/>
              <w:right w:val="nil"/>
            </w:tcBorders>
            <w:shd w:val="clear" w:color="auto" w:fill="auto"/>
            <w:noWrap/>
            <w:hideMark/>
          </w:tcPr>
          <w:p w14:paraId="4FB28534" w14:textId="25085170"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c>
          <w:tcPr>
            <w:tcW w:w="1479" w:type="dxa"/>
            <w:tcBorders>
              <w:top w:val="single" w:sz="4" w:space="0" w:color="auto"/>
              <w:left w:val="single" w:sz="4" w:space="0" w:color="auto"/>
              <w:bottom w:val="single" w:sz="4" w:space="0" w:color="auto"/>
              <w:right w:val="single" w:sz="4" w:space="0" w:color="auto"/>
            </w:tcBorders>
          </w:tcPr>
          <w:p w14:paraId="0EACF176" w14:textId="77777777"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FFFB" w14:textId="7D23AF4E" w:rsidR="00361AA9" w:rsidRPr="001A2E55" w:rsidRDefault="00361AA9" w:rsidP="00361AA9">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27</w:t>
            </w:r>
          </w:p>
        </w:tc>
      </w:tr>
      <w:tr w:rsidR="00CE7803" w:rsidRPr="001A2E55" w14:paraId="448F5D4D" w14:textId="77777777" w:rsidTr="00FC22B1">
        <w:tc>
          <w:tcPr>
            <w:tcW w:w="3828" w:type="dxa"/>
            <w:tcBorders>
              <w:top w:val="single" w:sz="4" w:space="0" w:color="auto"/>
              <w:left w:val="single" w:sz="4" w:space="0" w:color="auto"/>
              <w:bottom w:val="nil"/>
              <w:right w:val="nil"/>
            </w:tcBorders>
            <w:shd w:val="clear" w:color="000000" w:fill="D6E3BC"/>
            <w:noWrap/>
            <w:vAlign w:val="center"/>
            <w:hideMark/>
          </w:tcPr>
          <w:p w14:paraId="50AB44B2" w14:textId="77777777" w:rsidR="00CE7803" w:rsidRPr="001A2E55" w:rsidRDefault="00CE7803" w:rsidP="00CE7803">
            <w:pPr>
              <w:ind w:left="0" w:firstLine="0"/>
              <w:rPr>
                <w:rFonts w:asciiTheme="minorHAnsi" w:eastAsia="Times New Roman" w:hAnsiTheme="minorHAnsi" w:cstheme="minorHAnsi"/>
                <w:b/>
                <w:noProof/>
                <w:sz w:val="20"/>
                <w:szCs w:val="20"/>
                <w:lang w:val="es-ES" w:eastAsia="en-GB"/>
              </w:rPr>
            </w:pPr>
            <w:r w:rsidRPr="001A2E55">
              <w:rPr>
                <w:rFonts w:asciiTheme="minorHAnsi" w:eastAsia="Times New Roman" w:hAnsiTheme="minorHAnsi" w:cstheme="minorHAnsi"/>
                <w:b/>
                <w:noProof/>
                <w:sz w:val="20"/>
                <w:szCs w:val="20"/>
                <w:lang w:val="es-ES" w:eastAsia="en-GB"/>
              </w:rPr>
              <w:t>TOTAL, GASTOS</w:t>
            </w:r>
          </w:p>
        </w:tc>
        <w:tc>
          <w:tcPr>
            <w:tcW w:w="1478" w:type="dxa"/>
            <w:tcBorders>
              <w:top w:val="nil"/>
              <w:left w:val="single" w:sz="4" w:space="0" w:color="auto"/>
              <w:bottom w:val="single" w:sz="4" w:space="0" w:color="auto"/>
              <w:right w:val="single" w:sz="4" w:space="0" w:color="auto"/>
            </w:tcBorders>
            <w:shd w:val="clear" w:color="000000" w:fill="D6E3BC"/>
            <w:noWrap/>
            <w:vAlign w:val="center"/>
            <w:hideMark/>
          </w:tcPr>
          <w:p w14:paraId="55773568" w14:textId="13253455"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5 081</w:t>
            </w:r>
          </w:p>
        </w:tc>
        <w:tc>
          <w:tcPr>
            <w:tcW w:w="1478" w:type="dxa"/>
            <w:tcBorders>
              <w:top w:val="nil"/>
              <w:left w:val="nil"/>
              <w:bottom w:val="single" w:sz="4" w:space="0" w:color="auto"/>
              <w:right w:val="single" w:sz="4" w:space="0" w:color="auto"/>
            </w:tcBorders>
            <w:shd w:val="clear" w:color="000000" w:fill="D6E3BC"/>
            <w:noWrap/>
            <w:vAlign w:val="center"/>
            <w:hideMark/>
          </w:tcPr>
          <w:p w14:paraId="5948C154" w14:textId="7345BEFD"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196</w:t>
            </w:r>
          </w:p>
        </w:tc>
        <w:tc>
          <w:tcPr>
            <w:tcW w:w="1478" w:type="dxa"/>
            <w:tcBorders>
              <w:top w:val="nil"/>
              <w:left w:val="nil"/>
              <w:bottom w:val="single" w:sz="4" w:space="0" w:color="auto"/>
              <w:right w:val="single" w:sz="4" w:space="0" w:color="auto"/>
            </w:tcBorders>
            <w:shd w:val="clear" w:color="000000" w:fill="D6E3BC"/>
            <w:noWrap/>
            <w:vAlign w:val="center"/>
            <w:hideMark/>
          </w:tcPr>
          <w:p w14:paraId="572D9898" w14:textId="04DCE0E2"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1 232</w:t>
            </w:r>
          </w:p>
        </w:tc>
        <w:tc>
          <w:tcPr>
            <w:tcW w:w="1479" w:type="dxa"/>
            <w:tcBorders>
              <w:top w:val="nil"/>
              <w:left w:val="nil"/>
              <w:bottom w:val="single" w:sz="4" w:space="0" w:color="auto"/>
              <w:right w:val="single" w:sz="4" w:space="0" w:color="auto"/>
            </w:tcBorders>
            <w:shd w:val="clear" w:color="000000" w:fill="D6E3BC"/>
            <w:noWrap/>
            <w:vAlign w:val="center"/>
            <w:hideMark/>
          </w:tcPr>
          <w:p w14:paraId="0B43DA56" w14:textId="65F83C9A"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6 509</w:t>
            </w:r>
          </w:p>
        </w:tc>
        <w:tc>
          <w:tcPr>
            <w:tcW w:w="1478" w:type="dxa"/>
            <w:tcBorders>
              <w:top w:val="nil"/>
              <w:left w:val="nil"/>
              <w:bottom w:val="single" w:sz="4" w:space="0" w:color="auto"/>
              <w:right w:val="single" w:sz="4" w:space="0" w:color="auto"/>
            </w:tcBorders>
            <w:shd w:val="clear" w:color="000000" w:fill="D6E3BC"/>
            <w:noWrap/>
            <w:vAlign w:val="center"/>
            <w:hideMark/>
          </w:tcPr>
          <w:p w14:paraId="451BC3EC" w14:textId="66FD6A25"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3 857</w:t>
            </w:r>
          </w:p>
        </w:tc>
        <w:tc>
          <w:tcPr>
            <w:tcW w:w="1478" w:type="dxa"/>
            <w:tcBorders>
              <w:top w:val="nil"/>
              <w:left w:val="nil"/>
              <w:bottom w:val="single" w:sz="4" w:space="0" w:color="auto"/>
              <w:right w:val="nil"/>
            </w:tcBorders>
            <w:shd w:val="clear" w:color="000000" w:fill="D6E3BC"/>
            <w:noWrap/>
            <w:hideMark/>
          </w:tcPr>
          <w:p w14:paraId="553814CB" w14:textId="369F7F96"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1 663</w:t>
            </w:r>
          </w:p>
        </w:tc>
        <w:tc>
          <w:tcPr>
            <w:tcW w:w="1479" w:type="dxa"/>
            <w:tcBorders>
              <w:top w:val="single" w:sz="4" w:space="0" w:color="auto"/>
              <w:left w:val="single" w:sz="4" w:space="0" w:color="auto"/>
              <w:bottom w:val="single" w:sz="4" w:space="0" w:color="auto"/>
              <w:right w:val="single" w:sz="4" w:space="0" w:color="auto"/>
            </w:tcBorders>
            <w:shd w:val="clear" w:color="000000" w:fill="D6E3BC"/>
          </w:tcPr>
          <w:p w14:paraId="63828457" w14:textId="13797ECA"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11BDA38" w14:textId="5A627FD1" w:rsidR="00CE7803" w:rsidRPr="001A2E55" w:rsidRDefault="00CE7803" w:rsidP="00CE7803">
            <w:pPr>
              <w:ind w:left="0" w:firstLine="0"/>
              <w:jc w:val="right"/>
              <w:rPr>
                <w:rFonts w:asciiTheme="minorHAnsi" w:eastAsia="Times New Roman" w:hAnsiTheme="minorHAnsi" w:cstheme="minorHAnsi"/>
                <w:b/>
                <w:noProof/>
                <w:sz w:val="20"/>
                <w:szCs w:val="20"/>
                <w:lang w:val="es-ES" w:eastAsia="en-GB"/>
              </w:rPr>
            </w:pPr>
            <w:r w:rsidRPr="001A2E55">
              <w:rPr>
                <w:rFonts w:eastAsia="Times New Roman" w:cs="Calibri"/>
                <w:b/>
                <w:noProof/>
                <w:sz w:val="20"/>
                <w:szCs w:val="20"/>
                <w:lang w:val="es-ES" w:eastAsia="en-GB"/>
              </w:rPr>
              <w:t>989</w:t>
            </w:r>
          </w:p>
        </w:tc>
      </w:tr>
      <w:tr w:rsidR="000A5DEE" w:rsidRPr="001A2E55" w14:paraId="41542D70" w14:textId="77777777" w:rsidTr="00D135FB">
        <w:tc>
          <w:tcPr>
            <w:tcW w:w="3828" w:type="dxa"/>
            <w:tcBorders>
              <w:top w:val="single" w:sz="4" w:space="0" w:color="auto"/>
              <w:left w:val="single" w:sz="4" w:space="0" w:color="auto"/>
              <w:bottom w:val="single" w:sz="4" w:space="0" w:color="auto"/>
            </w:tcBorders>
            <w:shd w:val="clear" w:color="auto" w:fill="auto"/>
            <w:noWrap/>
            <w:vAlign w:val="center"/>
          </w:tcPr>
          <w:p w14:paraId="4AFB2D56" w14:textId="2A3E2759" w:rsidR="000A5DEE" w:rsidRPr="001A2E55" w:rsidRDefault="00CE7803" w:rsidP="000A5DEE">
            <w:pPr>
              <w:ind w:left="0" w:firstLine="0"/>
              <w:rPr>
                <w:rFonts w:asciiTheme="minorHAnsi" w:eastAsia="Times New Roman" w:hAnsiTheme="minorHAnsi" w:cstheme="minorHAnsi"/>
                <w:bCs/>
                <w:noProof/>
                <w:sz w:val="20"/>
                <w:szCs w:val="20"/>
                <w:lang w:val="es-ES" w:eastAsia="en-GB"/>
              </w:rPr>
            </w:pPr>
            <w:r w:rsidRPr="001A2E55">
              <w:rPr>
                <w:rFonts w:asciiTheme="minorHAnsi" w:eastAsia="Times New Roman" w:hAnsiTheme="minorHAnsi" w:cstheme="minorHAnsi"/>
                <w:bCs/>
                <w:noProof/>
                <w:sz w:val="20"/>
                <w:szCs w:val="20"/>
                <w:lang w:val="es-ES" w:eastAsia="en-GB"/>
              </w:rPr>
              <w:t>Redondeo</w:t>
            </w:r>
          </w:p>
        </w:tc>
        <w:tc>
          <w:tcPr>
            <w:tcW w:w="1478" w:type="dxa"/>
            <w:tcBorders>
              <w:top w:val="nil"/>
              <w:bottom w:val="single" w:sz="4" w:space="0" w:color="auto"/>
            </w:tcBorders>
            <w:shd w:val="clear" w:color="auto" w:fill="auto"/>
            <w:noWrap/>
            <w:vAlign w:val="center"/>
          </w:tcPr>
          <w:p w14:paraId="21071855"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8" w:type="dxa"/>
            <w:tcBorders>
              <w:top w:val="nil"/>
              <w:bottom w:val="single" w:sz="4" w:space="0" w:color="auto"/>
            </w:tcBorders>
            <w:shd w:val="clear" w:color="auto" w:fill="auto"/>
            <w:noWrap/>
            <w:vAlign w:val="center"/>
          </w:tcPr>
          <w:p w14:paraId="283D316C"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8" w:type="dxa"/>
            <w:tcBorders>
              <w:top w:val="nil"/>
              <w:bottom w:val="single" w:sz="4" w:space="0" w:color="auto"/>
            </w:tcBorders>
            <w:shd w:val="clear" w:color="auto" w:fill="auto"/>
            <w:noWrap/>
            <w:vAlign w:val="center"/>
          </w:tcPr>
          <w:p w14:paraId="4E9DCD15"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9" w:type="dxa"/>
            <w:tcBorders>
              <w:top w:val="nil"/>
              <w:bottom w:val="single" w:sz="4" w:space="0" w:color="auto"/>
            </w:tcBorders>
            <w:shd w:val="clear" w:color="auto" w:fill="auto"/>
            <w:noWrap/>
            <w:vAlign w:val="center"/>
          </w:tcPr>
          <w:p w14:paraId="16D17819"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8" w:type="dxa"/>
            <w:tcBorders>
              <w:top w:val="nil"/>
              <w:bottom w:val="single" w:sz="4" w:space="0" w:color="auto"/>
            </w:tcBorders>
            <w:shd w:val="clear" w:color="auto" w:fill="auto"/>
            <w:noWrap/>
            <w:vAlign w:val="center"/>
          </w:tcPr>
          <w:p w14:paraId="7CF905E9" w14:textId="2D7847EA" w:rsidR="000A5DEE" w:rsidRPr="001A2E55" w:rsidRDefault="00CE7803" w:rsidP="000A5DEE">
            <w:pPr>
              <w:ind w:left="0" w:firstLine="0"/>
              <w:jc w:val="right"/>
              <w:rPr>
                <w:rFonts w:asciiTheme="minorHAnsi" w:eastAsia="Times New Roman" w:hAnsiTheme="minorHAnsi" w:cstheme="minorHAnsi"/>
                <w:bCs/>
                <w:noProof/>
                <w:sz w:val="20"/>
                <w:szCs w:val="20"/>
                <w:lang w:val="es-ES" w:eastAsia="en-GB"/>
              </w:rPr>
            </w:pPr>
            <w:r w:rsidRPr="001A2E55">
              <w:rPr>
                <w:rFonts w:asciiTheme="minorHAnsi" w:eastAsia="Times New Roman" w:hAnsiTheme="minorHAnsi" w:cstheme="minorHAnsi"/>
                <w:bCs/>
                <w:noProof/>
                <w:sz w:val="20"/>
                <w:szCs w:val="20"/>
                <w:lang w:val="es-ES" w:eastAsia="en-GB"/>
              </w:rPr>
              <w:t>1</w:t>
            </w:r>
          </w:p>
        </w:tc>
        <w:tc>
          <w:tcPr>
            <w:tcW w:w="1478" w:type="dxa"/>
            <w:tcBorders>
              <w:top w:val="single" w:sz="4" w:space="0" w:color="auto"/>
              <w:bottom w:val="single" w:sz="4" w:space="0" w:color="auto"/>
            </w:tcBorders>
            <w:shd w:val="clear" w:color="auto" w:fill="auto"/>
            <w:noWrap/>
            <w:vAlign w:val="center"/>
          </w:tcPr>
          <w:p w14:paraId="7864A9A3"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9" w:type="dxa"/>
            <w:tcBorders>
              <w:top w:val="single" w:sz="4" w:space="0" w:color="auto"/>
              <w:bottom w:val="single" w:sz="4" w:space="0" w:color="auto"/>
            </w:tcBorders>
          </w:tcPr>
          <w:p w14:paraId="48CCC4EE"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c>
          <w:tcPr>
            <w:tcW w:w="1479" w:type="dxa"/>
            <w:tcBorders>
              <w:top w:val="single" w:sz="4" w:space="0" w:color="auto"/>
              <w:bottom w:val="single" w:sz="4" w:space="0" w:color="auto"/>
              <w:right w:val="single" w:sz="4" w:space="0" w:color="auto"/>
            </w:tcBorders>
            <w:shd w:val="clear" w:color="auto" w:fill="auto"/>
            <w:noWrap/>
            <w:vAlign w:val="center"/>
          </w:tcPr>
          <w:p w14:paraId="72ABBBE5" w14:textId="77777777" w:rsidR="000A5DEE" w:rsidRPr="001A2E55" w:rsidRDefault="000A5DEE" w:rsidP="000A5DEE">
            <w:pPr>
              <w:ind w:left="0" w:firstLine="0"/>
              <w:jc w:val="right"/>
              <w:rPr>
                <w:rFonts w:asciiTheme="minorHAnsi" w:eastAsia="Times New Roman" w:hAnsiTheme="minorHAnsi" w:cstheme="minorHAnsi"/>
                <w:b/>
                <w:noProof/>
                <w:sz w:val="20"/>
                <w:szCs w:val="20"/>
                <w:lang w:val="es-ES" w:eastAsia="en-GB"/>
              </w:rPr>
            </w:pPr>
          </w:p>
        </w:tc>
      </w:tr>
      <w:tr w:rsidR="00CE7803" w:rsidRPr="001A2E55" w14:paraId="1A4235A9" w14:textId="77777777" w:rsidTr="00F8365B">
        <w:tc>
          <w:tcPr>
            <w:tcW w:w="3828" w:type="dxa"/>
            <w:tcBorders>
              <w:top w:val="single" w:sz="4" w:space="0" w:color="auto"/>
              <w:left w:val="single" w:sz="4" w:space="0" w:color="auto"/>
              <w:bottom w:val="single" w:sz="4" w:space="0" w:color="auto"/>
              <w:right w:val="nil"/>
            </w:tcBorders>
            <w:shd w:val="clear" w:color="000000" w:fill="D6E3BC"/>
            <w:vAlign w:val="center"/>
            <w:hideMark/>
          </w:tcPr>
          <w:p w14:paraId="555FF53B" w14:textId="77777777" w:rsidR="00CE7803" w:rsidRPr="001A2E55" w:rsidRDefault="00CE7803" w:rsidP="00CE7803">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SUPERÁVIT/(DÉFICIT)</w:t>
            </w:r>
          </w:p>
        </w:tc>
        <w:tc>
          <w:tcPr>
            <w:tcW w:w="1478" w:type="dxa"/>
            <w:tcBorders>
              <w:top w:val="single" w:sz="4" w:space="0" w:color="auto"/>
              <w:left w:val="single" w:sz="4" w:space="0" w:color="auto"/>
              <w:bottom w:val="single" w:sz="4" w:space="0" w:color="auto"/>
              <w:right w:val="nil"/>
            </w:tcBorders>
            <w:shd w:val="clear" w:color="000000" w:fill="D6E3BC"/>
            <w:noWrap/>
            <w:vAlign w:val="center"/>
            <w:hideMark/>
          </w:tcPr>
          <w:p w14:paraId="5D4FC694" w14:textId="12881DF7"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5881F60E" w14:textId="0A28C7D8"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0CC94C35" w14:textId="396CFCEE"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 </w:t>
            </w:r>
          </w:p>
        </w:tc>
        <w:tc>
          <w:tcPr>
            <w:tcW w:w="1479" w:type="dxa"/>
            <w:tcBorders>
              <w:top w:val="single" w:sz="4" w:space="0" w:color="auto"/>
              <w:left w:val="nil"/>
              <w:bottom w:val="single" w:sz="4" w:space="0" w:color="auto"/>
              <w:right w:val="nil"/>
            </w:tcBorders>
            <w:shd w:val="clear" w:color="000000" w:fill="D6E3BC"/>
            <w:noWrap/>
            <w:vAlign w:val="center"/>
            <w:hideMark/>
          </w:tcPr>
          <w:p w14:paraId="217D4DEB" w14:textId="40A063A0"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5F2300D8" w14:textId="74CC21AC"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noProof/>
                <w:sz w:val="20"/>
                <w:szCs w:val="20"/>
                <w:lang w:val="es-ES" w:eastAsia="en-GB"/>
              </w:rPr>
              <w:t>(12)</w:t>
            </w:r>
          </w:p>
        </w:tc>
        <w:tc>
          <w:tcPr>
            <w:tcW w:w="1478" w:type="dxa"/>
            <w:tcBorders>
              <w:top w:val="single" w:sz="4" w:space="0" w:color="auto"/>
              <w:left w:val="single" w:sz="4" w:space="0" w:color="auto"/>
              <w:bottom w:val="single" w:sz="4" w:space="0" w:color="auto"/>
              <w:right w:val="single" w:sz="4" w:space="0" w:color="auto"/>
            </w:tcBorders>
            <w:shd w:val="clear" w:color="000000" w:fill="D6E3BC"/>
            <w:noWrap/>
            <w:hideMark/>
          </w:tcPr>
          <w:p w14:paraId="5CE43B74" w14:textId="5634C170"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p>
        </w:tc>
        <w:tc>
          <w:tcPr>
            <w:tcW w:w="1479" w:type="dxa"/>
            <w:tcBorders>
              <w:top w:val="single" w:sz="4" w:space="0" w:color="auto"/>
              <w:left w:val="nil"/>
              <w:bottom w:val="single" w:sz="4" w:space="0" w:color="auto"/>
              <w:right w:val="nil"/>
            </w:tcBorders>
            <w:shd w:val="clear" w:color="000000" w:fill="D6E3BC"/>
          </w:tcPr>
          <w:p w14:paraId="3AC9BAF1" w14:textId="77777777"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p>
        </w:tc>
        <w:tc>
          <w:tcPr>
            <w:tcW w:w="1479" w:type="dxa"/>
            <w:tcBorders>
              <w:top w:val="single" w:sz="4" w:space="0" w:color="auto"/>
              <w:left w:val="nil"/>
              <w:bottom w:val="single" w:sz="4" w:space="0" w:color="auto"/>
              <w:right w:val="single" w:sz="4" w:space="0" w:color="auto"/>
            </w:tcBorders>
            <w:shd w:val="clear" w:color="000000" w:fill="D6E3BC"/>
            <w:noWrap/>
            <w:vAlign w:val="center"/>
            <w:hideMark/>
          </w:tcPr>
          <w:p w14:paraId="6815754F" w14:textId="7DCD9935" w:rsidR="00CE7803" w:rsidRPr="001A2E55" w:rsidRDefault="00CE7803" w:rsidP="00CE7803">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978</w:t>
            </w:r>
          </w:p>
        </w:tc>
      </w:tr>
    </w:tbl>
    <w:p w14:paraId="791165B0" w14:textId="77777777" w:rsidR="005704AC" w:rsidRPr="001A2E55" w:rsidRDefault="005704AC" w:rsidP="005704AC">
      <w:pPr>
        <w:ind w:left="0" w:firstLine="0"/>
        <w:rPr>
          <w:rFonts w:asciiTheme="minorHAnsi" w:eastAsia="Times New Roman" w:hAnsiTheme="minorHAnsi" w:cstheme="minorHAnsi"/>
          <w:noProof/>
          <w:color w:val="000000"/>
          <w:sz w:val="20"/>
          <w:szCs w:val="20"/>
          <w:lang w:val="es-ES" w:eastAsia="en-GB"/>
        </w:rPr>
        <w:sectPr w:rsidR="005704AC" w:rsidRPr="001A2E55" w:rsidSect="009746FC">
          <w:pgSz w:w="16838" w:h="11906" w:orient="landscape" w:code="9"/>
          <w:pgMar w:top="1440" w:right="1440" w:bottom="1440" w:left="1440" w:header="709" w:footer="709" w:gutter="0"/>
          <w:cols w:space="708"/>
          <w:docGrid w:linePitch="360"/>
        </w:sectPr>
      </w:pPr>
    </w:p>
    <w:p w14:paraId="2B771437" w14:textId="3CE1E7BE" w:rsidR="005704AC" w:rsidRPr="001A2E55" w:rsidRDefault="005704AC" w:rsidP="005704AC">
      <w:pPr>
        <w:ind w:left="0" w:firstLine="0"/>
        <w:rPr>
          <w:rFonts w:asciiTheme="minorHAnsi" w:eastAsia="Times New Roman" w:hAnsiTheme="minorHAnsi" w:cstheme="minorHAnsi"/>
          <w:b/>
          <w:bCs/>
          <w:noProof/>
          <w:sz w:val="24"/>
          <w:szCs w:val="24"/>
          <w:lang w:val="es-ES" w:eastAsia="en-GB"/>
        </w:rPr>
      </w:pPr>
      <w:r w:rsidRPr="001A2E55">
        <w:rPr>
          <w:rFonts w:asciiTheme="minorHAnsi" w:eastAsia="Times New Roman" w:hAnsiTheme="minorHAnsi" w:cstheme="minorHAnsi"/>
          <w:b/>
          <w:bCs/>
          <w:noProof/>
          <w:sz w:val="24"/>
          <w:szCs w:val="24"/>
          <w:lang w:val="es-ES" w:eastAsia="en-GB"/>
        </w:rPr>
        <w:lastRenderedPageBreak/>
        <w:t xml:space="preserve">Anexo </w:t>
      </w:r>
      <w:r w:rsidR="00844A27" w:rsidRPr="001A2E55">
        <w:rPr>
          <w:rFonts w:asciiTheme="minorHAnsi" w:eastAsia="Times New Roman" w:hAnsiTheme="minorHAnsi" w:cstheme="minorHAnsi"/>
          <w:b/>
          <w:bCs/>
          <w:noProof/>
          <w:sz w:val="24"/>
          <w:szCs w:val="24"/>
          <w:lang w:val="es-ES" w:eastAsia="en-GB"/>
        </w:rPr>
        <w:t>2</w:t>
      </w:r>
    </w:p>
    <w:p w14:paraId="124F3E73" w14:textId="02A37156" w:rsidR="005704AC" w:rsidRPr="001A2E55" w:rsidRDefault="005704AC" w:rsidP="005704AC">
      <w:pPr>
        <w:ind w:left="0" w:firstLine="0"/>
        <w:rPr>
          <w:rFonts w:asciiTheme="minorHAnsi" w:eastAsia="Times New Roman" w:hAnsiTheme="minorHAnsi" w:cstheme="minorHAnsi"/>
          <w:b/>
          <w:bCs/>
          <w:noProof/>
          <w:lang w:val="es-ES" w:eastAsia="en-GB"/>
        </w:rPr>
      </w:pPr>
      <w:r w:rsidRPr="001A2E55">
        <w:rPr>
          <w:rFonts w:asciiTheme="minorHAnsi" w:eastAsia="Times New Roman" w:hAnsiTheme="minorHAnsi" w:cstheme="minorHAnsi"/>
          <w:b/>
          <w:bCs/>
          <w:noProof/>
          <w:lang w:val="es-ES" w:eastAsia="en-GB"/>
        </w:rPr>
        <w:t xml:space="preserve">Proyectos financiados por fondos </w:t>
      </w:r>
      <w:r w:rsidR="00844A27" w:rsidRPr="001A2E55">
        <w:rPr>
          <w:rFonts w:asciiTheme="minorHAnsi" w:eastAsia="Times New Roman" w:hAnsiTheme="minorHAnsi" w:cstheme="minorHAnsi"/>
          <w:b/>
          <w:bCs/>
          <w:noProof/>
          <w:lang w:val="es-ES" w:eastAsia="en-GB"/>
        </w:rPr>
        <w:t>no básicos</w:t>
      </w:r>
      <w:r w:rsidRPr="001A2E55">
        <w:rPr>
          <w:rFonts w:asciiTheme="minorHAnsi" w:eastAsia="Times New Roman" w:hAnsiTheme="minorHAnsi" w:cstheme="minorHAnsi"/>
          <w:b/>
          <w:bCs/>
          <w:noProof/>
          <w:lang w:val="es-ES" w:eastAsia="en-GB"/>
        </w:rPr>
        <w:t xml:space="preserve"> para el período comprendido entre el 1 de enero de 202</w:t>
      </w:r>
      <w:r w:rsidR="00894E14" w:rsidRPr="001A2E55">
        <w:rPr>
          <w:rFonts w:asciiTheme="minorHAnsi" w:eastAsia="Times New Roman" w:hAnsiTheme="minorHAnsi" w:cstheme="minorHAnsi"/>
          <w:b/>
          <w:bCs/>
          <w:noProof/>
          <w:lang w:val="es-ES" w:eastAsia="en-GB"/>
        </w:rPr>
        <w:t>4</w:t>
      </w:r>
      <w:r w:rsidRPr="001A2E55">
        <w:rPr>
          <w:rFonts w:asciiTheme="minorHAnsi" w:eastAsia="Times New Roman" w:hAnsiTheme="minorHAnsi" w:cstheme="minorHAnsi"/>
          <w:b/>
          <w:bCs/>
          <w:noProof/>
          <w:lang w:val="es-ES" w:eastAsia="en-GB"/>
        </w:rPr>
        <w:t xml:space="preserve"> y el 31 de diciembre de 202</w:t>
      </w:r>
      <w:r w:rsidR="00844A27" w:rsidRPr="001A2E55">
        <w:rPr>
          <w:rFonts w:asciiTheme="minorHAnsi" w:eastAsia="Times New Roman" w:hAnsiTheme="minorHAnsi" w:cstheme="minorHAnsi"/>
          <w:b/>
          <w:bCs/>
          <w:noProof/>
          <w:lang w:val="es-ES" w:eastAsia="en-GB"/>
        </w:rPr>
        <w:t>4</w:t>
      </w:r>
    </w:p>
    <w:p w14:paraId="051B8BA9" w14:textId="77777777" w:rsidR="005704AC" w:rsidRPr="001A2E55" w:rsidRDefault="005704AC" w:rsidP="005704AC">
      <w:pPr>
        <w:ind w:left="0" w:firstLine="0"/>
        <w:rPr>
          <w:rFonts w:asciiTheme="minorHAnsi" w:eastAsia="Times New Roman" w:hAnsiTheme="minorHAnsi" w:cstheme="minorHAnsi"/>
          <w:bCs/>
          <w:i/>
          <w:noProof/>
          <w:sz w:val="20"/>
          <w:szCs w:val="20"/>
          <w:lang w:val="es-ES"/>
        </w:rPr>
      </w:pPr>
      <w:r w:rsidRPr="001A2E55">
        <w:rPr>
          <w:rFonts w:asciiTheme="minorHAnsi" w:hAnsiTheme="minorHAnsi" w:cstheme="minorHAnsi"/>
          <w:bCs/>
          <w:i/>
          <w:noProof/>
          <w:sz w:val="20"/>
          <w:szCs w:val="20"/>
          <w:lang w:val="es-ES"/>
        </w:rPr>
        <w:t>(en miles de francos suizos, con posibles diferencias por redondeo)</w:t>
      </w:r>
    </w:p>
    <w:p w14:paraId="0CC9899F" w14:textId="77777777" w:rsidR="005704AC" w:rsidRPr="001A2E55" w:rsidRDefault="005704AC" w:rsidP="005704AC">
      <w:pPr>
        <w:rPr>
          <w:rFonts w:asciiTheme="minorHAnsi" w:eastAsia="Times New Roman" w:hAnsiTheme="minorHAnsi" w:cstheme="minorHAnsi"/>
          <w:bCs/>
          <w:noProof/>
          <w:lang w:val="es-ES" w:eastAsia="en-GB"/>
        </w:rPr>
      </w:pPr>
    </w:p>
    <w:p w14:paraId="2AB14738" w14:textId="77777777" w:rsidR="005704AC" w:rsidRPr="001A2E55" w:rsidRDefault="005704AC" w:rsidP="005704AC">
      <w:pPr>
        <w:rPr>
          <w:rFonts w:asciiTheme="minorHAnsi" w:eastAsia="Times New Roman" w:hAnsiTheme="minorHAnsi" w:cstheme="minorHAnsi"/>
          <w:bCs/>
          <w:noProof/>
          <w:lang w:val="es-ES" w:eastAsia="en-GB"/>
        </w:rPr>
      </w:pPr>
    </w:p>
    <w:tbl>
      <w:tblPr>
        <w:tblW w:w="9576" w:type="dxa"/>
        <w:tblInd w:w="-30" w:type="dxa"/>
        <w:tblLayout w:type="fixed"/>
        <w:tblCellMar>
          <w:left w:w="57" w:type="dxa"/>
          <w:right w:w="57" w:type="dxa"/>
        </w:tblCellMar>
        <w:tblLook w:val="0000" w:firstRow="0" w:lastRow="0" w:firstColumn="0" w:lastColumn="0" w:noHBand="0" w:noVBand="0"/>
      </w:tblPr>
      <w:tblGrid>
        <w:gridCol w:w="1306"/>
        <w:gridCol w:w="709"/>
        <w:gridCol w:w="2375"/>
        <w:gridCol w:w="1072"/>
        <w:gridCol w:w="68"/>
        <w:gridCol w:w="1005"/>
        <w:gridCol w:w="1006"/>
        <w:gridCol w:w="7"/>
        <w:gridCol w:w="998"/>
        <w:gridCol w:w="16"/>
        <w:gridCol w:w="1014"/>
      </w:tblGrid>
      <w:tr w:rsidR="005704AC" w:rsidRPr="00F81E8B" w14:paraId="57BE3B4C" w14:textId="77777777" w:rsidTr="005D4B97">
        <w:tc>
          <w:tcPr>
            <w:tcW w:w="1306" w:type="dxa"/>
            <w:tcBorders>
              <w:top w:val="single" w:sz="12" w:space="0" w:color="auto"/>
              <w:left w:val="nil"/>
              <w:bottom w:val="nil"/>
              <w:right w:val="nil"/>
            </w:tcBorders>
            <w:shd w:val="clear" w:color="auto" w:fill="D6E3BC" w:themeFill="accent3" w:themeFillTint="66"/>
            <w:vAlign w:val="center"/>
          </w:tcPr>
          <w:p w14:paraId="6E05FA7F" w14:textId="77777777"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Número de proyecto</w:t>
            </w:r>
          </w:p>
        </w:tc>
        <w:tc>
          <w:tcPr>
            <w:tcW w:w="3084" w:type="dxa"/>
            <w:gridSpan w:val="2"/>
            <w:tcBorders>
              <w:top w:val="single" w:sz="12" w:space="0" w:color="auto"/>
              <w:left w:val="nil"/>
              <w:bottom w:val="nil"/>
              <w:right w:val="nil"/>
            </w:tcBorders>
            <w:shd w:val="clear" w:color="auto" w:fill="D6E3BC" w:themeFill="accent3" w:themeFillTint="66"/>
            <w:vAlign w:val="center"/>
          </w:tcPr>
          <w:p w14:paraId="7667BB17" w14:textId="77777777"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Nombre del proyecto</w:t>
            </w:r>
          </w:p>
        </w:tc>
        <w:tc>
          <w:tcPr>
            <w:tcW w:w="1072" w:type="dxa"/>
            <w:tcBorders>
              <w:top w:val="single" w:sz="12" w:space="0" w:color="auto"/>
              <w:left w:val="nil"/>
              <w:bottom w:val="nil"/>
              <w:right w:val="nil"/>
            </w:tcBorders>
            <w:shd w:val="clear" w:color="auto" w:fill="D6E3BC" w:themeFill="accent3" w:themeFillTint="66"/>
            <w:vAlign w:val="center"/>
          </w:tcPr>
          <w:p w14:paraId="0481635C" w14:textId="061622FF"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 xml:space="preserve">Saldo (déficit) a 31 de diciembre </w:t>
            </w:r>
            <w:r w:rsidRPr="001A2E55">
              <w:rPr>
                <w:rFonts w:asciiTheme="minorHAnsi" w:eastAsiaTheme="minorHAnsi" w:hAnsiTheme="minorHAnsi" w:cstheme="minorHAnsi"/>
                <w:b/>
                <w:bCs/>
                <w:noProof/>
                <w:color w:val="000000" w:themeColor="text1"/>
                <w:sz w:val="20"/>
                <w:szCs w:val="20"/>
                <w:lang w:val="es-ES"/>
              </w:rPr>
              <w:t>de</w:t>
            </w:r>
            <w:r w:rsidRPr="001A2E55">
              <w:rPr>
                <w:rFonts w:asciiTheme="minorHAnsi" w:eastAsiaTheme="minorHAnsi" w:hAnsiTheme="minorHAnsi" w:cstheme="minorHAnsi"/>
                <w:b/>
                <w:bCs/>
                <w:noProof/>
                <w:color w:val="000000"/>
                <w:sz w:val="20"/>
                <w:szCs w:val="20"/>
                <w:lang w:val="es-ES"/>
              </w:rPr>
              <w:t xml:space="preserve"> 202</w:t>
            </w:r>
            <w:r w:rsidR="00844A27" w:rsidRPr="001A2E55">
              <w:rPr>
                <w:rFonts w:asciiTheme="minorHAnsi" w:eastAsiaTheme="minorHAnsi" w:hAnsiTheme="minorHAnsi" w:cstheme="minorHAnsi"/>
                <w:b/>
                <w:bCs/>
                <w:noProof/>
                <w:color w:val="000000"/>
                <w:sz w:val="20"/>
                <w:szCs w:val="20"/>
                <w:lang w:val="es-ES"/>
              </w:rPr>
              <w:t>3</w:t>
            </w:r>
          </w:p>
        </w:tc>
        <w:tc>
          <w:tcPr>
            <w:tcW w:w="1073" w:type="dxa"/>
            <w:gridSpan w:val="2"/>
            <w:tcBorders>
              <w:top w:val="single" w:sz="12" w:space="0" w:color="auto"/>
              <w:left w:val="nil"/>
              <w:bottom w:val="nil"/>
              <w:right w:val="nil"/>
            </w:tcBorders>
            <w:shd w:val="clear" w:color="auto" w:fill="D6E3BC" w:themeFill="accent3" w:themeFillTint="66"/>
            <w:vAlign w:val="center"/>
          </w:tcPr>
          <w:p w14:paraId="72CD7997" w14:textId="261C8103"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 xml:space="preserve">Ingresos </w:t>
            </w:r>
            <w:r w:rsidR="00894E14" w:rsidRPr="001A2E55">
              <w:rPr>
                <w:rFonts w:asciiTheme="minorHAnsi" w:eastAsiaTheme="minorHAnsi" w:hAnsiTheme="minorHAnsi" w:cstheme="minorHAnsi"/>
                <w:b/>
                <w:bCs/>
                <w:noProof/>
                <w:color w:val="000000"/>
                <w:sz w:val="20"/>
                <w:szCs w:val="20"/>
                <w:lang w:val="es-ES"/>
              </w:rPr>
              <w:t>a 30 de</w:t>
            </w:r>
            <w:r w:rsidR="00844A27" w:rsidRPr="001A2E55">
              <w:rPr>
                <w:rFonts w:asciiTheme="minorHAnsi" w:eastAsiaTheme="minorHAnsi" w:hAnsiTheme="minorHAnsi" w:cstheme="minorHAnsi"/>
                <w:b/>
                <w:bCs/>
                <w:noProof/>
                <w:color w:val="000000"/>
                <w:sz w:val="20"/>
                <w:szCs w:val="20"/>
                <w:lang w:val="es-ES"/>
              </w:rPr>
              <w:t xml:space="preserve"> septiembre de 2024</w:t>
            </w:r>
          </w:p>
        </w:tc>
        <w:tc>
          <w:tcPr>
            <w:tcW w:w="1013" w:type="dxa"/>
            <w:gridSpan w:val="2"/>
            <w:tcBorders>
              <w:top w:val="single" w:sz="12" w:space="0" w:color="auto"/>
              <w:left w:val="nil"/>
              <w:bottom w:val="nil"/>
              <w:right w:val="nil"/>
            </w:tcBorders>
            <w:shd w:val="clear" w:color="auto" w:fill="D6E3BC" w:themeFill="accent3" w:themeFillTint="66"/>
            <w:vAlign w:val="center"/>
          </w:tcPr>
          <w:p w14:paraId="4FBE8666" w14:textId="5057AC46"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 xml:space="preserve">Gastos </w:t>
            </w:r>
            <w:r w:rsidR="00894E14" w:rsidRPr="001A2E55">
              <w:rPr>
                <w:rFonts w:asciiTheme="minorHAnsi" w:eastAsiaTheme="minorHAnsi" w:hAnsiTheme="minorHAnsi" w:cstheme="minorHAnsi"/>
                <w:b/>
                <w:bCs/>
                <w:noProof/>
                <w:color w:val="000000"/>
                <w:sz w:val="20"/>
                <w:szCs w:val="20"/>
                <w:lang w:val="es-ES"/>
              </w:rPr>
              <w:t>a 30 de</w:t>
            </w:r>
            <w:r w:rsidR="00844A27" w:rsidRPr="001A2E55">
              <w:rPr>
                <w:rFonts w:asciiTheme="minorHAnsi" w:eastAsiaTheme="minorHAnsi" w:hAnsiTheme="minorHAnsi" w:cstheme="minorHAnsi"/>
                <w:b/>
                <w:bCs/>
                <w:noProof/>
                <w:color w:val="000000"/>
                <w:sz w:val="20"/>
                <w:szCs w:val="20"/>
                <w:lang w:val="es-ES"/>
              </w:rPr>
              <w:t xml:space="preserve"> septiembre de</w:t>
            </w:r>
            <w:r w:rsidRPr="001A2E55">
              <w:rPr>
                <w:rFonts w:asciiTheme="minorHAnsi" w:eastAsiaTheme="minorHAnsi" w:hAnsiTheme="minorHAnsi" w:cstheme="minorHAnsi"/>
                <w:b/>
                <w:bCs/>
                <w:noProof/>
                <w:color w:val="000000"/>
                <w:sz w:val="20"/>
                <w:szCs w:val="20"/>
                <w:lang w:val="es-ES"/>
              </w:rPr>
              <w:t xml:space="preserve"> 202</w:t>
            </w:r>
            <w:r w:rsidR="00844A27" w:rsidRPr="001A2E55">
              <w:rPr>
                <w:rFonts w:asciiTheme="minorHAnsi" w:eastAsiaTheme="minorHAnsi" w:hAnsiTheme="minorHAnsi" w:cstheme="minorHAnsi"/>
                <w:b/>
                <w:bCs/>
                <w:noProof/>
                <w:color w:val="000000"/>
                <w:sz w:val="20"/>
                <w:szCs w:val="20"/>
                <w:lang w:val="es-ES"/>
              </w:rPr>
              <w:t>4</w:t>
            </w:r>
          </w:p>
        </w:tc>
        <w:tc>
          <w:tcPr>
            <w:tcW w:w="1014" w:type="dxa"/>
            <w:gridSpan w:val="2"/>
            <w:tcBorders>
              <w:top w:val="single" w:sz="12" w:space="0" w:color="auto"/>
              <w:left w:val="nil"/>
              <w:bottom w:val="nil"/>
              <w:right w:val="nil"/>
            </w:tcBorders>
            <w:shd w:val="clear" w:color="auto" w:fill="D6E3BC" w:themeFill="accent3" w:themeFillTint="66"/>
            <w:vAlign w:val="center"/>
          </w:tcPr>
          <w:p w14:paraId="5B36CA4C" w14:textId="77777777"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Transferencias de proyectos y cargos cruzados</w:t>
            </w:r>
          </w:p>
        </w:tc>
        <w:tc>
          <w:tcPr>
            <w:tcW w:w="1014" w:type="dxa"/>
            <w:tcBorders>
              <w:top w:val="single" w:sz="12" w:space="0" w:color="auto"/>
              <w:left w:val="nil"/>
              <w:bottom w:val="nil"/>
              <w:right w:val="nil"/>
            </w:tcBorders>
            <w:shd w:val="clear" w:color="auto" w:fill="D6E3BC" w:themeFill="accent3" w:themeFillTint="66"/>
            <w:vAlign w:val="center"/>
          </w:tcPr>
          <w:p w14:paraId="5FFBBE3E" w14:textId="6A042863" w:rsidR="005704AC" w:rsidRPr="001A2E55" w:rsidRDefault="005704AC" w:rsidP="005D4B97">
            <w:pPr>
              <w:ind w:left="0" w:firstLine="0"/>
              <w:jc w:val="cente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 xml:space="preserve">Saldo (déficit) a </w:t>
            </w:r>
            <w:r w:rsidR="00844A27" w:rsidRPr="001A2E55">
              <w:rPr>
                <w:rFonts w:asciiTheme="minorHAnsi" w:eastAsiaTheme="minorHAnsi" w:hAnsiTheme="minorHAnsi" w:cstheme="minorHAnsi"/>
                <w:b/>
                <w:bCs/>
                <w:noProof/>
                <w:color w:val="000000"/>
                <w:sz w:val="20"/>
                <w:szCs w:val="20"/>
                <w:lang w:val="es-ES"/>
              </w:rPr>
              <w:t>30 de septiembre de</w:t>
            </w:r>
            <w:r w:rsidRPr="001A2E55">
              <w:rPr>
                <w:rFonts w:asciiTheme="minorHAnsi" w:eastAsiaTheme="minorHAnsi" w:hAnsiTheme="minorHAnsi" w:cstheme="minorHAnsi"/>
                <w:b/>
                <w:bCs/>
                <w:noProof/>
                <w:color w:val="000000"/>
                <w:sz w:val="20"/>
                <w:szCs w:val="20"/>
                <w:lang w:val="es-ES"/>
              </w:rPr>
              <w:t xml:space="preserve"> 202</w:t>
            </w:r>
            <w:r w:rsidR="00844A27" w:rsidRPr="001A2E55">
              <w:rPr>
                <w:rFonts w:asciiTheme="minorHAnsi" w:eastAsiaTheme="minorHAnsi" w:hAnsiTheme="minorHAnsi" w:cstheme="minorHAnsi"/>
                <w:b/>
                <w:bCs/>
                <w:noProof/>
                <w:color w:val="000000"/>
                <w:sz w:val="20"/>
                <w:szCs w:val="20"/>
                <w:lang w:val="es-ES"/>
              </w:rPr>
              <w:t>4</w:t>
            </w:r>
          </w:p>
        </w:tc>
      </w:tr>
      <w:tr w:rsidR="005704AC" w:rsidRPr="001A2E55" w14:paraId="0FB9BF3A" w14:textId="77777777" w:rsidTr="005D4B97">
        <w:tc>
          <w:tcPr>
            <w:tcW w:w="1306" w:type="dxa"/>
            <w:tcBorders>
              <w:top w:val="nil"/>
              <w:left w:val="nil"/>
              <w:bottom w:val="single" w:sz="12" w:space="0" w:color="auto"/>
              <w:right w:val="nil"/>
            </w:tcBorders>
            <w:shd w:val="clear" w:color="auto" w:fill="D6E3BC" w:themeFill="accent3" w:themeFillTint="66"/>
          </w:tcPr>
          <w:p w14:paraId="37F5A63B" w14:textId="77777777" w:rsidR="005704AC" w:rsidRPr="001A2E55" w:rsidRDefault="005704AC" w:rsidP="005D4B97">
            <w:pPr>
              <w:jc w:val="center"/>
              <w:rPr>
                <w:rFonts w:asciiTheme="minorHAnsi" w:eastAsiaTheme="minorHAnsi" w:hAnsiTheme="minorHAnsi" w:cstheme="minorHAnsi"/>
                <w:noProof/>
                <w:color w:val="000000"/>
                <w:lang w:val="es-ES"/>
              </w:rPr>
            </w:pPr>
          </w:p>
        </w:tc>
        <w:tc>
          <w:tcPr>
            <w:tcW w:w="3084" w:type="dxa"/>
            <w:gridSpan w:val="2"/>
            <w:tcBorders>
              <w:top w:val="nil"/>
              <w:left w:val="nil"/>
              <w:bottom w:val="single" w:sz="12" w:space="0" w:color="auto"/>
              <w:right w:val="nil"/>
            </w:tcBorders>
            <w:shd w:val="clear" w:color="auto" w:fill="D6E3BC" w:themeFill="accent3" w:themeFillTint="66"/>
          </w:tcPr>
          <w:p w14:paraId="65F6F42E" w14:textId="77777777" w:rsidR="005704AC" w:rsidRPr="001A2E55" w:rsidRDefault="005704AC" w:rsidP="005D4B97">
            <w:pPr>
              <w:jc w:val="center"/>
              <w:rPr>
                <w:rFonts w:asciiTheme="minorHAnsi" w:eastAsiaTheme="minorHAnsi" w:hAnsiTheme="minorHAnsi" w:cstheme="minorHAnsi"/>
                <w:noProof/>
                <w:color w:val="000000"/>
                <w:lang w:val="es-ES"/>
              </w:rPr>
            </w:pPr>
          </w:p>
        </w:tc>
        <w:tc>
          <w:tcPr>
            <w:tcW w:w="1140" w:type="dxa"/>
            <w:gridSpan w:val="2"/>
            <w:tcBorders>
              <w:top w:val="nil"/>
              <w:left w:val="nil"/>
              <w:bottom w:val="single" w:sz="12" w:space="0" w:color="auto"/>
              <w:right w:val="nil"/>
            </w:tcBorders>
            <w:shd w:val="clear" w:color="auto" w:fill="D6E3BC" w:themeFill="accent3" w:themeFillTint="66"/>
          </w:tcPr>
          <w:p w14:paraId="4E02853E" w14:textId="77777777" w:rsidR="005704AC" w:rsidRPr="001A2E55" w:rsidRDefault="005704AC" w:rsidP="005D4B97">
            <w:pPr>
              <w:jc w:val="cente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(DR)/CR</w:t>
            </w:r>
          </w:p>
        </w:tc>
        <w:tc>
          <w:tcPr>
            <w:tcW w:w="1005" w:type="dxa"/>
            <w:tcBorders>
              <w:top w:val="nil"/>
              <w:left w:val="nil"/>
              <w:bottom w:val="single" w:sz="12" w:space="0" w:color="auto"/>
              <w:right w:val="nil"/>
            </w:tcBorders>
            <w:shd w:val="clear" w:color="auto" w:fill="D6E3BC" w:themeFill="accent3" w:themeFillTint="66"/>
          </w:tcPr>
          <w:p w14:paraId="51BE7104" w14:textId="77777777" w:rsidR="005704AC" w:rsidRPr="001A2E55" w:rsidRDefault="005704AC" w:rsidP="005D4B97">
            <w:pPr>
              <w:jc w:val="cente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(DR)/CR</w:t>
            </w:r>
          </w:p>
        </w:tc>
        <w:tc>
          <w:tcPr>
            <w:tcW w:w="1006" w:type="dxa"/>
            <w:tcBorders>
              <w:top w:val="nil"/>
              <w:left w:val="nil"/>
              <w:bottom w:val="single" w:sz="12" w:space="0" w:color="auto"/>
              <w:right w:val="nil"/>
            </w:tcBorders>
            <w:shd w:val="clear" w:color="auto" w:fill="D6E3BC" w:themeFill="accent3" w:themeFillTint="66"/>
          </w:tcPr>
          <w:p w14:paraId="120289F6" w14:textId="77777777" w:rsidR="005704AC" w:rsidRPr="001A2E55" w:rsidRDefault="005704AC" w:rsidP="005D4B97">
            <w:pPr>
              <w:jc w:val="cente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(DR)/CR</w:t>
            </w:r>
          </w:p>
        </w:tc>
        <w:tc>
          <w:tcPr>
            <w:tcW w:w="1005" w:type="dxa"/>
            <w:gridSpan w:val="2"/>
            <w:tcBorders>
              <w:top w:val="nil"/>
              <w:left w:val="nil"/>
              <w:bottom w:val="single" w:sz="12" w:space="0" w:color="auto"/>
              <w:right w:val="nil"/>
            </w:tcBorders>
            <w:shd w:val="clear" w:color="auto" w:fill="D6E3BC" w:themeFill="accent3" w:themeFillTint="66"/>
          </w:tcPr>
          <w:p w14:paraId="06735E3D" w14:textId="77777777" w:rsidR="005704AC" w:rsidRPr="001A2E55" w:rsidRDefault="005704AC" w:rsidP="005D4B97">
            <w:pPr>
              <w:jc w:val="cente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(DR)/CR</w:t>
            </w:r>
          </w:p>
        </w:tc>
        <w:tc>
          <w:tcPr>
            <w:tcW w:w="1030" w:type="dxa"/>
            <w:gridSpan w:val="2"/>
            <w:tcBorders>
              <w:top w:val="nil"/>
              <w:left w:val="nil"/>
              <w:bottom w:val="single" w:sz="12" w:space="0" w:color="auto"/>
              <w:right w:val="nil"/>
            </w:tcBorders>
            <w:shd w:val="clear" w:color="auto" w:fill="D6E3BC" w:themeFill="accent3" w:themeFillTint="66"/>
          </w:tcPr>
          <w:p w14:paraId="12F302A9" w14:textId="77777777" w:rsidR="005704AC" w:rsidRPr="001A2E55" w:rsidRDefault="005704AC" w:rsidP="005D4B97">
            <w:pPr>
              <w:jc w:val="cente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(DR)/CR</w:t>
            </w:r>
          </w:p>
        </w:tc>
      </w:tr>
      <w:tr w:rsidR="005704AC" w:rsidRPr="001A2E55" w14:paraId="03247946" w14:textId="77777777" w:rsidTr="005D4B97">
        <w:tc>
          <w:tcPr>
            <w:tcW w:w="1306" w:type="dxa"/>
            <w:tcBorders>
              <w:top w:val="single" w:sz="12" w:space="0" w:color="auto"/>
              <w:left w:val="nil"/>
              <w:bottom w:val="nil"/>
              <w:right w:val="nil"/>
            </w:tcBorders>
          </w:tcPr>
          <w:p w14:paraId="63E9BF87" w14:textId="77777777" w:rsidR="005704AC" w:rsidRPr="001A2E55" w:rsidRDefault="005704AC" w:rsidP="005D4B97">
            <w:pPr>
              <w:rPr>
                <w:rFonts w:asciiTheme="minorHAnsi" w:eastAsiaTheme="minorHAnsi" w:hAnsiTheme="minorHAnsi" w:cstheme="minorHAnsi"/>
                <w:b/>
                <w:bCs/>
                <w:noProof/>
                <w:color w:val="000000"/>
                <w:sz w:val="20"/>
                <w:szCs w:val="20"/>
                <w:lang w:val="es-ES"/>
              </w:rPr>
            </w:pPr>
          </w:p>
        </w:tc>
        <w:tc>
          <w:tcPr>
            <w:tcW w:w="3084" w:type="dxa"/>
            <w:gridSpan w:val="2"/>
            <w:tcBorders>
              <w:top w:val="single" w:sz="12" w:space="0" w:color="auto"/>
              <w:left w:val="nil"/>
              <w:bottom w:val="nil"/>
              <w:right w:val="nil"/>
            </w:tcBorders>
          </w:tcPr>
          <w:p w14:paraId="1965855F" w14:textId="77777777" w:rsidR="005704AC" w:rsidRPr="001A2E55" w:rsidRDefault="005704AC" w:rsidP="005D4B97">
            <w:pPr>
              <w:rPr>
                <w:rFonts w:asciiTheme="minorHAnsi" w:eastAsiaTheme="minorHAnsi" w:hAnsiTheme="minorHAnsi" w:cstheme="minorHAnsi"/>
                <w:b/>
                <w:bCs/>
                <w:noProof/>
                <w:color w:val="000000"/>
                <w:sz w:val="20"/>
                <w:szCs w:val="20"/>
                <w:lang w:val="es-ES"/>
              </w:rPr>
            </w:pPr>
          </w:p>
        </w:tc>
        <w:tc>
          <w:tcPr>
            <w:tcW w:w="1140" w:type="dxa"/>
            <w:gridSpan w:val="2"/>
            <w:tcBorders>
              <w:top w:val="single" w:sz="12" w:space="0" w:color="auto"/>
              <w:left w:val="nil"/>
              <w:bottom w:val="nil"/>
              <w:right w:val="nil"/>
            </w:tcBorders>
          </w:tcPr>
          <w:p w14:paraId="66BA537E"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top w:val="single" w:sz="12" w:space="0" w:color="auto"/>
              <w:left w:val="nil"/>
              <w:bottom w:val="nil"/>
              <w:right w:val="nil"/>
            </w:tcBorders>
          </w:tcPr>
          <w:p w14:paraId="1521FBA4"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top w:val="single" w:sz="12" w:space="0" w:color="auto"/>
              <w:left w:val="nil"/>
              <w:bottom w:val="nil"/>
              <w:right w:val="nil"/>
            </w:tcBorders>
          </w:tcPr>
          <w:p w14:paraId="53BF8783"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gridSpan w:val="2"/>
            <w:tcBorders>
              <w:top w:val="single" w:sz="12" w:space="0" w:color="auto"/>
              <w:left w:val="nil"/>
              <w:bottom w:val="nil"/>
              <w:right w:val="nil"/>
            </w:tcBorders>
          </w:tcPr>
          <w:p w14:paraId="75BE8A9F"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top w:val="single" w:sz="12" w:space="0" w:color="auto"/>
              <w:left w:val="nil"/>
              <w:bottom w:val="nil"/>
              <w:right w:val="nil"/>
            </w:tcBorders>
          </w:tcPr>
          <w:p w14:paraId="29D8F464" w14:textId="77777777" w:rsidR="005704AC" w:rsidRPr="001A2E55" w:rsidRDefault="005704AC" w:rsidP="005D4B97">
            <w:pPr>
              <w:rPr>
                <w:rFonts w:asciiTheme="minorHAnsi" w:eastAsiaTheme="minorHAnsi" w:hAnsiTheme="minorHAnsi" w:cstheme="minorHAnsi"/>
                <w:noProof/>
                <w:color w:val="000000"/>
                <w:lang w:val="es-ES"/>
              </w:rPr>
            </w:pPr>
          </w:p>
        </w:tc>
      </w:tr>
      <w:tr w:rsidR="005704AC" w:rsidRPr="001A2E55" w14:paraId="20D756CB" w14:textId="77777777" w:rsidTr="005D4B97">
        <w:tc>
          <w:tcPr>
            <w:tcW w:w="4390" w:type="dxa"/>
            <w:gridSpan w:val="3"/>
            <w:tcBorders>
              <w:top w:val="nil"/>
              <w:left w:val="nil"/>
              <w:bottom w:val="nil"/>
              <w:right w:val="nil"/>
            </w:tcBorders>
          </w:tcPr>
          <w:p w14:paraId="294D16D9" w14:textId="77777777" w:rsidR="005704AC" w:rsidRPr="001A2E55" w:rsidRDefault="005704AC" w:rsidP="005D4B97">
            <w:pPr>
              <w:rPr>
                <w:rFonts w:asciiTheme="minorHAnsi" w:eastAsiaTheme="minorHAnsi" w:hAnsiTheme="minorHAnsi" w:cstheme="minorHAnsi"/>
                <w:b/>
                <w:bCs/>
                <w:noProof/>
                <w:color w:val="000000"/>
                <w:sz w:val="20"/>
                <w:szCs w:val="20"/>
                <w:u w:val="single"/>
                <w:lang w:val="es-ES"/>
              </w:rPr>
            </w:pPr>
            <w:r w:rsidRPr="001A2E55">
              <w:rPr>
                <w:rFonts w:asciiTheme="minorHAnsi" w:eastAsiaTheme="minorHAnsi" w:hAnsiTheme="minorHAnsi" w:cstheme="minorHAnsi"/>
                <w:b/>
                <w:bCs/>
                <w:noProof/>
                <w:color w:val="000000"/>
                <w:sz w:val="20"/>
                <w:szCs w:val="20"/>
                <w:u w:val="single"/>
                <w:lang w:val="es-ES"/>
              </w:rPr>
              <w:t>Cooperación Internacional</w:t>
            </w:r>
          </w:p>
        </w:tc>
        <w:tc>
          <w:tcPr>
            <w:tcW w:w="1140" w:type="dxa"/>
            <w:gridSpan w:val="2"/>
            <w:tcBorders>
              <w:top w:val="nil"/>
              <w:left w:val="nil"/>
              <w:bottom w:val="nil"/>
              <w:right w:val="nil"/>
            </w:tcBorders>
          </w:tcPr>
          <w:p w14:paraId="0D7240F4"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top w:val="nil"/>
              <w:left w:val="nil"/>
              <w:bottom w:val="nil"/>
              <w:right w:val="nil"/>
            </w:tcBorders>
          </w:tcPr>
          <w:p w14:paraId="73328B02"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top w:val="nil"/>
              <w:left w:val="nil"/>
              <w:bottom w:val="nil"/>
              <w:right w:val="nil"/>
            </w:tcBorders>
          </w:tcPr>
          <w:p w14:paraId="750BB8AB"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gridSpan w:val="2"/>
            <w:tcBorders>
              <w:top w:val="nil"/>
              <w:left w:val="nil"/>
              <w:bottom w:val="nil"/>
              <w:right w:val="nil"/>
            </w:tcBorders>
          </w:tcPr>
          <w:p w14:paraId="5DB87C85"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top w:val="nil"/>
              <w:left w:val="nil"/>
              <w:bottom w:val="nil"/>
              <w:right w:val="nil"/>
            </w:tcBorders>
          </w:tcPr>
          <w:p w14:paraId="098DD2A9" w14:textId="77777777" w:rsidR="005704AC" w:rsidRPr="001A2E55" w:rsidRDefault="005704AC" w:rsidP="005D4B97">
            <w:pPr>
              <w:rPr>
                <w:rFonts w:asciiTheme="minorHAnsi" w:eastAsiaTheme="minorHAnsi" w:hAnsiTheme="minorHAnsi" w:cstheme="minorHAnsi"/>
                <w:noProof/>
                <w:color w:val="000000"/>
                <w:lang w:val="es-ES"/>
              </w:rPr>
            </w:pPr>
          </w:p>
        </w:tc>
      </w:tr>
      <w:tr w:rsidR="00844A27" w:rsidRPr="001A2E55" w14:paraId="4D1EB4DB" w14:textId="77777777" w:rsidTr="005D4B97">
        <w:tc>
          <w:tcPr>
            <w:tcW w:w="1306" w:type="dxa"/>
            <w:tcBorders>
              <w:top w:val="nil"/>
              <w:left w:val="nil"/>
              <w:bottom w:val="nil"/>
              <w:right w:val="nil"/>
            </w:tcBorders>
          </w:tcPr>
          <w:p w14:paraId="34A08128" w14:textId="352BA564" w:rsidR="00844A27" w:rsidRPr="001A2E55" w:rsidRDefault="00844A27" w:rsidP="00844A27">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R100265</w:t>
            </w:r>
          </w:p>
        </w:tc>
        <w:tc>
          <w:tcPr>
            <w:tcW w:w="3084" w:type="dxa"/>
            <w:gridSpan w:val="2"/>
            <w:tcBorders>
              <w:top w:val="nil"/>
              <w:left w:val="nil"/>
              <w:bottom w:val="nil"/>
              <w:right w:val="nil"/>
            </w:tcBorders>
          </w:tcPr>
          <w:p w14:paraId="0C87B872" w14:textId="2812596B" w:rsidR="00844A27" w:rsidRPr="001A2E55" w:rsidRDefault="00844A27" w:rsidP="00844A27">
            <w:pPr>
              <w:ind w:left="0" w:firstLine="0"/>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SGA-Pre-2016</w:t>
            </w:r>
          </w:p>
        </w:tc>
        <w:tc>
          <w:tcPr>
            <w:tcW w:w="1140" w:type="dxa"/>
            <w:gridSpan w:val="2"/>
            <w:tcBorders>
              <w:top w:val="nil"/>
              <w:left w:val="nil"/>
              <w:bottom w:val="nil"/>
              <w:right w:val="nil"/>
            </w:tcBorders>
          </w:tcPr>
          <w:p w14:paraId="4DBBA9E1" w14:textId="22DCC601"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148</w:t>
            </w:r>
          </w:p>
        </w:tc>
        <w:tc>
          <w:tcPr>
            <w:tcW w:w="1005" w:type="dxa"/>
            <w:tcBorders>
              <w:top w:val="nil"/>
              <w:left w:val="nil"/>
              <w:bottom w:val="nil"/>
              <w:right w:val="nil"/>
            </w:tcBorders>
          </w:tcPr>
          <w:p w14:paraId="33710CFB" w14:textId="719B71DB"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130BD6C6" w14:textId="0C36B1A0"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w:t>
            </w:r>
          </w:p>
        </w:tc>
        <w:tc>
          <w:tcPr>
            <w:tcW w:w="1005" w:type="dxa"/>
            <w:gridSpan w:val="2"/>
            <w:tcBorders>
              <w:top w:val="nil"/>
              <w:left w:val="nil"/>
              <w:bottom w:val="nil"/>
              <w:right w:val="nil"/>
            </w:tcBorders>
          </w:tcPr>
          <w:p w14:paraId="483B1863" w14:textId="6FF0B58C"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E23591F" w14:textId="221573EE"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141</w:t>
            </w:r>
          </w:p>
        </w:tc>
      </w:tr>
      <w:tr w:rsidR="00844A27" w:rsidRPr="001A2E55" w14:paraId="3616F628" w14:textId="77777777" w:rsidTr="005D4B97">
        <w:tc>
          <w:tcPr>
            <w:tcW w:w="1306" w:type="dxa"/>
            <w:tcBorders>
              <w:top w:val="nil"/>
              <w:left w:val="nil"/>
              <w:bottom w:val="nil"/>
              <w:right w:val="nil"/>
            </w:tcBorders>
          </w:tcPr>
          <w:p w14:paraId="35B14320" w14:textId="616CABA6" w:rsidR="00844A27" w:rsidRPr="001A2E55" w:rsidRDefault="00844A27" w:rsidP="00844A27">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R100267</w:t>
            </w:r>
          </w:p>
        </w:tc>
        <w:tc>
          <w:tcPr>
            <w:tcW w:w="3084" w:type="dxa"/>
            <w:gridSpan w:val="2"/>
            <w:tcBorders>
              <w:top w:val="nil"/>
              <w:left w:val="nil"/>
              <w:bottom w:val="nil"/>
              <w:right w:val="nil"/>
            </w:tcBorders>
          </w:tcPr>
          <w:p w14:paraId="6C68FBF0" w14:textId="5F4A6E3B" w:rsidR="00844A27" w:rsidRPr="001A2E55" w:rsidRDefault="00844A27" w:rsidP="00844A27">
            <w:pPr>
              <w:ind w:left="0" w:firstLine="0"/>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SGA-RSIS</w:t>
            </w:r>
          </w:p>
        </w:tc>
        <w:tc>
          <w:tcPr>
            <w:tcW w:w="1140" w:type="dxa"/>
            <w:gridSpan w:val="2"/>
            <w:tcBorders>
              <w:top w:val="nil"/>
              <w:left w:val="nil"/>
              <w:bottom w:val="nil"/>
              <w:right w:val="nil"/>
            </w:tcBorders>
          </w:tcPr>
          <w:p w14:paraId="129613D0" w14:textId="054BC769"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90</w:t>
            </w:r>
          </w:p>
        </w:tc>
        <w:tc>
          <w:tcPr>
            <w:tcW w:w="1005" w:type="dxa"/>
            <w:tcBorders>
              <w:top w:val="nil"/>
              <w:left w:val="nil"/>
              <w:bottom w:val="nil"/>
              <w:right w:val="nil"/>
            </w:tcBorders>
          </w:tcPr>
          <w:p w14:paraId="2282BC26" w14:textId="3FAAFF74"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0C78D061" w14:textId="6C6FAC22"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w:t>
            </w:r>
          </w:p>
        </w:tc>
        <w:tc>
          <w:tcPr>
            <w:tcW w:w="1005" w:type="dxa"/>
            <w:gridSpan w:val="2"/>
            <w:tcBorders>
              <w:top w:val="nil"/>
              <w:left w:val="nil"/>
              <w:bottom w:val="nil"/>
              <w:right w:val="nil"/>
            </w:tcBorders>
          </w:tcPr>
          <w:p w14:paraId="11DED329" w14:textId="060C4A15"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2C578F08" w14:textId="5442161B"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81</w:t>
            </w:r>
          </w:p>
        </w:tc>
      </w:tr>
      <w:tr w:rsidR="00844A27" w:rsidRPr="001A2E55" w14:paraId="27D47764" w14:textId="77777777" w:rsidTr="005D4B97">
        <w:tc>
          <w:tcPr>
            <w:tcW w:w="1306" w:type="dxa"/>
            <w:tcBorders>
              <w:top w:val="nil"/>
              <w:left w:val="nil"/>
              <w:bottom w:val="nil"/>
              <w:right w:val="nil"/>
            </w:tcBorders>
          </w:tcPr>
          <w:p w14:paraId="29EE249D" w14:textId="2882CFEA" w:rsidR="00844A27" w:rsidRPr="001A2E55" w:rsidRDefault="00844A27" w:rsidP="00844A27">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R100364</w:t>
            </w:r>
          </w:p>
        </w:tc>
        <w:tc>
          <w:tcPr>
            <w:tcW w:w="3084" w:type="dxa"/>
            <w:gridSpan w:val="2"/>
            <w:tcBorders>
              <w:top w:val="nil"/>
              <w:left w:val="nil"/>
              <w:bottom w:val="nil"/>
              <w:right w:val="nil"/>
            </w:tcBorders>
          </w:tcPr>
          <w:p w14:paraId="2FFF6AD6" w14:textId="66F64C40" w:rsidR="00844A27" w:rsidRPr="001A2E55" w:rsidRDefault="00844A27" w:rsidP="00844A27">
            <w:pPr>
              <w:ind w:left="0" w:firstLine="0"/>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WFF-2014</w:t>
            </w:r>
          </w:p>
        </w:tc>
        <w:tc>
          <w:tcPr>
            <w:tcW w:w="1140" w:type="dxa"/>
            <w:gridSpan w:val="2"/>
            <w:tcBorders>
              <w:top w:val="nil"/>
              <w:left w:val="nil"/>
              <w:bottom w:val="nil"/>
              <w:right w:val="nil"/>
            </w:tcBorders>
          </w:tcPr>
          <w:p w14:paraId="74B25860" w14:textId="2960F2AF"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26</w:t>
            </w:r>
          </w:p>
        </w:tc>
        <w:tc>
          <w:tcPr>
            <w:tcW w:w="1005" w:type="dxa"/>
            <w:tcBorders>
              <w:top w:val="nil"/>
              <w:left w:val="nil"/>
              <w:bottom w:val="nil"/>
              <w:right w:val="nil"/>
            </w:tcBorders>
          </w:tcPr>
          <w:p w14:paraId="78F54366" w14:textId="5F6D8545"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742788E0" w14:textId="6893DFD0"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2BBAFE13" w14:textId="2C196324"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3FB1ECC1" w14:textId="614F46F0"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26</w:t>
            </w:r>
          </w:p>
        </w:tc>
      </w:tr>
      <w:tr w:rsidR="00844A27" w:rsidRPr="001A2E55" w14:paraId="1DA0A4C1" w14:textId="77777777" w:rsidTr="005D4B97">
        <w:tc>
          <w:tcPr>
            <w:tcW w:w="1306" w:type="dxa"/>
            <w:tcBorders>
              <w:top w:val="nil"/>
              <w:left w:val="nil"/>
              <w:bottom w:val="nil"/>
              <w:right w:val="nil"/>
            </w:tcBorders>
          </w:tcPr>
          <w:p w14:paraId="1CF4F18D" w14:textId="577F32EC" w:rsidR="00844A27" w:rsidRPr="001A2E55" w:rsidRDefault="00844A27" w:rsidP="00844A27">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R100365</w:t>
            </w:r>
          </w:p>
        </w:tc>
        <w:tc>
          <w:tcPr>
            <w:tcW w:w="3084" w:type="dxa"/>
            <w:gridSpan w:val="2"/>
            <w:tcBorders>
              <w:top w:val="nil"/>
              <w:left w:val="nil"/>
              <w:bottom w:val="nil"/>
              <w:right w:val="nil"/>
            </w:tcBorders>
          </w:tcPr>
          <w:p w14:paraId="7BE366DD" w14:textId="0C42D9F5" w:rsidR="00844A27" w:rsidRPr="001A2E55" w:rsidRDefault="00844A27" w:rsidP="00844A27">
            <w:pPr>
              <w:ind w:left="0" w:firstLine="0"/>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WFF - 2015-2021</w:t>
            </w:r>
          </w:p>
        </w:tc>
        <w:tc>
          <w:tcPr>
            <w:tcW w:w="1140" w:type="dxa"/>
            <w:gridSpan w:val="2"/>
            <w:tcBorders>
              <w:top w:val="nil"/>
              <w:left w:val="nil"/>
              <w:right w:val="nil"/>
            </w:tcBorders>
          </w:tcPr>
          <w:p w14:paraId="5DEE38C6" w14:textId="34B69564"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150</w:t>
            </w:r>
          </w:p>
        </w:tc>
        <w:tc>
          <w:tcPr>
            <w:tcW w:w="1005" w:type="dxa"/>
            <w:tcBorders>
              <w:top w:val="nil"/>
              <w:left w:val="nil"/>
              <w:right w:val="nil"/>
            </w:tcBorders>
          </w:tcPr>
          <w:p w14:paraId="1704F3F3" w14:textId="6CC966E6"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340F79F5" w14:textId="39E347D9"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50C68D2F" w14:textId="6C5FB514"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C233477" w14:textId="19C27673" w:rsidR="00844A27" w:rsidRPr="001A2E55" w:rsidRDefault="00844A27" w:rsidP="00844A27">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150</w:t>
            </w:r>
          </w:p>
        </w:tc>
      </w:tr>
      <w:tr w:rsidR="006019B8" w:rsidRPr="001A2E55" w14:paraId="1C13F7F5" w14:textId="77777777" w:rsidTr="002058E8">
        <w:tc>
          <w:tcPr>
            <w:tcW w:w="1306" w:type="dxa"/>
            <w:tcBorders>
              <w:top w:val="nil"/>
              <w:left w:val="nil"/>
              <w:bottom w:val="nil"/>
              <w:right w:val="nil"/>
            </w:tcBorders>
          </w:tcPr>
          <w:p w14:paraId="36DD4CC4" w14:textId="061CB125"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R100408</w:t>
            </w:r>
          </w:p>
        </w:tc>
        <w:tc>
          <w:tcPr>
            <w:tcW w:w="3084" w:type="dxa"/>
            <w:gridSpan w:val="2"/>
            <w:tcBorders>
              <w:top w:val="nil"/>
              <w:left w:val="nil"/>
              <w:bottom w:val="nil"/>
              <w:right w:val="nil"/>
            </w:tcBorders>
          </w:tcPr>
          <w:p w14:paraId="62D6CE12" w14:textId="0C9E137A" w:rsidR="006019B8" w:rsidRPr="00D643EF" w:rsidRDefault="006019B8" w:rsidP="006019B8">
            <w:pPr>
              <w:ind w:left="0" w:firstLine="0"/>
              <w:rPr>
                <w:rFonts w:asciiTheme="minorHAnsi" w:eastAsiaTheme="minorHAnsi" w:hAnsiTheme="minorHAnsi" w:cstheme="minorHAnsi"/>
                <w:noProof/>
                <w:color w:val="000000"/>
                <w:sz w:val="20"/>
                <w:szCs w:val="20"/>
              </w:rPr>
            </w:pPr>
            <w:r w:rsidRPr="00D643EF">
              <w:rPr>
                <w:rFonts w:eastAsiaTheme="minorHAnsi" w:cs="Calibri"/>
                <w:noProof/>
                <w:color w:val="000000"/>
                <w:sz w:val="20"/>
                <w:szCs w:val="20"/>
              </w:rPr>
              <w:t>Nagao Wetland Fund (NEF Japón)</w:t>
            </w:r>
          </w:p>
        </w:tc>
        <w:tc>
          <w:tcPr>
            <w:tcW w:w="1140" w:type="dxa"/>
            <w:gridSpan w:val="2"/>
            <w:tcBorders>
              <w:top w:val="nil"/>
              <w:left w:val="nil"/>
              <w:right w:val="nil"/>
            </w:tcBorders>
          </w:tcPr>
          <w:p w14:paraId="65AC84B1" w14:textId="23AA96B2"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131</w:t>
            </w:r>
          </w:p>
        </w:tc>
        <w:tc>
          <w:tcPr>
            <w:tcW w:w="1005" w:type="dxa"/>
            <w:tcBorders>
              <w:top w:val="nil"/>
              <w:left w:val="nil"/>
              <w:right w:val="nil"/>
            </w:tcBorders>
          </w:tcPr>
          <w:p w14:paraId="266B79AE" w14:textId="2CAB488C"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59</w:t>
            </w:r>
          </w:p>
        </w:tc>
        <w:tc>
          <w:tcPr>
            <w:tcW w:w="1006" w:type="dxa"/>
            <w:tcBorders>
              <w:top w:val="nil"/>
              <w:left w:val="nil"/>
              <w:bottom w:val="nil"/>
              <w:right w:val="nil"/>
            </w:tcBorders>
          </w:tcPr>
          <w:p w14:paraId="0427D9F6" w14:textId="3A8A50D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(40)</w:t>
            </w:r>
          </w:p>
        </w:tc>
        <w:tc>
          <w:tcPr>
            <w:tcW w:w="1005" w:type="dxa"/>
            <w:gridSpan w:val="2"/>
            <w:tcBorders>
              <w:top w:val="nil"/>
              <w:left w:val="nil"/>
              <w:bottom w:val="nil"/>
              <w:right w:val="nil"/>
            </w:tcBorders>
          </w:tcPr>
          <w:p w14:paraId="07E16C5E" w14:textId="5E0CB2E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E06F5E3" w14:textId="7F5F17CF"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149</w:t>
            </w:r>
          </w:p>
        </w:tc>
      </w:tr>
      <w:tr w:rsidR="006019B8" w:rsidRPr="001A2E55" w14:paraId="2CBBC1DB" w14:textId="77777777" w:rsidTr="005D4B97">
        <w:tc>
          <w:tcPr>
            <w:tcW w:w="1306" w:type="dxa"/>
            <w:tcBorders>
              <w:top w:val="nil"/>
              <w:left w:val="nil"/>
              <w:bottom w:val="nil"/>
              <w:right w:val="nil"/>
            </w:tcBorders>
          </w:tcPr>
          <w:p w14:paraId="451C3A76"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R100409</w:t>
            </w:r>
          </w:p>
        </w:tc>
        <w:tc>
          <w:tcPr>
            <w:tcW w:w="3084" w:type="dxa"/>
            <w:gridSpan w:val="2"/>
            <w:tcBorders>
              <w:top w:val="nil"/>
              <w:left w:val="nil"/>
              <w:bottom w:val="nil"/>
              <w:right w:val="nil"/>
            </w:tcBorders>
          </w:tcPr>
          <w:p w14:paraId="66FB8D24" w14:textId="25AF0998" w:rsidR="006019B8" w:rsidRPr="001A2E55" w:rsidRDefault="006019B8" w:rsidP="006019B8">
            <w:pPr>
              <w:ind w:left="0" w:firstLine="0"/>
              <w:rPr>
                <w:rFonts w:asciiTheme="minorHAnsi" w:eastAsiaTheme="minorHAnsi" w:hAnsiTheme="minorHAnsi" w:cstheme="minorHAnsi"/>
                <w:noProof/>
                <w:sz w:val="20"/>
                <w:szCs w:val="20"/>
                <w:lang w:val="es-ES"/>
              </w:rPr>
            </w:pPr>
            <w:r w:rsidRPr="001A2E55">
              <w:rPr>
                <w:rFonts w:asciiTheme="minorHAnsi" w:eastAsiaTheme="minorHAnsi" w:hAnsiTheme="minorHAnsi" w:cstheme="minorHAnsi"/>
                <w:noProof/>
                <w:sz w:val="20"/>
                <w:szCs w:val="20"/>
                <w:lang w:val="es-ES"/>
              </w:rPr>
              <w:t>Rep. de Corea 2023-2025</w:t>
            </w:r>
          </w:p>
        </w:tc>
        <w:tc>
          <w:tcPr>
            <w:tcW w:w="1140" w:type="dxa"/>
            <w:gridSpan w:val="2"/>
            <w:tcBorders>
              <w:top w:val="nil"/>
              <w:left w:val="nil"/>
              <w:bottom w:val="single" w:sz="4" w:space="0" w:color="auto"/>
              <w:right w:val="nil"/>
            </w:tcBorders>
          </w:tcPr>
          <w:p w14:paraId="5B629AD5" w14:textId="3DA34E60" w:rsidR="006019B8" w:rsidRPr="001A2E55" w:rsidDel="00EF64ED"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182</w:t>
            </w:r>
          </w:p>
        </w:tc>
        <w:tc>
          <w:tcPr>
            <w:tcW w:w="1005" w:type="dxa"/>
            <w:tcBorders>
              <w:top w:val="nil"/>
              <w:left w:val="nil"/>
              <w:bottom w:val="single" w:sz="4" w:space="0" w:color="auto"/>
              <w:right w:val="nil"/>
            </w:tcBorders>
          </w:tcPr>
          <w:p w14:paraId="70DAC7C6" w14:textId="2350CFDC" w:rsidR="006019B8" w:rsidRPr="001A2E55" w:rsidDel="00D35B4E"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142EF470" w14:textId="1629E2EE"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(31)</w:t>
            </w:r>
          </w:p>
        </w:tc>
        <w:tc>
          <w:tcPr>
            <w:tcW w:w="1005" w:type="dxa"/>
            <w:gridSpan w:val="2"/>
            <w:tcBorders>
              <w:top w:val="nil"/>
              <w:left w:val="nil"/>
              <w:bottom w:val="nil"/>
              <w:right w:val="nil"/>
            </w:tcBorders>
          </w:tcPr>
          <w:p w14:paraId="686429C0" w14:textId="193ED005" w:rsidR="006019B8" w:rsidRPr="001A2E55" w:rsidDel="00D35B4E"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5A2AC60" w14:textId="506CA03A" w:rsidR="006019B8" w:rsidRPr="001A2E55" w:rsidDel="00D35B4E"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152</w:t>
            </w:r>
          </w:p>
        </w:tc>
      </w:tr>
      <w:tr w:rsidR="006019B8" w:rsidRPr="001A2E55" w14:paraId="69ED962E"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3A08C660" w14:textId="77777777" w:rsidR="006019B8" w:rsidRPr="001A2E55" w:rsidRDefault="006019B8" w:rsidP="006019B8">
            <w:pP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Total, Cooperación Internacional</w:t>
            </w:r>
          </w:p>
        </w:tc>
        <w:tc>
          <w:tcPr>
            <w:tcW w:w="1140" w:type="dxa"/>
            <w:gridSpan w:val="2"/>
            <w:tcBorders>
              <w:top w:val="single" w:sz="4" w:space="0" w:color="auto"/>
              <w:left w:val="nil"/>
              <w:bottom w:val="single" w:sz="12" w:space="0" w:color="auto"/>
              <w:right w:val="nil"/>
            </w:tcBorders>
            <w:shd w:val="clear" w:color="auto" w:fill="EAF1DD" w:themeFill="accent3" w:themeFillTint="33"/>
          </w:tcPr>
          <w:p w14:paraId="7DAF2637" w14:textId="1B27F844"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726</w:t>
            </w:r>
          </w:p>
        </w:tc>
        <w:tc>
          <w:tcPr>
            <w:tcW w:w="1005" w:type="dxa"/>
            <w:tcBorders>
              <w:top w:val="single" w:sz="4" w:space="0" w:color="auto"/>
              <w:left w:val="nil"/>
              <w:bottom w:val="single" w:sz="12" w:space="0" w:color="auto"/>
              <w:right w:val="nil"/>
            </w:tcBorders>
            <w:shd w:val="clear" w:color="auto" w:fill="EAF1DD" w:themeFill="accent3" w:themeFillTint="33"/>
          </w:tcPr>
          <w:p w14:paraId="435A07E9" w14:textId="3711E73A"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59</w:t>
            </w:r>
          </w:p>
        </w:tc>
        <w:tc>
          <w:tcPr>
            <w:tcW w:w="1006" w:type="dxa"/>
            <w:tcBorders>
              <w:top w:val="single" w:sz="12" w:space="0" w:color="auto"/>
              <w:left w:val="nil"/>
              <w:bottom w:val="single" w:sz="12" w:space="0" w:color="auto"/>
              <w:right w:val="nil"/>
            </w:tcBorders>
            <w:shd w:val="clear" w:color="auto" w:fill="EAF1DD" w:themeFill="accent3" w:themeFillTint="33"/>
          </w:tcPr>
          <w:p w14:paraId="6FEE6044" w14:textId="6ED0E314"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(86)</w:t>
            </w:r>
          </w:p>
        </w:tc>
        <w:tc>
          <w:tcPr>
            <w:tcW w:w="1005" w:type="dxa"/>
            <w:gridSpan w:val="2"/>
            <w:tcBorders>
              <w:top w:val="single" w:sz="12" w:space="0" w:color="auto"/>
              <w:left w:val="nil"/>
              <w:bottom w:val="single" w:sz="12" w:space="0" w:color="auto"/>
              <w:right w:val="nil"/>
            </w:tcBorders>
            <w:shd w:val="clear" w:color="auto" w:fill="EAF1DD" w:themeFill="accent3" w:themeFillTint="33"/>
          </w:tcPr>
          <w:p w14:paraId="26EFFCC0" w14:textId="62AD1604"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5FC028E4" w14:textId="1EC052ED"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699</w:t>
            </w:r>
          </w:p>
        </w:tc>
      </w:tr>
      <w:tr w:rsidR="005704AC" w:rsidRPr="001A2E55" w14:paraId="1BEFEE2F" w14:textId="77777777" w:rsidTr="005D4B97">
        <w:tc>
          <w:tcPr>
            <w:tcW w:w="1306" w:type="dxa"/>
            <w:tcBorders>
              <w:top w:val="nil"/>
              <w:left w:val="nil"/>
              <w:bottom w:val="nil"/>
              <w:right w:val="nil"/>
            </w:tcBorders>
          </w:tcPr>
          <w:p w14:paraId="5AA75D5E" w14:textId="77777777" w:rsidR="005704AC" w:rsidRPr="001A2E55" w:rsidRDefault="005704AC" w:rsidP="005D4B97">
            <w:pPr>
              <w:rPr>
                <w:rFonts w:asciiTheme="minorHAnsi" w:eastAsiaTheme="minorHAnsi" w:hAnsiTheme="minorHAnsi" w:cstheme="minorHAnsi"/>
                <w:noProof/>
                <w:color w:val="000000"/>
                <w:lang w:val="es-ES"/>
              </w:rPr>
            </w:pPr>
          </w:p>
        </w:tc>
        <w:tc>
          <w:tcPr>
            <w:tcW w:w="3084" w:type="dxa"/>
            <w:gridSpan w:val="2"/>
            <w:tcBorders>
              <w:top w:val="nil"/>
              <w:left w:val="nil"/>
              <w:bottom w:val="nil"/>
              <w:right w:val="nil"/>
            </w:tcBorders>
          </w:tcPr>
          <w:p w14:paraId="61B5C63F" w14:textId="77777777" w:rsidR="005704AC" w:rsidRPr="001A2E55" w:rsidRDefault="005704AC" w:rsidP="005D4B97">
            <w:pPr>
              <w:rPr>
                <w:rFonts w:asciiTheme="minorHAnsi" w:eastAsiaTheme="minorHAnsi" w:hAnsiTheme="minorHAnsi" w:cstheme="minorHAnsi"/>
                <w:noProof/>
                <w:color w:val="000000"/>
                <w:lang w:val="es-ES"/>
              </w:rPr>
            </w:pPr>
          </w:p>
        </w:tc>
        <w:tc>
          <w:tcPr>
            <w:tcW w:w="1140" w:type="dxa"/>
            <w:gridSpan w:val="2"/>
            <w:tcBorders>
              <w:top w:val="nil"/>
              <w:left w:val="nil"/>
              <w:bottom w:val="nil"/>
              <w:right w:val="nil"/>
            </w:tcBorders>
          </w:tcPr>
          <w:p w14:paraId="15835CB2"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top w:val="nil"/>
              <w:left w:val="nil"/>
              <w:bottom w:val="nil"/>
              <w:right w:val="nil"/>
            </w:tcBorders>
          </w:tcPr>
          <w:p w14:paraId="6B87CB2A"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top w:val="single" w:sz="12" w:space="0" w:color="auto"/>
              <w:left w:val="nil"/>
              <w:bottom w:val="nil"/>
              <w:right w:val="nil"/>
            </w:tcBorders>
          </w:tcPr>
          <w:p w14:paraId="5389F46E"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gridSpan w:val="2"/>
            <w:tcBorders>
              <w:top w:val="single" w:sz="12" w:space="0" w:color="auto"/>
              <w:left w:val="nil"/>
              <w:bottom w:val="nil"/>
              <w:right w:val="nil"/>
            </w:tcBorders>
          </w:tcPr>
          <w:p w14:paraId="6E7308A2"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top w:val="single" w:sz="12" w:space="0" w:color="auto"/>
              <w:left w:val="nil"/>
              <w:bottom w:val="nil"/>
              <w:right w:val="nil"/>
            </w:tcBorders>
          </w:tcPr>
          <w:p w14:paraId="4E1F258A" w14:textId="77777777" w:rsidR="005704AC" w:rsidRPr="001A2E55" w:rsidRDefault="005704AC" w:rsidP="005D4B97">
            <w:pPr>
              <w:rPr>
                <w:rFonts w:asciiTheme="minorHAnsi" w:eastAsiaTheme="minorHAnsi" w:hAnsiTheme="minorHAnsi" w:cstheme="minorHAnsi"/>
                <w:noProof/>
                <w:color w:val="000000"/>
                <w:lang w:val="es-ES"/>
              </w:rPr>
            </w:pPr>
          </w:p>
        </w:tc>
      </w:tr>
      <w:tr w:rsidR="005704AC" w:rsidRPr="001A2E55" w14:paraId="57232BE7" w14:textId="77777777" w:rsidTr="005D4B97">
        <w:tc>
          <w:tcPr>
            <w:tcW w:w="4390" w:type="dxa"/>
            <w:gridSpan w:val="3"/>
            <w:tcBorders>
              <w:top w:val="nil"/>
              <w:left w:val="nil"/>
              <w:bottom w:val="nil"/>
              <w:right w:val="nil"/>
            </w:tcBorders>
          </w:tcPr>
          <w:p w14:paraId="5E914CC0" w14:textId="77777777" w:rsidR="005704AC" w:rsidRPr="001A2E55" w:rsidRDefault="005704AC" w:rsidP="005D4B97">
            <w:pPr>
              <w:rPr>
                <w:rFonts w:asciiTheme="minorHAnsi" w:eastAsiaTheme="minorHAnsi" w:hAnsiTheme="minorHAnsi" w:cstheme="minorHAnsi"/>
                <w:b/>
                <w:bCs/>
                <w:noProof/>
                <w:color w:val="000000"/>
                <w:sz w:val="20"/>
                <w:szCs w:val="20"/>
                <w:u w:val="single"/>
                <w:lang w:val="es-ES"/>
              </w:rPr>
            </w:pPr>
            <w:r w:rsidRPr="001A2E55">
              <w:rPr>
                <w:rFonts w:asciiTheme="minorHAnsi" w:eastAsiaTheme="minorHAnsi" w:hAnsiTheme="minorHAnsi" w:cstheme="minorHAnsi"/>
                <w:b/>
                <w:bCs/>
                <w:noProof/>
                <w:color w:val="000000"/>
                <w:sz w:val="20"/>
                <w:szCs w:val="20"/>
                <w:u w:val="single"/>
                <w:lang w:val="es-ES"/>
              </w:rPr>
              <w:t>Sitios de la Lista</w:t>
            </w:r>
          </w:p>
        </w:tc>
        <w:tc>
          <w:tcPr>
            <w:tcW w:w="1140" w:type="dxa"/>
            <w:gridSpan w:val="2"/>
            <w:tcBorders>
              <w:top w:val="nil"/>
              <w:left w:val="nil"/>
              <w:right w:val="nil"/>
            </w:tcBorders>
          </w:tcPr>
          <w:p w14:paraId="073A4D20"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top w:val="nil"/>
              <w:left w:val="nil"/>
              <w:right w:val="nil"/>
            </w:tcBorders>
          </w:tcPr>
          <w:p w14:paraId="62AD8343"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top w:val="nil"/>
              <w:left w:val="nil"/>
              <w:bottom w:val="nil"/>
              <w:right w:val="nil"/>
            </w:tcBorders>
          </w:tcPr>
          <w:p w14:paraId="35919BD9"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gridSpan w:val="2"/>
            <w:tcBorders>
              <w:top w:val="nil"/>
              <w:left w:val="nil"/>
              <w:right w:val="nil"/>
            </w:tcBorders>
          </w:tcPr>
          <w:p w14:paraId="2E14AD00"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top w:val="nil"/>
              <w:left w:val="nil"/>
              <w:bottom w:val="nil"/>
              <w:right w:val="nil"/>
            </w:tcBorders>
          </w:tcPr>
          <w:p w14:paraId="6A3D9251" w14:textId="77777777" w:rsidR="005704AC" w:rsidRPr="001A2E55" w:rsidRDefault="005704AC" w:rsidP="005D4B97">
            <w:pPr>
              <w:rPr>
                <w:rFonts w:asciiTheme="minorHAnsi" w:eastAsiaTheme="minorHAnsi" w:hAnsiTheme="minorHAnsi" w:cstheme="minorHAnsi"/>
                <w:noProof/>
                <w:color w:val="000000"/>
                <w:lang w:val="es-ES"/>
              </w:rPr>
            </w:pPr>
          </w:p>
        </w:tc>
      </w:tr>
      <w:tr w:rsidR="006019B8" w:rsidRPr="001A2E55" w14:paraId="7B3FF1F1" w14:textId="77777777" w:rsidTr="002058E8">
        <w:tc>
          <w:tcPr>
            <w:tcW w:w="1306" w:type="dxa"/>
            <w:tcBorders>
              <w:top w:val="nil"/>
              <w:left w:val="nil"/>
              <w:bottom w:val="nil"/>
              <w:right w:val="nil"/>
            </w:tcBorders>
          </w:tcPr>
          <w:p w14:paraId="7B582E22"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R100110</w:t>
            </w:r>
          </w:p>
        </w:tc>
        <w:tc>
          <w:tcPr>
            <w:tcW w:w="3084" w:type="dxa"/>
            <w:gridSpan w:val="2"/>
            <w:tcBorders>
              <w:top w:val="nil"/>
              <w:left w:val="nil"/>
              <w:bottom w:val="nil"/>
              <w:right w:val="nil"/>
            </w:tcBorders>
          </w:tcPr>
          <w:p w14:paraId="00EEB9CE"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MRA (Misión Ramsar de Asesoram.)</w:t>
            </w:r>
          </w:p>
        </w:tc>
        <w:tc>
          <w:tcPr>
            <w:tcW w:w="1140" w:type="dxa"/>
            <w:gridSpan w:val="2"/>
            <w:tcBorders>
              <w:top w:val="nil"/>
              <w:left w:val="nil"/>
              <w:right w:val="nil"/>
            </w:tcBorders>
          </w:tcPr>
          <w:p w14:paraId="615AB33B" w14:textId="7BDD655C"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w:t>
            </w:r>
          </w:p>
        </w:tc>
        <w:tc>
          <w:tcPr>
            <w:tcW w:w="1005" w:type="dxa"/>
            <w:tcBorders>
              <w:top w:val="nil"/>
              <w:left w:val="nil"/>
              <w:right w:val="nil"/>
            </w:tcBorders>
          </w:tcPr>
          <w:p w14:paraId="6F9ABC64" w14:textId="7F06A7AE"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right w:val="nil"/>
            </w:tcBorders>
          </w:tcPr>
          <w:p w14:paraId="1E3A4B74" w14:textId="01771359"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right w:val="nil"/>
            </w:tcBorders>
          </w:tcPr>
          <w:p w14:paraId="3D6D762F" w14:textId="0D8A663B"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2B5BC922" w14:textId="0C0704E0"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w:t>
            </w:r>
          </w:p>
        </w:tc>
      </w:tr>
      <w:tr w:rsidR="005704AC" w:rsidRPr="001A2E55" w14:paraId="1F78BC8B" w14:textId="77777777" w:rsidTr="002058E8">
        <w:tc>
          <w:tcPr>
            <w:tcW w:w="1306" w:type="dxa"/>
            <w:tcBorders>
              <w:top w:val="nil"/>
              <w:left w:val="nil"/>
              <w:bottom w:val="nil"/>
              <w:right w:val="nil"/>
            </w:tcBorders>
          </w:tcPr>
          <w:p w14:paraId="5F31AD86" w14:textId="77777777" w:rsidR="005704AC" w:rsidRPr="001A2E55" w:rsidRDefault="005704AC" w:rsidP="005D4B97">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R100108</w:t>
            </w:r>
          </w:p>
        </w:tc>
        <w:tc>
          <w:tcPr>
            <w:tcW w:w="3084" w:type="dxa"/>
            <w:gridSpan w:val="2"/>
            <w:tcBorders>
              <w:top w:val="nil"/>
              <w:left w:val="nil"/>
              <w:bottom w:val="nil"/>
              <w:right w:val="nil"/>
            </w:tcBorders>
          </w:tcPr>
          <w:p w14:paraId="0FDADB01" w14:textId="0BC0F614" w:rsidR="005704AC" w:rsidRPr="001A2E55" w:rsidRDefault="005704AC" w:rsidP="005D4B97">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MRA (CH</w:t>
            </w:r>
            <w:r w:rsidR="00894E14" w:rsidRPr="001A2E55">
              <w:rPr>
                <w:rFonts w:asciiTheme="minorHAnsi" w:eastAsiaTheme="minorHAnsi" w:hAnsiTheme="minorHAnsi" w:cstheme="minorHAnsi"/>
                <w:noProof/>
                <w:color w:val="000000"/>
                <w:sz w:val="20"/>
                <w:szCs w:val="20"/>
                <w:lang w:val="es-ES"/>
              </w:rPr>
              <w:t xml:space="preserve"> </w:t>
            </w:r>
            <w:r w:rsidRPr="001A2E55">
              <w:rPr>
                <w:rFonts w:asciiTheme="minorHAnsi" w:eastAsiaTheme="minorHAnsi" w:hAnsiTheme="minorHAnsi" w:cstheme="minorHAnsi"/>
                <w:noProof/>
                <w:color w:val="000000"/>
                <w:sz w:val="20"/>
                <w:szCs w:val="20"/>
                <w:lang w:val="es-ES"/>
              </w:rPr>
              <w:t>2016)</w:t>
            </w:r>
          </w:p>
        </w:tc>
        <w:tc>
          <w:tcPr>
            <w:tcW w:w="1140" w:type="dxa"/>
            <w:gridSpan w:val="2"/>
            <w:tcBorders>
              <w:left w:val="nil"/>
              <w:bottom w:val="single" w:sz="4" w:space="0" w:color="auto"/>
              <w:right w:val="nil"/>
            </w:tcBorders>
          </w:tcPr>
          <w:p w14:paraId="5A10695D" w14:textId="77777777" w:rsidR="005704AC" w:rsidRPr="001A2E55" w:rsidDel="00EF64ED"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45</w:t>
            </w:r>
          </w:p>
        </w:tc>
        <w:tc>
          <w:tcPr>
            <w:tcW w:w="1005" w:type="dxa"/>
            <w:tcBorders>
              <w:left w:val="nil"/>
              <w:bottom w:val="single" w:sz="4" w:space="0" w:color="auto"/>
              <w:right w:val="nil"/>
            </w:tcBorders>
          </w:tcPr>
          <w:p w14:paraId="42A6F0DF"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06" w:type="dxa"/>
            <w:tcBorders>
              <w:left w:val="nil"/>
              <w:bottom w:val="nil"/>
              <w:right w:val="nil"/>
            </w:tcBorders>
          </w:tcPr>
          <w:p w14:paraId="19737DEB"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05" w:type="dxa"/>
            <w:gridSpan w:val="2"/>
            <w:tcBorders>
              <w:left w:val="nil"/>
              <w:bottom w:val="single" w:sz="4" w:space="0" w:color="auto"/>
              <w:right w:val="nil"/>
            </w:tcBorders>
          </w:tcPr>
          <w:p w14:paraId="7EB27137"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30" w:type="dxa"/>
            <w:gridSpan w:val="2"/>
            <w:tcBorders>
              <w:top w:val="nil"/>
              <w:left w:val="nil"/>
              <w:bottom w:val="nil"/>
              <w:right w:val="nil"/>
            </w:tcBorders>
          </w:tcPr>
          <w:p w14:paraId="1EAE4ACF"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45</w:t>
            </w:r>
          </w:p>
        </w:tc>
      </w:tr>
      <w:tr w:rsidR="006019B8" w:rsidRPr="001A2E55" w14:paraId="40614914"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75E5F610" w14:textId="77777777" w:rsidR="006019B8" w:rsidRPr="001A2E55" w:rsidRDefault="006019B8" w:rsidP="006019B8">
            <w:pP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Total, Humedales de la Lista</w:t>
            </w:r>
          </w:p>
        </w:tc>
        <w:tc>
          <w:tcPr>
            <w:tcW w:w="1140" w:type="dxa"/>
            <w:gridSpan w:val="2"/>
            <w:tcBorders>
              <w:top w:val="nil"/>
              <w:left w:val="nil"/>
              <w:bottom w:val="single" w:sz="12" w:space="0" w:color="auto"/>
              <w:right w:val="nil"/>
            </w:tcBorders>
            <w:shd w:val="clear" w:color="auto" w:fill="EAF1DD" w:themeFill="accent3" w:themeFillTint="33"/>
          </w:tcPr>
          <w:p w14:paraId="121DAE4A" w14:textId="66219C9B"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63</w:t>
            </w:r>
          </w:p>
        </w:tc>
        <w:tc>
          <w:tcPr>
            <w:tcW w:w="1005" w:type="dxa"/>
            <w:tcBorders>
              <w:top w:val="nil"/>
              <w:left w:val="nil"/>
              <w:bottom w:val="single" w:sz="12" w:space="0" w:color="auto"/>
              <w:right w:val="nil"/>
            </w:tcBorders>
            <w:shd w:val="clear" w:color="auto" w:fill="EAF1DD" w:themeFill="accent3" w:themeFillTint="33"/>
          </w:tcPr>
          <w:p w14:paraId="17B404B5" w14:textId="3BFC46B2"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w:t>
            </w:r>
          </w:p>
        </w:tc>
        <w:tc>
          <w:tcPr>
            <w:tcW w:w="1006" w:type="dxa"/>
            <w:tcBorders>
              <w:top w:val="single" w:sz="4" w:space="0" w:color="auto"/>
              <w:left w:val="nil"/>
              <w:bottom w:val="single" w:sz="12" w:space="0" w:color="auto"/>
              <w:right w:val="nil"/>
            </w:tcBorders>
            <w:shd w:val="clear" w:color="auto" w:fill="EAF1DD" w:themeFill="accent3" w:themeFillTint="33"/>
          </w:tcPr>
          <w:p w14:paraId="70255397" w14:textId="6640EBA4"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w:t>
            </w:r>
          </w:p>
        </w:tc>
        <w:tc>
          <w:tcPr>
            <w:tcW w:w="1005" w:type="dxa"/>
            <w:gridSpan w:val="2"/>
            <w:tcBorders>
              <w:top w:val="single" w:sz="4" w:space="0" w:color="auto"/>
              <w:left w:val="nil"/>
              <w:bottom w:val="single" w:sz="12" w:space="0" w:color="auto"/>
              <w:right w:val="nil"/>
            </w:tcBorders>
            <w:shd w:val="clear" w:color="auto" w:fill="EAF1DD" w:themeFill="accent3" w:themeFillTint="33"/>
          </w:tcPr>
          <w:p w14:paraId="6304BEC4" w14:textId="14299637"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4817493B" w14:textId="00A82463" w:rsidR="006019B8" w:rsidRPr="001A2E55" w:rsidRDefault="006019B8" w:rsidP="006019B8">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63</w:t>
            </w:r>
          </w:p>
        </w:tc>
      </w:tr>
      <w:tr w:rsidR="005704AC" w:rsidRPr="001A2E55" w14:paraId="1F8C1C56" w14:textId="77777777" w:rsidTr="005D4B97">
        <w:tc>
          <w:tcPr>
            <w:tcW w:w="1306" w:type="dxa"/>
            <w:tcBorders>
              <w:top w:val="nil"/>
              <w:left w:val="nil"/>
              <w:bottom w:val="nil"/>
              <w:right w:val="nil"/>
            </w:tcBorders>
          </w:tcPr>
          <w:p w14:paraId="6F3D6CA3" w14:textId="77777777" w:rsidR="005704AC" w:rsidRPr="001A2E55" w:rsidRDefault="005704AC" w:rsidP="005D4B97">
            <w:pPr>
              <w:rPr>
                <w:rFonts w:asciiTheme="minorHAnsi" w:eastAsiaTheme="minorHAnsi" w:hAnsiTheme="minorHAnsi" w:cstheme="minorHAnsi"/>
                <w:b/>
                <w:bCs/>
                <w:noProof/>
                <w:color w:val="000000"/>
                <w:sz w:val="20"/>
                <w:szCs w:val="20"/>
                <w:u w:val="single"/>
                <w:lang w:val="es-ES"/>
              </w:rPr>
            </w:pPr>
          </w:p>
          <w:p w14:paraId="227DAA65" w14:textId="77777777" w:rsidR="005704AC" w:rsidRPr="001A2E55" w:rsidRDefault="005704AC" w:rsidP="005D4B97">
            <w:pPr>
              <w:rPr>
                <w:rFonts w:asciiTheme="minorHAnsi" w:eastAsiaTheme="minorHAnsi" w:hAnsiTheme="minorHAnsi" w:cstheme="minorHAnsi"/>
                <w:b/>
                <w:bCs/>
                <w:noProof/>
                <w:color w:val="000000"/>
                <w:sz w:val="20"/>
                <w:szCs w:val="20"/>
                <w:u w:val="single"/>
                <w:lang w:val="es-ES"/>
              </w:rPr>
            </w:pPr>
            <w:r w:rsidRPr="001A2E55">
              <w:rPr>
                <w:rFonts w:asciiTheme="minorHAnsi" w:eastAsiaTheme="minorHAnsi" w:hAnsiTheme="minorHAnsi" w:cstheme="minorHAnsi"/>
                <w:b/>
                <w:bCs/>
                <w:noProof/>
                <w:color w:val="000000"/>
                <w:sz w:val="20"/>
                <w:szCs w:val="20"/>
                <w:u w:val="single"/>
                <w:lang w:val="es-ES"/>
              </w:rPr>
              <w:t>Otros</w:t>
            </w:r>
          </w:p>
        </w:tc>
        <w:tc>
          <w:tcPr>
            <w:tcW w:w="3084" w:type="dxa"/>
            <w:gridSpan w:val="2"/>
            <w:tcBorders>
              <w:top w:val="nil"/>
              <w:left w:val="nil"/>
              <w:bottom w:val="nil"/>
              <w:right w:val="nil"/>
            </w:tcBorders>
          </w:tcPr>
          <w:p w14:paraId="49FE9DDD" w14:textId="77777777" w:rsidR="005704AC" w:rsidRPr="001A2E55" w:rsidRDefault="005704AC" w:rsidP="005D4B97">
            <w:pPr>
              <w:rPr>
                <w:rFonts w:asciiTheme="minorHAnsi" w:eastAsiaTheme="minorHAnsi" w:hAnsiTheme="minorHAnsi" w:cstheme="minorHAnsi"/>
                <w:noProof/>
                <w:color w:val="000000"/>
                <w:lang w:val="es-ES"/>
              </w:rPr>
            </w:pPr>
          </w:p>
        </w:tc>
        <w:tc>
          <w:tcPr>
            <w:tcW w:w="1140" w:type="dxa"/>
            <w:gridSpan w:val="2"/>
            <w:tcBorders>
              <w:top w:val="nil"/>
              <w:left w:val="nil"/>
              <w:bottom w:val="nil"/>
              <w:right w:val="nil"/>
            </w:tcBorders>
          </w:tcPr>
          <w:p w14:paraId="47FAF177"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top w:val="nil"/>
              <w:left w:val="nil"/>
              <w:bottom w:val="nil"/>
              <w:right w:val="nil"/>
            </w:tcBorders>
          </w:tcPr>
          <w:p w14:paraId="010E3555"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top w:val="nil"/>
              <w:left w:val="nil"/>
              <w:bottom w:val="nil"/>
              <w:right w:val="nil"/>
            </w:tcBorders>
          </w:tcPr>
          <w:p w14:paraId="19209BDA"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gridSpan w:val="2"/>
            <w:tcBorders>
              <w:top w:val="nil"/>
              <w:left w:val="nil"/>
              <w:bottom w:val="nil"/>
              <w:right w:val="nil"/>
            </w:tcBorders>
          </w:tcPr>
          <w:p w14:paraId="1307C6DA"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top w:val="nil"/>
              <w:left w:val="nil"/>
              <w:bottom w:val="nil"/>
              <w:right w:val="nil"/>
            </w:tcBorders>
          </w:tcPr>
          <w:p w14:paraId="2C645135" w14:textId="77777777" w:rsidR="005704AC" w:rsidRPr="001A2E55" w:rsidRDefault="005704AC" w:rsidP="005D4B97">
            <w:pPr>
              <w:rPr>
                <w:rFonts w:asciiTheme="minorHAnsi" w:eastAsiaTheme="minorHAnsi" w:hAnsiTheme="minorHAnsi" w:cstheme="minorHAnsi"/>
                <w:noProof/>
                <w:color w:val="000000"/>
                <w:lang w:val="es-ES"/>
              </w:rPr>
            </w:pPr>
          </w:p>
        </w:tc>
      </w:tr>
      <w:tr w:rsidR="006019B8" w:rsidRPr="001A2E55" w14:paraId="5EA6D8E0" w14:textId="77777777" w:rsidTr="005D4B97">
        <w:tc>
          <w:tcPr>
            <w:tcW w:w="1306" w:type="dxa"/>
            <w:tcBorders>
              <w:top w:val="nil"/>
              <w:left w:val="nil"/>
              <w:bottom w:val="nil"/>
              <w:right w:val="nil"/>
            </w:tcBorders>
          </w:tcPr>
          <w:p w14:paraId="5D27C24E"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R100100</w:t>
            </w:r>
          </w:p>
        </w:tc>
        <w:tc>
          <w:tcPr>
            <w:tcW w:w="3084" w:type="dxa"/>
            <w:gridSpan w:val="2"/>
            <w:tcBorders>
              <w:top w:val="nil"/>
              <w:left w:val="nil"/>
              <w:bottom w:val="nil"/>
              <w:right w:val="nil"/>
            </w:tcBorders>
          </w:tcPr>
          <w:p w14:paraId="59560F3A" w14:textId="459530B8" w:rsidR="006019B8" w:rsidRPr="001A2E55" w:rsidRDefault="006019B8" w:rsidP="006019B8">
            <w:pPr>
              <w:ind w:left="0" w:firstLine="0"/>
              <w:rPr>
                <w:rFonts w:asciiTheme="minorHAnsi" w:eastAsiaTheme="minorHAnsi" w:hAnsiTheme="minorHAnsi" w:cstheme="minorHAnsi"/>
                <w:noProof/>
                <w:color w:val="FF0000"/>
                <w:sz w:val="20"/>
                <w:szCs w:val="20"/>
                <w:lang w:val="es-ES"/>
              </w:rPr>
            </w:pPr>
            <w:r w:rsidRPr="001A2E55">
              <w:rPr>
                <w:rFonts w:asciiTheme="minorHAnsi" w:eastAsiaTheme="minorHAnsi" w:hAnsiTheme="minorHAnsi" w:cstheme="minorHAnsi"/>
                <w:noProof/>
                <w:sz w:val="20"/>
                <w:szCs w:val="20"/>
                <w:lang w:val="es-ES"/>
              </w:rPr>
              <w:t xml:space="preserve">Administración </w:t>
            </w:r>
          </w:p>
        </w:tc>
        <w:tc>
          <w:tcPr>
            <w:tcW w:w="1140" w:type="dxa"/>
            <w:gridSpan w:val="2"/>
            <w:tcBorders>
              <w:top w:val="nil"/>
              <w:left w:val="nil"/>
              <w:bottom w:val="nil"/>
              <w:right w:val="nil"/>
            </w:tcBorders>
          </w:tcPr>
          <w:p w14:paraId="559300FB" w14:textId="6350D8D0"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333</w:t>
            </w:r>
          </w:p>
        </w:tc>
        <w:tc>
          <w:tcPr>
            <w:tcW w:w="1005" w:type="dxa"/>
            <w:tcBorders>
              <w:top w:val="nil"/>
              <w:left w:val="nil"/>
              <w:bottom w:val="nil"/>
              <w:right w:val="nil"/>
            </w:tcBorders>
          </w:tcPr>
          <w:p w14:paraId="03998005" w14:textId="582DC308"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32D0E355" w14:textId="0A15C3DA"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w:t>
            </w:r>
          </w:p>
        </w:tc>
        <w:tc>
          <w:tcPr>
            <w:tcW w:w="1005" w:type="dxa"/>
            <w:gridSpan w:val="2"/>
            <w:tcBorders>
              <w:top w:val="nil"/>
              <w:left w:val="nil"/>
              <w:bottom w:val="nil"/>
              <w:right w:val="nil"/>
            </w:tcBorders>
          </w:tcPr>
          <w:p w14:paraId="12AE1178" w14:textId="2F1E9F1B"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13</w:t>
            </w:r>
          </w:p>
        </w:tc>
        <w:tc>
          <w:tcPr>
            <w:tcW w:w="1030" w:type="dxa"/>
            <w:gridSpan w:val="2"/>
            <w:tcBorders>
              <w:top w:val="nil"/>
              <w:left w:val="nil"/>
              <w:bottom w:val="nil"/>
              <w:right w:val="nil"/>
            </w:tcBorders>
          </w:tcPr>
          <w:p w14:paraId="3AE0D70D" w14:textId="2D4D4C45"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339</w:t>
            </w:r>
          </w:p>
        </w:tc>
      </w:tr>
      <w:tr w:rsidR="006019B8" w:rsidRPr="001A2E55" w14:paraId="1253F59E" w14:textId="77777777" w:rsidTr="005D4B97">
        <w:tc>
          <w:tcPr>
            <w:tcW w:w="1306" w:type="dxa"/>
            <w:tcBorders>
              <w:top w:val="nil"/>
              <w:left w:val="nil"/>
              <w:bottom w:val="nil"/>
              <w:right w:val="nil"/>
            </w:tcBorders>
          </w:tcPr>
          <w:p w14:paraId="41DAEA55"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R100102</w:t>
            </w:r>
          </w:p>
        </w:tc>
        <w:tc>
          <w:tcPr>
            <w:tcW w:w="3084" w:type="dxa"/>
            <w:gridSpan w:val="2"/>
            <w:tcBorders>
              <w:top w:val="nil"/>
              <w:left w:val="nil"/>
              <w:bottom w:val="nil"/>
              <w:right w:val="nil"/>
            </w:tcBorders>
          </w:tcPr>
          <w:p w14:paraId="065C9A5F"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Remodelación del SISR</w:t>
            </w:r>
          </w:p>
        </w:tc>
        <w:tc>
          <w:tcPr>
            <w:tcW w:w="1140" w:type="dxa"/>
            <w:gridSpan w:val="2"/>
            <w:tcBorders>
              <w:top w:val="nil"/>
              <w:left w:val="nil"/>
              <w:bottom w:val="nil"/>
              <w:right w:val="nil"/>
            </w:tcBorders>
          </w:tcPr>
          <w:p w14:paraId="299AD9AC" w14:textId="3AA7EDF0"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38</w:t>
            </w:r>
          </w:p>
        </w:tc>
        <w:tc>
          <w:tcPr>
            <w:tcW w:w="1005" w:type="dxa"/>
            <w:tcBorders>
              <w:top w:val="nil"/>
              <w:left w:val="nil"/>
              <w:bottom w:val="nil"/>
              <w:right w:val="nil"/>
            </w:tcBorders>
          </w:tcPr>
          <w:p w14:paraId="349D66F0" w14:textId="130CBDF6"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1582DBA8" w14:textId="3B17371A"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w:t>
            </w:r>
          </w:p>
        </w:tc>
        <w:tc>
          <w:tcPr>
            <w:tcW w:w="1005" w:type="dxa"/>
            <w:gridSpan w:val="2"/>
            <w:tcBorders>
              <w:top w:val="nil"/>
              <w:left w:val="nil"/>
              <w:bottom w:val="nil"/>
              <w:right w:val="nil"/>
            </w:tcBorders>
          </w:tcPr>
          <w:p w14:paraId="58318709" w14:textId="7CE6A500"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7F163749" w14:textId="50712CBE"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w:t>
            </w:r>
          </w:p>
        </w:tc>
      </w:tr>
      <w:tr w:rsidR="006019B8" w:rsidRPr="001A2E55" w14:paraId="6743C6E6" w14:textId="77777777" w:rsidTr="005D4B97">
        <w:tc>
          <w:tcPr>
            <w:tcW w:w="1306" w:type="dxa"/>
            <w:tcBorders>
              <w:top w:val="nil"/>
              <w:left w:val="nil"/>
              <w:bottom w:val="nil"/>
              <w:right w:val="nil"/>
            </w:tcBorders>
          </w:tcPr>
          <w:p w14:paraId="3A0258E2"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R100103</w:t>
            </w:r>
          </w:p>
        </w:tc>
        <w:tc>
          <w:tcPr>
            <w:tcW w:w="3084" w:type="dxa"/>
            <w:gridSpan w:val="2"/>
            <w:tcBorders>
              <w:top w:val="nil"/>
              <w:left w:val="nil"/>
              <w:bottom w:val="nil"/>
              <w:right w:val="nil"/>
            </w:tcBorders>
          </w:tcPr>
          <w:p w14:paraId="0718AF92"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Remodelación del sitio web</w:t>
            </w:r>
          </w:p>
        </w:tc>
        <w:tc>
          <w:tcPr>
            <w:tcW w:w="1140" w:type="dxa"/>
            <w:gridSpan w:val="2"/>
            <w:tcBorders>
              <w:top w:val="nil"/>
              <w:left w:val="nil"/>
              <w:bottom w:val="nil"/>
              <w:right w:val="nil"/>
            </w:tcBorders>
          </w:tcPr>
          <w:p w14:paraId="591422DE" w14:textId="6B19F249"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21</w:t>
            </w:r>
          </w:p>
        </w:tc>
        <w:tc>
          <w:tcPr>
            <w:tcW w:w="1005" w:type="dxa"/>
            <w:tcBorders>
              <w:top w:val="nil"/>
              <w:left w:val="nil"/>
              <w:bottom w:val="nil"/>
              <w:right w:val="nil"/>
            </w:tcBorders>
          </w:tcPr>
          <w:p w14:paraId="748A8CA4" w14:textId="4B67554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0242624C" w14:textId="48F88CFC"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47C1B4AE" w14:textId="3DBC033C"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D3D6475" w14:textId="30C30F32"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21</w:t>
            </w:r>
          </w:p>
        </w:tc>
      </w:tr>
      <w:tr w:rsidR="006019B8" w:rsidRPr="001A2E55" w14:paraId="164AD2D5" w14:textId="77777777" w:rsidTr="005D4B97">
        <w:tc>
          <w:tcPr>
            <w:tcW w:w="1306" w:type="dxa"/>
            <w:tcBorders>
              <w:top w:val="nil"/>
              <w:left w:val="nil"/>
              <w:bottom w:val="nil"/>
              <w:right w:val="nil"/>
            </w:tcBorders>
          </w:tcPr>
          <w:p w14:paraId="2E326310"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R100104</w:t>
            </w:r>
          </w:p>
        </w:tc>
        <w:tc>
          <w:tcPr>
            <w:tcW w:w="3084" w:type="dxa"/>
            <w:gridSpan w:val="2"/>
            <w:tcBorders>
              <w:top w:val="nil"/>
              <w:left w:val="nil"/>
              <w:bottom w:val="nil"/>
              <w:right w:val="nil"/>
            </w:tcBorders>
          </w:tcPr>
          <w:p w14:paraId="5E0F19CD"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Desarrollo</w:t>
            </w:r>
          </w:p>
        </w:tc>
        <w:tc>
          <w:tcPr>
            <w:tcW w:w="1140" w:type="dxa"/>
            <w:gridSpan w:val="2"/>
            <w:tcBorders>
              <w:top w:val="nil"/>
              <w:left w:val="nil"/>
              <w:bottom w:val="nil"/>
              <w:right w:val="nil"/>
            </w:tcBorders>
          </w:tcPr>
          <w:p w14:paraId="045DC822" w14:textId="10FFE1AB"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22</w:t>
            </w:r>
          </w:p>
        </w:tc>
        <w:tc>
          <w:tcPr>
            <w:tcW w:w="1005" w:type="dxa"/>
            <w:tcBorders>
              <w:top w:val="nil"/>
              <w:left w:val="nil"/>
              <w:bottom w:val="nil"/>
              <w:right w:val="nil"/>
            </w:tcBorders>
          </w:tcPr>
          <w:p w14:paraId="1CD38118" w14:textId="48D6D5B8"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790C26CB" w14:textId="31DD6C7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623938F9" w14:textId="210D9D5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84B92C8" w14:textId="5C15FACD"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22</w:t>
            </w:r>
          </w:p>
        </w:tc>
      </w:tr>
      <w:tr w:rsidR="006019B8" w:rsidRPr="001A2E55" w14:paraId="5F81CC60" w14:textId="77777777" w:rsidTr="005D4B97">
        <w:tc>
          <w:tcPr>
            <w:tcW w:w="1306" w:type="dxa"/>
            <w:tcBorders>
              <w:top w:val="nil"/>
              <w:left w:val="nil"/>
              <w:bottom w:val="nil"/>
              <w:right w:val="nil"/>
            </w:tcBorders>
          </w:tcPr>
          <w:p w14:paraId="4F86F67E"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R100105</w:t>
            </w:r>
          </w:p>
        </w:tc>
        <w:tc>
          <w:tcPr>
            <w:tcW w:w="3084" w:type="dxa"/>
            <w:gridSpan w:val="2"/>
            <w:tcBorders>
              <w:top w:val="nil"/>
              <w:left w:val="nil"/>
              <w:bottom w:val="nil"/>
              <w:right w:val="nil"/>
            </w:tcBorders>
          </w:tcPr>
          <w:p w14:paraId="07AB13B2"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Examen científico</w:t>
            </w:r>
          </w:p>
        </w:tc>
        <w:tc>
          <w:tcPr>
            <w:tcW w:w="1140" w:type="dxa"/>
            <w:gridSpan w:val="2"/>
            <w:tcBorders>
              <w:top w:val="nil"/>
              <w:left w:val="nil"/>
              <w:bottom w:val="nil"/>
              <w:right w:val="nil"/>
            </w:tcBorders>
          </w:tcPr>
          <w:p w14:paraId="491F57EC" w14:textId="52F18B1F"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w:t>
            </w:r>
          </w:p>
        </w:tc>
        <w:tc>
          <w:tcPr>
            <w:tcW w:w="1005" w:type="dxa"/>
            <w:tcBorders>
              <w:top w:val="nil"/>
              <w:left w:val="nil"/>
              <w:bottom w:val="nil"/>
              <w:right w:val="nil"/>
            </w:tcBorders>
          </w:tcPr>
          <w:p w14:paraId="527CE4C8" w14:textId="3217D6C8"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1C61A3A7" w14:textId="6AF9DC0B"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68CFECB9" w14:textId="30AB197E"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0BB951BF" w14:textId="57C924C5"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w:t>
            </w:r>
          </w:p>
        </w:tc>
      </w:tr>
      <w:tr w:rsidR="006019B8" w:rsidRPr="001A2E55" w14:paraId="53F5CEB9" w14:textId="77777777" w:rsidTr="005D4B97">
        <w:tc>
          <w:tcPr>
            <w:tcW w:w="1306" w:type="dxa"/>
            <w:tcBorders>
              <w:top w:val="nil"/>
              <w:left w:val="nil"/>
              <w:bottom w:val="nil"/>
              <w:right w:val="nil"/>
            </w:tcBorders>
          </w:tcPr>
          <w:p w14:paraId="118A5D5D"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R100106</w:t>
            </w:r>
          </w:p>
        </w:tc>
        <w:tc>
          <w:tcPr>
            <w:tcW w:w="3084" w:type="dxa"/>
            <w:gridSpan w:val="2"/>
            <w:tcBorders>
              <w:top w:val="nil"/>
              <w:left w:val="nil"/>
              <w:bottom w:val="nil"/>
              <w:right w:val="nil"/>
            </w:tcBorders>
          </w:tcPr>
          <w:p w14:paraId="042C6E23"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Plan Estratégico 2016</w:t>
            </w:r>
          </w:p>
        </w:tc>
        <w:tc>
          <w:tcPr>
            <w:tcW w:w="1140" w:type="dxa"/>
            <w:gridSpan w:val="2"/>
            <w:tcBorders>
              <w:top w:val="nil"/>
              <w:left w:val="nil"/>
              <w:bottom w:val="nil"/>
              <w:right w:val="nil"/>
            </w:tcBorders>
          </w:tcPr>
          <w:p w14:paraId="3789F4C8" w14:textId="14630276"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w:t>
            </w:r>
          </w:p>
        </w:tc>
        <w:tc>
          <w:tcPr>
            <w:tcW w:w="1005" w:type="dxa"/>
            <w:tcBorders>
              <w:top w:val="nil"/>
              <w:left w:val="nil"/>
              <w:bottom w:val="nil"/>
              <w:right w:val="nil"/>
            </w:tcBorders>
          </w:tcPr>
          <w:p w14:paraId="42805BBF" w14:textId="0E64FEF9"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514C85FA" w14:textId="49D28E26"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7FBCAE9E" w14:textId="0C49CD04"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0483EBB2" w14:textId="7B8724ED"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w:t>
            </w:r>
          </w:p>
        </w:tc>
      </w:tr>
      <w:tr w:rsidR="006019B8" w:rsidRPr="001A2E55" w14:paraId="1A95EACC" w14:textId="77777777" w:rsidTr="005D4B97">
        <w:tc>
          <w:tcPr>
            <w:tcW w:w="1306" w:type="dxa"/>
            <w:tcBorders>
              <w:top w:val="nil"/>
              <w:left w:val="nil"/>
              <w:bottom w:val="nil"/>
              <w:right w:val="nil"/>
            </w:tcBorders>
          </w:tcPr>
          <w:p w14:paraId="3D029608"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R100190</w:t>
            </w:r>
          </w:p>
        </w:tc>
        <w:tc>
          <w:tcPr>
            <w:tcW w:w="3084" w:type="dxa"/>
            <w:gridSpan w:val="2"/>
            <w:tcBorders>
              <w:top w:val="nil"/>
              <w:left w:val="nil"/>
              <w:bottom w:val="nil"/>
              <w:right w:val="nil"/>
            </w:tcBorders>
          </w:tcPr>
          <w:p w14:paraId="27427E16"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Ciclo hidrológico</w:t>
            </w:r>
          </w:p>
        </w:tc>
        <w:tc>
          <w:tcPr>
            <w:tcW w:w="1140" w:type="dxa"/>
            <w:gridSpan w:val="2"/>
            <w:tcBorders>
              <w:top w:val="nil"/>
              <w:left w:val="nil"/>
              <w:bottom w:val="nil"/>
              <w:right w:val="nil"/>
            </w:tcBorders>
          </w:tcPr>
          <w:p w14:paraId="3CEBC8EA" w14:textId="7577AB3A"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11</w:t>
            </w:r>
          </w:p>
        </w:tc>
        <w:tc>
          <w:tcPr>
            <w:tcW w:w="1005" w:type="dxa"/>
            <w:tcBorders>
              <w:top w:val="nil"/>
              <w:left w:val="nil"/>
              <w:bottom w:val="nil"/>
              <w:right w:val="nil"/>
            </w:tcBorders>
          </w:tcPr>
          <w:p w14:paraId="3C879851" w14:textId="50B29EC9"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38EB3710" w14:textId="79413B49"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(8)</w:t>
            </w:r>
          </w:p>
        </w:tc>
        <w:tc>
          <w:tcPr>
            <w:tcW w:w="1005" w:type="dxa"/>
            <w:gridSpan w:val="2"/>
            <w:tcBorders>
              <w:top w:val="nil"/>
              <w:left w:val="nil"/>
              <w:bottom w:val="nil"/>
              <w:right w:val="nil"/>
            </w:tcBorders>
          </w:tcPr>
          <w:p w14:paraId="32AC4046" w14:textId="62F905AD"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52A80A5" w14:textId="04891916"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w:t>
            </w:r>
          </w:p>
        </w:tc>
      </w:tr>
      <w:tr w:rsidR="005704AC" w:rsidRPr="001A2E55" w14:paraId="5126F1CB" w14:textId="77777777" w:rsidTr="005D4B97">
        <w:tc>
          <w:tcPr>
            <w:tcW w:w="1306" w:type="dxa"/>
            <w:tcBorders>
              <w:top w:val="nil"/>
              <w:left w:val="nil"/>
              <w:bottom w:val="nil"/>
              <w:right w:val="nil"/>
            </w:tcBorders>
          </w:tcPr>
          <w:p w14:paraId="045D5813" w14:textId="77777777" w:rsidR="005704AC" w:rsidRPr="001A2E55" w:rsidRDefault="005704AC" w:rsidP="005D4B97">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R100311</w:t>
            </w:r>
          </w:p>
        </w:tc>
        <w:tc>
          <w:tcPr>
            <w:tcW w:w="3084" w:type="dxa"/>
            <w:gridSpan w:val="2"/>
            <w:tcBorders>
              <w:top w:val="nil"/>
              <w:left w:val="nil"/>
              <w:bottom w:val="nil"/>
              <w:right w:val="nil"/>
            </w:tcBorders>
          </w:tcPr>
          <w:p w14:paraId="0C087AB7" w14:textId="77777777" w:rsidR="005704AC" w:rsidRPr="001A2E55" w:rsidRDefault="005704AC" w:rsidP="005D4B97">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themeColor="text1"/>
                <w:sz w:val="20"/>
                <w:szCs w:val="20"/>
                <w:lang w:val="es-ES"/>
              </w:rPr>
              <w:t xml:space="preserve">Río </w:t>
            </w:r>
            <w:r w:rsidRPr="001A2E55">
              <w:rPr>
                <w:rFonts w:asciiTheme="minorHAnsi" w:eastAsiaTheme="minorHAnsi" w:hAnsiTheme="minorHAnsi" w:cstheme="minorHAnsi"/>
                <w:noProof/>
                <w:color w:val="000000"/>
                <w:sz w:val="20"/>
                <w:szCs w:val="20"/>
                <w:lang w:val="es-ES"/>
              </w:rPr>
              <w:t>Cruces</w:t>
            </w:r>
          </w:p>
        </w:tc>
        <w:tc>
          <w:tcPr>
            <w:tcW w:w="1140" w:type="dxa"/>
            <w:gridSpan w:val="2"/>
            <w:tcBorders>
              <w:top w:val="nil"/>
              <w:left w:val="nil"/>
              <w:bottom w:val="nil"/>
              <w:right w:val="nil"/>
            </w:tcBorders>
          </w:tcPr>
          <w:p w14:paraId="3C587F98"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52</w:t>
            </w:r>
          </w:p>
        </w:tc>
        <w:tc>
          <w:tcPr>
            <w:tcW w:w="1005" w:type="dxa"/>
            <w:tcBorders>
              <w:top w:val="nil"/>
              <w:left w:val="nil"/>
              <w:bottom w:val="nil"/>
              <w:right w:val="nil"/>
            </w:tcBorders>
          </w:tcPr>
          <w:p w14:paraId="2A23BE24"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06" w:type="dxa"/>
            <w:tcBorders>
              <w:top w:val="nil"/>
              <w:left w:val="nil"/>
              <w:bottom w:val="nil"/>
              <w:right w:val="nil"/>
            </w:tcBorders>
          </w:tcPr>
          <w:p w14:paraId="38422F57"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05" w:type="dxa"/>
            <w:gridSpan w:val="2"/>
            <w:tcBorders>
              <w:top w:val="nil"/>
              <w:left w:val="nil"/>
              <w:bottom w:val="nil"/>
              <w:right w:val="nil"/>
            </w:tcBorders>
          </w:tcPr>
          <w:p w14:paraId="5E1EE24A"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w:t>
            </w:r>
          </w:p>
        </w:tc>
        <w:tc>
          <w:tcPr>
            <w:tcW w:w="1030" w:type="dxa"/>
            <w:gridSpan w:val="2"/>
            <w:tcBorders>
              <w:top w:val="nil"/>
              <w:left w:val="nil"/>
              <w:bottom w:val="nil"/>
              <w:right w:val="nil"/>
            </w:tcBorders>
          </w:tcPr>
          <w:p w14:paraId="61DC07DF" w14:textId="77777777" w:rsidR="005704AC" w:rsidRPr="001A2E55" w:rsidRDefault="005704AC" w:rsidP="005D4B97">
            <w:pPr>
              <w:jc w:val="right"/>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52</w:t>
            </w:r>
          </w:p>
        </w:tc>
      </w:tr>
      <w:tr w:rsidR="006019B8" w:rsidRPr="001A2E55" w14:paraId="0AC5A20B" w14:textId="77777777" w:rsidTr="005D4B97">
        <w:tc>
          <w:tcPr>
            <w:tcW w:w="1306" w:type="dxa"/>
            <w:tcBorders>
              <w:top w:val="nil"/>
              <w:left w:val="nil"/>
              <w:bottom w:val="nil"/>
              <w:right w:val="nil"/>
            </w:tcBorders>
          </w:tcPr>
          <w:p w14:paraId="36EE2F68" w14:textId="77777777" w:rsidR="006019B8" w:rsidRPr="001A2E55" w:rsidRDefault="006019B8" w:rsidP="006019B8">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R100642</w:t>
            </w:r>
          </w:p>
        </w:tc>
        <w:tc>
          <w:tcPr>
            <w:tcW w:w="3084" w:type="dxa"/>
            <w:gridSpan w:val="2"/>
            <w:tcBorders>
              <w:top w:val="nil"/>
              <w:left w:val="nil"/>
              <w:bottom w:val="nil"/>
              <w:right w:val="nil"/>
            </w:tcBorders>
          </w:tcPr>
          <w:p w14:paraId="6A9D67A5" w14:textId="77777777" w:rsidR="006019B8" w:rsidRPr="001A2E55" w:rsidRDefault="006019B8" w:rsidP="006019B8">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sz w:val="20"/>
                <w:szCs w:val="20"/>
                <w:lang w:val="es-ES"/>
              </w:rPr>
              <w:t>COP15 – Zimbabwe</w:t>
            </w:r>
          </w:p>
        </w:tc>
        <w:tc>
          <w:tcPr>
            <w:tcW w:w="1140" w:type="dxa"/>
            <w:gridSpan w:val="2"/>
            <w:tcBorders>
              <w:top w:val="nil"/>
              <w:left w:val="nil"/>
              <w:bottom w:val="nil"/>
              <w:right w:val="nil"/>
            </w:tcBorders>
          </w:tcPr>
          <w:p w14:paraId="339E0DFE" w14:textId="371834DB"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w:t>
            </w:r>
          </w:p>
        </w:tc>
        <w:tc>
          <w:tcPr>
            <w:tcW w:w="1005" w:type="dxa"/>
            <w:tcBorders>
              <w:top w:val="nil"/>
              <w:left w:val="nil"/>
              <w:bottom w:val="nil"/>
              <w:right w:val="nil"/>
            </w:tcBorders>
          </w:tcPr>
          <w:p w14:paraId="518B9613" w14:textId="2AD6B7A1"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599</w:t>
            </w:r>
          </w:p>
        </w:tc>
        <w:tc>
          <w:tcPr>
            <w:tcW w:w="1006" w:type="dxa"/>
            <w:tcBorders>
              <w:top w:val="nil"/>
              <w:left w:val="nil"/>
              <w:bottom w:val="nil"/>
              <w:right w:val="nil"/>
            </w:tcBorders>
          </w:tcPr>
          <w:p w14:paraId="730937B5" w14:textId="242436E6"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w:t>
            </w:r>
          </w:p>
        </w:tc>
        <w:tc>
          <w:tcPr>
            <w:tcW w:w="1005" w:type="dxa"/>
            <w:gridSpan w:val="2"/>
            <w:tcBorders>
              <w:top w:val="nil"/>
              <w:left w:val="nil"/>
              <w:bottom w:val="nil"/>
              <w:right w:val="nil"/>
            </w:tcBorders>
          </w:tcPr>
          <w:p w14:paraId="43AB0EAB" w14:textId="6406F0BF"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45E8FF7" w14:textId="5BD58FB0" w:rsidR="006019B8" w:rsidRPr="001A2E55" w:rsidRDefault="006019B8" w:rsidP="006019B8">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584</w:t>
            </w:r>
          </w:p>
        </w:tc>
      </w:tr>
      <w:tr w:rsidR="006D600F" w:rsidRPr="001A2E55" w14:paraId="5F947481" w14:textId="77777777" w:rsidTr="005D4B97">
        <w:tc>
          <w:tcPr>
            <w:tcW w:w="1306" w:type="dxa"/>
            <w:tcBorders>
              <w:top w:val="nil"/>
              <w:left w:val="nil"/>
              <w:bottom w:val="nil"/>
              <w:right w:val="nil"/>
            </w:tcBorders>
          </w:tcPr>
          <w:p w14:paraId="78B9D605" w14:textId="6AB3C5BC"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R100643</w:t>
            </w:r>
          </w:p>
        </w:tc>
        <w:tc>
          <w:tcPr>
            <w:tcW w:w="3084" w:type="dxa"/>
            <w:gridSpan w:val="2"/>
            <w:tcBorders>
              <w:top w:val="nil"/>
              <w:left w:val="nil"/>
              <w:bottom w:val="nil"/>
              <w:right w:val="nil"/>
            </w:tcBorders>
          </w:tcPr>
          <w:p w14:paraId="0C54643F" w14:textId="43A6B089" w:rsidR="006D600F" w:rsidRPr="001A2E55" w:rsidRDefault="006D600F" w:rsidP="006D600F">
            <w:pPr>
              <w:ind w:left="0" w:firstLine="0"/>
              <w:rPr>
                <w:rFonts w:asciiTheme="minorHAnsi" w:eastAsiaTheme="minorHAnsi" w:hAnsiTheme="minorHAnsi" w:cstheme="minorHAnsi"/>
                <w:noProof/>
                <w:sz w:val="20"/>
                <w:szCs w:val="20"/>
                <w:lang w:val="es-ES"/>
              </w:rPr>
            </w:pPr>
            <w:r w:rsidRPr="001A2E55">
              <w:rPr>
                <w:rFonts w:eastAsiaTheme="minorHAnsi" w:cs="Calibri"/>
                <w:noProof/>
                <w:color w:val="000000"/>
                <w:sz w:val="20"/>
                <w:szCs w:val="20"/>
                <w:lang w:val="es-ES"/>
              </w:rPr>
              <w:t>COP15, delegados patrocinados</w:t>
            </w:r>
          </w:p>
        </w:tc>
        <w:tc>
          <w:tcPr>
            <w:tcW w:w="1140" w:type="dxa"/>
            <w:gridSpan w:val="2"/>
            <w:tcBorders>
              <w:top w:val="nil"/>
              <w:left w:val="nil"/>
              <w:bottom w:val="nil"/>
              <w:right w:val="nil"/>
            </w:tcBorders>
          </w:tcPr>
          <w:p w14:paraId="1C96840E" w14:textId="684098D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tcBorders>
              <w:top w:val="nil"/>
              <w:left w:val="nil"/>
              <w:bottom w:val="nil"/>
              <w:right w:val="nil"/>
            </w:tcBorders>
          </w:tcPr>
          <w:p w14:paraId="5554C548" w14:textId="0C50868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90</w:t>
            </w:r>
          </w:p>
        </w:tc>
        <w:tc>
          <w:tcPr>
            <w:tcW w:w="1006" w:type="dxa"/>
            <w:tcBorders>
              <w:top w:val="nil"/>
              <w:left w:val="nil"/>
              <w:bottom w:val="nil"/>
              <w:right w:val="nil"/>
            </w:tcBorders>
          </w:tcPr>
          <w:p w14:paraId="30213DD7" w14:textId="7F53AD8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064E1D0D" w14:textId="679BFA96"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7DBD3B2F" w14:textId="3D7BB086"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90</w:t>
            </w:r>
          </w:p>
        </w:tc>
      </w:tr>
      <w:tr w:rsidR="006D600F" w:rsidRPr="001A2E55" w14:paraId="11F4EE91" w14:textId="77777777" w:rsidTr="005D4B97">
        <w:tc>
          <w:tcPr>
            <w:tcW w:w="1306" w:type="dxa"/>
            <w:tcBorders>
              <w:top w:val="nil"/>
              <w:left w:val="nil"/>
              <w:bottom w:val="nil"/>
              <w:right w:val="nil"/>
            </w:tcBorders>
          </w:tcPr>
          <w:p w14:paraId="516F28F0"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R100817</w:t>
            </w:r>
          </w:p>
        </w:tc>
        <w:tc>
          <w:tcPr>
            <w:tcW w:w="3084" w:type="dxa"/>
            <w:gridSpan w:val="2"/>
            <w:tcBorders>
              <w:top w:val="nil"/>
              <w:left w:val="nil"/>
              <w:bottom w:val="nil"/>
              <w:right w:val="nil"/>
            </w:tcBorders>
          </w:tcPr>
          <w:p w14:paraId="30825B47"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Danone 2022-2024</w:t>
            </w:r>
          </w:p>
        </w:tc>
        <w:tc>
          <w:tcPr>
            <w:tcW w:w="1140" w:type="dxa"/>
            <w:gridSpan w:val="2"/>
            <w:tcBorders>
              <w:top w:val="nil"/>
              <w:left w:val="nil"/>
              <w:bottom w:val="nil"/>
              <w:right w:val="nil"/>
            </w:tcBorders>
          </w:tcPr>
          <w:p w14:paraId="13F46F57" w14:textId="15AAEA74"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63</w:t>
            </w:r>
          </w:p>
        </w:tc>
        <w:tc>
          <w:tcPr>
            <w:tcW w:w="1005" w:type="dxa"/>
            <w:tcBorders>
              <w:top w:val="nil"/>
              <w:left w:val="nil"/>
              <w:bottom w:val="nil"/>
              <w:right w:val="nil"/>
            </w:tcBorders>
          </w:tcPr>
          <w:p w14:paraId="23600718" w14:textId="35434D2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66</w:t>
            </w:r>
          </w:p>
        </w:tc>
        <w:tc>
          <w:tcPr>
            <w:tcW w:w="1006" w:type="dxa"/>
            <w:tcBorders>
              <w:top w:val="nil"/>
              <w:left w:val="nil"/>
              <w:bottom w:val="nil"/>
              <w:right w:val="nil"/>
            </w:tcBorders>
          </w:tcPr>
          <w:p w14:paraId="35FCD6D2" w14:textId="165F75F7"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(52)</w:t>
            </w:r>
          </w:p>
        </w:tc>
        <w:tc>
          <w:tcPr>
            <w:tcW w:w="1005" w:type="dxa"/>
            <w:gridSpan w:val="2"/>
            <w:tcBorders>
              <w:top w:val="nil"/>
              <w:left w:val="nil"/>
              <w:bottom w:val="nil"/>
              <w:right w:val="nil"/>
            </w:tcBorders>
          </w:tcPr>
          <w:p w14:paraId="3FCA0B7C" w14:textId="353CFCE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5275BAE" w14:textId="7B206BA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77</w:t>
            </w:r>
          </w:p>
        </w:tc>
      </w:tr>
      <w:tr w:rsidR="006D600F" w:rsidRPr="001A2E55" w14:paraId="36A859CA" w14:textId="77777777" w:rsidTr="005D4B97">
        <w:tc>
          <w:tcPr>
            <w:tcW w:w="1306" w:type="dxa"/>
            <w:tcBorders>
              <w:top w:val="nil"/>
              <w:left w:val="nil"/>
              <w:bottom w:val="nil"/>
              <w:right w:val="nil"/>
            </w:tcBorders>
          </w:tcPr>
          <w:p w14:paraId="7C70E7AB"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R100904</w:t>
            </w:r>
          </w:p>
        </w:tc>
        <w:tc>
          <w:tcPr>
            <w:tcW w:w="3084" w:type="dxa"/>
            <w:gridSpan w:val="2"/>
            <w:tcBorders>
              <w:top w:val="nil"/>
              <w:left w:val="nil"/>
              <w:bottom w:val="nil"/>
              <w:right w:val="nil"/>
            </w:tcBorders>
          </w:tcPr>
          <w:p w14:paraId="127497C4" w14:textId="15A0F414"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GECT, no básico</w:t>
            </w:r>
          </w:p>
        </w:tc>
        <w:tc>
          <w:tcPr>
            <w:tcW w:w="1140" w:type="dxa"/>
            <w:gridSpan w:val="2"/>
            <w:tcBorders>
              <w:top w:val="nil"/>
              <w:left w:val="nil"/>
              <w:bottom w:val="nil"/>
              <w:right w:val="nil"/>
            </w:tcBorders>
          </w:tcPr>
          <w:p w14:paraId="1DEEEB6F" w14:textId="22FDD957"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145</w:t>
            </w:r>
          </w:p>
        </w:tc>
        <w:tc>
          <w:tcPr>
            <w:tcW w:w="1005" w:type="dxa"/>
            <w:tcBorders>
              <w:top w:val="nil"/>
              <w:left w:val="nil"/>
              <w:bottom w:val="nil"/>
              <w:right w:val="nil"/>
            </w:tcBorders>
          </w:tcPr>
          <w:p w14:paraId="71CAC1C3" w14:textId="10A84E0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0A7837C6" w14:textId="0CB00C1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410069FE" w14:textId="433CDFB5"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7EEFE8E" w14:textId="06298C95"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145</w:t>
            </w:r>
          </w:p>
        </w:tc>
      </w:tr>
      <w:tr w:rsidR="006D600F" w:rsidRPr="001A2E55" w14:paraId="0D64D340" w14:textId="77777777" w:rsidTr="005D4B97">
        <w:tc>
          <w:tcPr>
            <w:tcW w:w="1306" w:type="dxa"/>
            <w:tcBorders>
              <w:top w:val="nil"/>
              <w:left w:val="nil"/>
              <w:bottom w:val="nil"/>
              <w:right w:val="nil"/>
            </w:tcBorders>
          </w:tcPr>
          <w:p w14:paraId="738969CE"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R100915</w:t>
            </w:r>
          </w:p>
        </w:tc>
        <w:tc>
          <w:tcPr>
            <w:tcW w:w="3084" w:type="dxa"/>
            <w:gridSpan w:val="2"/>
            <w:tcBorders>
              <w:top w:val="nil"/>
              <w:left w:val="nil"/>
              <w:bottom w:val="nil"/>
              <w:right w:val="nil"/>
            </w:tcBorders>
          </w:tcPr>
          <w:p w14:paraId="79ACF25A"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Trabajo sobre género</w:t>
            </w:r>
          </w:p>
        </w:tc>
        <w:tc>
          <w:tcPr>
            <w:tcW w:w="1140" w:type="dxa"/>
            <w:gridSpan w:val="2"/>
            <w:tcBorders>
              <w:top w:val="nil"/>
              <w:left w:val="nil"/>
              <w:bottom w:val="nil"/>
              <w:right w:val="nil"/>
            </w:tcBorders>
          </w:tcPr>
          <w:p w14:paraId="7ADA63E6" w14:textId="240F0BEA"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w:t>
            </w:r>
          </w:p>
        </w:tc>
        <w:tc>
          <w:tcPr>
            <w:tcW w:w="1005" w:type="dxa"/>
            <w:tcBorders>
              <w:top w:val="nil"/>
              <w:left w:val="nil"/>
              <w:bottom w:val="nil"/>
              <w:right w:val="nil"/>
            </w:tcBorders>
          </w:tcPr>
          <w:p w14:paraId="27375C7A" w14:textId="374E865E"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36</w:t>
            </w:r>
          </w:p>
        </w:tc>
        <w:tc>
          <w:tcPr>
            <w:tcW w:w="1006" w:type="dxa"/>
            <w:tcBorders>
              <w:top w:val="nil"/>
              <w:left w:val="nil"/>
              <w:bottom w:val="nil"/>
              <w:right w:val="nil"/>
            </w:tcBorders>
          </w:tcPr>
          <w:p w14:paraId="11E379C8" w14:textId="531C03CE"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(35)</w:t>
            </w:r>
          </w:p>
        </w:tc>
        <w:tc>
          <w:tcPr>
            <w:tcW w:w="1005" w:type="dxa"/>
            <w:gridSpan w:val="2"/>
            <w:tcBorders>
              <w:top w:val="nil"/>
              <w:left w:val="nil"/>
              <w:bottom w:val="nil"/>
              <w:right w:val="nil"/>
            </w:tcBorders>
          </w:tcPr>
          <w:p w14:paraId="5EC3AFBE" w14:textId="2587DAC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w:t>
            </w:r>
          </w:p>
        </w:tc>
        <w:tc>
          <w:tcPr>
            <w:tcW w:w="1030" w:type="dxa"/>
            <w:gridSpan w:val="2"/>
            <w:tcBorders>
              <w:top w:val="nil"/>
              <w:left w:val="nil"/>
              <w:bottom w:val="nil"/>
              <w:right w:val="nil"/>
            </w:tcBorders>
          </w:tcPr>
          <w:p w14:paraId="1439EDCF" w14:textId="1C7095AB"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0</w:t>
            </w:r>
          </w:p>
        </w:tc>
      </w:tr>
      <w:tr w:rsidR="006D600F" w:rsidRPr="001A2E55" w14:paraId="423363AF" w14:textId="77777777" w:rsidTr="005D4B97">
        <w:tc>
          <w:tcPr>
            <w:tcW w:w="1306" w:type="dxa"/>
            <w:tcBorders>
              <w:top w:val="nil"/>
              <w:left w:val="nil"/>
              <w:bottom w:val="nil"/>
              <w:right w:val="nil"/>
            </w:tcBorders>
          </w:tcPr>
          <w:p w14:paraId="700908CD"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R100916</w:t>
            </w:r>
          </w:p>
        </w:tc>
        <w:tc>
          <w:tcPr>
            <w:tcW w:w="3084" w:type="dxa"/>
            <w:gridSpan w:val="2"/>
            <w:tcBorders>
              <w:top w:val="nil"/>
              <w:left w:val="nil"/>
              <w:bottom w:val="nil"/>
              <w:right w:val="nil"/>
            </w:tcBorders>
          </w:tcPr>
          <w:p w14:paraId="25A39669"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Creación de capacidad con cargo a fondos complementarios</w:t>
            </w:r>
          </w:p>
        </w:tc>
        <w:tc>
          <w:tcPr>
            <w:tcW w:w="1140" w:type="dxa"/>
            <w:gridSpan w:val="2"/>
            <w:tcBorders>
              <w:top w:val="nil"/>
              <w:left w:val="nil"/>
              <w:bottom w:val="nil"/>
              <w:right w:val="nil"/>
            </w:tcBorders>
          </w:tcPr>
          <w:p w14:paraId="0FCE1064" w14:textId="673C066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33</w:t>
            </w:r>
          </w:p>
        </w:tc>
        <w:tc>
          <w:tcPr>
            <w:tcW w:w="1005" w:type="dxa"/>
            <w:tcBorders>
              <w:top w:val="nil"/>
              <w:left w:val="nil"/>
              <w:bottom w:val="nil"/>
              <w:right w:val="nil"/>
            </w:tcBorders>
          </w:tcPr>
          <w:p w14:paraId="6F57826C" w14:textId="1D669B3B"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0B336EFC" w14:textId="21C23732"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w:t>
            </w:r>
          </w:p>
        </w:tc>
        <w:tc>
          <w:tcPr>
            <w:tcW w:w="1005" w:type="dxa"/>
            <w:gridSpan w:val="2"/>
            <w:tcBorders>
              <w:top w:val="nil"/>
              <w:left w:val="nil"/>
              <w:bottom w:val="nil"/>
              <w:right w:val="nil"/>
            </w:tcBorders>
          </w:tcPr>
          <w:p w14:paraId="4F3575DD" w14:textId="5F82CE1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50F78197" w14:textId="3A5498D0"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24</w:t>
            </w:r>
          </w:p>
        </w:tc>
      </w:tr>
      <w:tr w:rsidR="006D600F" w:rsidRPr="001A2E55" w14:paraId="18D7751E" w14:textId="77777777" w:rsidTr="005D4B97">
        <w:tc>
          <w:tcPr>
            <w:tcW w:w="1306" w:type="dxa"/>
            <w:tcBorders>
              <w:top w:val="nil"/>
              <w:left w:val="nil"/>
              <w:bottom w:val="nil"/>
              <w:right w:val="nil"/>
            </w:tcBorders>
          </w:tcPr>
          <w:p w14:paraId="488404A5"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R100917</w:t>
            </w:r>
          </w:p>
        </w:tc>
        <w:tc>
          <w:tcPr>
            <w:tcW w:w="3084" w:type="dxa"/>
            <w:gridSpan w:val="2"/>
            <w:tcBorders>
              <w:top w:val="nil"/>
              <w:left w:val="nil"/>
              <w:bottom w:val="nil"/>
              <w:right w:val="nil"/>
            </w:tcBorders>
          </w:tcPr>
          <w:p w14:paraId="0BB30024"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Inventarios nacionales de humedales</w:t>
            </w:r>
          </w:p>
        </w:tc>
        <w:tc>
          <w:tcPr>
            <w:tcW w:w="1140" w:type="dxa"/>
            <w:gridSpan w:val="2"/>
            <w:tcBorders>
              <w:top w:val="nil"/>
              <w:left w:val="nil"/>
              <w:bottom w:val="nil"/>
              <w:right w:val="nil"/>
            </w:tcBorders>
          </w:tcPr>
          <w:p w14:paraId="6D192284" w14:textId="3024860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251</w:t>
            </w:r>
          </w:p>
        </w:tc>
        <w:tc>
          <w:tcPr>
            <w:tcW w:w="1005" w:type="dxa"/>
            <w:tcBorders>
              <w:top w:val="nil"/>
              <w:left w:val="nil"/>
              <w:bottom w:val="nil"/>
              <w:right w:val="nil"/>
            </w:tcBorders>
          </w:tcPr>
          <w:p w14:paraId="784E200E" w14:textId="6BD0E8F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50</w:t>
            </w:r>
          </w:p>
        </w:tc>
        <w:tc>
          <w:tcPr>
            <w:tcW w:w="1006" w:type="dxa"/>
            <w:tcBorders>
              <w:top w:val="nil"/>
              <w:left w:val="nil"/>
              <w:bottom w:val="nil"/>
              <w:right w:val="nil"/>
            </w:tcBorders>
          </w:tcPr>
          <w:p w14:paraId="6830ADE6" w14:textId="4765A0B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(47)</w:t>
            </w:r>
          </w:p>
        </w:tc>
        <w:tc>
          <w:tcPr>
            <w:tcW w:w="1005" w:type="dxa"/>
            <w:gridSpan w:val="2"/>
            <w:tcBorders>
              <w:top w:val="nil"/>
              <w:left w:val="nil"/>
              <w:bottom w:val="nil"/>
              <w:right w:val="nil"/>
            </w:tcBorders>
          </w:tcPr>
          <w:p w14:paraId="2E8C314A" w14:textId="18ADA4B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534BAA77" w14:textId="79A9978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254</w:t>
            </w:r>
          </w:p>
        </w:tc>
      </w:tr>
      <w:tr w:rsidR="006D600F" w:rsidRPr="001A2E55" w14:paraId="75CA89D3" w14:textId="77777777" w:rsidTr="005D4B97">
        <w:tc>
          <w:tcPr>
            <w:tcW w:w="1306" w:type="dxa"/>
            <w:tcBorders>
              <w:top w:val="nil"/>
              <w:left w:val="nil"/>
              <w:bottom w:val="nil"/>
              <w:right w:val="nil"/>
            </w:tcBorders>
          </w:tcPr>
          <w:p w14:paraId="1CB4CA3B"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R100918</w:t>
            </w:r>
          </w:p>
        </w:tc>
        <w:tc>
          <w:tcPr>
            <w:tcW w:w="3084" w:type="dxa"/>
            <w:gridSpan w:val="2"/>
            <w:tcBorders>
              <w:top w:val="nil"/>
              <w:left w:val="nil"/>
              <w:bottom w:val="nil"/>
              <w:right w:val="nil"/>
            </w:tcBorders>
          </w:tcPr>
          <w:p w14:paraId="5EBEF41A"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La juventud y los humedales</w:t>
            </w:r>
          </w:p>
        </w:tc>
        <w:tc>
          <w:tcPr>
            <w:tcW w:w="1140" w:type="dxa"/>
            <w:gridSpan w:val="2"/>
            <w:tcBorders>
              <w:top w:val="nil"/>
              <w:left w:val="nil"/>
              <w:bottom w:val="nil"/>
              <w:right w:val="nil"/>
            </w:tcBorders>
          </w:tcPr>
          <w:p w14:paraId="5EA76BE6" w14:textId="17C86A6A"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139</w:t>
            </w:r>
          </w:p>
        </w:tc>
        <w:tc>
          <w:tcPr>
            <w:tcW w:w="1005" w:type="dxa"/>
            <w:tcBorders>
              <w:top w:val="nil"/>
              <w:left w:val="nil"/>
              <w:bottom w:val="nil"/>
              <w:right w:val="nil"/>
            </w:tcBorders>
          </w:tcPr>
          <w:p w14:paraId="57E34A51" w14:textId="6D697808"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(62)</w:t>
            </w:r>
          </w:p>
        </w:tc>
        <w:tc>
          <w:tcPr>
            <w:tcW w:w="1006" w:type="dxa"/>
            <w:tcBorders>
              <w:top w:val="nil"/>
              <w:left w:val="nil"/>
              <w:bottom w:val="nil"/>
              <w:right w:val="nil"/>
            </w:tcBorders>
          </w:tcPr>
          <w:p w14:paraId="45A6F79E" w14:textId="57A30962"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31763B58" w14:textId="7137E9E6"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FCF7BBB" w14:textId="09F7507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77</w:t>
            </w:r>
          </w:p>
        </w:tc>
      </w:tr>
      <w:tr w:rsidR="006D600F" w:rsidRPr="001A2E55" w14:paraId="0EC743AE" w14:textId="77777777" w:rsidTr="005D4B97">
        <w:tc>
          <w:tcPr>
            <w:tcW w:w="1306" w:type="dxa"/>
            <w:tcBorders>
              <w:top w:val="nil"/>
              <w:left w:val="nil"/>
              <w:bottom w:val="nil"/>
              <w:right w:val="nil"/>
            </w:tcBorders>
          </w:tcPr>
          <w:p w14:paraId="76165C22"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R100919</w:t>
            </w:r>
          </w:p>
        </w:tc>
        <w:tc>
          <w:tcPr>
            <w:tcW w:w="3084" w:type="dxa"/>
            <w:gridSpan w:val="2"/>
            <w:tcBorders>
              <w:top w:val="nil"/>
              <w:left w:val="nil"/>
              <w:bottom w:val="nil"/>
              <w:right w:val="nil"/>
            </w:tcBorders>
          </w:tcPr>
          <w:p w14:paraId="52D9878D" w14:textId="4ACF82F5" w:rsidR="006D600F" w:rsidRPr="001A2E55" w:rsidRDefault="006D600F" w:rsidP="006D600F">
            <w:pPr>
              <w:ind w:left="0" w:firstLine="0"/>
              <w:rPr>
                <w:rFonts w:asciiTheme="minorHAnsi" w:eastAsiaTheme="minorHAnsi" w:hAnsiTheme="minorHAnsi" w:cstheme="minorHAnsi"/>
                <w:noProof/>
                <w:sz w:val="20"/>
                <w:szCs w:val="20"/>
                <w:lang w:val="es-ES"/>
              </w:rPr>
            </w:pPr>
            <w:r w:rsidRPr="001A2E55">
              <w:rPr>
                <w:rFonts w:asciiTheme="minorHAnsi" w:eastAsiaTheme="minorHAnsi" w:hAnsiTheme="minorHAnsi" w:cstheme="minorHAnsi"/>
                <w:noProof/>
                <w:sz w:val="20"/>
                <w:szCs w:val="20"/>
                <w:lang w:val="es-ES"/>
              </w:rPr>
              <w:t xml:space="preserve">Evaluación sobre Ucrania </w:t>
            </w:r>
          </w:p>
        </w:tc>
        <w:tc>
          <w:tcPr>
            <w:tcW w:w="1140" w:type="dxa"/>
            <w:gridSpan w:val="2"/>
            <w:tcBorders>
              <w:top w:val="nil"/>
              <w:left w:val="nil"/>
              <w:right w:val="nil"/>
            </w:tcBorders>
          </w:tcPr>
          <w:p w14:paraId="7E320828" w14:textId="0EAC73C0"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160</w:t>
            </w:r>
          </w:p>
        </w:tc>
        <w:tc>
          <w:tcPr>
            <w:tcW w:w="1005" w:type="dxa"/>
            <w:tcBorders>
              <w:top w:val="nil"/>
              <w:left w:val="nil"/>
              <w:right w:val="nil"/>
            </w:tcBorders>
          </w:tcPr>
          <w:p w14:paraId="606FE1DD" w14:textId="470A647B"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13</w:t>
            </w:r>
          </w:p>
        </w:tc>
        <w:tc>
          <w:tcPr>
            <w:tcW w:w="1006" w:type="dxa"/>
            <w:tcBorders>
              <w:top w:val="nil"/>
              <w:left w:val="nil"/>
              <w:bottom w:val="nil"/>
              <w:right w:val="nil"/>
            </w:tcBorders>
          </w:tcPr>
          <w:p w14:paraId="3F38B486" w14:textId="28501C2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(75)</w:t>
            </w:r>
          </w:p>
        </w:tc>
        <w:tc>
          <w:tcPr>
            <w:tcW w:w="1005" w:type="dxa"/>
            <w:gridSpan w:val="2"/>
            <w:tcBorders>
              <w:top w:val="nil"/>
              <w:left w:val="nil"/>
              <w:bottom w:val="nil"/>
              <w:right w:val="nil"/>
            </w:tcBorders>
          </w:tcPr>
          <w:p w14:paraId="7D725F54" w14:textId="0FF42AC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w:t>
            </w:r>
          </w:p>
        </w:tc>
        <w:tc>
          <w:tcPr>
            <w:tcW w:w="1030" w:type="dxa"/>
            <w:gridSpan w:val="2"/>
            <w:tcBorders>
              <w:top w:val="nil"/>
              <w:left w:val="nil"/>
              <w:bottom w:val="nil"/>
              <w:right w:val="nil"/>
            </w:tcBorders>
          </w:tcPr>
          <w:p w14:paraId="27C013E0" w14:textId="1A90682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97</w:t>
            </w:r>
          </w:p>
        </w:tc>
      </w:tr>
      <w:tr w:rsidR="006D600F" w:rsidRPr="001A2E55" w14:paraId="3BBE6AF9" w14:textId="77777777" w:rsidTr="005D4B97">
        <w:tc>
          <w:tcPr>
            <w:tcW w:w="1306" w:type="dxa"/>
            <w:tcBorders>
              <w:top w:val="nil"/>
              <w:left w:val="nil"/>
              <w:bottom w:val="nil"/>
              <w:right w:val="nil"/>
            </w:tcBorders>
          </w:tcPr>
          <w:p w14:paraId="0D7C32BF"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R101006</w:t>
            </w:r>
          </w:p>
        </w:tc>
        <w:tc>
          <w:tcPr>
            <w:tcW w:w="3084" w:type="dxa"/>
            <w:gridSpan w:val="2"/>
            <w:tcBorders>
              <w:top w:val="nil"/>
              <w:left w:val="nil"/>
              <w:bottom w:val="nil"/>
              <w:right w:val="nil"/>
            </w:tcBorders>
          </w:tcPr>
          <w:p w14:paraId="70B37644" w14:textId="77777777" w:rsidR="006D600F" w:rsidRPr="001A2E55" w:rsidRDefault="006D600F" w:rsidP="006D600F">
            <w:pPr>
              <w:ind w:left="0" w:firstLine="0"/>
              <w:rPr>
                <w:rFonts w:asciiTheme="minorHAnsi" w:eastAsiaTheme="minorHAnsi" w:hAnsiTheme="minorHAnsi" w:cstheme="minorHAnsi"/>
                <w:noProof/>
                <w:sz w:val="20"/>
                <w:szCs w:val="20"/>
                <w:lang w:val="es-ES"/>
              </w:rPr>
            </w:pPr>
            <w:r w:rsidRPr="001A2E55">
              <w:rPr>
                <w:rFonts w:asciiTheme="minorHAnsi" w:eastAsiaTheme="minorHAnsi" w:hAnsiTheme="minorHAnsi" w:cstheme="minorHAnsi"/>
                <w:noProof/>
                <w:sz w:val="20"/>
                <w:szCs w:val="20"/>
                <w:lang w:val="es-ES"/>
              </w:rPr>
              <w:t>Cambio climático</w:t>
            </w:r>
          </w:p>
        </w:tc>
        <w:tc>
          <w:tcPr>
            <w:tcW w:w="1140" w:type="dxa"/>
            <w:gridSpan w:val="2"/>
            <w:tcBorders>
              <w:top w:val="nil"/>
              <w:left w:val="nil"/>
              <w:right w:val="nil"/>
            </w:tcBorders>
          </w:tcPr>
          <w:p w14:paraId="2FCD0757" w14:textId="4D466E86"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50</w:t>
            </w:r>
          </w:p>
        </w:tc>
        <w:tc>
          <w:tcPr>
            <w:tcW w:w="1005" w:type="dxa"/>
            <w:tcBorders>
              <w:top w:val="nil"/>
              <w:left w:val="nil"/>
              <w:right w:val="nil"/>
            </w:tcBorders>
          </w:tcPr>
          <w:p w14:paraId="679F592A" w14:textId="164C9B3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6" w:type="dxa"/>
            <w:tcBorders>
              <w:top w:val="nil"/>
              <w:left w:val="nil"/>
              <w:bottom w:val="nil"/>
              <w:right w:val="nil"/>
            </w:tcBorders>
          </w:tcPr>
          <w:p w14:paraId="672C81D0" w14:textId="5FD90ED7"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(16)</w:t>
            </w:r>
          </w:p>
        </w:tc>
        <w:tc>
          <w:tcPr>
            <w:tcW w:w="1005" w:type="dxa"/>
            <w:gridSpan w:val="2"/>
            <w:tcBorders>
              <w:top w:val="nil"/>
              <w:left w:val="nil"/>
              <w:bottom w:val="nil"/>
              <w:right w:val="nil"/>
            </w:tcBorders>
          </w:tcPr>
          <w:p w14:paraId="317CF56F" w14:textId="224A8D60"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21E07A3E" w14:textId="256C23A0"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34</w:t>
            </w:r>
          </w:p>
        </w:tc>
      </w:tr>
      <w:tr w:rsidR="006D600F" w:rsidRPr="001A2E55" w14:paraId="1B6269E5" w14:textId="77777777" w:rsidTr="002058E8">
        <w:tc>
          <w:tcPr>
            <w:tcW w:w="1306" w:type="dxa"/>
            <w:tcBorders>
              <w:top w:val="nil"/>
              <w:left w:val="nil"/>
              <w:bottom w:val="nil"/>
              <w:right w:val="nil"/>
            </w:tcBorders>
          </w:tcPr>
          <w:p w14:paraId="131AB31E"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R101007</w:t>
            </w:r>
          </w:p>
        </w:tc>
        <w:tc>
          <w:tcPr>
            <w:tcW w:w="3084" w:type="dxa"/>
            <w:gridSpan w:val="2"/>
            <w:tcBorders>
              <w:top w:val="nil"/>
              <w:left w:val="nil"/>
              <w:bottom w:val="nil"/>
              <w:right w:val="nil"/>
            </w:tcBorders>
          </w:tcPr>
          <w:p w14:paraId="02564584" w14:textId="77777777" w:rsidR="006D600F" w:rsidRPr="001A2E55" w:rsidRDefault="006D600F" w:rsidP="006D600F">
            <w:pPr>
              <w:ind w:left="0" w:firstLine="0"/>
              <w:rPr>
                <w:rFonts w:asciiTheme="minorHAnsi" w:eastAsiaTheme="minorHAnsi" w:hAnsiTheme="minorHAnsi" w:cstheme="minorHAnsi"/>
                <w:noProof/>
                <w:sz w:val="20"/>
                <w:szCs w:val="20"/>
                <w:lang w:val="es-ES"/>
              </w:rPr>
            </w:pPr>
            <w:r w:rsidRPr="001A2E55">
              <w:rPr>
                <w:rFonts w:asciiTheme="minorHAnsi" w:eastAsiaTheme="minorHAnsi" w:hAnsiTheme="minorHAnsi" w:cstheme="minorHAnsi"/>
                <w:noProof/>
                <w:sz w:val="20"/>
                <w:szCs w:val="20"/>
                <w:lang w:val="es-ES"/>
              </w:rPr>
              <w:t>Turberas tropicales</w:t>
            </w:r>
          </w:p>
        </w:tc>
        <w:tc>
          <w:tcPr>
            <w:tcW w:w="1140" w:type="dxa"/>
            <w:gridSpan w:val="2"/>
            <w:tcBorders>
              <w:top w:val="nil"/>
              <w:left w:val="nil"/>
              <w:right w:val="nil"/>
            </w:tcBorders>
          </w:tcPr>
          <w:p w14:paraId="42B59499" w14:textId="241A8518"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15</w:t>
            </w:r>
          </w:p>
        </w:tc>
        <w:tc>
          <w:tcPr>
            <w:tcW w:w="1005" w:type="dxa"/>
            <w:tcBorders>
              <w:top w:val="nil"/>
              <w:left w:val="nil"/>
              <w:right w:val="nil"/>
            </w:tcBorders>
          </w:tcPr>
          <w:p w14:paraId="4B127B8A" w14:textId="036AF76B"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12</w:t>
            </w:r>
          </w:p>
        </w:tc>
        <w:tc>
          <w:tcPr>
            <w:tcW w:w="1006" w:type="dxa"/>
            <w:tcBorders>
              <w:top w:val="nil"/>
              <w:left w:val="nil"/>
              <w:bottom w:val="nil"/>
              <w:right w:val="nil"/>
            </w:tcBorders>
          </w:tcPr>
          <w:p w14:paraId="1F1A3254" w14:textId="27ACCFCF"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(15)</w:t>
            </w:r>
          </w:p>
        </w:tc>
        <w:tc>
          <w:tcPr>
            <w:tcW w:w="1005" w:type="dxa"/>
            <w:gridSpan w:val="2"/>
            <w:tcBorders>
              <w:top w:val="nil"/>
              <w:left w:val="nil"/>
              <w:bottom w:val="nil"/>
              <w:right w:val="nil"/>
            </w:tcBorders>
          </w:tcPr>
          <w:p w14:paraId="4B098826" w14:textId="276F1444"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7B8E628" w14:textId="405BEEA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12</w:t>
            </w:r>
          </w:p>
        </w:tc>
      </w:tr>
      <w:tr w:rsidR="006D600F" w:rsidRPr="001A2E55" w14:paraId="450635E8" w14:textId="77777777" w:rsidTr="005D4B97">
        <w:tc>
          <w:tcPr>
            <w:tcW w:w="1306" w:type="dxa"/>
            <w:tcBorders>
              <w:top w:val="nil"/>
              <w:left w:val="nil"/>
              <w:bottom w:val="nil"/>
              <w:right w:val="nil"/>
            </w:tcBorders>
          </w:tcPr>
          <w:p w14:paraId="2985361B"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R101008</w:t>
            </w:r>
          </w:p>
        </w:tc>
        <w:tc>
          <w:tcPr>
            <w:tcW w:w="3084" w:type="dxa"/>
            <w:gridSpan w:val="2"/>
            <w:tcBorders>
              <w:top w:val="nil"/>
              <w:left w:val="nil"/>
              <w:bottom w:val="nil"/>
              <w:right w:val="nil"/>
            </w:tcBorders>
          </w:tcPr>
          <w:p w14:paraId="76798152" w14:textId="47296698" w:rsidR="006D600F" w:rsidRPr="001A2E55" w:rsidRDefault="006D600F" w:rsidP="006D600F">
            <w:pPr>
              <w:ind w:left="0" w:firstLine="0"/>
              <w:rPr>
                <w:rFonts w:asciiTheme="minorHAnsi" w:eastAsiaTheme="minorHAnsi" w:hAnsiTheme="minorHAnsi" w:cstheme="minorHAnsi"/>
                <w:noProof/>
                <w:sz w:val="20"/>
                <w:szCs w:val="20"/>
                <w:lang w:val="es-ES"/>
              </w:rPr>
            </w:pPr>
            <w:r w:rsidRPr="001A2E55">
              <w:rPr>
                <w:rFonts w:asciiTheme="minorHAnsi" w:eastAsiaTheme="minorHAnsi" w:hAnsiTheme="minorHAnsi" w:cstheme="minorHAnsi"/>
                <w:noProof/>
                <w:sz w:val="20"/>
                <w:szCs w:val="20"/>
                <w:lang w:val="es-ES"/>
              </w:rPr>
              <w:t xml:space="preserve">Plan de trabajo del GECT para el trienio 2023-2025 </w:t>
            </w:r>
          </w:p>
        </w:tc>
        <w:tc>
          <w:tcPr>
            <w:tcW w:w="1140" w:type="dxa"/>
            <w:gridSpan w:val="2"/>
            <w:tcBorders>
              <w:top w:val="nil"/>
              <w:left w:val="nil"/>
              <w:bottom w:val="single" w:sz="4" w:space="0" w:color="auto"/>
              <w:right w:val="nil"/>
            </w:tcBorders>
          </w:tcPr>
          <w:p w14:paraId="2E632CFD" w14:textId="74BDE094" w:rsidR="006D600F" w:rsidRPr="001A2E55" w:rsidDel="00EF64ED"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27</w:t>
            </w:r>
          </w:p>
        </w:tc>
        <w:tc>
          <w:tcPr>
            <w:tcW w:w="1005" w:type="dxa"/>
            <w:tcBorders>
              <w:top w:val="nil"/>
              <w:left w:val="nil"/>
              <w:bottom w:val="single" w:sz="4" w:space="0" w:color="auto"/>
              <w:right w:val="nil"/>
            </w:tcBorders>
          </w:tcPr>
          <w:p w14:paraId="2DC1A5AD" w14:textId="242B16BA"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22</w:t>
            </w:r>
          </w:p>
        </w:tc>
        <w:tc>
          <w:tcPr>
            <w:tcW w:w="1006" w:type="dxa"/>
            <w:tcBorders>
              <w:top w:val="nil"/>
              <w:left w:val="nil"/>
              <w:bottom w:val="nil"/>
              <w:right w:val="nil"/>
            </w:tcBorders>
          </w:tcPr>
          <w:p w14:paraId="78FDA76D" w14:textId="1F7F1636"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(27)</w:t>
            </w:r>
          </w:p>
        </w:tc>
        <w:tc>
          <w:tcPr>
            <w:tcW w:w="1005" w:type="dxa"/>
            <w:gridSpan w:val="2"/>
            <w:tcBorders>
              <w:top w:val="nil"/>
              <w:left w:val="nil"/>
              <w:bottom w:val="nil"/>
              <w:right w:val="nil"/>
            </w:tcBorders>
          </w:tcPr>
          <w:p w14:paraId="360CE8AD" w14:textId="03C2E17C"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w:t>
            </w:r>
          </w:p>
        </w:tc>
        <w:tc>
          <w:tcPr>
            <w:tcW w:w="1030" w:type="dxa"/>
            <w:gridSpan w:val="2"/>
            <w:tcBorders>
              <w:top w:val="nil"/>
              <w:left w:val="nil"/>
              <w:bottom w:val="nil"/>
              <w:right w:val="nil"/>
            </w:tcBorders>
          </w:tcPr>
          <w:p w14:paraId="2846F3DD" w14:textId="4C76210D"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20</w:t>
            </w:r>
          </w:p>
        </w:tc>
      </w:tr>
      <w:tr w:rsidR="006D600F" w:rsidRPr="001A2E55" w14:paraId="13D89DCA" w14:textId="77777777" w:rsidTr="0055073A">
        <w:tc>
          <w:tcPr>
            <w:tcW w:w="4390" w:type="dxa"/>
            <w:gridSpan w:val="3"/>
            <w:tcBorders>
              <w:top w:val="single" w:sz="12" w:space="0" w:color="auto"/>
              <w:left w:val="nil"/>
              <w:right w:val="nil"/>
            </w:tcBorders>
            <w:shd w:val="clear" w:color="auto" w:fill="EAF1DD" w:themeFill="accent3" w:themeFillTint="33"/>
          </w:tcPr>
          <w:p w14:paraId="1A4EF035" w14:textId="77777777" w:rsidR="006D600F" w:rsidRPr="001A2E55" w:rsidRDefault="006D600F" w:rsidP="006D600F">
            <w:pP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Total, Otros</w:t>
            </w:r>
          </w:p>
        </w:tc>
        <w:tc>
          <w:tcPr>
            <w:tcW w:w="1140" w:type="dxa"/>
            <w:gridSpan w:val="2"/>
            <w:tcBorders>
              <w:top w:val="single" w:sz="4" w:space="0" w:color="auto"/>
              <w:left w:val="nil"/>
              <w:right w:val="nil"/>
            </w:tcBorders>
            <w:shd w:val="clear" w:color="auto" w:fill="EAF1DD" w:themeFill="accent3" w:themeFillTint="33"/>
          </w:tcPr>
          <w:p w14:paraId="6161DC72" w14:textId="0002798E"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1 406</w:t>
            </w:r>
          </w:p>
        </w:tc>
        <w:tc>
          <w:tcPr>
            <w:tcW w:w="1005" w:type="dxa"/>
            <w:tcBorders>
              <w:top w:val="single" w:sz="4" w:space="0" w:color="auto"/>
              <w:left w:val="nil"/>
              <w:right w:val="nil"/>
            </w:tcBorders>
            <w:shd w:val="clear" w:color="auto" w:fill="EAF1DD" w:themeFill="accent3" w:themeFillTint="33"/>
          </w:tcPr>
          <w:p w14:paraId="0252EE4A" w14:textId="76F9B7A8"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826</w:t>
            </w:r>
          </w:p>
        </w:tc>
        <w:tc>
          <w:tcPr>
            <w:tcW w:w="1006" w:type="dxa"/>
            <w:tcBorders>
              <w:top w:val="single" w:sz="12" w:space="0" w:color="auto"/>
              <w:left w:val="nil"/>
              <w:right w:val="nil"/>
            </w:tcBorders>
            <w:shd w:val="clear" w:color="auto" w:fill="EAF1DD" w:themeFill="accent3" w:themeFillTint="33"/>
          </w:tcPr>
          <w:p w14:paraId="428C3D70" w14:textId="6DDA0510"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(302)</w:t>
            </w:r>
          </w:p>
        </w:tc>
        <w:tc>
          <w:tcPr>
            <w:tcW w:w="1005" w:type="dxa"/>
            <w:gridSpan w:val="2"/>
            <w:tcBorders>
              <w:top w:val="single" w:sz="12" w:space="0" w:color="auto"/>
              <w:left w:val="nil"/>
              <w:right w:val="nil"/>
            </w:tcBorders>
            <w:shd w:val="clear" w:color="auto" w:fill="EAF1DD" w:themeFill="accent3" w:themeFillTint="33"/>
          </w:tcPr>
          <w:p w14:paraId="191DC024" w14:textId="298E874A"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7</w:t>
            </w:r>
          </w:p>
        </w:tc>
        <w:tc>
          <w:tcPr>
            <w:tcW w:w="1030" w:type="dxa"/>
            <w:gridSpan w:val="2"/>
            <w:tcBorders>
              <w:top w:val="single" w:sz="12" w:space="0" w:color="auto"/>
              <w:left w:val="nil"/>
              <w:right w:val="nil"/>
            </w:tcBorders>
            <w:shd w:val="clear" w:color="auto" w:fill="EAF1DD" w:themeFill="accent3" w:themeFillTint="33"/>
          </w:tcPr>
          <w:p w14:paraId="2560F661" w14:textId="1C76D86E"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1 936</w:t>
            </w:r>
          </w:p>
        </w:tc>
      </w:tr>
      <w:tr w:rsidR="005704AC" w:rsidRPr="001A2E55" w14:paraId="1CBBA469" w14:textId="77777777" w:rsidTr="0055073A">
        <w:tc>
          <w:tcPr>
            <w:tcW w:w="1306" w:type="dxa"/>
            <w:tcBorders>
              <w:left w:val="nil"/>
              <w:bottom w:val="nil"/>
              <w:right w:val="nil"/>
            </w:tcBorders>
          </w:tcPr>
          <w:p w14:paraId="782A0AD9" w14:textId="77777777" w:rsidR="005704AC" w:rsidRPr="001A2E55" w:rsidRDefault="005704AC" w:rsidP="005D4B97">
            <w:pPr>
              <w:rPr>
                <w:rFonts w:asciiTheme="minorHAnsi" w:eastAsiaTheme="minorHAnsi" w:hAnsiTheme="minorHAnsi" w:cstheme="minorHAnsi"/>
                <w:noProof/>
                <w:color w:val="000000"/>
                <w:lang w:val="es-ES"/>
              </w:rPr>
            </w:pPr>
          </w:p>
        </w:tc>
        <w:tc>
          <w:tcPr>
            <w:tcW w:w="3084" w:type="dxa"/>
            <w:gridSpan w:val="2"/>
            <w:tcBorders>
              <w:left w:val="nil"/>
              <w:bottom w:val="nil"/>
              <w:right w:val="nil"/>
            </w:tcBorders>
          </w:tcPr>
          <w:p w14:paraId="7FEF1712" w14:textId="77777777" w:rsidR="005704AC" w:rsidRPr="001A2E55" w:rsidRDefault="005704AC" w:rsidP="005D4B97">
            <w:pPr>
              <w:ind w:left="0" w:firstLine="0"/>
              <w:rPr>
                <w:rFonts w:asciiTheme="minorHAnsi" w:eastAsiaTheme="minorHAnsi" w:hAnsiTheme="minorHAnsi" w:cstheme="minorHAnsi"/>
                <w:noProof/>
                <w:color w:val="000000"/>
                <w:lang w:val="es-ES"/>
              </w:rPr>
            </w:pPr>
          </w:p>
        </w:tc>
        <w:tc>
          <w:tcPr>
            <w:tcW w:w="1140" w:type="dxa"/>
            <w:gridSpan w:val="2"/>
            <w:tcBorders>
              <w:left w:val="nil"/>
              <w:bottom w:val="nil"/>
              <w:right w:val="nil"/>
            </w:tcBorders>
          </w:tcPr>
          <w:p w14:paraId="125511A4" w14:textId="77777777" w:rsidR="005704AC" w:rsidRPr="001A2E55" w:rsidRDefault="005704AC" w:rsidP="005D4B97">
            <w:pPr>
              <w:rPr>
                <w:rFonts w:asciiTheme="minorHAnsi" w:eastAsiaTheme="minorHAnsi" w:hAnsiTheme="minorHAnsi" w:cstheme="minorHAnsi"/>
                <w:noProof/>
                <w:color w:val="000000"/>
                <w:lang w:val="es-ES"/>
              </w:rPr>
            </w:pPr>
          </w:p>
        </w:tc>
        <w:tc>
          <w:tcPr>
            <w:tcW w:w="1005" w:type="dxa"/>
            <w:tcBorders>
              <w:left w:val="nil"/>
              <w:bottom w:val="nil"/>
              <w:right w:val="nil"/>
            </w:tcBorders>
          </w:tcPr>
          <w:p w14:paraId="64927D0B" w14:textId="77777777" w:rsidR="005704AC" w:rsidRPr="001A2E55" w:rsidRDefault="005704AC" w:rsidP="005D4B97">
            <w:pPr>
              <w:rPr>
                <w:rFonts w:asciiTheme="minorHAnsi" w:eastAsiaTheme="minorHAnsi" w:hAnsiTheme="minorHAnsi" w:cstheme="minorHAnsi"/>
                <w:noProof/>
                <w:color w:val="000000"/>
                <w:lang w:val="es-ES"/>
              </w:rPr>
            </w:pPr>
          </w:p>
        </w:tc>
        <w:tc>
          <w:tcPr>
            <w:tcW w:w="1006" w:type="dxa"/>
            <w:tcBorders>
              <w:left w:val="nil"/>
              <w:bottom w:val="nil"/>
              <w:right w:val="nil"/>
            </w:tcBorders>
          </w:tcPr>
          <w:p w14:paraId="62D3FF3D" w14:textId="77777777" w:rsidR="005704AC" w:rsidRPr="001A2E55" w:rsidRDefault="005704AC" w:rsidP="005D4B97">
            <w:pPr>
              <w:rPr>
                <w:rFonts w:asciiTheme="minorHAnsi" w:eastAsiaTheme="minorHAnsi" w:hAnsiTheme="minorHAnsi" w:cstheme="minorHAnsi"/>
                <w:noProof/>
                <w:color w:val="000000"/>
                <w:sz w:val="20"/>
                <w:szCs w:val="20"/>
                <w:lang w:val="es-ES"/>
              </w:rPr>
            </w:pPr>
          </w:p>
        </w:tc>
        <w:tc>
          <w:tcPr>
            <w:tcW w:w="1005" w:type="dxa"/>
            <w:gridSpan w:val="2"/>
            <w:tcBorders>
              <w:left w:val="nil"/>
              <w:bottom w:val="nil"/>
              <w:right w:val="nil"/>
            </w:tcBorders>
          </w:tcPr>
          <w:p w14:paraId="79F3A4BE" w14:textId="77777777" w:rsidR="005704AC" w:rsidRPr="001A2E55" w:rsidRDefault="005704AC" w:rsidP="005D4B97">
            <w:pPr>
              <w:rPr>
                <w:rFonts w:asciiTheme="minorHAnsi" w:eastAsiaTheme="minorHAnsi" w:hAnsiTheme="minorHAnsi" w:cstheme="minorHAnsi"/>
                <w:noProof/>
                <w:color w:val="000000"/>
                <w:lang w:val="es-ES"/>
              </w:rPr>
            </w:pPr>
          </w:p>
        </w:tc>
        <w:tc>
          <w:tcPr>
            <w:tcW w:w="1030" w:type="dxa"/>
            <w:gridSpan w:val="2"/>
            <w:tcBorders>
              <w:left w:val="nil"/>
              <w:bottom w:val="nil"/>
              <w:right w:val="nil"/>
            </w:tcBorders>
          </w:tcPr>
          <w:p w14:paraId="13040835" w14:textId="77777777" w:rsidR="005704AC" w:rsidRPr="001A2E55" w:rsidRDefault="005704AC" w:rsidP="005D4B97">
            <w:pPr>
              <w:rPr>
                <w:rFonts w:asciiTheme="minorHAnsi" w:eastAsiaTheme="minorHAnsi" w:hAnsiTheme="minorHAnsi" w:cstheme="minorHAnsi"/>
                <w:noProof/>
                <w:color w:val="000000"/>
                <w:sz w:val="20"/>
                <w:szCs w:val="20"/>
                <w:lang w:val="es-ES"/>
              </w:rPr>
            </w:pPr>
          </w:p>
        </w:tc>
      </w:tr>
      <w:tr w:rsidR="005704AC" w:rsidRPr="001A2E55" w14:paraId="636AB624" w14:textId="77777777" w:rsidTr="005D4B97">
        <w:tc>
          <w:tcPr>
            <w:tcW w:w="2015" w:type="dxa"/>
            <w:gridSpan w:val="2"/>
            <w:tcBorders>
              <w:top w:val="nil"/>
              <w:left w:val="nil"/>
              <w:bottom w:val="nil"/>
              <w:right w:val="nil"/>
            </w:tcBorders>
          </w:tcPr>
          <w:p w14:paraId="659F0ABD" w14:textId="77777777" w:rsidR="005704AC" w:rsidRPr="001A2E55" w:rsidRDefault="005704AC" w:rsidP="005D4B97">
            <w:pPr>
              <w:keepNext/>
              <w:ind w:left="0" w:firstLine="0"/>
              <w:rPr>
                <w:rFonts w:asciiTheme="minorHAnsi" w:eastAsiaTheme="minorHAnsi" w:hAnsiTheme="minorHAnsi" w:cstheme="minorHAnsi"/>
                <w:b/>
                <w:bCs/>
                <w:noProof/>
                <w:color w:val="000000"/>
                <w:sz w:val="20"/>
                <w:szCs w:val="20"/>
                <w:u w:val="single"/>
                <w:lang w:val="es-ES"/>
              </w:rPr>
            </w:pPr>
            <w:r w:rsidRPr="001A2E55">
              <w:rPr>
                <w:rFonts w:asciiTheme="minorHAnsi" w:eastAsiaTheme="minorHAnsi" w:hAnsiTheme="minorHAnsi" w:cstheme="minorHAnsi"/>
                <w:b/>
                <w:bCs/>
                <w:noProof/>
                <w:color w:val="000000"/>
                <w:sz w:val="20"/>
                <w:szCs w:val="20"/>
                <w:u w:val="single"/>
                <w:lang w:val="es-ES"/>
              </w:rPr>
              <w:t>Iniciativas regionales</w:t>
            </w:r>
          </w:p>
        </w:tc>
        <w:tc>
          <w:tcPr>
            <w:tcW w:w="2375" w:type="dxa"/>
            <w:tcBorders>
              <w:top w:val="nil"/>
              <w:left w:val="nil"/>
              <w:bottom w:val="nil"/>
              <w:right w:val="nil"/>
            </w:tcBorders>
          </w:tcPr>
          <w:p w14:paraId="216BD026" w14:textId="77777777" w:rsidR="005704AC" w:rsidRPr="001A2E55" w:rsidRDefault="005704AC" w:rsidP="005D4B97">
            <w:pPr>
              <w:keepNext/>
              <w:ind w:left="0" w:firstLine="0"/>
              <w:rPr>
                <w:rFonts w:asciiTheme="minorHAnsi" w:eastAsiaTheme="minorHAnsi" w:hAnsiTheme="minorHAnsi" w:cstheme="minorHAnsi"/>
                <w:b/>
                <w:bCs/>
                <w:noProof/>
                <w:color w:val="000000"/>
                <w:sz w:val="20"/>
                <w:szCs w:val="20"/>
                <w:u w:val="single"/>
                <w:lang w:val="es-ES"/>
              </w:rPr>
            </w:pPr>
          </w:p>
        </w:tc>
        <w:tc>
          <w:tcPr>
            <w:tcW w:w="1140" w:type="dxa"/>
            <w:gridSpan w:val="2"/>
            <w:tcBorders>
              <w:top w:val="nil"/>
              <w:left w:val="nil"/>
              <w:bottom w:val="nil"/>
              <w:right w:val="nil"/>
            </w:tcBorders>
          </w:tcPr>
          <w:p w14:paraId="401D1354" w14:textId="77777777" w:rsidR="005704AC" w:rsidRPr="001A2E55" w:rsidRDefault="005704AC" w:rsidP="005D4B97">
            <w:pPr>
              <w:keepNext/>
              <w:rPr>
                <w:rFonts w:asciiTheme="minorHAnsi" w:eastAsiaTheme="minorHAnsi" w:hAnsiTheme="minorHAnsi" w:cstheme="minorHAnsi"/>
                <w:noProof/>
                <w:color w:val="000000"/>
                <w:lang w:val="es-ES"/>
              </w:rPr>
            </w:pPr>
          </w:p>
        </w:tc>
        <w:tc>
          <w:tcPr>
            <w:tcW w:w="1005" w:type="dxa"/>
            <w:tcBorders>
              <w:top w:val="nil"/>
              <w:left w:val="nil"/>
              <w:bottom w:val="nil"/>
              <w:right w:val="nil"/>
            </w:tcBorders>
          </w:tcPr>
          <w:p w14:paraId="367B48F8" w14:textId="77777777" w:rsidR="005704AC" w:rsidRPr="001A2E55" w:rsidRDefault="005704AC" w:rsidP="005D4B97">
            <w:pPr>
              <w:keepNext/>
              <w:rPr>
                <w:rFonts w:asciiTheme="minorHAnsi" w:eastAsiaTheme="minorHAnsi" w:hAnsiTheme="minorHAnsi" w:cstheme="minorHAnsi"/>
                <w:noProof/>
                <w:color w:val="000000"/>
                <w:lang w:val="es-ES"/>
              </w:rPr>
            </w:pPr>
          </w:p>
        </w:tc>
        <w:tc>
          <w:tcPr>
            <w:tcW w:w="1006" w:type="dxa"/>
            <w:tcBorders>
              <w:top w:val="nil"/>
              <w:left w:val="nil"/>
              <w:bottom w:val="nil"/>
              <w:right w:val="nil"/>
            </w:tcBorders>
          </w:tcPr>
          <w:p w14:paraId="32AB2890" w14:textId="77777777" w:rsidR="005704AC" w:rsidRPr="001A2E55" w:rsidRDefault="005704AC" w:rsidP="005D4B97">
            <w:pPr>
              <w:keepNext/>
              <w:rPr>
                <w:rFonts w:asciiTheme="minorHAnsi" w:eastAsiaTheme="minorHAnsi" w:hAnsiTheme="minorHAnsi" w:cstheme="minorHAnsi"/>
                <w:noProof/>
                <w:color w:val="000000"/>
                <w:lang w:val="es-ES"/>
              </w:rPr>
            </w:pPr>
          </w:p>
        </w:tc>
        <w:tc>
          <w:tcPr>
            <w:tcW w:w="1005" w:type="dxa"/>
            <w:gridSpan w:val="2"/>
            <w:tcBorders>
              <w:top w:val="nil"/>
              <w:left w:val="nil"/>
              <w:bottom w:val="nil"/>
              <w:right w:val="nil"/>
            </w:tcBorders>
          </w:tcPr>
          <w:p w14:paraId="6B3FE750" w14:textId="77777777" w:rsidR="005704AC" w:rsidRPr="001A2E55" w:rsidRDefault="005704AC" w:rsidP="005D4B97">
            <w:pPr>
              <w:keepNext/>
              <w:rPr>
                <w:rFonts w:asciiTheme="minorHAnsi" w:eastAsiaTheme="minorHAnsi" w:hAnsiTheme="minorHAnsi" w:cstheme="minorHAnsi"/>
                <w:noProof/>
                <w:color w:val="000000"/>
                <w:lang w:val="es-ES"/>
              </w:rPr>
            </w:pPr>
          </w:p>
        </w:tc>
        <w:tc>
          <w:tcPr>
            <w:tcW w:w="1030" w:type="dxa"/>
            <w:gridSpan w:val="2"/>
            <w:tcBorders>
              <w:top w:val="nil"/>
              <w:left w:val="nil"/>
              <w:bottom w:val="nil"/>
              <w:right w:val="nil"/>
            </w:tcBorders>
          </w:tcPr>
          <w:p w14:paraId="0D99E173" w14:textId="77777777" w:rsidR="005704AC" w:rsidRPr="001A2E55" w:rsidRDefault="005704AC" w:rsidP="005D4B97">
            <w:pPr>
              <w:keepNext/>
              <w:rPr>
                <w:rFonts w:asciiTheme="minorHAnsi" w:eastAsiaTheme="minorHAnsi" w:hAnsiTheme="minorHAnsi" w:cstheme="minorHAnsi"/>
                <w:noProof/>
                <w:color w:val="000000"/>
                <w:lang w:val="es-ES"/>
              </w:rPr>
            </w:pPr>
          </w:p>
        </w:tc>
      </w:tr>
      <w:tr w:rsidR="006D600F" w:rsidRPr="001A2E55" w14:paraId="46F76E9E" w14:textId="77777777" w:rsidTr="005D4B97">
        <w:tc>
          <w:tcPr>
            <w:tcW w:w="1306" w:type="dxa"/>
            <w:tcBorders>
              <w:top w:val="nil"/>
              <w:left w:val="nil"/>
              <w:bottom w:val="nil"/>
              <w:right w:val="nil"/>
            </w:tcBorders>
          </w:tcPr>
          <w:p w14:paraId="0FDA7A38"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t>R100146</w:t>
            </w:r>
          </w:p>
        </w:tc>
        <w:tc>
          <w:tcPr>
            <w:tcW w:w="3084" w:type="dxa"/>
            <w:gridSpan w:val="2"/>
            <w:tcBorders>
              <w:top w:val="nil"/>
              <w:left w:val="nil"/>
              <w:bottom w:val="nil"/>
              <w:right w:val="nil"/>
            </w:tcBorders>
          </w:tcPr>
          <w:p w14:paraId="4B8F627A"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themeColor="text1"/>
                <w:sz w:val="20"/>
                <w:szCs w:val="20"/>
                <w:lang w:val="es-ES"/>
              </w:rPr>
              <w:t>Humedales del Caribe</w:t>
            </w:r>
          </w:p>
        </w:tc>
        <w:tc>
          <w:tcPr>
            <w:tcW w:w="1140" w:type="dxa"/>
            <w:gridSpan w:val="2"/>
            <w:tcBorders>
              <w:top w:val="nil"/>
              <w:left w:val="nil"/>
              <w:bottom w:val="nil"/>
              <w:right w:val="nil"/>
            </w:tcBorders>
          </w:tcPr>
          <w:p w14:paraId="56C1BBA2" w14:textId="5E76A6A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w:t>
            </w:r>
          </w:p>
        </w:tc>
        <w:tc>
          <w:tcPr>
            <w:tcW w:w="1005" w:type="dxa"/>
            <w:tcBorders>
              <w:top w:val="nil"/>
              <w:left w:val="nil"/>
              <w:bottom w:val="nil"/>
              <w:right w:val="nil"/>
            </w:tcBorders>
          </w:tcPr>
          <w:p w14:paraId="61482378" w14:textId="20B42AE9"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185</w:t>
            </w:r>
          </w:p>
        </w:tc>
        <w:tc>
          <w:tcPr>
            <w:tcW w:w="1006" w:type="dxa"/>
            <w:tcBorders>
              <w:top w:val="nil"/>
              <w:left w:val="nil"/>
              <w:bottom w:val="nil"/>
              <w:right w:val="nil"/>
            </w:tcBorders>
          </w:tcPr>
          <w:p w14:paraId="2785A8D5" w14:textId="1753A861"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(189)</w:t>
            </w:r>
          </w:p>
        </w:tc>
        <w:tc>
          <w:tcPr>
            <w:tcW w:w="1005" w:type="dxa"/>
            <w:gridSpan w:val="2"/>
            <w:tcBorders>
              <w:top w:val="nil"/>
              <w:left w:val="nil"/>
              <w:bottom w:val="nil"/>
              <w:right w:val="nil"/>
            </w:tcBorders>
          </w:tcPr>
          <w:p w14:paraId="4DAABEFB" w14:textId="6C7D9D3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(7)</w:t>
            </w:r>
          </w:p>
        </w:tc>
        <w:tc>
          <w:tcPr>
            <w:tcW w:w="1030" w:type="dxa"/>
            <w:gridSpan w:val="2"/>
            <w:tcBorders>
              <w:top w:val="nil"/>
              <w:left w:val="nil"/>
              <w:bottom w:val="nil"/>
              <w:right w:val="nil"/>
            </w:tcBorders>
          </w:tcPr>
          <w:p w14:paraId="2A6D8797" w14:textId="0E284C1A"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(17)</w:t>
            </w:r>
          </w:p>
        </w:tc>
      </w:tr>
      <w:tr w:rsidR="006D600F" w:rsidRPr="001A2E55" w14:paraId="7E2E6391" w14:textId="77777777" w:rsidTr="005D4B97">
        <w:tc>
          <w:tcPr>
            <w:tcW w:w="1306" w:type="dxa"/>
            <w:tcBorders>
              <w:top w:val="nil"/>
              <w:left w:val="nil"/>
              <w:bottom w:val="nil"/>
              <w:right w:val="nil"/>
            </w:tcBorders>
          </w:tcPr>
          <w:p w14:paraId="1D5B772C" w14:textId="77777777" w:rsidR="006D600F" w:rsidRPr="001A2E55" w:rsidRDefault="006D600F" w:rsidP="006D600F">
            <w:pPr>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sz w:val="20"/>
                <w:szCs w:val="20"/>
                <w:lang w:val="es-ES"/>
              </w:rPr>
              <w:lastRenderedPageBreak/>
              <w:t>R100200</w:t>
            </w:r>
          </w:p>
        </w:tc>
        <w:tc>
          <w:tcPr>
            <w:tcW w:w="3084" w:type="dxa"/>
            <w:gridSpan w:val="2"/>
            <w:tcBorders>
              <w:top w:val="nil"/>
              <w:left w:val="nil"/>
              <w:bottom w:val="nil"/>
              <w:right w:val="nil"/>
            </w:tcBorders>
          </w:tcPr>
          <w:p w14:paraId="58F7894E" w14:textId="77777777" w:rsidR="006D600F" w:rsidRPr="001A2E55" w:rsidRDefault="006D600F" w:rsidP="006D600F">
            <w:pPr>
              <w:ind w:left="0" w:firstLine="0"/>
              <w:rPr>
                <w:rFonts w:asciiTheme="minorHAnsi" w:eastAsiaTheme="minorHAnsi" w:hAnsiTheme="minorHAnsi" w:cstheme="minorHAnsi"/>
                <w:noProof/>
                <w:color w:val="000000"/>
                <w:sz w:val="20"/>
                <w:szCs w:val="20"/>
                <w:lang w:val="es-ES"/>
              </w:rPr>
            </w:pPr>
            <w:r w:rsidRPr="001A2E55">
              <w:rPr>
                <w:rFonts w:asciiTheme="minorHAnsi" w:eastAsiaTheme="minorHAnsi" w:hAnsiTheme="minorHAnsi" w:cstheme="minorHAnsi"/>
                <w:noProof/>
                <w:color w:val="000000" w:themeColor="text1"/>
                <w:sz w:val="20"/>
                <w:szCs w:val="20"/>
                <w:lang w:val="es-ES"/>
              </w:rPr>
              <w:t>Contribuciones voluntarias de países africanos, iniciativas regionales de África</w:t>
            </w:r>
          </w:p>
        </w:tc>
        <w:tc>
          <w:tcPr>
            <w:tcW w:w="1140" w:type="dxa"/>
            <w:gridSpan w:val="2"/>
            <w:tcBorders>
              <w:top w:val="nil"/>
              <w:left w:val="nil"/>
              <w:bottom w:val="single" w:sz="12" w:space="0" w:color="auto"/>
              <w:right w:val="nil"/>
            </w:tcBorders>
          </w:tcPr>
          <w:p w14:paraId="2B5B69A0" w14:textId="506E494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42</w:t>
            </w:r>
          </w:p>
        </w:tc>
        <w:tc>
          <w:tcPr>
            <w:tcW w:w="1005" w:type="dxa"/>
            <w:tcBorders>
              <w:top w:val="nil"/>
              <w:left w:val="nil"/>
              <w:bottom w:val="single" w:sz="12" w:space="0" w:color="auto"/>
              <w:right w:val="nil"/>
            </w:tcBorders>
          </w:tcPr>
          <w:p w14:paraId="6CEFF55D" w14:textId="62C9EF18"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1</w:t>
            </w:r>
          </w:p>
        </w:tc>
        <w:tc>
          <w:tcPr>
            <w:tcW w:w="1006" w:type="dxa"/>
            <w:tcBorders>
              <w:top w:val="nil"/>
              <w:left w:val="nil"/>
              <w:bottom w:val="single" w:sz="12" w:space="0" w:color="auto"/>
              <w:right w:val="nil"/>
            </w:tcBorders>
          </w:tcPr>
          <w:p w14:paraId="4CA4F39C" w14:textId="5C87FCC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05" w:type="dxa"/>
            <w:gridSpan w:val="2"/>
            <w:tcBorders>
              <w:top w:val="nil"/>
              <w:left w:val="nil"/>
              <w:bottom w:val="single" w:sz="12" w:space="0" w:color="auto"/>
              <w:right w:val="nil"/>
            </w:tcBorders>
          </w:tcPr>
          <w:p w14:paraId="6F228734" w14:textId="476DD09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AA9C66F" w14:textId="7A4C7C13" w:rsidR="006D600F" w:rsidRPr="001A2E55" w:rsidRDefault="006D600F" w:rsidP="006D600F">
            <w:pPr>
              <w:jc w:val="right"/>
              <w:rPr>
                <w:rFonts w:asciiTheme="minorHAnsi" w:eastAsiaTheme="minorHAnsi" w:hAnsiTheme="minorHAnsi" w:cstheme="minorHAnsi"/>
                <w:noProof/>
                <w:color w:val="000000"/>
                <w:sz w:val="20"/>
                <w:szCs w:val="20"/>
                <w:lang w:val="es-ES"/>
              </w:rPr>
            </w:pPr>
            <w:r w:rsidRPr="001A2E55">
              <w:rPr>
                <w:rFonts w:eastAsiaTheme="minorHAnsi" w:cs="Calibri"/>
                <w:noProof/>
                <w:color w:val="000000"/>
                <w:sz w:val="20"/>
                <w:szCs w:val="20"/>
                <w:lang w:val="es-ES"/>
              </w:rPr>
              <w:t>43</w:t>
            </w:r>
          </w:p>
        </w:tc>
      </w:tr>
      <w:tr w:rsidR="006D600F" w:rsidRPr="001A2E55" w14:paraId="18EAED6F"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54AEAA4F" w14:textId="77777777" w:rsidR="006D600F" w:rsidRPr="001A2E55" w:rsidRDefault="006D600F" w:rsidP="006D600F">
            <w:pP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color w:val="000000"/>
                <w:sz w:val="20"/>
                <w:szCs w:val="20"/>
                <w:lang w:val="es-ES"/>
              </w:rPr>
              <w:t>Total, Iniciativas regionales</w:t>
            </w:r>
          </w:p>
        </w:tc>
        <w:tc>
          <w:tcPr>
            <w:tcW w:w="1140" w:type="dxa"/>
            <w:gridSpan w:val="2"/>
            <w:tcBorders>
              <w:top w:val="nil"/>
              <w:left w:val="nil"/>
              <w:bottom w:val="single" w:sz="12" w:space="0" w:color="auto"/>
              <w:right w:val="nil"/>
            </w:tcBorders>
            <w:shd w:val="clear" w:color="auto" w:fill="EAF1DD" w:themeFill="accent3" w:themeFillTint="33"/>
          </w:tcPr>
          <w:p w14:paraId="4BC8839F" w14:textId="605B4A4B"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36</w:t>
            </w:r>
          </w:p>
        </w:tc>
        <w:tc>
          <w:tcPr>
            <w:tcW w:w="1005" w:type="dxa"/>
            <w:tcBorders>
              <w:top w:val="nil"/>
              <w:left w:val="nil"/>
              <w:bottom w:val="single" w:sz="12" w:space="0" w:color="auto"/>
              <w:right w:val="nil"/>
            </w:tcBorders>
            <w:shd w:val="clear" w:color="auto" w:fill="EAF1DD" w:themeFill="accent3" w:themeFillTint="33"/>
          </w:tcPr>
          <w:p w14:paraId="666E4C51" w14:textId="4A7B07CD"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186</w:t>
            </w:r>
          </w:p>
        </w:tc>
        <w:tc>
          <w:tcPr>
            <w:tcW w:w="1006" w:type="dxa"/>
            <w:tcBorders>
              <w:top w:val="nil"/>
              <w:left w:val="nil"/>
              <w:bottom w:val="single" w:sz="12" w:space="0" w:color="auto"/>
              <w:right w:val="nil"/>
            </w:tcBorders>
            <w:shd w:val="clear" w:color="auto" w:fill="EAF1DD" w:themeFill="accent3" w:themeFillTint="33"/>
          </w:tcPr>
          <w:p w14:paraId="3072AC4C" w14:textId="79289A0F"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(189)</w:t>
            </w:r>
          </w:p>
        </w:tc>
        <w:tc>
          <w:tcPr>
            <w:tcW w:w="1005" w:type="dxa"/>
            <w:gridSpan w:val="2"/>
            <w:tcBorders>
              <w:top w:val="nil"/>
              <w:left w:val="nil"/>
              <w:bottom w:val="single" w:sz="12" w:space="0" w:color="auto"/>
              <w:right w:val="nil"/>
            </w:tcBorders>
            <w:shd w:val="clear" w:color="auto" w:fill="EAF1DD" w:themeFill="accent3" w:themeFillTint="33"/>
          </w:tcPr>
          <w:p w14:paraId="3A48B687" w14:textId="3329AA97"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(7)</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128F277F" w14:textId="7C4E8DA3"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26</w:t>
            </w:r>
          </w:p>
        </w:tc>
      </w:tr>
      <w:tr w:rsidR="005704AC" w:rsidRPr="001A2E55" w14:paraId="2B8D952C" w14:textId="77777777" w:rsidTr="005D4B97">
        <w:tc>
          <w:tcPr>
            <w:tcW w:w="1306" w:type="dxa"/>
            <w:tcBorders>
              <w:top w:val="nil"/>
              <w:left w:val="nil"/>
              <w:bottom w:val="nil"/>
              <w:right w:val="nil"/>
            </w:tcBorders>
          </w:tcPr>
          <w:p w14:paraId="07A37AF1" w14:textId="77777777" w:rsidR="005704AC" w:rsidRPr="001A2E55" w:rsidRDefault="005704AC" w:rsidP="005D4B97">
            <w:pPr>
              <w:rPr>
                <w:rFonts w:asciiTheme="minorHAnsi" w:eastAsiaTheme="minorHAnsi" w:hAnsiTheme="minorHAnsi" w:cstheme="minorHAnsi"/>
                <w:noProof/>
                <w:color w:val="000000"/>
                <w:lang w:val="es-ES"/>
              </w:rPr>
            </w:pPr>
          </w:p>
        </w:tc>
        <w:tc>
          <w:tcPr>
            <w:tcW w:w="3084" w:type="dxa"/>
            <w:gridSpan w:val="2"/>
            <w:tcBorders>
              <w:top w:val="nil"/>
              <w:left w:val="nil"/>
              <w:bottom w:val="nil"/>
              <w:right w:val="nil"/>
            </w:tcBorders>
          </w:tcPr>
          <w:p w14:paraId="25B02B32" w14:textId="77777777" w:rsidR="005704AC" w:rsidRPr="001A2E55" w:rsidRDefault="005704AC" w:rsidP="005D4B97">
            <w:pPr>
              <w:rPr>
                <w:rFonts w:asciiTheme="minorHAnsi" w:eastAsiaTheme="minorHAnsi" w:hAnsiTheme="minorHAnsi" w:cstheme="minorHAnsi"/>
                <w:noProof/>
                <w:color w:val="000000"/>
                <w:lang w:val="es-ES"/>
              </w:rPr>
            </w:pPr>
          </w:p>
        </w:tc>
        <w:tc>
          <w:tcPr>
            <w:tcW w:w="1140" w:type="dxa"/>
            <w:gridSpan w:val="2"/>
            <w:tcBorders>
              <w:top w:val="nil"/>
              <w:left w:val="nil"/>
              <w:bottom w:val="nil"/>
              <w:right w:val="nil"/>
            </w:tcBorders>
          </w:tcPr>
          <w:p w14:paraId="7275E71E" w14:textId="77777777" w:rsidR="005704AC" w:rsidRPr="001A2E55" w:rsidRDefault="005704AC" w:rsidP="005D4B97">
            <w:pPr>
              <w:jc w:val="right"/>
              <w:rPr>
                <w:rFonts w:asciiTheme="minorHAnsi" w:eastAsiaTheme="minorHAnsi" w:hAnsiTheme="minorHAnsi" w:cstheme="minorHAnsi"/>
                <w:noProof/>
                <w:color w:val="000000"/>
                <w:lang w:val="es-ES"/>
              </w:rPr>
            </w:pPr>
          </w:p>
        </w:tc>
        <w:tc>
          <w:tcPr>
            <w:tcW w:w="1005" w:type="dxa"/>
            <w:tcBorders>
              <w:top w:val="nil"/>
              <w:left w:val="nil"/>
              <w:bottom w:val="nil"/>
              <w:right w:val="nil"/>
            </w:tcBorders>
          </w:tcPr>
          <w:p w14:paraId="30304E74" w14:textId="77777777" w:rsidR="005704AC" w:rsidRPr="001A2E55" w:rsidRDefault="005704AC" w:rsidP="005D4B97">
            <w:pPr>
              <w:jc w:val="right"/>
              <w:rPr>
                <w:rFonts w:asciiTheme="minorHAnsi" w:eastAsiaTheme="minorHAnsi" w:hAnsiTheme="minorHAnsi" w:cstheme="minorHAnsi"/>
                <w:noProof/>
                <w:color w:val="000000"/>
                <w:lang w:val="es-ES"/>
              </w:rPr>
            </w:pPr>
          </w:p>
        </w:tc>
        <w:tc>
          <w:tcPr>
            <w:tcW w:w="1006" w:type="dxa"/>
            <w:tcBorders>
              <w:top w:val="single" w:sz="12" w:space="0" w:color="auto"/>
              <w:left w:val="nil"/>
              <w:bottom w:val="double" w:sz="6" w:space="0" w:color="auto"/>
              <w:right w:val="nil"/>
            </w:tcBorders>
          </w:tcPr>
          <w:p w14:paraId="483E88FD" w14:textId="77777777" w:rsidR="005704AC" w:rsidRPr="001A2E55" w:rsidRDefault="005704AC" w:rsidP="005D4B97">
            <w:pPr>
              <w:jc w:val="right"/>
              <w:rPr>
                <w:rFonts w:asciiTheme="minorHAnsi" w:eastAsiaTheme="minorHAnsi" w:hAnsiTheme="minorHAnsi" w:cstheme="minorHAnsi"/>
                <w:noProof/>
                <w:color w:val="000000"/>
                <w:lang w:val="es-ES"/>
              </w:rPr>
            </w:pPr>
          </w:p>
        </w:tc>
        <w:tc>
          <w:tcPr>
            <w:tcW w:w="1005" w:type="dxa"/>
            <w:gridSpan w:val="2"/>
            <w:tcBorders>
              <w:top w:val="nil"/>
              <w:left w:val="nil"/>
              <w:bottom w:val="nil"/>
              <w:right w:val="nil"/>
            </w:tcBorders>
          </w:tcPr>
          <w:p w14:paraId="221A2B60" w14:textId="77777777" w:rsidR="005704AC" w:rsidRPr="001A2E55" w:rsidRDefault="005704AC" w:rsidP="005D4B97">
            <w:pPr>
              <w:jc w:val="right"/>
              <w:rPr>
                <w:rFonts w:asciiTheme="minorHAnsi" w:eastAsiaTheme="minorHAnsi" w:hAnsiTheme="minorHAnsi" w:cstheme="minorHAnsi"/>
                <w:noProof/>
                <w:color w:val="000000"/>
                <w:lang w:val="es-ES"/>
              </w:rPr>
            </w:pPr>
          </w:p>
        </w:tc>
        <w:tc>
          <w:tcPr>
            <w:tcW w:w="1030" w:type="dxa"/>
            <w:gridSpan w:val="2"/>
            <w:tcBorders>
              <w:top w:val="single" w:sz="12" w:space="0" w:color="auto"/>
              <w:left w:val="nil"/>
              <w:bottom w:val="nil"/>
              <w:right w:val="nil"/>
            </w:tcBorders>
          </w:tcPr>
          <w:p w14:paraId="60FED711" w14:textId="77777777" w:rsidR="005704AC" w:rsidRPr="001A2E55" w:rsidRDefault="005704AC" w:rsidP="005D4B97">
            <w:pPr>
              <w:jc w:val="right"/>
              <w:rPr>
                <w:rFonts w:asciiTheme="minorHAnsi" w:eastAsiaTheme="minorHAnsi" w:hAnsiTheme="minorHAnsi" w:cstheme="minorHAnsi"/>
                <w:noProof/>
                <w:color w:val="000000"/>
                <w:lang w:val="es-ES"/>
              </w:rPr>
            </w:pPr>
          </w:p>
        </w:tc>
      </w:tr>
      <w:tr w:rsidR="006D600F" w:rsidRPr="001A2E55" w14:paraId="37B24572" w14:textId="77777777" w:rsidTr="005D4B97">
        <w:tc>
          <w:tcPr>
            <w:tcW w:w="1306" w:type="dxa"/>
            <w:tcBorders>
              <w:top w:val="double" w:sz="6" w:space="0" w:color="auto"/>
              <w:left w:val="nil"/>
              <w:bottom w:val="double" w:sz="6" w:space="0" w:color="auto"/>
              <w:right w:val="nil"/>
            </w:tcBorders>
            <w:shd w:val="clear" w:color="auto" w:fill="D6E3BC" w:themeFill="accent3" w:themeFillTint="66"/>
          </w:tcPr>
          <w:p w14:paraId="71A08555" w14:textId="6274B4DE" w:rsidR="006D600F" w:rsidRPr="001A2E55" w:rsidRDefault="006D600F" w:rsidP="006D600F">
            <w:pPr>
              <w:rPr>
                <w:rFonts w:asciiTheme="minorHAnsi" w:eastAsiaTheme="minorHAnsi" w:hAnsiTheme="minorHAnsi" w:cstheme="minorHAnsi"/>
                <w:b/>
                <w:bCs/>
                <w:noProof/>
                <w:color w:val="000000"/>
                <w:sz w:val="20"/>
                <w:szCs w:val="20"/>
                <w:lang w:val="es-ES"/>
              </w:rPr>
            </w:pPr>
            <w:r w:rsidRPr="001A2E55">
              <w:rPr>
                <w:rFonts w:asciiTheme="minorHAnsi" w:eastAsiaTheme="minorHAnsi" w:hAnsiTheme="minorHAnsi" w:cstheme="minorHAnsi"/>
                <w:b/>
                <w:bCs/>
                <w:noProof/>
                <w:sz w:val="20"/>
                <w:szCs w:val="20"/>
                <w:lang w:val="es-ES"/>
              </w:rPr>
              <w:t xml:space="preserve">Gran </w:t>
            </w:r>
            <w:r w:rsidRPr="001A2E55">
              <w:rPr>
                <w:rFonts w:asciiTheme="minorHAnsi" w:eastAsiaTheme="minorHAnsi" w:hAnsiTheme="minorHAnsi" w:cstheme="minorHAnsi"/>
                <w:b/>
                <w:bCs/>
                <w:noProof/>
                <w:color w:val="000000"/>
                <w:sz w:val="20"/>
                <w:szCs w:val="20"/>
                <w:lang w:val="es-ES"/>
              </w:rPr>
              <w:t>Total</w:t>
            </w:r>
          </w:p>
        </w:tc>
        <w:tc>
          <w:tcPr>
            <w:tcW w:w="3084" w:type="dxa"/>
            <w:gridSpan w:val="2"/>
            <w:tcBorders>
              <w:top w:val="double" w:sz="6" w:space="0" w:color="auto"/>
              <w:left w:val="nil"/>
              <w:bottom w:val="double" w:sz="6" w:space="0" w:color="auto"/>
              <w:right w:val="nil"/>
            </w:tcBorders>
            <w:shd w:val="clear" w:color="auto" w:fill="D6E3BC" w:themeFill="accent3" w:themeFillTint="66"/>
          </w:tcPr>
          <w:p w14:paraId="3628119B" w14:textId="77777777" w:rsidR="006D600F" w:rsidRPr="001A2E55" w:rsidRDefault="006D600F" w:rsidP="006D600F">
            <w:pPr>
              <w:rPr>
                <w:rFonts w:asciiTheme="minorHAnsi" w:eastAsiaTheme="minorHAnsi" w:hAnsiTheme="minorHAnsi" w:cstheme="minorHAnsi"/>
                <w:b/>
                <w:bCs/>
                <w:noProof/>
                <w:color w:val="000000"/>
                <w:sz w:val="20"/>
                <w:szCs w:val="20"/>
                <w:lang w:val="es-ES"/>
              </w:rPr>
            </w:pPr>
          </w:p>
        </w:tc>
        <w:tc>
          <w:tcPr>
            <w:tcW w:w="1140" w:type="dxa"/>
            <w:gridSpan w:val="2"/>
            <w:tcBorders>
              <w:top w:val="double" w:sz="6" w:space="0" w:color="auto"/>
              <w:left w:val="nil"/>
              <w:bottom w:val="double" w:sz="6" w:space="0" w:color="auto"/>
              <w:right w:val="nil"/>
            </w:tcBorders>
            <w:shd w:val="clear" w:color="auto" w:fill="D6E3BC" w:themeFill="accent3" w:themeFillTint="66"/>
          </w:tcPr>
          <w:p w14:paraId="3A38275F" w14:textId="3E14CEEC"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2 231</w:t>
            </w:r>
          </w:p>
        </w:tc>
        <w:tc>
          <w:tcPr>
            <w:tcW w:w="1005" w:type="dxa"/>
            <w:tcBorders>
              <w:top w:val="double" w:sz="6" w:space="0" w:color="auto"/>
              <w:left w:val="nil"/>
              <w:bottom w:val="double" w:sz="6" w:space="0" w:color="auto"/>
              <w:right w:val="nil"/>
            </w:tcBorders>
            <w:shd w:val="clear" w:color="auto" w:fill="D6E3BC" w:themeFill="accent3" w:themeFillTint="66"/>
          </w:tcPr>
          <w:p w14:paraId="174B4CF8" w14:textId="734596B2"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1 071</w:t>
            </w:r>
          </w:p>
        </w:tc>
        <w:tc>
          <w:tcPr>
            <w:tcW w:w="1006" w:type="dxa"/>
            <w:tcBorders>
              <w:top w:val="double" w:sz="6" w:space="0" w:color="auto"/>
              <w:left w:val="nil"/>
              <w:bottom w:val="double" w:sz="6" w:space="0" w:color="auto"/>
              <w:right w:val="nil"/>
            </w:tcBorders>
            <w:shd w:val="clear" w:color="auto" w:fill="D6E3BC" w:themeFill="accent3" w:themeFillTint="66"/>
          </w:tcPr>
          <w:p w14:paraId="3ED47752" w14:textId="503C3790"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(577)</w:t>
            </w:r>
          </w:p>
        </w:tc>
        <w:tc>
          <w:tcPr>
            <w:tcW w:w="1005" w:type="dxa"/>
            <w:gridSpan w:val="2"/>
            <w:tcBorders>
              <w:top w:val="double" w:sz="6" w:space="0" w:color="auto"/>
              <w:left w:val="nil"/>
              <w:bottom w:val="double" w:sz="6" w:space="0" w:color="auto"/>
              <w:right w:val="nil"/>
            </w:tcBorders>
            <w:shd w:val="clear" w:color="auto" w:fill="D6E3BC" w:themeFill="accent3" w:themeFillTint="66"/>
          </w:tcPr>
          <w:p w14:paraId="77F26B96" w14:textId="0E32A135"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0</w:t>
            </w:r>
          </w:p>
        </w:tc>
        <w:tc>
          <w:tcPr>
            <w:tcW w:w="1030" w:type="dxa"/>
            <w:gridSpan w:val="2"/>
            <w:tcBorders>
              <w:top w:val="double" w:sz="6" w:space="0" w:color="auto"/>
              <w:left w:val="nil"/>
              <w:bottom w:val="double" w:sz="6" w:space="0" w:color="auto"/>
              <w:right w:val="nil"/>
            </w:tcBorders>
            <w:shd w:val="clear" w:color="auto" w:fill="D6E3BC" w:themeFill="accent3" w:themeFillTint="66"/>
          </w:tcPr>
          <w:p w14:paraId="2A1661CA" w14:textId="6E6AE706" w:rsidR="006D600F" w:rsidRPr="001A2E55" w:rsidRDefault="006D600F" w:rsidP="006D600F">
            <w:pPr>
              <w:jc w:val="right"/>
              <w:rPr>
                <w:rFonts w:asciiTheme="minorHAnsi" w:eastAsiaTheme="minorHAnsi" w:hAnsiTheme="minorHAnsi" w:cstheme="minorHAnsi"/>
                <w:b/>
                <w:bCs/>
                <w:noProof/>
                <w:color w:val="000000"/>
                <w:sz w:val="20"/>
                <w:szCs w:val="20"/>
                <w:lang w:val="es-ES"/>
              </w:rPr>
            </w:pPr>
            <w:r w:rsidRPr="001A2E55">
              <w:rPr>
                <w:rFonts w:eastAsiaTheme="minorHAnsi" w:cs="Calibri"/>
                <w:b/>
                <w:bCs/>
                <w:noProof/>
                <w:color w:val="000000"/>
                <w:sz w:val="20"/>
                <w:szCs w:val="20"/>
                <w:lang w:val="es-ES"/>
              </w:rPr>
              <w:t>2 724</w:t>
            </w:r>
          </w:p>
        </w:tc>
      </w:tr>
    </w:tbl>
    <w:p w14:paraId="4D1EEFB2" w14:textId="77777777" w:rsidR="005704AC" w:rsidRPr="001A2E55" w:rsidRDefault="005704AC" w:rsidP="005704AC">
      <w:pPr>
        <w:rPr>
          <w:rFonts w:asciiTheme="minorHAnsi" w:eastAsia="Times New Roman" w:hAnsiTheme="minorHAnsi" w:cstheme="minorHAnsi"/>
          <w:bCs/>
          <w:noProof/>
          <w:lang w:val="es-ES" w:eastAsia="en-GB"/>
        </w:rPr>
        <w:sectPr w:rsidR="005704AC" w:rsidRPr="001A2E55" w:rsidSect="009746FC">
          <w:footerReference w:type="default" r:id="rId12"/>
          <w:pgSz w:w="11906" w:h="16838" w:code="9"/>
          <w:pgMar w:top="1440" w:right="1440" w:bottom="1440" w:left="1440" w:header="709" w:footer="709" w:gutter="0"/>
          <w:cols w:space="708"/>
          <w:docGrid w:linePitch="360"/>
        </w:sectPr>
      </w:pPr>
    </w:p>
    <w:p w14:paraId="36DE4BDE" w14:textId="25B18D25" w:rsidR="005704AC" w:rsidRPr="001A2E55" w:rsidRDefault="005704AC" w:rsidP="005704AC">
      <w:pPr>
        <w:rPr>
          <w:rFonts w:asciiTheme="minorHAnsi" w:eastAsia="Times New Roman" w:hAnsiTheme="minorHAnsi" w:cstheme="minorHAnsi"/>
          <w:b/>
          <w:bCs/>
          <w:noProof/>
          <w:sz w:val="24"/>
          <w:szCs w:val="24"/>
          <w:lang w:val="es-ES" w:eastAsia="en-GB"/>
        </w:rPr>
      </w:pPr>
      <w:r w:rsidRPr="001A2E55">
        <w:rPr>
          <w:rFonts w:asciiTheme="minorHAnsi" w:eastAsia="Times New Roman" w:hAnsiTheme="minorHAnsi" w:cstheme="minorHAnsi"/>
          <w:b/>
          <w:bCs/>
          <w:noProof/>
          <w:sz w:val="24"/>
          <w:szCs w:val="24"/>
          <w:lang w:val="es-ES" w:eastAsia="en-GB"/>
        </w:rPr>
        <w:lastRenderedPageBreak/>
        <w:t xml:space="preserve">Anexo </w:t>
      </w:r>
      <w:r w:rsidR="006D600F" w:rsidRPr="001A2E55">
        <w:rPr>
          <w:rFonts w:asciiTheme="minorHAnsi" w:eastAsia="Times New Roman" w:hAnsiTheme="minorHAnsi" w:cstheme="minorHAnsi"/>
          <w:b/>
          <w:bCs/>
          <w:noProof/>
          <w:sz w:val="24"/>
          <w:szCs w:val="24"/>
          <w:lang w:val="es-ES" w:eastAsia="en-GB"/>
        </w:rPr>
        <w:t>3</w:t>
      </w:r>
    </w:p>
    <w:p w14:paraId="09115313" w14:textId="2E3BC772" w:rsidR="005704AC" w:rsidRPr="001A2E55" w:rsidRDefault="005704AC" w:rsidP="005704AC">
      <w:pPr>
        <w:ind w:left="0" w:firstLine="0"/>
        <w:rPr>
          <w:rFonts w:asciiTheme="minorHAnsi" w:eastAsia="Times New Roman" w:hAnsiTheme="minorHAnsi" w:cstheme="minorHAnsi"/>
          <w:b/>
          <w:bCs/>
          <w:noProof/>
          <w:sz w:val="24"/>
          <w:szCs w:val="24"/>
          <w:lang w:val="es-ES" w:eastAsia="en-GB"/>
        </w:rPr>
      </w:pPr>
      <w:r w:rsidRPr="001A2E55">
        <w:rPr>
          <w:rFonts w:asciiTheme="minorHAnsi" w:hAnsiTheme="minorHAnsi" w:cstheme="minorHAnsi"/>
          <w:b/>
          <w:bCs/>
          <w:noProof/>
          <w:sz w:val="24"/>
          <w:szCs w:val="24"/>
          <w:lang w:val="es-ES"/>
        </w:rPr>
        <w:t>Presupuesto básico</w:t>
      </w:r>
      <w:r w:rsidR="00530444" w:rsidRPr="001A2E55">
        <w:rPr>
          <w:rFonts w:asciiTheme="minorHAnsi" w:hAnsiTheme="minorHAnsi" w:cstheme="minorHAnsi"/>
          <w:b/>
          <w:bCs/>
          <w:noProof/>
          <w:sz w:val="24"/>
          <w:szCs w:val="24"/>
          <w:lang w:val="es-ES"/>
        </w:rPr>
        <w:t xml:space="preserve"> estimado</w:t>
      </w:r>
      <w:r w:rsidRPr="001A2E55">
        <w:rPr>
          <w:rFonts w:asciiTheme="minorHAnsi" w:hAnsiTheme="minorHAnsi" w:cstheme="minorHAnsi"/>
          <w:b/>
          <w:bCs/>
          <w:noProof/>
          <w:sz w:val="24"/>
          <w:szCs w:val="24"/>
          <w:lang w:val="es-ES"/>
        </w:rPr>
        <w:t xml:space="preserve"> propuesto para </w:t>
      </w:r>
      <w:r w:rsidRPr="001A2E55">
        <w:rPr>
          <w:rFonts w:asciiTheme="minorHAnsi" w:eastAsia="Times New Roman" w:hAnsiTheme="minorHAnsi" w:cstheme="minorHAnsi"/>
          <w:b/>
          <w:bCs/>
          <w:noProof/>
          <w:sz w:val="24"/>
          <w:szCs w:val="24"/>
          <w:lang w:val="es-ES" w:eastAsia="en-GB"/>
        </w:rPr>
        <w:t>202</w:t>
      </w:r>
      <w:r w:rsidR="006D600F" w:rsidRPr="001A2E55">
        <w:rPr>
          <w:rFonts w:asciiTheme="minorHAnsi" w:eastAsia="Times New Roman" w:hAnsiTheme="minorHAnsi" w:cstheme="minorHAnsi"/>
          <w:b/>
          <w:bCs/>
          <w:noProof/>
          <w:sz w:val="24"/>
          <w:szCs w:val="24"/>
          <w:lang w:val="es-ES" w:eastAsia="en-GB"/>
        </w:rPr>
        <w:t>5</w:t>
      </w:r>
      <w:r w:rsidR="006D600F" w:rsidRPr="001A2E55">
        <w:rPr>
          <w:rStyle w:val="FootnoteReference"/>
          <w:rFonts w:asciiTheme="minorHAnsi" w:eastAsia="Times New Roman" w:hAnsiTheme="minorHAnsi" w:cs="Arial"/>
          <w:b/>
          <w:bCs/>
          <w:noProof/>
          <w:sz w:val="24"/>
          <w:szCs w:val="24"/>
          <w:lang w:val="es-ES" w:eastAsia="en-GB"/>
        </w:rPr>
        <w:footnoteReference w:id="4"/>
      </w:r>
      <w:r w:rsidRPr="001A2E55">
        <w:rPr>
          <w:rFonts w:asciiTheme="minorHAnsi" w:eastAsia="Times New Roman" w:hAnsiTheme="minorHAnsi" w:cstheme="minorHAnsi"/>
          <w:b/>
          <w:bCs/>
          <w:noProof/>
          <w:sz w:val="24"/>
          <w:szCs w:val="24"/>
          <w:lang w:val="es-ES" w:eastAsia="en-GB"/>
        </w:rPr>
        <w:t xml:space="preserve"> </w:t>
      </w:r>
    </w:p>
    <w:p w14:paraId="78ACC80E" w14:textId="77777777" w:rsidR="005704AC" w:rsidRPr="001A2E55" w:rsidRDefault="005704AC" w:rsidP="005704AC">
      <w:pPr>
        <w:ind w:left="0" w:firstLine="0"/>
        <w:rPr>
          <w:rFonts w:asciiTheme="minorHAnsi" w:hAnsiTheme="minorHAnsi" w:cstheme="minorHAnsi"/>
          <w:bCs/>
          <w:i/>
          <w:noProof/>
          <w:sz w:val="20"/>
          <w:szCs w:val="20"/>
          <w:lang w:val="es-ES"/>
        </w:rPr>
      </w:pPr>
      <w:r w:rsidRPr="001A2E55">
        <w:rPr>
          <w:rFonts w:asciiTheme="minorHAnsi" w:hAnsiTheme="minorHAnsi" w:cstheme="minorHAnsi"/>
          <w:bCs/>
          <w:i/>
          <w:noProof/>
          <w:sz w:val="20"/>
          <w:szCs w:val="20"/>
          <w:lang w:val="es-ES"/>
        </w:rPr>
        <w:t>(en miles de francos suizos, con posibles diferencias por redondeo)</w:t>
      </w:r>
    </w:p>
    <w:p w14:paraId="38D70CA8" w14:textId="77777777" w:rsidR="006D600F" w:rsidRPr="001A2E55" w:rsidRDefault="006D600F" w:rsidP="005704AC">
      <w:pPr>
        <w:ind w:left="0" w:firstLine="0"/>
        <w:rPr>
          <w:rFonts w:asciiTheme="minorHAnsi" w:eastAsia="Times New Roman" w:hAnsiTheme="minorHAnsi" w:cstheme="minorHAnsi"/>
          <w:bCs/>
          <w:i/>
          <w:noProof/>
          <w:sz w:val="20"/>
          <w:szCs w:val="20"/>
          <w:lang w:val="es-ES"/>
        </w:rPr>
      </w:pPr>
    </w:p>
    <w:tbl>
      <w:tblPr>
        <w:tblW w:w="9979" w:type="dxa"/>
        <w:tblInd w:w="-431" w:type="dxa"/>
        <w:tblLayout w:type="fixed"/>
        <w:tblLook w:val="04A0" w:firstRow="1" w:lastRow="0" w:firstColumn="1" w:lastColumn="0" w:noHBand="0" w:noVBand="1"/>
      </w:tblPr>
      <w:tblGrid>
        <w:gridCol w:w="4535"/>
        <w:gridCol w:w="1361"/>
        <w:gridCol w:w="1361"/>
        <w:gridCol w:w="1361"/>
        <w:gridCol w:w="1361"/>
      </w:tblGrid>
      <w:tr w:rsidR="005704AC" w:rsidRPr="00F81E8B" w14:paraId="2055505F" w14:textId="77777777" w:rsidTr="00646622">
        <w:trPr>
          <w:tblHeader/>
        </w:trPr>
        <w:tc>
          <w:tcPr>
            <w:tcW w:w="4535" w:type="dxa"/>
            <w:tcBorders>
              <w:top w:val="single" w:sz="4" w:space="0" w:color="auto"/>
              <w:left w:val="single" w:sz="4" w:space="0" w:color="auto"/>
              <w:bottom w:val="single" w:sz="4" w:space="0" w:color="auto"/>
              <w:right w:val="nil"/>
            </w:tcBorders>
            <w:shd w:val="clear" w:color="000000" w:fill="D6E3BC"/>
            <w:vAlign w:val="center"/>
            <w:hideMark/>
          </w:tcPr>
          <w:p w14:paraId="1783BE38" w14:textId="2ABD19A2"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hAnsiTheme="minorHAnsi" w:cstheme="minorHAnsi"/>
                <w:b/>
                <w:bCs/>
                <w:noProof/>
                <w:color w:val="000000"/>
                <w:sz w:val="20"/>
                <w:szCs w:val="20"/>
                <w:lang w:val="es-ES"/>
              </w:rPr>
              <w:t xml:space="preserve">Presupuesto de la Convención sobre los </w:t>
            </w:r>
            <w:r w:rsidR="001A2E55" w:rsidRPr="001A2E55">
              <w:rPr>
                <w:rFonts w:asciiTheme="minorHAnsi" w:hAnsiTheme="minorHAnsi" w:cstheme="minorHAnsi"/>
                <w:b/>
                <w:bCs/>
                <w:noProof/>
                <w:color w:val="000000"/>
                <w:sz w:val="20"/>
                <w:szCs w:val="20"/>
                <w:lang w:val="es-ES"/>
              </w:rPr>
              <w:t>Humedales para</w:t>
            </w:r>
            <w:r w:rsidRPr="001A2E55">
              <w:rPr>
                <w:rFonts w:asciiTheme="minorHAnsi" w:hAnsiTheme="minorHAnsi" w:cstheme="minorHAnsi"/>
                <w:b/>
                <w:bCs/>
                <w:noProof/>
                <w:color w:val="000000"/>
                <w:sz w:val="20"/>
                <w:szCs w:val="20"/>
                <w:lang w:val="es-ES"/>
              </w:rPr>
              <w:t xml:space="preserve"> </w:t>
            </w:r>
            <w:r w:rsidRPr="001A2E55">
              <w:rPr>
                <w:rFonts w:asciiTheme="minorHAnsi" w:eastAsia="Times New Roman" w:hAnsiTheme="minorHAnsi" w:cstheme="minorHAnsi"/>
                <w:b/>
                <w:bCs/>
                <w:noProof/>
                <w:sz w:val="20"/>
                <w:szCs w:val="20"/>
                <w:lang w:val="es-ES" w:eastAsia="en-GB"/>
              </w:rPr>
              <w:t>202</w:t>
            </w:r>
            <w:r w:rsidR="0094536E" w:rsidRPr="001A2E55">
              <w:rPr>
                <w:rFonts w:asciiTheme="minorHAnsi" w:eastAsia="Times New Roman" w:hAnsiTheme="minorHAnsi" w:cstheme="minorHAnsi"/>
                <w:b/>
                <w:bCs/>
                <w:noProof/>
                <w:sz w:val="20"/>
                <w:szCs w:val="20"/>
                <w:lang w:val="es-ES" w:eastAsia="en-GB"/>
              </w:rPr>
              <w:t>5</w:t>
            </w:r>
            <w:r w:rsidRPr="001A2E55">
              <w:rPr>
                <w:rFonts w:asciiTheme="minorHAnsi" w:eastAsia="Times New Roman" w:hAnsiTheme="minorHAnsi" w:cstheme="minorHAnsi"/>
                <w:b/>
                <w:bCs/>
                <w:noProof/>
                <w:sz w:val="20"/>
                <w:szCs w:val="20"/>
                <w:lang w:val="es-ES" w:eastAsia="en-GB"/>
              </w:rPr>
              <w:br/>
            </w:r>
            <w:r w:rsidRPr="001A2E55">
              <w:rPr>
                <w:rFonts w:asciiTheme="minorHAnsi" w:hAnsiTheme="minorHAnsi" w:cstheme="minorHAnsi"/>
                <w:b/>
                <w:bCs/>
                <w:noProof/>
                <w:color w:val="000000"/>
                <w:sz w:val="20"/>
                <w:szCs w:val="20"/>
                <w:lang w:val="es-ES"/>
              </w:rPr>
              <w:t xml:space="preserve">aprobado por la </w:t>
            </w:r>
            <w:r w:rsidRPr="001A2E55">
              <w:rPr>
                <w:rFonts w:asciiTheme="minorHAnsi" w:eastAsia="Times New Roman" w:hAnsiTheme="minorHAnsi" w:cstheme="minorHAnsi"/>
                <w:b/>
                <w:bCs/>
                <w:noProof/>
                <w:sz w:val="20"/>
                <w:szCs w:val="20"/>
                <w:lang w:val="es-ES" w:eastAsia="en-GB"/>
              </w:rPr>
              <w:t xml:space="preserve">COP14 </w:t>
            </w:r>
          </w:p>
          <w:p w14:paraId="114D47D8" w14:textId="77777777" w:rsidR="0094536E" w:rsidRPr="001A2E55" w:rsidRDefault="0094536E" w:rsidP="005D4B97">
            <w:pPr>
              <w:ind w:left="0" w:firstLine="0"/>
              <w:jc w:val="center"/>
              <w:rPr>
                <w:rFonts w:asciiTheme="minorHAnsi" w:eastAsia="Times New Roman" w:hAnsiTheme="minorHAnsi" w:cstheme="minorHAnsi"/>
                <w:b/>
                <w:bCs/>
                <w:noProof/>
                <w:sz w:val="20"/>
                <w:szCs w:val="20"/>
                <w:lang w:val="es-ES" w:eastAsia="en-GB"/>
              </w:rPr>
            </w:pPr>
          </w:p>
          <w:p w14:paraId="34252B02" w14:textId="77777777" w:rsidR="005704AC" w:rsidRPr="001A2E55" w:rsidRDefault="005704AC" w:rsidP="005D4B97">
            <w:pPr>
              <w:ind w:left="0" w:firstLine="0"/>
              <w:jc w:val="center"/>
              <w:rPr>
                <w:rFonts w:asciiTheme="minorHAnsi" w:eastAsia="Times New Roman" w:hAnsiTheme="minorHAnsi" w:cstheme="minorHAnsi"/>
                <w:b/>
                <w:bCs/>
                <w:noProof/>
                <w:color w:val="000000"/>
                <w:sz w:val="20"/>
                <w:szCs w:val="20"/>
                <w:lang w:val="es-ES" w:eastAsia="en-GB"/>
              </w:rPr>
            </w:pPr>
            <w:r w:rsidRPr="001A2E55">
              <w:rPr>
                <w:rFonts w:asciiTheme="minorHAnsi" w:hAnsiTheme="minorHAnsi" w:cstheme="minorHAnsi"/>
                <w:b/>
                <w:bCs/>
                <w:noProof/>
                <w:color w:val="000000"/>
                <w:sz w:val="20"/>
                <w:szCs w:val="20"/>
                <w:lang w:val="es-ES"/>
              </w:rPr>
              <w:t>en miles de francos suizos</w:t>
            </w:r>
          </w:p>
          <w:p w14:paraId="10EFBC34" w14:textId="77777777" w:rsidR="005704AC" w:rsidRPr="001A2E55" w:rsidRDefault="005704AC" w:rsidP="005D4B97">
            <w:pPr>
              <w:ind w:left="0" w:firstLine="0"/>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 </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7EF5FFB2" w14:textId="77777777" w:rsidR="00646622" w:rsidRPr="001A2E55" w:rsidRDefault="00646622" w:rsidP="005D4B97">
            <w:pPr>
              <w:ind w:left="0" w:firstLine="0"/>
              <w:jc w:val="center"/>
              <w:rPr>
                <w:rFonts w:asciiTheme="minorHAnsi" w:eastAsia="Times New Roman" w:hAnsiTheme="minorHAnsi" w:cstheme="minorHAnsi"/>
                <w:b/>
                <w:bCs/>
                <w:noProof/>
                <w:sz w:val="20"/>
                <w:szCs w:val="20"/>
                <w:lang w:val="es-ES" w:eastAsia="en-GB"/>
              </w:rPr>
            </w:pPr>
          </w:p>
          <w:p w14:paraId="5813CD83" w14:textId="3EE554E1"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Presupuesto (aprobado por la COP14)</w:t>
            </w:r>
          </w:p>
          <w:p w14:paraId="0AC00464" w14:textId="77777777" w:rsidR="005704AC" w:rsidRPr="001A2E55" w:rsidRDefault="005704AC" w:rsidP="005D4B97">
            <w:pPr>
              <w:ind w:left="0" w:firstLine="0"/>
              <w:jc w:val="center"/>
              <w:rPr>
                <w:rFonts w:asciiTheme="minorHAnsi" w:eastAsia="Times New Roman" w:hAnsiTheme="minorHAnsi" w:cstheme="minorHAnsi"/>
                <w:b/>
                <w:bCs/>
                <w:noProof/>
                <w:color w:val="000000"/>
                <w:sz w:val="20"/>
                <w:szCs w:val="20"/>
                <w:lang w:val="es-ES" w:eastAsia="en-GB"/>
              </w:rPr>
            </w:pPr>
          </w:p>
          <w:p w14:paraId="600BACF0" w14:textId="77777777" w:rsidR="005704AC" w:rsidRPr="001A2E55" w:rsidRDefault="005704AC" w:rsidP="005D4B97">
            <w:pPr>
              <w:ind w:left="0" w:firstLine="0"/>
              <w:jc w:val="center"/>
              <w:rPr>
                <w:rFonts w:asciiTheme="minorHAnsi" w:eastAsia="Times New Roman" w:hAnsiTheme="minorHAnsi" w:cstheme="minorHAnsi"/>
                <w:b/>
                <w:bCs/>
                <w:noProof/>
                <w:color w:val="000000"/>
                <w:sz w:val="20"/>
                <w:szCs w:val="20"/>
                <w:lang w:val="es-ES" w:eastAsia="en-GB"/>
              </w:rPr>
            </w:pPr>
          </w:p>
          <w:p w14:paraId="3AF65019" w14:textId="77777777"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000000" w:fill="D6E3BC"/>
            <w:vAlign w:val="center"/>
            <w:hideMark/>
          </w:tcPr>
          <w:p w14:paraId="166BB1EA" w14:textId="77777777" w:rsidR="005704AC" w:rsidRPr="001A2E55" w:rsidRDefault="005704AC" w:rsidP="00646622">
            <w:pPr>
              <w:ind w:left="-46" w:right="-75" w:firstLine="0"/>
              <w:jc w:val="center"/>
              <w:rPr>
                <w:rFonts w:asciiTheme="minorHAnsi" w:eastAsia="Times New Roman" w:hAnsiTheme="minorHAnsi" w:cstheme="minorHAnsi"/>
                <w:b/>
                <w:bCs/>
                <w:noProof/>
                <w:sz w:val="20"/>
                <w:szCs w:val="20"/>
                <w:lang w:val="es-ES" w:eastAsia="en-GB"/>
              </w:rPr>
            </w:pPr>
            <w:r w:rsidRPr="001A2E55">
              <w:rPr>
                <w:rFonts w:asciiTheme="minorHAnsi" w:hAnsiTheme="minorHAnsi" w:cstheme="minorHAnsi"/>
                <w:b/>
                <w:bCs/>
                <w:noProof/>
                <w:color w:val="000000"/>
                <w:sz w:val="20"/>
                <w:szCs w:val="20"/>
                <w:lang w:val="es-ES"/>
              </w:rPr>
              <w:t xml:space="preserve">Uso del excedente del presupuesto de 2021 autorizado por la </w:t>
            </w:r>
            <w:r w:rsidRPr="001A2E55">
              <w:rPr>
                <w:rFonts w:asciiTheme="minorHAnsi" w:eastAsia="Times New Roman" w:hAnsiTheme="minorHAnsi" w:cstheme="minorHAnsi"/>
                <w:b/>
                <w:bCs/>
                <w:noProof/>
                <w:sz w:val="20"/>
                <w:szCs w:val="20"/>
                <w:lang w:val="es-ES" w:eastAsia="en-GB"/>
              </w:rPr>
              <w:t>COP14</w:t>
            </w:r>
          </w:p>
          <w:p w14:paraId="3C9527E3" w14:textId="77777777" w:rsidR="005704AC" w:rsidRPr="001A2E55" w:rsidRDefault="005704AC" w:rsidP="00646622">
            <w:pPr>
              <w:ind w:left="-46" w:right="-75"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8B60C61" w14:textId="77777777" w:rsidR="0065418D" w:rsidRPr="001A2E55" w:rsidRDefault="0065418D" w:rsidP="005D4B97">
            <w:pPr>
              <w:ind w:left="0" w:firstLine="0"/>
              <w:jc w:val="center"/>
              <w:rPr>
                <w:rFonts w:asciiTheme="minorHAnsi" w:eastAsia="Times New Roman" w:hAnsiTheme="minorHAnsi" w:cstheme="minorHAnsi"/>
                <w:b/>
                <w:bCs/>
                <w:noProof/>
                <w:spacing w:val="-4"/>
                <w:sz w:val="20"/>
                <w:szCs w:val="20"/>
                <w:lang w:val="es-ES" w:eastAsia="en-GB"/>
              </w:rPr>
            </w:pPr>
          </w:p>
          <w:p w14:paraId="22745692" w14:textId="70A9A3D5" w:rsidR="00646622" w:rsidRPr="001A2E55" w:rsidRDefault="001A233D" w:rsidP="005D4B97">
            <w:pPr>
              <w:ind w:left="0" w:firstLine="0"/>
              <w:jc w:val="center"/>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spacing w:val="-4"/>
                <w:sz w:val="20"/>
                <w:szCs w:val="20"/>
                <w:lang w:val="es-ES" w:eastAsia="en-GB"/>
              </w:rPr>
              <w:t>Estimación de</w:t>
            </w:r>
            <w:r w:rsidR="0065418D" w:rsidRPr="001A2E55">
              <w:rPr>
                <w:rFonts w:asciiTheme="minorHAnsi" w:eastAsia="Times New Roman" w:hAnsiTheme="minorHAnsi" w:cstheme="minorHAnsi"/>
                <w:b/>
                <w:bCs/>
                <w:noProof/>
                <w:spacing w:val="-4"/>
                <w:sz w:val="20"/>
                <w:szCs w:val="20"/>
                <w:lang w:val="es-ES" w:eastAsia="en-GB"/>
              </w:rPr>
              <w:t xml:space="preserve"> </w:t>
            </w:r>
            <w:r w:rsidRPr="001A2E55">
              <w:rPr>
                <w:rFonts w:asciiTheme="minorHAnsi" w:eastAsia="Times New Roman" w:hAnsiTheme="minorHAnsi" w:cstheme="minorHAnsi"/>
                <w:b/>
                <w:bCs/>
                <w:noProof/>
                <w:spacing w:val="-4"/>
                <w:sz w:val="20"/>
                <w:szCs w:val="20"/>
                <w:lang w:val="es-ES" w:eastAsia="en-GB"/>
              </w:rPr>
              <w:t xml:space="preserve">fondos de </w:t>
            </w:r>
            <w:r w:rsidR="0065418D" w:rsidRPr="001A2E55">
              <w:rPr>
                <w:rFonts w:asciiTheme="minorHAnsi" w:eastAsia="Times New Roman" w:hAnsiTheme="minorHAnsi" w:cstheme="minorHAnsi"/>
                <w:b/>
                <w:bCs/>
                <w:noProof/>
                <w:spacing w:val="-4"/>
                <w:sz w:val="20"/>
                <w:szCs w:val="20"/>
                <w:lang w:val="es-ES" w:eastAsia="en-GB"/>
              </w:rPr>
              <w:t>202</w:t>
            </w:r>
            <w:r w:rsidR="0094536E" w:rsidRPr="001A2E55">
              <w:rPr>
                <w:rFonts w:asciiTheme="minorHAnsi" w:eastAsia="Times New Roman" w:hAnsiTheme="minorHAnsi" w:cstheme="minorHAnsi"/>
                <w:b/>
                <w:bCs/>
                <w:noProof/>
                <w:spacing w:val="-4"/>
                <w:sz w:val="20"/>
                <w:szCs w:val="20"/>
                <w:lang w:val="es-ES" w:eastAsia="en-GB"/>
              </w:rPr>
              <w:t xml:space="preserve">4 </w:t>
            </w:r>
            <w:r w:rsidR="0065418D" w:rsidRPr="001A2E55">
              <w:rPr>
                <w:rFonts w:asciiTheme="minorHAnsi" w:eastAsia="Times New Roman" w:hAnsiTheme="minorHAnsi" w:cstheme="minorHAnsi"/>
                <w:b/>
                <w:bCs/>
                <w:noProof/>
                <w:spacing w:val="-4"/>
                <w:sz w:val="20"/>
                <w:szCs w:val="20"/>
                <w:lang w:val="es-ES" w:eastAsia="en-GB"/>
              </w:rPr>
              <w:t>a traspasar a 202</w:t>
            </w:r>
            <w:r w:rsidR="0094536E" w:rsidRPr="001A2E55">
              <w:rPr>
                <w:rFonts w:asciiTheme="minorHAnsi" w:eastAsia="Times New Roman" w:hAnsiTheme="minorHAnsi" w:cstheme="minorHAnsi"/>
                <w:b/>
                <w:bCs/>
                <w:noProof/>
                <w:spacing w:val="-4"/>
                <w:sz w:val="20"/>
                <w:szCs w:val="20"/>
                <w:lang w:val="es-ES" w:eastAsia="en-GB"/>
              </w:rPr>
              <w:t>5</w:t>
            </w:r>
            <w:r w:rsidR="0065418D" w:rsidRPr="001A2E55">
              <w:rPr>
                <w:rFonts w:asciiTheme="minorHAnsi" w:eastAsia="Times New Roman" w:hAnsiTheme="minorHAnsi" w:cstheme="minorHAnsi"/>
                <w:b/>
                <w:bCs/>
                <w:noProof/>
                <w:spacing w:val="-4"/>
                <w:sz w:val="20"/>
                <w:szCs w:val="20"/>
                <w:lang w:val="es-ES" w:eastAsia="en-GB"/>
              </w:rPr>
              <w:t xml:space="preserve"> </w:t>
            </w:r>
          </w:p>
          <w:p w14:paraId="6F3427BC" w14:textId="0A05BCE2" w:rsidR="00646622" w:rsidRPr="001A2E55" w:rsidRDefault="00646622" w:rsidP="005D4B97">
            <w:pPr>
              <w:ind w:left="0" w:firstLine="0"/>
              <w:jc w:val="center"/>
              <w:rPr>
                <w:rFonts w:asciiTheme="minorHAnsi" w:eastAsia="Times New Roman" w:hAnsiTheme="minorHAnsi" w:cstheme="minorHAnsi"/>
                <w:b/>
                <w:bCs/>
                <w:noProof/>
                <w:color w:val="000000"/>
                <w:sz w:val="20"/>
                <w:szCs w:val="20"/>
                <w:lang w:val="es-ES" w:eastAsia="en-GB"/>
              </w:rPr>
            </w:pPr>
          </w:p>
          <w:p w14:paraId="192BE599" w14:textId="77777777" w:rsidR="0065418D" w:rsidRPr="001A2E55" w:rsidRDefault="0065418D" w:rsidP="005D4B97">
            <w:pPr>
              <w:ind w:left="0" w:firstLine="0"/>
              <w:jc w:val="center"/>
              <w:rPr>
                <w:rFonts w:asciiTheme="minorHAnsi" w:eastAsia="Times New Roman" w:hAnsiTheme="minorHAnsi" w:cstheme="minorHAnsi"/>
                <w:b/>
                <w:bCs/>
                <w:noProof/>
                <w:color w:val="000000"/>
                <w:sz w:val="20"/>
                <w:szCs w:val="20"/>
                <w:lang w:val="es-ES" w:eastAsia="en-GB"/>
              </w:rPr>
            </w:pPr>
          </w:p>
          <w:p w14:paraId="0E151FA7" w14:textId="77777777"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4B43C4D" w14:textId="77777777" w:rsidR="0065418D" w:rsidRPr="001A2E55" w:rsidRDefault="0065418D" w:rsidP="005D4B97">
            <w:pPr>
              <w:ind w:left="0" w:firstLine="0"/>
              <w:jc w:val="center"/>
              <w:rPr>
                <w:rFonts w:asciiTheme="minorHAnsi" w:eastAsia="Times New Roman" w:hAnsiTheme="minorHAnsi" w:cstheme="minorHAnsi"/>
                <w:b/>
                <w:bCs/>
                <w:noProof/>
                <w:sz w:val="20"/>
                <w:szCs w:val="20"/>
                <w:lang w:val="es-ES" w:eastAsia="en-GB"/>
              </w:rPr>
            </w:pPr>
          </w:p>
          <w:p w14:paraId="5B6C0443" w14:textId="0DB4E1EB"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sz w:val="20"/>
                <w:szCs w:val="20"/>
                <w:lang w:val="es-ES" w:eastAsia="en-GB"/>
              </w:rPr>
              <w:t>Total, presupuesto</w:t>
            </w:r>
            <w:r w:rsidR="00091907" w:rsidRPr="001A2E55">
              <w:rPr>
                <w:rFonts w:asciiTheme="minorHAnsi" w:eastAsia="Times New Roman" w:hAnsiTheme="minorHAnsi" w:cstheme="minorHAnsi"/>
                <w:b/>
                <w:bCs/>
                <w:noProof/>
                <w:sz w:val="20"/>
                <w:szCs w:val="20"/>
                <w:lang w:val="es-ES" w:eastAsia="en-GB"/>
              </w:rPr>
              <w:t xml:space="preserve"> estimado</w:t>
            </w:r>
            <w:r w:rsidRPr="001A2E55">
              <w:rPr>
                <w:rFonts w:asciiTheme="minorHAnsi" w:eastAsia="Times New Roman" w:hAnsiTheme="minorHAnsi" w:cstheme="minorHAnsi"/>
                <w:b/>
                <w:bCs/>
                <w:noProof/>
                <w:sz w:val="20"/>
                <w:szCs w:val="20"/>
                <w:lang w:val="es-ES" w:eastAsia="en-GB"/>
              </w:rPr>
              <w:t xml:space="preserve"> de 202</w:t>
            </w:r>
            <w:r w:rsidR="0094536E" w:rsidRPr="001A2E55">
              <w:rPr>
                <w:rFonts w:asciiTheme="minorHAnsi" w:eastAsia="Times New Roman" w:hAnsiTheme="minorHAnsi" w:cstheme="minorHAnsi"/>
                <w:b/>
                <w:bCs/>
                <w:noProof/>
                <w:sz w:val="20"/>
                <w:szCs w:val="20"/>
                <w:lang w:val="es-ES" w:eastAsia="en-GB"/>
              </w:rPr>
              <w:t>5</w:t>
            </w:r>
          </w:p>
          <w:p w14:paraId="17DED897" w14:textId="0B05B531" w:rsidR="005704AC" w:rsidRPr="001A2E55" w:rsidRDefault="005704AC" w:rsidP="005D4B97">
            <w:pPr>
              <w:ind w:left="0" w:firstLine="0"/>
              <w:jc w:val="center"/>
              <w:rPr>
                <w:rFonts w:asciiTheme="minorHAnsi" w:eastAsia="Times New Roman" w:hAnsiTheme="minorHAnsi" w:cstheme="minorHAnsi"/>
                <w:b/>
                <w:bCs/>
                <w:noProof/>
                <w:color w:val="000000"/>
                <w:sz w:val="20"/>
                <w:szCs w:val="20"/>
                <w:lang w:val="es-ES" w:eastAsia="en-GB"/>
              </w:rPr>
            </w:pPr>
          </w:p>
          <w:p w14:paraId="5B27C8F5" w14:textId="77777777" w:rsidR="005704AC" w:rsidRPr="001A2E55" w:rsidRDefault="005704AC" w:rsidP="005D4B97">
            <w:pPr>
              <w:ind w:left="0" w:firstLine="0"/>
              <w:jc w:val="center"/>
              <w:rPr>
                <w:rFonts w:asciiTheme="minorHAnsi" w:eastAsia="Times New Roman" w:hAnsiTheme="minorHAnsi" w:cstheme="minorHAnsi"/>
                <w:b/>
                <w:bCs/>
                <w:noProof/>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(D)=</w:t>
            </w:r>
            <w:r w:rsidRPr="001A2E55">
              <w:rPr>
                <w:rFonts w:asciiTheme="minorHAnsi" w:eastAsia="Times New Roman" w:hAnsiTheme="minorHAnsi" w:cstheme="minorHAnsi"/>
                <w:b/>
                <w:bCs/>
                <w:noProof/>
                <w:color w:val="000000"/>
                <w:sz w:val="20"/>
                <w:szCs w:val="20"/>
                <w:lang w:val="es-ES" w:eastAsia="en-GB"/>
              </w:rPr>
              <w:br/>
              <w:t>(A)+(B)+(C)</w:t>
            </w:r>
          </w:p>
        </w:tc>
      </w:tr>
      <w:tr w:rsidR="005704AC" w:rsidRPr="001A2E55" w14:paraId="3200C5D7"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A379F0B" w14:textId="77777777" w:rsidR="00F52C1A" w:rsidRPr="001A2E55" w:rsidRDefault="00F52C1A" w:rsidP="005D4B97">
            <w:pPr>
              <w:ind w:left="0" w:firstLine="0"/>
              <w:rPr>
                <w:rFonts w:asciiTheme="minorHAnsi" w:eastAsia="Times New Roman" w:hAnsiTheme="minorHAnsi" w:cstheme="minorHAnsi"/>
                <w:b/>
                <w:bCs/>
                <w:noProof/>
                <w:color w:val="000000"/>
                <w:sz w:val="20"/>
                <w:szCs w:val="20"/>
                <w:lang w:val="es-ES" w:eastAsia="en-GB"/>
              </w:rPr>
            </w:pPr>
          </w:p>
          <w:p w14:paraId="03F91F89" w14:textId="0F819B83"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073B8824"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11E2777E"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380EC8E8"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 </w:t>
            </w:r>
          </w:p>
        </w:tc>
        <w:tc>
          <w:tcPr>
            <w:tcW w:w="1361" w:type="dxa"/>
            <w:tcBorders>
              <w:top w:val="single" w:sz="4" w:space="0" w:color="auto"/>
              <w:left w:val="nil"/>
              <w:bottom w:val="nil"/>
              <w:right w:val="single" w:sz="4" w:space="0" w:color="auto"/>
            </w:tcBorders>
            <w:shd w:val="clear" w:color="auto" w:fill="auto"/>
            <w:noWrap/>
            <w:vAlign w:val="bottom"/>
            <w:hideMark/>
          </w:tcPr>
          <w:p w14:paraId="2A3E4599"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r>
      <w:tr w:rsidR="005704AC" w:rsidRPr="001A2E55" w14:paraId="01C1C47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2B298FA"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sz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8A3A0C8"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85C236D"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CF5C"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296AD032"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3 779</w:t>
            </w:r>
          </w:p>
        </w:tc>
      </w:tr>
      <w:tr w:rsidR="005704AC" w:rsidRPr="001A2E55" w14:paraId="63E9A33D"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19BBD57"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sz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4EBB627D"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05BE2282"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3E986F"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E6AD7E7"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1 065</w:t>
            </w:r>
          </w:p>
        </w:tc>
      </w:tr>
      <w:tr w:rsidR="005704AC" w:rsidRPr="001A2E55" w14:paraId="19E56215"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52851C6"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sz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46D5E103"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1625FFE4"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D69276"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4BDA165"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225</w:t>
            </w:r>
          </w:p>
        </w:tc>
      </w:tr>
      <w:tr w:rsidR="005704AC" w:rsidRPr="001A2E55" w14:paraId="2D43762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FF0708F" w14:textId="59384988"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sz w:val="20"/>
                <w:lang w:val="es-ES"/>
              </w:rPr>
              <w:t>Otros ingresos (</w:t>
            </w:r>
            <w:r w:rsidR="00806B85" w:rsidRPr="001A2E55">
              <w:rPr>
                <w:rFonts w:asciiTheme="minorHAnsi" w:hAnsiTheme="minorHAnsi" w:cstheme="minorHAnsi"/>
                <w:noProof/>
                <w:color w:val="000000"/>
                <w:sz w:val="20"/>
                <w:lang w:val="es-ES"/>
              </w:rPr>
              <w:t>incluidos los</w:t>
            </w:r>
            <w:r w:rsidRPr="001A2E55">
              <w:rPr>
                <w:rFonts w:asciiTheme="minorHAnsi" w:hAnsiTheme="minorHAnsi" w:cstheme="minorHAnsi"/>
                <w:noProof/>
                <w:color w:val="000000"/>
                <w:sz w:val="20"/>
                <w:lang w:val="es-ES"/>
              </w:rPr>
              <w:t xml:space="preserve"> ingresos por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161AE8E1"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2164CBCB"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EAEC3C"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9758A31"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12</w:t>
            </w:r>
          </w:p>
        </w:tc>
      </w:tr>
      <w:tr w:rsidR="005704AC" w:rsidRPr="001A2E55" w14:paraId="13ED7A78"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19B0A2"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4499FC3C"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626E6B47"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11668B2"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noWrap/>
            <w:vAlign w:val="center"/>
            <w:hideMark/>
          </w:tcPr>
          <w:p w14:paraId="13BB4FB4"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5 081</w:t>
            </w:r>
          </w:p>
        </w:tc>
      </w:tr>
      <w:tr w:rsidR="005704AC" w:rsidRPr="001A2E55" w14:paraId="6374B40D" w14:textId="77777777" w:rsidTr="005D4B97">
        <w:trPr>
          <w:trHeight w:val="270"/>
        </w:trPr>
        <w:tc>
          <w:tcPr>
            <w:tcW w:w="4535" w:type="dxa"/>
            <w:tcBorders>
              <w:top w:val="single" w:sz="4" w:space="0" w:color="auto"/>
              <w:left w:val="single" w:sz="4" w:space="0" w:color="auto"/>
            </w:tcBorders>
            <w:shd w:val="clear" w:color="auto" w:fill="auto"/>
            <w:noWrap/>
            <w:vAlign w:val="center"/>
            <w:hideMark/>
          </w:tcPr>
          <w:p w14:paraId="18800B6A"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 </w:t>
            </w:r>
          </w:p>
        </w:tc>
        <w:tc>
          <w:tcPr>
            <w:tcW w:w="1361" w:type="dxa"/>
            <w:tcBorders>
              <w:top w:val="nil"/>
              <w:left w:val="nil"/>
              <w:bottom w:val="nil"/>
              <w:right w:val="nil"/>
            </w:tcBorders>
            <w:shd w:val="clear" w:color="auto" w:fill="auto"/>
            <w:noWrap/>
            <w:vAlign w:val="bottom"/>
            <w:hideMark/>
          </w:tcPr>
          <w:p w14:paraId="03428F5E"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p>
        </w:tc>
        <w:tc>
          <w:tcPr>
            <w:tcW w:w="1361" w:type="dxa"/>
            <w:tcBorders>
              <w:top w:val="nil"/>
              <w:left w:val="nil"/>
              <w:right w:val="nil"/>
            </w:tcBorders>
            <w:shd w:val="clear" w:color="auto" w:fill="auto"/>
            <w:noWrap/>
            <w:vAlign w:val="bottom"/>
            <w:hideMark/>
          </w:tcPr>
          <w:p w14:paraId="2B82C2EB"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bottom"/>
            <w:hideMark/>
          </w:tcPr>
          <w:p w14:paraId="527C8CEF"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0F379C52"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r>
      <w:tr w:rsidR="005704AC" w:rsidRPr="001A2E55" w14:paraId="07C1C601" w14:textId="77777777" w:rsidTr="005D4B97">
        <w:trPr>
          <w:trHeight w:val="270"/>
        </w:trPr>
        <w:tc>
          <w:tcPr>
            <w:tcW w:w="4535" w:type="dxa"/>
            <w:tcBorders>
              <w:left w:val="single" w:sz="4" w:space="0" w:color="auto"/>
              <w:bottom w:val="single" w:sz="4" w:space="0" w:color="auto"/>
              <w:right w:val="nil"/>
            </w:tcBorders>
            <w:shd w:val="clear" w:color="auto" w:fill="auto"/>
            <w:noWrap/>
            <w:vAlign w:val="center"/>
            <w:hideMark/>
          </w:tcPr>
          <w:p w14:paraId="0F2C54C1"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GASTOS</w:t>
            </w:r>
          </w:p>
        </w:tc>
        <w:tc>
          <w:tcPr>
            <w:tcW w:w="1361" w:type="dxa"/>
            <w:tcBorders>
              <w:top w:val="nil"/>
              <w:left w:val="nil"/>
              <w:bottom w:val="nil"/>
              <w:right w:val="nil"/>
            </w:tcBorders>
            <w:shd w:val="clear" w:color="auto" w:fill="auto"/>
            <w:noWrap/>
            <w:vAlign w:val="bottom"/>
            <w:hideMark/>
          </w:tcPr>
          <w:p w14:paraId="32BC3785" w14:textId="77777777" w:rsidR="005704AC" w:rsidRPr="001A2E55" w:rsidRDefault="005704AC" w:rsidP="005D4B97">
            <w:pPr>
              <w:ind w:left="0" w:firstLine="0"/>
              <w:rPr>
                <w:rFonts w:asciiTheme="minorHAnsi" w:eastAsia="Times New Roman" w:hAnsiTheme="minorHAnsi" w:cstheme="minorHAnsi"/>
                <w:b/>
                <w:bCs/>
                <w:noProof/>
                <w:color w:val="000000"/>
                <w:sz w:val="20"/>
                <w:szCs w:val="20"/>
                <w:lang w:val="es-ES" w:eastAsia="en-GB"/>
              </w:rPr>
            </w:pPr>
          </w:p>
        </w:tc>
        <w:tc>
          <w:tcPr>
            <w:tcW w:w="1361" w:type="dxa"/>
            <w:tcBorders>
              <w:top w:val="nil"/>
              <w:left w:val="nil"/>
              <w:bottom w:val="nil"/>
            </w:tcBorders>
            <w:shd w:val="clear" w:color="auto" w:fill="auto"/>
            <w:noWrap/>
            <w:vAlign w:val="bottom"/>
            <w:hideMark/>
          </w:tcPr>
          <w:p w14:paraId="79AAC720"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bottom"/>
            <w:hideMark/>
          </w:tcPr>
          <w:p w14:paraId="27A6005A"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 </w:t>
            </w:r>
          </w:p>
        </w:tc>
        <w:tc>
          <w:tcPr>
            <w:tcW w:w="1361" w:type="dxa"/>
            <w:tcBorders>
              <w:top w:val="nil"/>
              <w:left w:val="nil"/>
              <w:bottom w:val="single" w:sz="4" w:space="0" w:color="auto"/>
              <w:right w:val="single" w:sz="4" w:space="0" w:color="auto"/>
            </w:tcBorders>
            <w:shd w:val="clear" w:color="auto" w:fill="auto"/>
            <w:noWrap/>
            <w:vAlign w:val="bottom"/>
            <w:hideMark/>
          </w:tcPr>
          <w:p w14:paraId="26683B90"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p>
        </w:tc>
      </w:tr>
      <w:tr w:rsidR="005704AC" w:rsidRPr="001A2E55" w14:paraId="5AA86153"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2FD5BACE" w14:textId="77777777" w:rsidR="005704AC" w:rsidRPr="001A2E55" w:rsidRDefault="005704AC" w:rsidP="005D4B97">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themeColor="text1"/>
                <w:sz w:val="20"/>
                <w:lang w:val="es-ES"/>
              </w:rPr>
              <w:t xml:space="preserve">A. </w:t>
            </w:r>
            <w:r w:rsidRPr="001A2E55">
              <w:rPr>
                <w:rFonts w:asciiTheme="minorHAnsi" w:eastAsia="Times New Roman" w:hAnsiTheme="minorHAnsi" w:cstheme="minorHAnsi"/>
                <w:noProof/>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356C2B48"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1 062</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1C536B6"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D09784"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3E519405" w14:textId="77777777" w:rsidR="005704AC" w:rsidRPr="001A2E55" w:rsidRDefault="005704AC" w:rsidP="005D4B97">
            <w:pPr>
              <w:ind w:left="0" w:firstLine="0"/>
              <w:jc w:val="right"/>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1 067</w:t>
            </w:r>
          </w:p>
        </w:tc>
      </w:tr>
      <w:tr w:rsidR="005704AC" w:rsidRPr="001A2E55" w14:paraId="699D754B"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08AAA15F"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4FD626D"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1 022</w:t>
            </w:r>
          </w:p>
        </w:tc>
        <w:tc>
          <w:tcPr>
            <w:tcW w:w="1361" w:type="dxa"/>
            <w:tcBorders>
              <w:top w:val="nil"/>
              <w:left w:val="nil"/>
              <w:bottom w:val="single" w:sz="4" w:space="0" w:color="auto"/>
              <w:right w:val="single" w:sz="4" w:space="0" w:color="auto"/>
            </w:tcBorders>
            <w:shd w:val="clear" w:color="auto" w:fill="auto"/>
            <w:noWrap/>
            <w:vAlign w:val="center"/>
            <w:hideMark/>
          </w:tcPr>
          <w:p w14:paraId="57B5A9D1"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F4095EF"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BC4D7F4"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1 022</w:t>
            </w:r>
          </w:p>
        </w:tc>
      </w:tr>
      <w:tr w:rsidR="005704AC" w:rsidRPr="001A2E55" w14:paraId="7E38A6EE"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AD4A"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069D112"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76864334"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7CD0D6B"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088768C"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45</w:t>
            </w:r>
          </w:p>
        </w:tc>
      </w:tr>
      <w:tr w:rsidR="0094536E" w:rsidRPr="001A2E55" w14:paraId="1673EAD9"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5E690300" w14:textId="77777777" w:rsidR="0094536E" w:rsidRPr="001A2E55" w:rsidRDefault="0094536E" w:rsidP="0094536E">
            <w:pPr>
              <w:ind w:left="0" w:firstLine="0"/>
              <w:rPr>
                <w:rFonts w:asciiTheme="minorHAnsi" w:eastAsia="Times New Roman" w:hAnsiTheme="minorHAnsi" w:cstheme="minorHAnsi"/>
                <w:noProof/>
                <w:color w:val="000000"/>
                <w:sz w:val="20"/>
                <w:szCs w:val="20"/>
                <w:lang w:val="es-ES" w:eastAsia="en-GB"/>
              </w:rPr>
            </w:pPr>
            <w:r w:rsidRPr="001A2E55">
              <w:rPr>
                <w:rFonts w:asciiTheme="minorHAnsi" w:hAnsiTheme="minorHAnsi" w:cstheme="minorHAnsi"/>
                <w:noProof/>
                <w:color w:val="000000"/>
                <w:sz w:val="20"/>
                <w:lang w:val="es-ES"/>
              </w:rPr>
              <w:t>B.</w:t>
            </w:r>
            <w:r w:rsidRPr="001A2E55">
              <w:rPr>
                <w:rFonts w:asciiTheme="minorHAnsi" w:eastAsia="Times New Roman" w:hAnsiTheme="minorHAnsi" w:cstheme="minorHAnsi"/>
                <w:noProof/>
                <w:color w:val="000000"/>
                <w:sz w:val="20"/>
                <w:szCs w:val="20"/>
                <w:lang w:val="es-ES" w:eastAsia="en-GB"/>
              </w:rPr>
              <w:t xml:space="preserve"> </w:t>
            </w:r>
            <w:r w:rsidRPr="001A2E55">
              <w:rPr>
                <w:rFonts w:asciiTheme="minorHAnsi" w:hAnsiTheme="minorHAnsi" w:cstheme="minorHAnsi"/>
                <w:noProof/>
                <w:color w:val="000000"/>
                <w:sz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7DA511A7" w14:textId="7D3A8131"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40A34122" w14:textId="362C6176"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52068CCB" w14:textId="2715B740"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67</w:t>
            </w:r>
          </w:p>
        </w:tc>
        <w:tc>
          <w:tcPr>
            <w:tcW w:w="1361" w:type="dxa"/>
            <w:tcBorders>
              <w:top w:val="nil"/>
              <w:left w:val="nil"/>
              <w:bottom w:val="single" w:sz="4" w:space="0" w:color="auto"/>
              <w:right w:val="single" w:sz="4" w:space="0" w:color="auto"/>
            </w:tcBorders>
            <w:shd w:val="clear" w:color="000000" w:fill="EAF1DD"/>
            <w:noWrap/>
            <w:vAlign w:val="center"/>
            <w:hideMark/>
          </w:tcPr>
          <w:p w14:paraId="6054209C" w14:textId="04060F7E"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620</w:t>
            </w:r>
          </w:p>
        </w:tc>
      </w:tr>
      <w:tr w:rsidR="0094536E" w:rsidRPr="001A2E55" w14:paraId="29FB2ACE"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8054911"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DD100E4" w14:textId="08A9605C"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561C2470" w14:textId="5DCA55EE"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0AEAF09" w14:textId="1EE28D2A"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87DB7A6" w14:textId="7A241D4A"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352</w:t>
            </w:r>
          </w:p>
        </w:tc>
      </w:tr>
      <w:tr w:rsidR="0094536E" w:rsidRPr="001A2E55" w14:paraId="1F92B38C" w14:textId="77777777" w:rsidTr="005D4B97">
        <w:trPr>
          <w:trHeight w:val="24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EFF6"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2FF38304" w14:textId="75AD1BDE"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2BF5F158" w14:textId="2F916815"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5387BFD" w14:textId="18795243"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47</w:t>
            </w:r>
          </w:p>
        </w:tc>
        <w:tc>
          <w:tcPr>
            <w:tcW w:w="1361" w:type="dxa"/>
            <w:tcBorders>
              <w:top w:val="nil"/>
              <w:left w:val="nil"/>
              <w:bottom w:val="single" w:sz="4" w:space="0" w:color="auto"/>
              <w:right w:val="single" w:sz="4" w:space="0" w:color="auto"/>
            </w:tcBorders>
            <w:shd w:val="clear" w:color="auto" w:fill="auto"/>
            <w:noWrap/>
            <w:vAlign w:val="center"/>
            <w:hideMark/>
          </w:tcPr>
          <w:p w14:paraId="32F9432C" w14:textId="4CA0C80F"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77</w:t>
            </w:r>
          </w:p>
        </w:tc>
      </w:tr>
      <w:tr w:rsidR="0094536E" w:rsidRPr="001A2E55" w14:paraId="72EDE8FC" w14:textId="77777777" w:rsidTr="005D4B97">
        <w:trPr>
          <w:trHeight w:val="525"/>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59FEBD0D"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1CA78899" w14:textId="7869C955"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62300622" w14:textId="61F3E57A"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7683B2A" w14:textId="69A4AA8E"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361" w:type="dxa"/>
            <w:tcBorders>
              <w:top w:val="nil"/>
              <w:left w:val="nil"/>
              <w:bottom w:val="single" w:sz="4" w:space="0" w:color="auto"/>
              <w:right w:val="single" w:sz="4" w:space="0" w:color="auto"/>
            </w:tcBorders>
            <w:shd w:val="clear" w:color="auto" w:fill="auto"/>
            <w:noWrap/>
            <w:vAlign w:val="center"/>
            <w:hideMark/>
          </w:tcPr>
          <w:p w14:paraId="24B29AEB" w14:textId="6256F135"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111</w:t>
            </w:r>
          </w:p>
        </w:tc>
      </w:tr>
      <w:tr w:rsidR="0094536E" w:rsidRPr="001A2E55" w14:paraId="10E9563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C0FED8E"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7A192A89" w14:textId="7615B4A1"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3281D4B0" w14:textId="0283555D"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9C934C9" w14:textId="4147F65A"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w:t>
            </w:r>
          </w:p>
        </w:tc>
        <w:tc>
          <w:tcPr>
            <w:tcW w:w="1361" w:type="dxa"/>
            <w:tcBorders>
              <w:top w:val="nil"/>
              <w:left w:val="nil"/>
              <w:bottom w:val="single" w:sz="4" w:space="0" w:color="auto"/>
              <w:right w:val="single" w:sz="4" w:space="0" w:color="auto"/>
            </w:tcBorders>
            <w:shd w:val="clear" w:color="auto" w:fill="auto"/>
            <w:noWrap/>
            <w:vAlign w:val="center"/>
            <w:hideMark/>
          </w:tcPr>
          <w:p w14:paraId="76FADC7B" w14:textId="47BA1944"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65</w:t>
            </w:r>
          </w:p>
        </w:tc>
      </w:tr>
      <w:tr w:rsidR="005704AC" w:rsidRPr="001A2E55" w14:paraId="39A67C98"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D35DE26"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76985202"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4C8F20BE"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9E80958"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5BB3329"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15</w:t>
            </w:r>
          </w:p>
        </w:tc>
      </w:tr>
      <w:tr w:rsidR="0094536E" w:rsidRPr="001A2E55" w14:paraId="1914188C"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43069EBF"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 xml:space="preserve">C. </w:t>
            </w:r>
            <w:r w:rsidRPr="001A2E55">
              <w:rPr>
                <w:rFonts w:asciiTheme="minorHAnsi" w:eastAsia="Times New Roman" w:hAnsiTheme="minorHAnsi" w:cstheme="minorHAnsi"/>
                <w:noProof/>
                <w:color w:val="000000"/>
                <w:sz w:val="20"/>
                <w:szCs w:val="20"/>
                <w:lang w:val="es-ES" w:eastAsia="en-GB"/>
              </w:rPr>
              <w:t xml:space="preserve"> </w:t>
            </w:r>
            <w:r w:rsidRPr="001A2E55">
              <w:rPr>
                <w:rFonts w:asciiTheme="minorHAnsi" w:hAnsiTheme="minorHAnsi" w:cstheme="minorHAnsi"/>
                <w:noProof/>
                <w:color w:val="000000"/>
                <w:sz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7004E2D2" w14:textId="4B45E594"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1 316</w:t>
            </w:r>
          </w:p>
        </w:tc>
        <w:tc>
          <w:tcPr>
            <w:tcW w:w="1361" w:type="dxa"/>
            <w:tcBorders>
              <w:top w:val="nil"/>
              <w:left w:val="nil"/>
              <w:bottom w:val="single" w:sz="4" w:space="0" w:color="auto"/>
              <w:right w:val="single" w:sz="4" w:space="0" w:color="auto"/>
            </w:tcBorders>
            <w:shd w:val="clear" w:color="000000" w:fill="EAF1DD"/>
            <w:noWrap/>
            <w:vAlign w:val="center"/>
            <w:hideMark/>
          </w:tcPr>
          <w:p w14:paraId="067E7F8A" w14:textId="6E9C2A48"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DEF7E51" w14:textId="70C2208D"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302</w:t>
            </w:r>
          </w:p>
        </w:tc>
        <w:tc>
          <w:tcPr>
            <w:tcW w:w="1361" w:type="dxa"/>
            <w:tcBorders>
              <w:top w:val="nil"/>
              <w:left w:val="nil"/>
              <w:bottom w:val="single" w:sz="4" w:space="0" w:color="auto"/>
              <w:right w:val="single" w:sz="4" w:space="0" w:color="auto"/>
            </w:tcBorders>
            <w:shd w:val="clear" w:color="000000" w:fill="EAF1DD"/>
            <w:noWrap/>
            <w:vAlign w:val="center"/>
            <w:hideMark/>
          </w:tcPr>
          <w:p w14:paraId="27CDB135" w14:textId="349D13B2"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1 628</w:t>
            </w:r>
          </w:p>
        </w:tc>
      </w:tr>
      <w:tr w:rsidR="0094536E" w:rsidRPr="001A2E55" w14:paraId="79516383"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32FE619E"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F3AB0F" w14:textId="4566E52D"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1 249</w:t>
            </w:r>
          </w:p>
        </w:tc>
        <w:tc>
          <w:tcPr>
            <w:tcW w:w="1361" w:type="dxa"/>
            <w:tcBorders>
              <w:top w:val="nil"/>
              <w:left w:val="nil"/>
              <w:bottom w:val="single" w:sz="4" w:space="0" w:color="auto"/>
              <w:right w:val="single" w:sz="4" w:space="0" w:color="auto"/>
            </w:tcBorders>
            <w:shd w:val="clear" w:color="auto" w:fill="auto"/>
            <w:noWrap/>
            <w:vAlign w:val="center"/>
            <w:hideMark/>
          </w:tcPr>
          <w:p w14:paraId="15F6554A" w14:textId="1E2C9F7D"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32AE82" w14:textId="64ACD3E0"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015D74AB" w14:textId="2B0FD76E"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1 474</w:t>
            </w:r>
          </w:p>
        </w:tc>
      </w:tr>
      <w:tr w:rsidR="0094536E" w:rsidRPr="001A2E55" w14:paraId="6AEBE3FD"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9CEA"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28799D9" w14:textId="00A31CA4"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2725CF55" w14:textId="4FAA1437"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08FBDE1" w14:textId="1E71B336"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57454F3" w14:textId="6D0D15D0"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77</w:t>
            </w:r>
          </w:p>
        </w:tc>
      </w:tr>
      <w:tr w:rsidR="0094536E" w:rsidRPr="001A2E55" w14:paraId="68039576"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6964875"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7E66B1E7" w14:textId="1C62B5DD"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4C3DF6E" w14:textId="7E79F78A"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95F6A2F" w14:textId="17DA9EE8"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77</w:t>
            </w:r>
          </w:p>
        </w:tc>
        <w:tc>
          <w:tcPr>
            <w:tcW w:w="1361" w:type="dxa"/>
            <w:tcBorders>
              <w:top w:val="nil"/>
              <w:left w:val="nil"/>
              <w:bottom w:val="single" w:sz="4" w:space="0" w:color="auto"/>
              <w:right w:val="single" w:sz="4" w:space="0" w:color="auto"/>
            </w:tcBorders>
            <w:shd w:val="clear" w:color="auto" w:fill="auto"/>
            <w:noWrap/>
            <w:vAlign w:val="center"/>
            <w:hideMark/>
          </w:tcPr>
          <w:p w14:paraId="4C796424" w14:textId="0BD0FC78"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77</w:t>
            </w:r>
          </w:p>
        </w:tc>
      </w:tr>
      <w:tr w:rsidR="0094536E" w:rsidRPr="001A2E55" w14:paraId="1DF6908B"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6C89CEA5"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D.</w:t>
            </w:r>
            <w:r w:rsidRPr="001A2E55">
              <w:rPr>
                <w:rFonts w:asciiTheme="minorHAnsi" w:eastAsia="Times New Roman" w:hAnsiTheme="minorHAnsi" w:cstheme="minorHAnsi"/>
                <w:noProof/>
                <w:color w:val="000000"/>
                <w:sz w:val="20"/>
                <w:szCs w:val="20"/>
                <w:lang w:val="es-ES" w:eastAsia="en-GB"/>
              </w:rPr>
              <w:t xml:space="preserve"> </w:t>
            </w:r>
            <w:r w:rsidRPr="001A2E55">
              <w:rPr>
                <w:rFonts w:asciiTheme="minorHAnsi" w:hAnsiTheme="minorHAnsi" w:cstheme="minorHAnsi"/>
                <w:noProof/>
                <w:color w:val="000000"/>
                <w:sz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7DC976AA" w14:textId="66986879"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34DA5929" w14:textId="3B53A16F"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79B480C" w14:textId="4655D654"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155</w:t>
            </w:r>
          </w:p>
        </w:tc>
        <w:tc>
          <w:tcPr>
            <w:tcW w:w="1361" w:type="dxa"/>
            <w:tcBorders>
              <w:top w:val="nil"/>
              <w:left w:val="nil"/>
              <w:bottom w:val="single" w:sz="4" w:space="0" w:color="auto"/>
              <w:right w:val="single" w:sz="4" w:space="0" w:color="auto"/>
            </w:tcBorders>
            <w:shd w:val="clear" w:color="000000" w:fill="EAF1DD"/>
            <w:noWrap/>
            <w:vAlign w:val="center"/>
            <w:hideMark/>
          </w:tcPr>
          <w:p w14:paraId="5B27B924" w14:textId="7A4A4286"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255</w:t>
            </w:r>
          </w:p>
        </w:tc>
      </w:tr>
      <w:tr w:rsidR="0094536E" w:rsidRPr="001A2E55" w14:paraId="59B0B8D9" w14:textId="77777777" w:rsidTr="005D4B97">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1713DEA5" w14:textId="30EF2EB2"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Redes y centros regionales                                         (</w:t>
            </w:r>
            <w:r w:rsidRPr="001A2E55">
              <w:rPr>
                <w:rFonts w:asciiTheme="minorHAnsi" w:eastAsia="Times New Roman" w:hAnsiTheme="minorHAnsi" w:cstheme="minorHAnsi"/>
                <w:i/>
                <w:iCs/>
                <w:noProof/>
                <w:sz w:val="20"/>
                <w:szCs w:val="20"/>
                <w:lang w:val="es-ES" w:eastAsia="en-GB"/>
              </w:rPr>
              <w:t>NOTA: para su examen por la reunión SC65</w:t>
            </w:r>
            <w:r w:rsidRPr="001A2E55">
              <w:rPr>
                <w:rFonts w:asciiTheme="minorHAnsi" w:eastAsia="Times New Roman" w:hAnsiTheme="minorHAnsi" w:cstheme="minorHAnsi"/>
                <w:noProof/>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051119E" w14:textId="13CEC556"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711DC4A5" w14:textId="6E0EC032"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E0DDDA9" w14:textId="08B537FC"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155</w:t>
            </w:r>
          </w:p>
        </w:tc>
        <w:tc>
          <w:tcPr>
            <w:tcW w:w="1361" w:type="dxa"/>
            <w:tcBorders>
              <w:top w:val="nil"/>
              <w:left w:val="nil"/>
              <w:bottom w:val="single" w:sz="4" w:space="0" w:color="auto"/>
              <w:right w:val="single" w:sz="4" w:space="0" w:color="auto"/>
            </w:tcBorders>
            <w:shd w:val="clear" w:color="auto" w:fill="auto"/>
            <w:noWrap/>
            <w:vAlign w:val="center"/>
            <w:hideMark/>
          </w:tcPr>
          <w:p w14:paraId="14FD6FA5" w14:textId="2617DD83"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255</w:t>
            </w:r>
          </w:p>
        </w:tc>
      </w:tr>
      <w:tr w:rsidR="0094536E" w:rsidRPr="001A2E55" w14:paraId="75CC5384"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16FB341C"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E.</w:t>
            </w:r>
            <w:r w:rsidRPr="001A2E55">
              <w:rPr>
                <w:rFonts w:asciiTheme="minorHAnsi" w:eastAsia="Times New Roman" w:hAnsiTheme="minorHAnsi" w:cstheme="minorHAnsi"/>
                <w:noProof/>
                <w:color w:val="000000"/>
                <w:sz w:val="20"/>
                <w:szCs w:val="20"/>
                <w:lang w:val="es-ES" w:eastAsia="en-GB"/>
              </w:rPr>
              <w:t xml:space="preserve"> </w:t>
            </w:r>
            <w:r w:rsidRPr="001A2E55">
              <w:rPr>
                <w:rFonts w:asciiTheme="minorHAnsi" w:hAnsiTheme="minorHAnsi" w:cstheme="minorHAnsi"/>
                <w:noProof/>
                <w:color w:val="000000"/>
                <w:sz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3E0AC77A" w14:textId="027100D7"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817</w:t>
            </w:r>
          </w:p>
        </w:tc>
        <w:tc>
          <w:tcPr>
            <w:tcW w:w="1361" w:type="dxa"/>
            <w:tcBorders>
              <w:top w:val="nil"/>
              <w:left w:val="nil"/>
              <w:bottom w:val="single" w:sz="4" w:space="0" w:color="auto"/>
              <w:right w:val="single" w:sz="4" w:space="0" w:color="auto"/>
            </w:tcBorders>
            <w:shd w:val="clear" w:color="000000" w:fill="EAF1DD"/>
            <w:noWrap/>
            <w:vAlign w:val="center"/>
            <w:hideMark/>
          </w:tcPr>
          <w:p w14:paraId="3E935ABA" w14:textId="79EAA903" w:rsidR="0094536E" w:rsidRPr="001A2E55" w:rsidRDefault="0094536E" w:rsidP="0094536E">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60C6F62" w14:textId="7B24FD08"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233</w:t>
            </w:r>
          </w:p>
        </w:tc>
        <w:tc>
          <w:tcPr>
            <w:tcW w:w="1361" w:type="dxa"/>
            <w:tcBorders>
              <w:top w:val="nil"/>
              <w:left w:val="nil"/>
              <w:bottom w:val="single" w:sz="4" w:space="0" w:color="auto"/>
              <w:right w:val="single" w:sz="4" w:space="0" w:color="auto"/>
            </w:tcBorders>
            <w:shd w:val="clear" w:color="000000" w:fill="EAF1DD"/>
            <w:noWrap/>
            <w:vAlign w:val="center"/>
            <w:hideMark/>
          </w:tcPr>
          <w:p w14:paraId="1619C5F7" w14:textId="4290DABA" w:rsidR="0094536E" w:rsidRPr="001A2E55" w:rsidRDefault="0094536E" w:rsidP="0094536E">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1 055</w:t>
            </w:r>
          </w:p>
        </w:tc>
      </w:tr>
      <w:tr w:rsidR="0094536E" w:rsidRPr="001A2E55" w14:paraId="06D85444"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3AACF766"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89BD50E" w14:textId="7546E617"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649</w:t>
            </w:r>
          </w:p>
        </w:tc>
        <w:tc>
          <w:tcPr>
            <w:tcW w:w="1361" w:type="dxa"/>
            <w:tcBorders>
              <w:top w:val="nil"/>
              <w:left w:val="nil"/>
              <w:bottom w:val="single" w:sz="4" w:space="0" w:color="auto"/>
              <w:right w:val="single" w:sz="4" w:space="0" w:color="auto"/>
            </w:tcBorders>
            <w:shd w:val="clear" w:color="auto" w:fill="auto"/>
            <w:noWrap/>
            <w:vAlign w:val="center"/>
            <w:hideMark/>
          </w:tcPr>
          <w:p w14:paraId="2D493B20" w14:textId="6829D7FD"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D6E0793" w14:textId="1EDE725C"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44</w:t>
            </w:r>
          </w:p>
        </w:tc>
        <w:tc>
          <w:tcPr>
            <w:tcW w:w="1361" w:type="dxa"/>
            <w:tcBorders>
              <w:top w:val="nil"/>
              <w:left w:val="nil"/>
              <w:bottom w:val="single" w:sz="4" w:space="0" w:color="auto"/>
              <w:right w:val="single" w:sz="4" w:space="0" w:color="auto"/>
            </w:tcBorders>
            <w:shd w:val="clear" w:color="auto" w:fill="auto"/>
            <w:noWrap/>
            <w:vAlign w:val="center"/>
            <w:hideMark/>
          </w:tcPr>
          <w:p w14:paraId="31258126" w14:textId="6846E8DF"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693</w:t>
            </w:r>
          </w:p>
        </w:tc>
      </w:tr>
      <w:tr w:rsidR="0094536E" w:rsidRPr="001A2E55" w14:paraId="3FA82659"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76CA"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C4B052B" w14:textId="51CA2188"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0511F7AD" w14:textId="74F04695"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574C0A" w14:textId="239C69FA"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4</w:t>
            </w:r>
          </w:p>
        </w:tc>
        <w:tc>
          <w:tcPr>
            <w:tcW w:w="1361" w:type="dxa"/>
            <w:tcBorders>
              <w:top w:val="nil"/>
              <w:left w:val="nil"/>
              <w:bottom w:val="single" w:sz="4" w:space="0" w:color="auto"/>
              <w:right w:val="single" w:sz="4" w:space="0" w:color="auto"/>
            </w:tcBorders>
            <w:shd w:val="clear" w:color="auto" w:fill="auto"/>
            <w:noWrap/>
            <w:vAlign w:val="center"/>
            <w:hideMark/>
          </w:tcPr>
          <w:p w14:paraId="390CEB35" w14:textId="35DAFD08"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22</w:t>
            </w:r>
          </w:p>
        </w:tc>
      </w:tr>
      <w:tr w:rsidR="0094536E" w:rsidRPr="001A2E55" w14:paraId="79DD1CDD"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0D3F2DC"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4E18A32F" w14:textId="601D40CA"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23923EF" w14:textId="32D8399E"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2443D8" w14:textId="76111AEB"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B4B7BE6" w14:textId="5C734987"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5</w:t>
            </w:r>
          </w:p>
        </w:tc>
      </w:tr>
      <w:tr w:rsidR="0094536E" w:rsidRPr="001A2E55" w14:paraId="13420B8B"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2A94338" w14:textId="77777777" w:rsidR="0094536E" w:rsidRPr="001A2E55" w:rsidRDefault="0094536E" w:rsidP="0094536E">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themeColor="text1"/>
                <w:sz w:val="20"/>
                <w:lang w:val="es-ES"/>
              </w:rPr>
              <w:t xml:space="preserve">Trabajo del </w:t>
            </w:r>
            <w:r w:rsidRPr="001A2E55">
              <w:rPr>
                <w:rFonts w:asciiTheme="minorHAnsi" w:hAnsiTheme="minorHAnsi" w:cstheme="minorHAnsi"/>
                <w:noProof/>
                <w:color w:val="000000"/>
                <w:sz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22849BC7" w14:textId="14E3DA0A"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458F25D" w14:textId="4F505898" w:rsidR="0094536E" w:rsidRPr="001A2E55" w:rsidRDefault="0094536E" w:rsidP="0094536E">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356C827" w14:textId="008BFF45"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14</w:t>
            </w:r>
          </w:p>
        </w:tc>
        <w:tc>
          <w:tcPr>
            <w:tcW w:w="1361" w:type="dxa"/>
            <w:tcBorders>
              <w:top w:val="nil"/>
              <w:left w:val="nil"/>
              <w:bottom w:val="single" w:sz="4" w:space="0" w:color="auto"/>
              <w:right w:val="single" w:sz="4" w:space="0" w:color="auto"/>
            </w:tcBorders>
            <w:shd w:val="clear" w:color="auto" w:fill="auto"/>
            <w:noWrap/>
            <w:vAlign w:val="center"/>
            <w:hideMark/>
          </w:tcPr>
          <w:p w14:paraId="63496F5C" w14:textId="69DC8BA3" w:rsidR="0094536E" w:rsidRPr="001A2E55" w:rsidRDefault="0094536E" w:rsidP="0094536E">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54</w:t>
            </w:r>
          </w:p>
        </w:tc>
      </w:tr>
      <w:tr w:rsidR="00D33954" w:rsidRPr="001A2E55" w14:paraId="052EB0C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7C19548"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0888D76E" w14:textId="7F15CB5F"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04BD5C80" w14:textId="54BF3854"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F923D30" w14:textId="3C6FA5D3"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8425E76" w14:textId="0D5D71CC"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50</w:t>
            </w:r>
          </w:p>
        </w:tc>
      </w:tr>
      <w:tr w:rsidR="00D33954" w:rsidRPr="001A2E55" w14:paraId="14EF7C7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B41A3CD"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lastRenderedPageBreak/>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5035EEED" w14:textId="0EFDA59E"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01BD2E3" w14:textId="0400E8FF"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67631AC" w14:textId="70AF7235"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27</w:t>
            </w:r>
          </w:p>
        </w:tc>
        <w:tc>
          <w:tcPr>
            <w:tcW w:w="1361" w:type="dxa"/>
            <w:tcBorders>
              <w:top w:val="nil"/>
              <w:left w:val="nil"/>
              <w:bottom w:val="single" w:sz="4" w:space="0" w:color="auto"/>
              <w:right w:val="single" w:sz="4" w:space="0" w:color="auto"/>
            </w:tcBorders>
            <w:shd w:val="clear" w:color="auto" w:fill="auto"/>
            <w:noWrap/>
            <w:vAlign w:val="center"/>
            <w:hideMark/>
          </w:tcPr>
          <w:p w14:paraId="7F5C59D7" w14:textId="1BE62F34"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27</w:t>
            </w:r>
          </w:p>
        </w:tc>
      </w:tr>
      <w:tr w:rsidR="00D33954" w:rsidRPr="001A2E55" w14:paraId="1BA2A806"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2861E9F"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2E51813F" w14:textId="73AEE272"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7D80C4E" w14:textId="7A23201C"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65CCB94" w14:textId="30AA2DAE"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30FAABEE" w14:textId="28AAAFC1"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30</w:t>
            </w:r>
          </w:p>
        </w:tc>
      </w:tr>
      <w:tr w:rsidR="00D33954" w:rsidRPr="001A2E55" w14:paraId="0085943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A14AA7F"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15DDAC72" w14:textId="785AA9FE"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742D50E0" w14:textId="166156AC"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9849BD0" w14:textId="4A05E7C4"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64</w:t>
            </w:r>
          </w:p>
        </w:tc>
        <w:tc>
          <w:tcPr>
            <w:tcW w:w="1361" w:type="dxa"/>
            <w:tcBorders>
              <w:top w:val="nil"/>
              <w:left w:val="nil"/>
              <w:bottom w:val="single" w:sz="4" w:space="0" w:color="auto"/>
              <w:right w:val="single" w:sz="4" w:space="0" w:color="auto"/>
            </w:tcBorders>
            <w:shd w:val="clear" w:color="auto" w:fill="auto"/>
            <w:noWrap/>
            <w:vAlign w:val="center"/>
            <w:hideMark/>
          </w:tcPr>
          <w:p w14:paraId="3F5A268C" w14:textId="14080924"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124</w:t>
            </w:r>
          </w:p>
        </w:tc>
      </w:tr>
      <w:tr w:rsidR="00D33954" w:rsidRPr="001A2E55" w14:paraId="67AC251A"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3CE7ADC6" w14:textId="77777777" w:rsidR="00D33954" w:rsidRPr="001A2E55" w:rsidRDefault="00D33954" w:rsidP="00D33954">
            <w:pPr>
              <w:ind w:left="0" w:firstLine="0"/>
              <w:rPr>
                <w:rFonts w:asciiTheme="minorHAnsi" w:hAnsiTheme="minorHAnsi" w:cstheme="minorHAnsi"/>
                <w:noProof/>
                <w:sz w:val="20"/>
                <w:lang w:val="es-ES"/>
              </w:rPr>
            </w:pPr>
            <w:r w:rsidRPr="001A2E55">
              <w:rPr>
                <w:rFonts w:asciiTheme="minorHAnsi" w:hAnsiTheme="minorHAnsi" w:cstheme="minorHAnsi"/>
                <w:noProof/>
                <w:sz w:val="20"/>
                <w:lang w:val="es-ES"/>
              </w:rPr>
              <w:t>Servicio de Información sobre Sitios Ramsar</w:t>
            </w:r>
          </w:p>
          <w:p w14:paraId="1F94B7A9" w14:textId="437C28B6" w:rsidR="00D33954" w:rsidRPr="001A2E55" w:rsidRDefault="00D33954" w:rsidP="00D33954">
            <w:pPr>
              <w:ind w:left="0" w:firstLine="0"/>
              <w:rPr>
                <w:rFonts w:asciiTheme="minorHAnsi" w:hAnsiTheme="minorHAnsi" w:cstheme="minorHAnsi"/>
                <w:bCs/>
                <w:noProof/>
                <w:sz w:val="20"/>
                <w:szCs w:val="20"/>
                <w:lang w:val="es-ES"/>
              </w:rPr>
            </w:pPr>
            <w:r w:rsidRPr="001A2E55">
              <w:rPr>
                <w:rFonts w:asciiTheme="minorHAnsi" w:hAnsiTheme="minorHAnsi" w:cstheme="minorHAnsi"/>
                <w:bCs/>
                <w:noProof/>
                <w:sz w:val="20"/>
                <w:szCs w:val="20"/>
                <w:lang w:val="es-ES"/>
              </w:rPr>
              <w:t>(apoyo técnico para el trienio 2023-2025)</w:t>
            </w:r>
          </w:p>
        </w:tc>
        <w:tc>
          <w:tcPr>
            <w:tcW w:w="1361" w:type="dxa"/>
            <w:tcBorders>
              <w:top w:val="nil"/>
              <w:left w:val="nil"/>
              <w:bottom w:val="single" w:sz="4" w:space="0" w:color="auto"/>
              <w:right w:val="single" w:sz="4" w:space="0" w:color="auto"/>
            </w:tcBorders>
            <w:shd w:val="clear" w:color="auto" w:fill="auto"/>
            <w:noWrap/>
            <w:vAlign w:val="center"/>
          </w:tcPr>
          <w:p w14:paraId="27569D86" w14:textId="7706B49A" w:rsidR="00D33954" w:rsidRPr="001A2E55" w:rsidDel="00C45BA2"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0E5D577" w14:textId="06303143"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C3B05C4" w14:textId="5463045C" w:rsidR="00D33954" w:rsidRPr="001A2E55" w:rsidDel="00C45BA2"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tcPr>
          <w:p w14:paraId="0F5915F6" w14:textId="41D8D4CC" w:rsidR="00D33954" w:rsidRPr="001A2E55" w:rsidDel="00C45BA2"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50</w:t>
            </w:r>
          </w:p>
        </w:tc>
      </w:tr>
      <w:tr w:rsidR="00D33954" w:rsidRPr="001A2E55" w14:paraId="7D93CC14"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52185320"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 xml:space="preserve">F.  </w:t>
            </w:r>
            <w:r w:rsidRPr="001A2E55">
              <w:rPr>
                <w:rFonts w:asciiTheme="minorHAnsi" w:hAnsiTheme="minorHAnsi" w:cstheme="minorHAnsi"/>
                <w:noProof/>
                <w:sz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0A39D60F" w14:textId="63940CB7" w:rsidR="00D33954" w:rsidRPr="001A2E55" w:rsidRDefault="00D33954" w:rsidP="00D33954">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478</w:t>
            </w:r>
          </w:p>
        </w:tc>
        <w:tc>
          <w:tcPr>
            <w:tcW w:w="1361" w:type="dxa"/>
            <w:tcBorders>
              <w:top w:val="nil"/>
              <w:left w:val="nil"/>
              <w:bottom w:val="single" w:sz="4" w:space="0" w:color="auto"/>
              <w:right w:val="single" w:sz="4" w:space="0" w:color="auto"/>
            </w:tcBorders>
            <w:shd w:val="clear" w:color="000000" w:fill="EAF1DD"/>
            <w:noWrap/>
            <w:vAlign w:val="center"/>
            <w:hideMark/>
          </w:tcPr>
          <w:p w14:paraId="67D5B259" w14:textId="67260832" w:rsidR="00D33954" w:rsidRPr="001A2E55" w:rsidRDefault="00D33954" w:rsidP="00D33954">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0C27E351" w14:textId="01841E2D" w:rsidR="00D33954" w:rsidRPr="001A2E55" w:rsidRDefault="00D33954" w:rsidP="00D33954">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151</w:t>
            </w:r>
          </w:p>
        </w:tc>
        <w:tc>
          <w:tcPr>
            <w:tcW w:w="1361" w:type="dxa"/>
            <w:tcBorders>
              <w:top w:val="nil"/>
              <w:left w:val="nil"/>
              <w:bottom w:val="single" w:sz="4" w:space="0" w:color="auto"/>
              <w:right w:val="single" w:sz="4" w:space="0" w:color="auto"/>
            </w:tcBorders>
            <w:shd w:val="clear" w:color="000000" w:fill="EAF1DD"/>
            <w:noWrap/>
            <w:vAlign w:val="center"/>
            <w:hideMark/>
          </w:tcPr>
          <w:p w14:paraId="71484BE0" w14:textId="6E09EC2C" w:rsidR="00D33954" w:rsidRPr="001A2E55" w:rsidRDefault="00D33954" w:rsidP="00D33954">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640</w:t>
            </w:r>
          </w:p>
        </w:tc>
      </w:tr>
      <w:tr w:rsidR="00D33954" w:rsidRPr="001A2E55" w14:paraId="4BC8B7B5"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2A091746"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9CEA395" w14:textId="659DF288"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47666C16" w14:textId="5B5D881B"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F4D637B" w14:textId="338371F6"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6EE3735" w14:textId="27B884E5"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331</w:t>
            </w:r>
          </w:p>
        </w:tc>
      </w:tr>
      <w:tr w:rsidR="00D33954" w:rsidRPr="001A2E55" w14:paraId="71961322"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7138"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1FD062B6" w14:textId="06F9D415"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867B337" w14:textId="629FDBE0"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D530950" w14:textId="390E55C1"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5993514" w14:textId="7938E953"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r>
      <w:tr w:rsidR="005704AC" w:rsidRPr="001A2E55" w14:paraId="1CCF8DE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568FB82"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47858351"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80B9324"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F18A851"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FFDF5E8"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r>
      <w:tr w:rsidR="00D33954" w:rsidRPr="001A2E55" w14:paraId="5465F287"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18317AD" w14:textId="3BAAC086" w:rsidR="00D33954" w:rsidRPr="001A2E55" w:rsidRDefault="00894E14" w:rsidP="00D33954">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lang w:val="es-ES"/>
              </w:rPr>
              <w:t>Equipo y suministros</w:t>
            </w:r>
            <w:r w:rsidR="00D33954" w:rsidRPr="001A2E55">
              <w:rPr>
                <w:rFonts w:asciiTheme="minorHAnsi" w:hAnsiTheme="minorHAnsi" w:cstheme="minorHAnsi"/>
                <w:noProof/>
                <w:sz w:val="20"/>
                <w:lang w:val="es-ES"/>
              </w:rPr>
              <w:t xml:space="preserve">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7D303C5C" w14:textId="6D18DF19"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3E888092" w14:textId="5024B98C"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5B9314A" w14:textId="0E7BD0DF"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27</w:t>
            </w:r>
          </w:p>
        </w:tc>
        <w:tc>
          <w:tcPr>
            <w:tcW w:w="1361" w:type="dxa"/>
            <w:tcBorders>
              <w:top w:val="nil"/>
              <w:left w:val="nil"/>
              <w:bottom w:val="single" w:sz="4" w:space="0" w:color="auto"/>
              <w:right w:val="single" w:sz="4" w:space="0" w:color="auto"/>
            </w:tcBorders>
            <w:shd w:val="clear" w:color="auto" w:fill="auto"/>
            <w:noWrap/>
            <w:vAlign w:val="center"/>
            <w:hideMark/>
          </w:tcPr>
          <w:p w14:paraId="7CA4ABF6" w14:textId="4D316B07"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122</w:t>
            </w:r>
          </w:p>
        </w:tc>
      </w:tr>
      <w:tr w:rsidR="00D33954" w:rsidRPr="001A2E55" w14:paraId="20A96A9B"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616101D" w14:textId="77777777" w:rsidR="00D33954" w:rsidRPr="001A2E55" w:rsidRDefault="00D33954" w:rsidP="00D33954">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77751807" w14:textId="699C4925"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227A92B" w14:textId="7360FB2A"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91D4BA" w14:textId="44DC056C" w:rsidR="00D33954" w:rsidRPr="001A2E55" w:rsidRDefault="00D33954" w:rsidP="00D33954">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439AB1F2" w14:textId="009C2E7B" w:rsidR="00D33954" w:rsidRPr="001A2E55" w:rsidRDefault="00D33954" w:rsidP="00D33954">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71</w:t>
            </w:r>
          </w:p>
        </w:tc>
      </w:tr>
      <w:tr w:rsidR="00091907" w:rsidRPr="001A2E55" w14:paraId="4F36C4C9"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1E6B800C"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1D1C07A1" w14:textId="16B83BE3"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575D78F7" w14:textId="48974816"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7F66E87" w14:textId="3C88F546"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35</w:t>
            </w:r>
          </w:p>
        </w:tc>
        <w:tc>
          <w:tcPr>
            <w:tcW w:w="1361" w:type="dxa"/>
            <w:tcBorders>
              <w:top w:val="nil"/>
              <w:left w:val="nil"/>
              <w:bottom w:val="single" w:sz="4" w:space="0" w:color="auto"/>
              <w:right w:val="single" w:sz="4" w:space="0" w:color="auto"/>
            </w:tcBorders>
            <w:shd w:val="clear" w:color="000000" w:fill="EAF1DD"/>
            <w:noWrap/>
            <w:vAlign w:val="center"/>
            <w:hideMark/>
          </w:tcPr>
          <w:p w14:paraId="03FAFFDF" w14:textId="5ADF09FA"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185</w:t>
            </w:r>
          </w:p>
        </w:tc>
      </w:tr>
      <w:tr w:rsidR="00091907" w:rsidRPr="001A2E55" w14:paraId="6D5480A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3282465"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608F435" w14:textId="5EBB8BEE"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108D73F8" w14:textId="3FB01EC9"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A6ABFD" w14:textId="4386156A"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E20D9E9" w14:textId="64345CC5"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45</w:t>
            </w:r>
          </w:p>
        </w:tc>
      </w:tr>
      <w:tr w:rsidR="005704AC" w:rsidRPr="001A2E55" w14:paraId="628FFD61"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DD98686"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7D0AB17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E4847C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5F673D6"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AC6AAB6"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10</w:t>
            </w:r>
          </w:p>
        </w:tc>
      </w:tr>
      <w:tr w:rsidR="005704AC" w:rsidRPr="001A2E55" w14:paraId="02178E81"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8F8566B" w14:textId="7CC234F3"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lang w:val="es-ES"/>
              </w:rPr>
              <w:t xml:space="preserve">Traducción para el </w:t>
            </w:r>
            <w:r w:rsidR="00E84B6F" w:rsidRPr="001A2E55">
              <w:rPr>
                <w:rFonts w:asciiTheme="minorHAnsi" w:hAnsiTheme="minorHAnsi" w:cstheme="minorHAnsi"/>
                <w:noProof/>
                <w:sz w:val="20"/>
                <w:lang w:val="es-ES"/>
              </w:rPr>
              <w:t>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7A181B16"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09D4217E"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A15940D"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8DD6FD2"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60</w:t>
            </w:r>
          </w:p>
        </w:tc>
      </w:tr>
      <w:tr w:rsidR="005704AC" w:rsidRPr="001A2E55" w14:paraId="6E7B7812"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CC29BB7" w14:textId="19D3DF26"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szCs w:val="20"/>
                <w:lang w:val="es-ES"/>
              </w:rPr>
              <w:t xml:space="preserve">Interpretación simultánea en las reuniones del </w:t>
            </w:r>
            <w:r w:rsidR="00E84B6F" w:rsidRPr="001A2E55">
              <w:rPr>
                <w:rFonts w:asciiTheme="minorHAnsi" w:hAnsiTheme="minorHAnsi" w:cstheme="minorHAnsi"/>
                <w:noProof/>
                <w:sz w:val="20"/>
                <w:szCs w:val="20"/>
                <w:lang w:val="es-ES"/>
              </w:rPr>
              <w:t>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0DCA5C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1BD1B704"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766CC80"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DC01F3F"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35</w:t>
            </w:r>
          </w:p>
        </w:tc>
      </w:tr>
      <w:tr w:rsidR="005704AC" w:rsidRPr="001A2E55" w14:paraId="46E0EA2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1BA2F9F"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2EC19B96"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47AA581"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02C21CE"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4</w:t>
            </w:r>
          </w:p>
        </w:tc>
        <w:tc>
          <w:tcPr>
            <w:tcW w:w="1361" w:type="dxa"/>
            <w:tcBorders>
              <w:top w:val="nil"/>
              <w:left w:val="nil"/>
              <w:bottom w:val="single" w:sz="4" w:space="0" w:color="auto"/>
              <w:right w:val="single" w:sz="4" w:space="0" w:color="auto"/>
            </w:tcBorders>
            <w:shd w:val="clear" w:color="auto" w:fill="auto"/>
            <w:noWrap/>
            <w:vAlign w:val="center"/>
            <w:hideMark/>
          </w:tcPr>
          <w:p w14:paraId="38198A71"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4</w:t>
            </w:r>
          </w:p>
        </w:tc>
      </w:tr>
      <w:tr w:rsidR="005704AC" w:rsidRPr="001A2E55" w14:paraId="6986B8C8"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3D834E2E" w14:textId="682BC630" w:rsidR="005704AC" w:rsidRPr="001A2E55" w:rsidRDefault="00527047" w:rsidP="005D4B97">
            <w:pPr>
              <w:ind w:left="0" w:firstLine="0"/>
              <w:rPr>
                <w:rFonts w:asciiTheme="minorHAnsi" w:hAnsiTheme="minorHAnsi" w:cstheme="minorHAnsi"/>
                <w:noProof/>
                <w:sz w:val="20"/>
                <w:szCs w:val="20"/>
                <w:highlight w:val="yellow"/>
                <w:lang w:val="es-ES"/>
              </w:rPr>
            </w:pPr>
            <w:r w:rsidRPr="001A2E55">
              <w:rPr>
                <w:rFonts w:asciiTheme="minorHAnsi" w:hAnsiTheme="minorHAnsi" w:cstheme="minorHAnsi"/>
                <w:bCs/>
                <w:noProof/>
                <w:sz w:val="20"/>
                <w:szCs w:val="20"/>
                <w:lang w:val="es-ES"/>
              </w:rPr>
              <w:t>Mejora de la eficacia y colaboración</w:t>
            </w:r>
            <w:r w:rsidR="005704AC" w:rsidRPr="001A2E55">
              <w:rPr>
                <w:rFonts w:asciiTheme="minorHAnsi" w:hAnsiTheme="minorHAnsi" w:cstheme="minorHAnsi"/>
                <w:noProof/>
                <w:sz w:val="20"/>
                <w:szCs w:val="20"/>
                <w:lang w:val="es-ES"/>
              </w:rPr>
              <w:t xml:space="preserve"> (Res. XIV.3)</w:t>
            </w:r>
          </w:p>
        </w:tc>
        <w:tc>
          <w:tcPr>
            <w:tcW w:w="1361" w:type="dxa"/>
            <w:tcBorders>
              <w:top w:val="nil"/>
              <w:left w:val="nil"/>
              <w:bottom w:val="single" w:sz="4" w:space="0" w:color="auto"/>
              <w:right w:val="single" w:sz="4" w:space="0" w:color="auto"/>
            </w:tcBorders>
            <w:shd w:val="clear" w:color="auto" w:fill="auto"/>
            <w:noWrap/>
            <w:vAlign w:val="center"/>
          </w:tcPr>
          <w:p w14:paraId="715B1226"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DD43B0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1E98C3A" w14:textId="77777777" w:rsidR="005704AC" w:rsidRPr="001A2E55" w:rsidDel="00C45BA2"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7</w:t>
            </w:r>
          </w:p>
        </w:tc>
        <w:tc>
          <w:tcPr>
            <w:tcW w:w="1361" w:type="dxa"/>
            <w:tcBorders>
              <w:top w:val="nil"/>
              <w:left w:val="nil"/>
              <w:bottom w:val="single" w:sz="4" w:space="0" w:color="auto"/>
              <w:right w:val="single" w:sz="4" w:space="0" w:color="auto"/>
            </w:tcBorders>
            <w:shd w:val="clear" w:color="auto" w:fill="auto"/>
            <w:noWrap/>
            <w:vAlign w:val="center"/>
          </w:tcPr>
          <w:p w14:paraId="57B5839B" w14:textId="77777777" w:rsidR="005704AC" w:rsidRPr="001A2E55" w:rsidDel="00C45BA2"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7</w:t>
            </w:r>
          </w:p>
        </w:tc>
      </w:tr>
      <w:tr w:rsidR="005704AC" w:rsidRPr="001A2E55" w14:paraId="0A19F52A"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706BCAF0" w14:textId="77777777" w:rsidR="005704AC" w:rsidRPr="001A2E55" w:rsidRDefault="005704AC" w:rsidP="005D4B97">
            <w:pPr>
              <w:ind w:left="0" w:firstLine="0"/>
              <w:rPr>
                <w:rFonts w:asciiTheme="minorHAnsi" w:hAnsiTheme="minorHAnsi" w:cstheme="minorHAnsi"/>
                <w:noProof/>
                <w:color w:val="000000"/>
                <w:sz w:val="20"/>
                <w:szCs w:val="20"/>
                <w:lang w:val="es-ES"/>
              </w:rPr>
            </w:pPr>
            <w:r w:rsidRPr="001A2E55">
              <w:rPr>
                <w:rFonts w:asciiTheme="minorHAnsi" w:hAnsiTheme="minorHAnsi" w:cstheme="minorHAnsi"/>
                <w:bCs/>
                <w:noProof/>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725543CF"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C174852"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343E4FD3" w14:textId="4792C4C7" w:rsidR="005704AC" w:rsidRPr="001A2E55" w:rsidRDefault="00091907"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shd w:val="clear" w:color="auto" w:fill="auto"/>
            <w:noWrap/>
            <w:vAlign w:val="center"/>
          </w:tcPr>
          <w:p w14:paraId="558929EB" w14:textId="1663D4B5" w:rsidR="005704AC" w:rsidRPr="001A2E55" w:rsidRDefault="00091907"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25</w:t>
            </w:r>
          </w:p>
        </w:tc>
      </w:tr>
      <w:tr w:rsidR="00091907" w:rsidRPr="001A2E55" w14:paraId="7753715B" w14:textId="77777777" w:rsidTr="005D4B97">
        <w:trPr>
          <w:trHeight w:val="255"/>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20DF091A"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 xml:space="preserve">H.  </w:t>
            </w:r>
            <w:r w:rsidRPr="001A2E55">
              <w:rPr>
                <w:rFonts w:asciiTheme="minorHAnsi" w:hAnsiTheme="minorHAnsi" w:cstheme="minorHAnsi"/>
                <w:noProof/>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276CF0CE" w14:textId="2CA72BA5"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195ED7D2" w14:textId="19866122"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68A439E" w14:textId="3779756F"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8</w:t>
            </w:r>
          </w:p>
        </w:tc>
        <w:tc>
          <w:tcPr>
            <w:tcW w:w="1361" w:type="dxa"/>
            <w:tcBorders>
              <w:top w:val="nil"/>
              <w:left w:val="nil"/>
              <w:bottom w:val="single" w:sz="4" w:space="0" w:color="auto"/>
              <w:right w:val="single" w:sz="4" w:space="0" w:color="auto"/>
            </w:tcBorders>
            <w:shd w:val="clear" w:color="000000" w:fill="EAF1DD"/>
            <w:noWrap/>
            <w:vAlign w:val="center"/>
            <w:hideMark/>
          </w:tcPr>
          <w:p w14:paraId="6150E44E" w14:textId="5853F86C"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549</w:t>
            </w:r>
          </w:p>
        </w:tc>
      </w:tr>
      <w:tr w:rsidR="00091907" w:rsidRPr="001A2E55" w14:paraId="576B74B3"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73094E9"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7DCD9B5D" w14:textId="66D11363"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53CE2E21" w14:textId="53ADBFA2"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7CC7ED5" w14:textId="787B04CF"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8</w:t>
            </w:r>
          </w:p>
        </w:tc>
        <w:tc>
          <w:tcPr>
            <w:tcW w:w="1361" w:type="dxa"/>
            <w:tcBorders>
              <w:top w:val="nil"/>
              <w:left w:val="nil"/>
              <w:bottom w:val="single" w:sz="4" w:space="0" w:color="auto"/>
              <w:right w:val="single" w:sz="4" w:space="0" w:color="auto"/>
            </w:tcBorders>
            <w:shd w:val="clear" w:color="auto" w:fill="auto"/>
            <w:noWrap/>
            <w:vAlign w:val="center"/>
            <w:hideMark/>
          </w:tcPr>
          <w:p w14:paraId="6B2A78DC" w14:textId="6934383B"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549</w:t>
            </w:r>
          </w:p>
        </w:tc>
      </w:tr>
      <w:tr w:rsidR="00091907" w:rsidRPr="001A2E55" w14:paraId="4BC9A5BF"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5068DCB4"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61E7D1E3" w14:textId="7C2840CC"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156BCBE8" w14:textId="632E4759" w:rsidR="00091907" w:rsidRPr="001A2E55" w:rsidRDefault="00091907" w:rsidP="00091907">
            <w:pPr>
              <w:ind w:left="0" w:firstLine="0"/>
              <w:jc w:val="right"/>
              <w:rPr>
                <w:rFonts w:asciiTheme="minorHAnsi" w:eastAsia="Times New Roman" w:hAnsiTheme="minorHAnsi" w:cstheme="minorHAnsi"/>
                <w:b/>
                <w:bCs/>
                <w:noProof/>
                <w:sz w:val="20"/>
                <w:szCs w:val="20"/>
                <w:lang w:val="es-ES" w:eastAsia="en-GB"/>
              </w:rPr>
            </w:pPr>
            <w:r w:rsidRPr="001A2E55">
              <w:rPr>
                <w:rFonts w:eastAsia="Times New Roman" w:cs="Calibri"/>
                <w:b/>
                <w:bCs/>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37A3FF9" w14:textId="5A327040"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27</w:t>
            </w:r>
          </w:p>
        </w:tc>
        <w:tc>
          <w:tcPr>
            <w:tcW w:w="1361" w:type="dxa"/>
            <w:tcBorders>
              <w:top w:val="nil"/>
              <w:left w:val="nil"/>
              <w:bottom w:val="single" w:sz="4" w:space="0" w:color="auto"/>
              <w:right w:val="single" w:sz="4" w:space="0" w:color="auto"/>
            </w:tcBorders>
            <w:shd w:val="clear" w:color="000000" w:fill="EAF1DD"/>
            <w:noWrap/>
            <w:vAlign w:val="center"/>
            <w:hideMark/>
          </w:tcPr>
          <w:p w14:paraId="63F5123D" w14:textId="654FEC1A"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256</w:t>
            </w:r>
          </w:p>
        </w:tc>
      </w:tr>
      <w:tr w:rsidR="005704AC" w:rsidRPr="001A2E55" w14:paraId="582F4D90"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1E86655"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1BAA8B7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78B54418"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D025430"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D649EDD"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20</w:t>
            </w:r>
          </w:p>
        </w:tc>
      </w:tr>
      <w:tr w:rsidR="00091907" w:rsidRPr="001A2E55" w14:paraId="6AA3573C" w14:textId="77777777" w:rsidTr="005D4B97">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29BF7FE1"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99AA2A" w14:textId="6564F286"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4C21D56A" w14:textId="0E8767C1"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9051A46" w14:textId="5EC419B3"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3CDD64E" w14:textId="332FE071"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150</w:t>
            </w:r>
          </w:p>
        </w:tc>
      </w:tr>
      <w:tr w:rsidR="005704AC" w:rsidRPr="001A2E55" w14:paraId="2D5BED9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7567E07" w14:textId="77777777" w:rsidR="005704AC" w:rsidRPr="001A2E55" w:rsidRDefault="005704AC" w:rsidP="005D4B9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6C2D953A"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BC2C53D" w14:textId="77777777" w:rsidR="005704AC" w:rsidRPr="001A2E55" w:rsidRDefault="005704AC" w:rsidP="005D4B97">
            <w:pPr>
              <w:ind w:left="0" w:firstLine="0"/>
              <w:jc w:val="right"/>
              <w:rPr>
                <w:rFonts w:asciiTheme="minorHAnsi" w:eastAsia="Times New Roman" w:hAnsiTheme="minorHAnsi" w:cstheme="minorHAnsi"/>
                <w:noProof/>
                <w:sz w:val="20"/>
                <w:szCs w:val="20"/>
                <w:lang w:val="es-ES" w:eastAsia="en-GB"/>
              </w:rPr>
            </w:pPr>
            <w:r w:rsidRPr="001A2E55">
              <w:rPr>
                <w:rFonts w:asciiTheme="minorHAnsi" w:eastAsia="Times New Roman"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156FAD"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36A3ABB" w14:textId="77777777" w:rsidR="005704AC" w:rsidRPr="001A2E55" w:rsidRDefault="005704AC" w:rsidP="005D4B97">
            <w:pPr>
              <w:ind w:left="0" w:firstLine="0"/>
              <w:jc w:val="right"/>
              <w:rPr>
                <w:rFonts w:asciiTheme="minorHAnsi" w:eastAsia="Times New Roman" w:hAnsiTheme="minorHAnsi" w:cstheme="minorHAnsi"/>
                <w:noProof/>
                <w:color w:val="000000"/>
                <w:sz w:val="20"/>
                <w:szCs w:val="20"/>
                <w:lang w:val="es-ES" w:eastAsia="en-GB"/>
              </w:rPr>
            </w:pPr>
            <w:r w:rsidRPr="001A2E55">
              <w:rPr>
                <w:rFonts w:asciiTheme="minorHAnsi" w:eastAsia="Times New Roman" w:hAnsiTheme="minorHAnsi" w:cstheme="minorHAnsi"/>
                <w:noProof/>
                <w:color w:val="000000"/>
                <w:sz w:val="20"/>
                <w:szCs w:val="20"/>
                <w:lang w:val="es-ES" w:eastAsia="en-GB"/>
              </w:rPr>
              <w:t>0</w:t>
            </w:r>
          </w:p>
        </w:tc>
      </w:tr>
      <w:tr w:rsidR="00091907" w:rsidRPr="001A2E55" w14:paraId="45927BE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AB611D8" w14:textId="77777777" w:rsidR="00091907" w:rsidRPr="001A2E55" w:rsidRDefault="00091907" w:rsidP="00091907">
            <w:pPr>
              <w:ind w:left="0" w:firstLine="0"/>
              <w:rPr>
                <w:rFonts w:asciiTheme="minorHAnsi" w:eastAsia="Times New Roman" w:hAnsiTheme="minorHAnsi" w:cstheme="minorHAnsi"/>
                <w:noProof/>
                <w:sz w:val="20"/>
                <w:szCs w:val="20"/>
                <w:lang w:val="es-ES" w:eastAsia="en-GB"/>
              </w:rPr>
            </w:pPr>
            <w:r w:rsidRPr="001A2E55">
              <w:rPr>
                <w:rFonts w:asciiTheme="minorHAnsi" w:hAnsiTheme="minorHAnsi" w:cstheme="minorHAnsi"/>
                <w:noProof/>
                <w:color w:val="000000"/>
                <w:sz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75D76574" w14:textId="2BDDABB1"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635C191C" w14:textId="7C100F16" w:rsidR="00091907" w:rsidRPr="001A2E55" w:rsidRDefault="00091907" w:rsidP="00091907">
            <w:pPr>
              <w:ind w:left="0" w:firstLine="0"/>
              <w:jc w:val="right"/>
              <w:rPr>
                <w:rFonts w:asciiTheme="minorHAnsi" w:eastAsia="Times New Roman" w:hAnsiTheme="minorHAnsi" w:cstheme="minorHAnsi"/>
                <w:noProof/>
                <w:sz w:val="20"/>
                <w:szCs w:val="20"/>
                <w:lang w:val="es-ES" w:eastAsia="en-GB"/>
              </w:rPr>
            </w:pPr>
            <w:r w:rsidRPr="001A2E55">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F3C3EAE" w14:textId="4E5305CB"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27</w:t>
            </w:r>
          </w:p>
        </w:tc>
        <w:tc>
          <w:tcPr>
            <w:tcW w:w="1361" w:type="dxa"/>
            <w:tcBorders>
              <w:top w:val="nil"/>
              <w:left w:val="nil"/>
              <w:bottom w:val="single" w:sz="4" w:space="0" w:color="auto"/>
              <w:right w:val="single" w:sz="4" w:space="0" w:color="auto"/>
            </w:tcBorders>
            <w:shd w:val="clear" w:color="auto" w:fill="auto"/>
            <w:noWrap/>
            <w:vAlign w:val="center"/>
            <w:hideMark/>
          </w:tcPr>
          <w:p w14:paraId="253D8E8D" w14:textId="6A21B3DC" w:rsidR="00091907" w:rsidRPr="001A2E55" w:rsidRDefault="00091907" w:rsidP="00091907">
            <w:pPr>
              <w:ind w:left="0" w:firstLine="0"/>
              <w:jc w:val="right"/>
              <w:rPr>
                <w:rFonts w:asciiTheme="minorHAnsi" w:eastAsia="Times New Roman" w:hAnsiTheme="minorHAnsi" w:cstheme="minorHAnsi"/>
                <w:noProof/>
                <w:color w:val="000000"/>
                <w:sz w:val="20"/>
                <w:szCs w:val="20"/>
                <w:lang w:val="es-ES" w:eastAsia="en-GB"/>
              </w:rPr>
            </w:pPr>
            <w:r w:rsidRPr="001A2E55">
              <w:rPr>
                <w:rFonts w:eastAsia="Times New Roman" w:cs="Calibri"/>
                <w:noProof/>
                <w:color w:val="000000"/>
                <w:sz w:val="20"/>
                <w:szCs w:val="20"/>
                <w:lang w:val="es-ES" w:eastAsia="en-GB"/>
              </w:rPr>
              <w:t>86</w:t>
            </w:r>
          </w:p>
        </w:tc>
      </w:tr>
      <w:tr w:rsidR="00091907" w:rsidRPr="001A2E55" w14:paraId="15748741" w14:textId="77777777" w:rsidTr="005D4B97">
        <w:trPr>
          <w:trHeight w:val="300"/>
        </w:trPr>
        <w:tc>
          <w:tcPr>
            <w:tcW w:w="4535" w:type="dxa"/>
            <w:tcBorders>
              <w:top w:val="nil"/>
              <w:left w:val="single" w:sz="4" w:space="0" w:color="auto"/>
              <w:bottom w:val="single" w:sz="4" w:space="0" w:color="auto"/>
              <w:right w:val="single" w:sz="4" w:space="0" w:color="auto"/>
            </w:tcBorders>
            <w:shd w:val="clear" w:color="000000" w:fill="D6E3BC"/>
            <w:noWrap/>
            <w:vAlign w:val="center"/>
            <w:hideMark/>
          </w:tcPr>
          <w:p w14:paraId="1FA948F5" w14:textId="77777777" w:rsidR="00091907" w:rsidRPr="001A2E55" w:rsidRDefault="00091907" w:rsidP="00091907">
            <w:pPr>
              <w:ind w:left="0" w:firstLine="0"/>
              <w:rPr>
                <w:rFonts w:asciiTheme="minorHAnsi" w:eastAsia="Times New Roman" w:hAnsiTheme="minorHAnsi" w:cstheme="minorHAnsi"/>
                <w:b/>
                <w:bCs/>
                <w:noProof/>
                <w:color w:val="000000"/>
                <w:sz w:val="20"/>
                <w:szCs w:val="20"/>
                <w:lang w:val="es-ES" w:eastAsia="en-GB"/>
              </w:rPr>
            </w:pPr>
            <w:r w:rsidRPr="001A2E55">
              <w:rPr>
                <w:rFonts w:asciiTheme="minorHAnsi" w:eastAsia="Times New Roman" w:hAnsiTheme="minorHAnsi" w:cstheme="minorHAnsi"/>
                <w:b/>
                <w:bCs/>
                <w:noProof/>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3C609D45" w14:textId="66F051A2"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617E37BB" w14:textId="4259CE78"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422CEEB4" w14:textId="2037169F"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978</w:t>
            </w:r>
          </w:p>
        </w:tc>
        <w:tc>
          <w:tcPr>
            <w:tcW w:w="1361" w:type="dxa"/>
            <w:tcBorders>
              <w:top w:val="nil"/>
              <w:left w:val="nil"/>
              <w:bottom w:val="single" w:sz="4" w:space="0" w:color="auto"/>
              <w:right w:val="single" w:sz="4" w:space="0" w:color="auto"/>
            </w:tcBorders>
            <w:shd w:val="clear" w:color="000000" w:fill="D6E3BC"/>
            <w:noWrap/>
            <w:vAlign w:val="center"/>
            <w:hideMark/>
          </w:tcPr>
          <w:p w14:paraId="50CE4D33" w14:textId="2C69DCBA" w:rsidR="00091907" w:rsidRPr="001A2E55" w:rsidRDefault="00091907" w:rsidP="00091907">
            <w:pPr>
              <w:ind w:left="0" w:firstLine="0"/>
              <w:jc w:val="right"/>
              <w:rPr>
                <w:rFonts w:asciiTheme="minorHAnsi" w:eastAsia="Times New Roman" w:hAnsiTheme="minorHAnsi" w:cstheme="minorHAnsi"/>
                <w:b/>
                <w:bCs/>
                <w:noProof/>
                <w:color w:val="000000"/>
                <w:sz w:val="20"/>
                <w:szCs w:val="20"/>
                <w:lang w:val="es-ES" w:eastAsia="en-GB"/>
              </w:rPr>
            </w:pPr>
            <w:r w:rsidRPr="001A2E55">
              <w:rPr>
                <w:rFonts w:eastAsia="Times New Roman" w:cs="Calibri"/>
                <w:b/>
                <w:bCs/>
                <w:noProof/>
                <w:color w:val="000000"/>
                <w:sz w:val="20"/>
                <w:szCs w:val="20"/>
                <w:lang w:val="es-ES" w:eastAsia="en-GB"/>
              </w:rPr>
              <w:t>6 254</w:t>
            </w:r>
          </w:p>
        </w:tc>
      </w:tr>
    </w:tbl>
    <w:p w14:paraId="32758768" w14:textId="77777777" w:rsidR="005704AC" w:rsidRPr="001A2E55" w:rsidRDefault="005704AC" w:rsidP="005704AC">
      <w:pPr>
        <w:ind w:left="0" w:firstLine="0"/>
        <w:rPr>
          <w:rFonts w:asciiTheme="minorHAnsi" w:hAnsiTheme="minorHAnsi" w:cstheme="minorHAnsi"/>
          <w:noProof/>
          <w:sz w:val="20"/>
          <w:szCs w:val="20"/>
          <w:lang w:val="es-ES"/>
        </w:rPr>
      </w:pPr>
    </w:p>
    <w:p w14:paraId="048226EE" w14:textId="77777777" w:rsidR="005704AC" w:rsidRPr="001A2E55" w:rsidRDefault="005704AC" w:rsidP="00064CF6">
      <w:pPr>
        <w:rPr>
          <w:rFonts w:asciiTheme="minorHAnsi" w:hAnsiTheme="minorHAnsi" w:cstheme="minorHAnsi"/>
          <w:noProof/>
          <w:lang w:val="es-ES"/>
        </w:rPr>
      </w:pPr>
    </w:p>
    <w:sectPr w:rsidR="005704AC" w:rsidRPr="001A2E55" w:rsidSect="009746FC">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FEC2" w14:textId="77777777" w:rsidR="005F1F99" w:rsidRDefault="005F1F99" w:rsidP="00DF2386">
      <w:r>
        <w:separator/>
      </w:r>
    </w:p>
  </w:endnote>
  <w:endnote w:type="continuationSeparator" w:id="0">
    <w:p w14:paraId="7F0F8ADD" w14:textId="77777777" w:rsidR="005F1F99" w:rsidRDefault="005F1F9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0F28" w14:textId="3A513D48" w:rsidR="00522338" w:rsidRDefault="00314B4E" w:rsidP="00C26079">
    <w:pPr>
      <w:pStyle w:val="Header"/>
      <w:tabs>
        <w:tab w:val="clear" w:pos="9026"/>
        <w:tab w:val="right" w:pos="13892"/>
      </w:tabs>
      <w:rPr>
        <w:noProof/>
      </w:rPr>
    </w:pPr>
    <w:r>
      <w:rPr>
        <w:sz w:val="20"/>
        <w:szCs w:val="20"/>
      </w:rPr>
      <w:t>SC6</w:t>
    </w:r>
    <w:r w:rsidR="001A233D">
      <w:rPr>
        <w:sz w:val="20"/>
        <w:szCs w:val="20"/>
      </w:rPr>
      <w:t>4</w:t>
    </w:r>
    <w:r>
      <w:rPr>
        <w:sz w:val="20"/>
        <w:szCs w:val="20"/>
      </w:rPr>
      <w:t xml:space="preserve"> Doc.9.1</w:t>
    </w:r>
    <w:r w:rsidR="00522338">
      <w:tab/>
    </w:r>
    <w:r w:rsidR="00522338">
      <w:tab/>
    </w:r>
    <w:sdt>
      <w:sdtPr>
        <w:id w:val="1347904159"/>
        <w:docPartObj>
          <w:docPartGallery w:val="Page Numbers (Top of Page)"/>
          <w:docPartUnique/>
        </w:docPartObj>
      </w:sdtPr>
      <w:sdtEndPr>
        <w:rPr>
          <w:noProof/>
        </w:rPr>
      </w:sdtEndPr>
      <w:sdtContent>
        <w:r w:rsidR="00522338" w:rsidRPr="00F344DE">
          <w:rPr>
            <w:sz w:val="20"/>
            <w:szCs w:val="20"/>
          </w:rPr>
          <w:fldChar w:fldCharType="begin"/>
        </w:r>
        <w:r w:rsidR="00522338" w:rsidRPr="00F344DE">
          <w:rPr>
            <w:sz w:val="20"/>
            <w:szCs w:val="20"/>
          </w:rPr>
          <w:instrText xml:space="preserve"> PAGE   \* MERGEFORMAT </w:instrText>
        </w:r>
        <w:r w:rsidR="00522338" w:rsidRPr="00F344DE">
          <w:rPr>
            <w:sz w:val="20"/>
            <w:szCs w:val="20"/>
          </w:rPr>
          <w:fldChar w:fldCharType="separate"/>
        </w:r>
        <w:r w:rsidR="00522338">
          <w:rPr>
            <w:noProof/>
            <w:sz w:val="20"/>
            <w:szCs w:val="20"/>
          </w:rPr>
          <w:t>16</w:t>
        </w:r>
        <w:r w:rsidR="00522338"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B53" w14:textId="371AE5DA" w:rsidR="00522338" w:rsidRDefault="00314B4E" w:rsidP="002137E0">
    <w:pPr>
      <w:pStyle w:val="Header"/>
      <w:rPr>
        <w:noProof/>
      </w:rPr>
    </w:pPr>
    <w:r>
      <w:rPr>
        <w:sz w:val="20"/>
        <w:szCs w:val="20"/>
      </w:rPr>
      <w:t>SC6</w:t>
    </w:r>
    <w:r w:rsidR="001A233D">
      <w:rPr>
        <w:sz w:val="20"/>
        <w:szCs w:val="20"/>
      </w:rPr>
      <w:t>4</w:t>
    </w:r>
    <w:r>
      <w:rPr>
        <w:sz w:val="20"/>
        <w:szCs w:val="20"/>
      </w:rPr>
      <w:t xml:space="preserve"> Doc.9.1</w:t>
    </w:r>
    <w:r w:rsidR="00522338">
      <w:tab/>
    </w:r>
    <w:r w:rsidR="00522338">
      <w:tab/>
    </w:r>
    <w:sdt>
      <w:sdtPr>
        <w:id w:val="-1878082740"/>
        <w:docPartObj>
          <w:docPartGallery w:val="Page Numbers (Top of Page)"/>
          <w:docPartUnique/>
        </w:docPartObj>
      </w:sdtPr>
      <w:sdtEndPr>
        <w:rPr>
          <w:noProof/>
        </w:rPr>
      </w:sdtEndPr>
      <w:sdtContent>
        <w:r w:rsidR="00522338" w:rsidRPr="00F344DE">
          <w:rPr>
            <w:sz w:val="20"/>
            <w:szCs w:val="20"/>
          </w:rPr>
          <w:fldChar w:fldCharType="begin"/>
        </w:r>
        <w:r w:rsidR="00522338" w:rsidRPr="00F344DE">
          <w:rPr>
            <w:sz w:val="20"/>
            <w:szCs w:val="20"/>
          </w:rPr>
          <w:instrText xml:space="preserve"> PAGE   \* MERGEFORMAT </w:instrText>
        </w:r>
        <w:r w:rsidR="00522338" w:rsidRPr="00F344DE">
          <w:rPr>
            <w:sz w:val="20"/>
            <w:szCs w:val="20"/>
          </w:rPr>
          <w:fldChar w:fldCharType="separate"/>
        </w:r>
        <w:r w:rsidR="00522338">
          <w:rPr>
            <w:noProof/>
            <w:sz w:val="20"/>
            <w:szCs w:val="20"/>
          </w:rPr>
          <w:t>18</w:t>
        </w:r>
        <w:r w:rsidR="00522338"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31F7" w14:textId="2175082C" w:rsidR="00522338" w:rsidRDefault="00522338" w:rsidP="00834FE6">
    <w:pPr>
      <w:pStyle w:val="Header"/>
      <w:tabs>
        <w:tab w:val="clear" w:pos="9026"/>
        <w:tab w:val="right" w:pos="13892"/>
      </w:tabs>
      <w:rPr>
        <w:noProof/>
      </w:rPr>
    </w:pPr>
    <w:r>
      <w:rPr>
        <w:sz w:val="20"/>
        <w:szCs w:val="20"/>
      </w:rPr>
      <w:t>SC6</w:t>
    </w:r>
    <w:r w:rsidR="009403BA">
      <w:rPr>
        <w:sz w:val="20"/>
        <w:szCs w:val="20"/>
      </w:rPr>
      <w:t>4</w:t>
    </w:r>
    <w:r>
      <w:rPr>
        <w:sz w:val="20"/>
        <w:szCs w:val="20"/>
      </w:rPr>
      <w:t xml:space="preserve"> Doc.9.1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20</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B0DC6" w14:textId="77777777" w:rsidR="005F1F99" w:rsidRDefault="005F1F99" w:rsidP="00DF2386">
      <w:r>
        <w:separator/>
      </w:r>
    </w:p>
  </w:footnote>
  <w:footnote w:type="continuationSeparator" w:id="0">
    <w:p w14:paraId="5F818961" w14:textId="77777777" w:rsidR="005F1F99" w:rsidRDefault="005F1F99" w:rsidP="00DF2386">
      <w:r>
        <w:continuationSeparator/>
      </w:r>
    </w:p>
  </w:footnote>
  <w:footnote w:id="1">
    <w:p w14:paraId="31B3EA69" w14:textId="413B6E05" w:rsidR="001F78E5" w:rsidRPr="00D643EF" w:rsidRDefault="001F78E5" w:rsidP="001F78E5">
      <w:pPr>
        <w:pStyle w:val="FootnoteText"/>
        <w:rPr>
          <w:lang w:val="fr-FR"/>
        </w:rPr>
      </w:pPr>
      <w:r>
        <w:rPr>
          <w:rStyle w:val="FootnoteReference"/>
        </w:rPr>
        <w:footnoteRef/>
      </w:r>
      <w:r w:rsidRPr="00D643EF">
        <w:rPr>
          <w:lang w:val="fr-FR"/>
        </w:rPr>
        <w:t xml:space="preserve"> </w:t>
      </w:r>
      <w:proofErr w:type="gramStart"/>
      <w:r w:rsidR="00DF4195" w:rsidRPr="00D643EF">
        <w:rPr>
          <w:noProof/>
          <w:lang w:val="fr-FR"/>
        </w:rPr>
        <w:t>Véase</w:t>
      </w:r>
      <w:r w:rsidR="00DF4195" w:rsidRPr="00D643EF">
        <w:rPr>
          <w:lang w:val="fr-FR"/>
        </w:rPr>
        <w:t>:</w:t>
      </w:r>
      <w:proofErr w:type="gramEnd"/>
      <w:r w:rsidRPr="00D643EF">
        <w:rPr>
          <w:lang w:val="fr-FR"/>
        </w:rPr>
        <w:t xml:space="preserve"> </w:t>
      </w:r>
      <w:hyperlink r:id="rId1" w:history="1">
        <w:r w:rsidR="009403BA" w:rsidRPr="002273F2">
          <w:rPr>
            <w:rStyle w:val="Hyperlink"/>
            <w:lang w:val="fr-FR"/>
          </w:rPr>
          <w:t>https://www.ramsar.org/es/document/resolucion-xiv1-cuestiones-financieras-y-presupuestarias</w:t>
        </w:r>
      </w:hyperlink>
      <w:r w:rsidRPr="00D643EF">
        <w:rPr>
          <w:lang w:val="fr-FR"/>
        </w:rPr>
        <w:t>.</w:t>
      </w:r>
    </w:p>
  </w:footnote>
  <w:footnote w:id="2">
    <w:p w14:paraId="5D389D2C" w14:textId="218A806C" w:rsidR="005F002B" w:rsidRPr="00D643EF" w:rsidRDefault="005F002B" w:rsidP="005F002B">
      <w:pPr>
        <w:pStyle w:val="FootnoteText"/>
        <w:ind w:left="0" w:firstLine="0"/>
        <w:rPr>
          <w:lang w:val="fr-FR"/>
        </w:rPr>
      </w:pPr>
      <w:r>
        <w:rPr>
          <w:rStyle w:val="FootnoteReference"/>
        </w:rPr>
        <w:footnoteRef/>
      </w:r>
      <w:r w:rsidRPr="00D643EF">
        <w:rPr>
          <w:lang w:val="fr-FR"/>
        </w:rPr>
        <w:t xml:space="preserve"> </w:t>
      </w:r>
      <w:proofErr w:type="gramStart"/>
      <w:r w:rsidR="00274B21" w:rsidRPr="00D643EF">
        <w:rPr>
          <w:noProof/>
          <w:lang w:val="fr-FR"/>
        </w:rPr>
        <w:t>Véase</w:t>
      </w:r>
      <w:r w:rsidR="00274B21" w:rsidRPr="00D643EF">
        <w:rPr>
          <w:lang w:val="fr-FR"/>
        </w:rPr>
        <w:t>:</w:t>
      </w:r>
      <w:proofErr w:type="gramEnd"/>
      <w:r w:rsidRPr="00D643EF">
        <w:rPr>
          <w:lang w:val="fr-FR"/>
        </w:rPr>
        <w:t xml:space="preserve"> </w:t>
      </w:r>
      <w:r w:rsidR="009403BA">
        <w:fldChar w:fldCharType="begin"/>
      </w:r>
      <w:r w:rsidR="009403BA" w:rsidRPr="00F81E8B">
        <w:rPr>
          <w:lang w:val="fr-FR"/>
        </w:rPr>
        <w:instrText>HYPERLINK "https://www.ramsar.org/es/document/resolucion-xiv1-cuestiones-financieras-y-presupuestarias"</w:instrText>
      </w:r>
      <w:r w:rsidR="009403BA">
        <w:fldChar w:fldCharType="separate"/>
      </w:r>
      <w:r w:rsidR="009403BA" w:rsidRPr="002273F2">
        <w:rPr>
          <w:rStyle w:val="Hyperlink"/>
          <w:lang w:val="fr-FR"/>
        </w:rPr>
        <w:t>https://www.ramsar.org/es/document/resolucion-xiv1-cuestiones-financieras-y-presupuestarias</w:t>
      </w:r>
      <w:r w:rsidR="009403BA">
        <w:rPr>
          <w:rStyle w:val="Hyperlink"/>
          <w:lang w:val="fr-FR"/>
        </w:rPr>
        <w:fldChar w:fldCharType="end"/>
      </w:r>
      <w:r w:rsidRPr="00D643EF">
        <w:rPr>
          <w:lang w:val="fr-FR"/>
        </w:rPr>
        <w:t>.</w:t>
      </w:r>
    </w:p>
  </w:footnote>
  <w:footnote w:id="3">
    <w:p w14:paraId="475DDF63" w14:textId="388B5430" w:rsidR="00900594" w:rsidRPr="00D643EF" w:rsidRDefault="00900594" w:rsidP="009403BA">
      <w:pPr>
        <w:pStyle w:val="FootnoteText"/>
        <w:ind w:left="0" w:firstLine="0"/>
        <w:rPr>
          <w:lang w:val="fr-FR"/>
        </w:rPr>
      </w:pPr>
      <w:r>
        <w:rPr>
          <w:rStyle w:val="FootnoteReference"/>
        </w:rPr>
        <w:footnoteRef/>
      </w:r>
      <w:r w:rsidRPr="00D643EF">
        <w:rPr>
          <w:lang w:val="fr-FR"/>
        </w:rPr>
        <w:t xml:space="preserve"> </w:t>
      </w:r>
      <w:proofErr w:type="gramStart"/>
      <w:r w:rsidRPr="00D643EF">
        <w:rPr>
          <w:noProof/>
          <w:lang w:val="fr-FR"/>
        </w:rPr>
        <w:t>Véase</w:t>
      </w:r>
      <w:r w:rsidRPr="00D643EF">
        <w:rPr>
          <w:lang w:val="fr-FR"/>
        </w:rPr>
        <w:t>:</w:t>
      </w:r>
      <w:proofErr w:type="gramEnd"/>
      <w:r w:rsidRPr="00D643EF">
        <w:rPr>
          <w:lang w:val="fr-FR"/>
        </w:rPr>
        <w:t xml:space="preserve"> </w:t>
      </w:r>
      <w:r w:rsidR="009403BA">
        <w:fldChar w:fldCharType="begin"/>
      </w:r>
      <w:r w:rsidR="009403BA" w:rsidRPr="00F81E8B">
        <w:rPr>
          <w:lang w:val="fr-FR"/>
        </w:rPr>
        <w:instrText>HYPERLINK "https://www.ramsar.org/es/document/sc63-com1-informe-del-subgrupo-de-finanzas-3-de-junio-de-2024"</w:instrText>
      </w:r>
      <w:r w:rsidR="009403BA">
        <w:fldChar w:fldCharType="separate"/>
      </w:r>
      <w:r w:rsidR="009403BA" w:rsidRPr="002273F2">
        <w:rPr>
          <w:rStyle w:val="Hyperlink"/>
          <w:lang w:val="fr-FR"/>
        </w:rPr>
        <w:t>https://www.ramsar.org/es/document/sc63-com1-informe-del-subgrupo-de-finanzas-3-de-junio-de-2024</w:t>
      </w:r>
      <w:r w:rsidR="009403BA">
        <w:rPr>
          <w:rStyle w:val="Hyperlink"/>
          <w:lang w:val="fr-FR"/>
        </w:rPr>
        <w:fldChar w:fldCharType="end"/>
      </w:r>
      <w:r w:rsidRPr="00D643EF">
        <w:rPr>
          <w:lang w:val="fr-FR"/>
        </w:rPr>
        <w:t>.</w:t>
      </w:r>
    </w:p>
  </w:footnote>
  <w:footnote w:id="4">
    <w:p w14:paraId="6229901D" w14:textId="58C4CD56" w:rsidR="006D600F" w:rsidRPr="00D33954" w:rsidRDefault="006D600F" w:rsidP="006D600F">
      <w:pPr>
        <w:pStyle w:val="FootnoteText"/>
        <w:rPr>
          <w:noProof/>
          <w:lang w:val="es-ES"/>
        </w:rPr>
      </w:pPr>
      <w:r w:rsidRPr="00D33954">
        <w:rPr>
          <w:rStyle w:val="FootnoteReference"/>
          <w:noProof/>
          <w:lang w:val="es-ES"/>
        </w:rPr>
        <w:footnoteRef/>
      </w:r>
      <w:r w:rsidRPr="00D33954">
        <w:rPr>
          <w:noProof/>
          <w:lang w:val="es-ES"/>
        </w:rPr>
        <w:t xml:space="preserve"> </w:t>
      </w:r>
      <w:r w:rsidR="00D33954" w:rsidRPr="00D33954">
        <w:rPr>
          <w:noProof/>
          <w:lang w:val="es-ES"/>
        </w:rPr>
        <w:t xml:space="preserve">La propuesta </w:t>
      </w:r>
      <w:r w:rsidR="00091907" w:rsidRPr="00D33954">
        <w:rPr>
          <w:noProof/>
          <w:lang w:val="es-ES"/>
        </w:rPr>
        <w:t xml:space="preserve">actualizada </w:t>
      </w:r>
      <w:r w:rsidR="00D33954" w:rsidRPr="00D33954">
        <w:rPr>
          <w:noProof/>
          <w:lang w:val="es-ES"/>
        </w:rPr>
        <w:t>de</w:t>
      </w:r>
      <w:r w:rsidR="00091907">
        <w:rPr>
          <w:noProof/>
          <w:lang w:val="es-ES"/>
        </w:rPr>
        <w:t xml:space="preserve">l </w:t>
      </w:r>
      <w:r w:rsidR="00D33954" w:rsidRPr="00D33954">
        <w:rPr>
          <w:noProof/>
          <w:lang w:val="es-ES"/>
        </w:rPr>
        <w:t xml:space="preserve">presupuesto básico </w:t>
      </w:r>
      <w:r w:rsidR="007E1A0E">
        <w:rPr>
          <w:noProof/>
          <w:lang w:val="es-ES"/>
        </w:rPr>
        <w:t>para</w:t>
      </w:r>
      <w:r w:rsidR="00091907">
        <w:rPr>
          <w:noProof/>
          <w:lang w:val="es-ES"/>
        </w:rPr>
        <w:t xml:space="preserve"> </w:t>
      </w:r>
      <w:r w:rsidR="00D33954" w:rsidRPr="00D33954">
        <w:rPr>
          <w:noProof/>
          <w:lang w:val="es-ES"/>
        </w:rPr>
        <w:t>2025 se presentará a la reunión SC65 en julio de 2025 en la COP15.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4BC"/>
    <w:multiLevelType w:val="hybridMultilevel"/>
    <w:tmpl w:val="85DA9F66"/>
    <w:lvl w:ilvl="0" w:tplc="CC5EB11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10EDE"/>
    <w:multiLevelType w:val="hybridMultilevel"/>
    <w:tmpl w:val="58F89A0A"/>
    <w:lvl w:ilvl="0" w:tplc="43E8B214">
      <w:start w:val="1"/>
      <w:numFmt w:val="lowerLetter"/>
      <w:lvlText w:val="%1."/>
      <w:lvlJc w:val="left"/>
      <w:pPr>
        <w:ind w:left="866" w:hanging="44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237D1E19"/>
    <w:multiLevelType w:val="hybridMultilevel"/>
    <w:tmpl w:val="9E1C0432"/>
    <w:lvl w:ilvl="0" w:tplc="250EEC7A">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4"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AA50AA"/>
    <w:multiLevelType w:val="hybridMultilevel"/>
    <w:tmpl w:val="3E2EBBA2"/>
    <w:lvl w:ilvl="0" w:tplc="7DD8521A">
      <w:start w:val="1"/>
      <w:numFmt w:val="lowerLetter"/>
      <w:lvlText w:val="%1."/>
      <w:lvlJc w:val="left"/>
      <w:pPr>
        <w:ind w:left="846" w:hanging="42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3"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E2E81"/>
    <w:multiLevelType w:val="hybridMultilevel"/>
    <w:tmpl w:val="85D0E034"/>
    <w:lvl w:ilvl="0" w:tplc="50F8BF40">
      <w:start w:val="18"/>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74D31"/>
    <w:multiLevelType w:val="hybridMultilevel"/>
    <w:tmpl w:val="4DC29EC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9"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5C365017"/>
    <w:multiLevelType w:val="hybridMultilevel"/>
    <w:tmpl w:val="B76C1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8F23D4"/>
    <w:multiLevelType w:val="hybridMultilevel"/>
    <w:tmpl w:val="481CAB88"/>
    <w:lvl w:ilvl="0" w:tplc="6694B6B8">
      <w:start w:val="1"/>
      <w:numFmt w:val="decimal"/>
      <w:lvlText w:val="%1."/>
      <w:lvlJc w:val="left"/>
      <w:pPr>
        <w:ind w:left="562"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76122"/>
    <w:multiLevelType w:val="hybridMultilevel"/>
    <w:tmpl w:val="B5E6BA36"/>
    <w:lvl w:ilvl="0" w:tplc="BAE8F9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0628">
    <w:abstractNumId w:val="1"/>
  </w:num>
  <w:num w:numId="2" w16cid:durableId="89012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4663913">
    <w:abstractNumId w:val="22"/>
  </w:num>
  <w:num w:numId="4" w16cid:durableId="179515298">
    <w:abstractNumId w:val="13"/>
  </w:num>
  <w:num w:numId="5" w16cid:durableId="826894789">
    <w:abstractNumId w:val="19"/>
  </w:num>
  <w:num w:numId="6" w16cid:durableId="297154776">
    <w:abstractNumId w:val="6"/>
  </w:num>
  <w:num w:numId="7" w16cid:durableId="1654026170">
    <w:abstractNumId w:val="5"/>
  </w:num>
  <w:num w:numId="8" w16cid:durableId="268662024">
    <w:abstractNumId w:val="11"/>
  </w:num>
  <w:num w:numId="9" w16cid:durableId="2134596016">
    <w:abstractNumId w:val="10"/>
  </w:num>
  <w:num w:numId="10" w16cid:durableId="498691209">
    <w:abstractNumId w:val="23"/>
  </w:num>
  <w:num w:numId="11" w16cid:durableId="865828187">
    <w:abstractNumId w:val="14"/>
  </w:num>
  <w:num w:numId="12" w16cid:durableId="758212101">
    <w:abstractNumId w:val="8"/>
  </w:num>
  <w:num w:numId="13" w16cid:durableId="1114665407">
    <w:abstractNumId w:val="17"/>
  </w:num>
  <w:num w:numId="14" w16cid:durableId="988896326">
    <w:abstractNumId w:val="4"/>
  </w:num>
  <w:num w:numId="15" w16cid:durableId="826433013">
    <w:abstractNumId w:val="15"/>
  </w:num>
  <w:num w:numId="16" w16cid:durableId="586621858">
    <w:abstractNumId w:val="25"/>
  </w:num>
  <w:num w:numId="17" w16cid:durableId="1604462374">
    <w:abstractNumId w:val="9"/>
  </w:num>
  <w:num w:numId="18" w16cid:durableId="148257051">
    <w:abstractNumId w:val="21"/>
  </w:num>
  <w:num w:numId="19" w16cid:durableId="145247919">
    <w:abstractNumId w:val="24"/>
  </w:num>
  <w:num w:numId="20" w16cid:durableId="458766883">
    <w:abstractNumId w:val="0"/>
  </w:num>
  <w:num w:numId="21" w16cid:durableId="325744052">
    <w:abstractNumId w:val="16"/>
  </w:num>
  <w:num w:numId="22" w16cid:durableId="838733269">
    <w:abstractNumId w:val="12"/>
  </w:num>
  <w:num w:numId="23" w16cid:durableId="1996372906">
    <w:abstractNumId w:val="3"/>
  </w:num>
  <w:num w:numId="24" w16cid:durableId="1058938493">
    <w:abstractNumId w:val="20"/>
  </w:num>
  <w:num w:numId="25" w16cid:durableId="1684161512">
    <w:abstractNumId w:val="18"/>
  </w:num>
  <w:num w:numId="26" w16cid:durableId="57586713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BB"/>
    <w:rsid w:val="000016C0"/>
    <w:rsid w:val="0000371F"/>
    <w:rsid w:val="00003FF3"/>
    <w:rsid w:val="00004171"/>
    <w:rsid w:val="00005D80"/>
    <w:rsid w:val="00005E5F"/>
    <w:rsid w:val="00006A52"/>
    <w:rsid w:val="00006CF6"/>
    <w:rsid w:val="00007309"/>
    <w:rsid w:val="00007908"/>
    <w:rsid w:val="00012428"/>
    <w:rsid w:val="0001295D"/>
    <w:rsid w:val="00013B5D"/>
    <w:rsid w:val="00014168"/>
    <w:rsid w:val="00014DD6"/>
    <w:rsid w:val="00016CD1"/>
    <w:rsid w:val="00017583"/>
    <w:rsid w:val="00017A16"/>
    <w:rsid w:val="00020298"/>
    <w:rsid w:val="00020C2D"/>
    <w:rsid w:val="00020C56"/>
    <w:rsid w:val="00021F0E"/>
    <w:rsid w:val="00021F71"/>
    <w:rsid w:val="00022EDD"/>
    <w:rsid w:val="0002368D"/>
    <w:rsid w:val="00024104"/>
    <w:rsid w:val="0002452B"/>
    <w:rsid w:val="00024537"/>
    <w:rsid w:val="00024832"/>
    <w:rsid w:val="00024E01"/>
    <w:rsid w:val="00025210"/>
    <w:rsid w:val="00025536"/>
    <w:rsid w:val="00026E09"/>
    <w:rsid w:val="0002761D"/>
    <w:rsid w:val="00027678"/>
    <w:rsid w:val="00027805"/>
    <w:rsid w:val="000279C5"/>
    <w:rsid w:val="00027FCD"/>
    <w:rsid w:val="000308AC"/>
    <w:rsid w:val="000308D5"/>
    <w:rsid w:val="00030DC9"/>
    <w:rsid w:val="00031058"/>
    <w:rsid w:val="00031851"/>
    <w:rsid w:val="00031C72"/>
    <w:rsid w:val="0003253E"/>
    <w:rsid w:val="0003296A"/>
    <w:rsid w:val="00032E44"/>
    <w:rsid w:val="00034C8A"/>
    <w:rsid w:val="00037CE0"/>
    <w:rsid w:val="00041151"/>
    <w:rsid w:val="00041947"/>
    <w:rsid w:val="0004214F"/>
    <w:rsid w:val="00043287"/>
    <w:rsid w:val="00044E14"/>
    <w:rsid w:val="00044E37"/>
    <w:rsid w:val="0004646E"/>
    <w:rsid w:val="00047393"/>
    <w:rsid w:val="000476C5"/>
    <w:rsid w:val="000476F8"/>
    <w:rsid w:val="000506B6"/>
    <w:rsid w:val="000518FC"/>
    <w:rsid w:val="00051ADC"/>
    <w:rsid w:val="00053929"/>
    <w:rsid w:val="0005488B"/>
    <w:rsid w:val="00056AA6"/>
    <w:rsid w:val="000575AD"/>
    <w:rsid w:val="00057851"/>
    <w:rsid w:val="0005793E"/>
    <w:rsid w:val="000603B8"/>
    <w:rsid w:val="0006178A"/>
    <w:rsid w:val="00061799"/>
    <w:rsid w:val="00061CBA"/>
    <w:rsid w:val="00062093"/>
    <w:rsid w:val="0006294A"/>
    <w:rsid w:val="00062A46"/>
    <w:rsid w:val="00062E4A"/>
    <w:rsid w:val="0006326D"/>
    <w:rsid w:val="00063F47"/>
    <w:rsid w:val="00064323"/>
    <w:rsid w:val="00064BF6"/>
    <w:rsid w:val="00064CF6"/>
    <w:rsid w:val="00064E24"/>
    <w:rsid w:val="00064EA7"/>
    <w:rsid w:val="00064EDC"/>
    <w:rsid w:val="00065B4A"/>
    <w:rsid w:val="00065E42"/>
    <w:rsid w:val="00066E98"/>
    <w:rsid w:val="000678A6"/>
    <w:rsid w:val="00067EDC"/>
    <w:rsid w:val="00070655"/>
    <w:rsid w:val="00070FD2"/>
    <w:rsid w:val="00071D98"/>
    <w:rsid w:val="00072AE1"/>
    <w:rsid w:val="000732F2"/>
    <w:rsid w:val="00073E51"/>
    <w:rsid w:val="000743C9"/>
    <w:rsid w:val="00074DE8"/>
    <w:rsid w:val="000751CA"/>
    <w:rsid w:val="00075D8D"/>
    <w:rsid w:val="000776EE"/>
    <w:rsid w:val="0008181C"/>
    <w:rsid w:val="00081DCF"/>
    <w:rsid w:val="00082297"/>
    <w:rsid w:val="0008231A"/>
    <w:rsid w:val="0008295B"/>
    <w:rsid w:val="00082D5E"/>
    <w:rsid w:val="0008366D"/>
    <w:rsid w:val="000844F9"/>
    <w:rsid w:val="00084E5D"/>
    <w:rsid w:val="00086833"/>
    <w:rsid w:val="0008758E"/>
    <w:rsid w:val="000875B8"/>
    <w:rsid w:val="00087A0F"/>
    <w:rsid w:val="000901C1"/>
    <w:rsid w:val="00091907"/>
    <w:rsid w:val="000931DF"/>
    <w:rsid w:val="00093776"/>
    <w:rsid w:val="00093F6E"/>
    <w:rsid w:val="000948B8"/>
    <w:rsid w:val="00095913"/>
    <w:rsid w:val="00096FAE"/>
    <w:rsid w:val="00097273"/>
    <w:rsid w:val="000974AE"/>
    <w:rsid w:val="00097AE2"/>
    <w:rsid w:val="00097AE5"/>
    <w:rsid w:val="00097C4A"/>
    <w:rsid w:val="000A0568"/>
    <w:rsid w:val="000A156E"/>
    <w:rsid w:val="000A212C"/>
    <w:rsid w:val="000A3E3E"/>
    <w:rsid w:val="000A5DEE"/>
    <w:rsid w:val="000B0EA8"/>
    <w:rsid w:val="000B13F3"/>
    <w:rsid w:val="000B16B8"/>
    <w:rsid w:val="000B1951"/>
    <w:rsid w:val="000B220C"/>
    <w:rsid w:val="000B2366"/>
    <w:rsid w:val="000B2759"/>
    <w:rsid w:val="000B2A00"/>
    <w:rsid w:val="000B2D8F"/>
    <w:rsid w:val="000B380C"/>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57BA"/>
    <w:rsid w:val="000C5FFB"/>
    <w:rsid w:val="000C6755"/>
    <w:rsid w:val="000C7083"/>
    <w:rsid w:val="000C786F"/>
    <w:rsid w:val="000C79DC"/>
    <w:rsid w:val="000D1BFA"/>
    <w:rsid w:val="000D350F"/>
    <w:rsid w:val="000D3FBF"/>
    <w:rsid w:val="000D46E7"/>
    <w:rsid w:val="000D5C76"/>
    <w:rsid w:val="000D6AC7"/>
    <w:rsid w:val="000E1138"/>
    <w:rsid w:val="000E18F4"/>
    <w:rsid w:val="000E211D"/>
    <w:rsid w:val="000E2FA0"/>
    <w:rsid w:val="000E34D0"/>
    <w:rsid w:val="000E3567"/>
    <w:rsid w:val="000E47E9"/>
    <w:rsid w:val="000E6DC0"/>
    <w:rsid w:val="000E7F8A"/>
    <w:rsid w:val="000E7FB6"/>
    <w:rsid w:val="000F001B"/>
    <w:rsid w:val="000F051B"/>
    <w:rsid w:val="000F05DB"/>
    <w:rsid w:val="000F0730"/>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150"/>
    <w:rsid w:val="0010177A"/>
    <w:rsid w:val="00103196"/>
    <w:rsid w:val="001032EA"/>
    <w:rsid w:val="00103B40"/>
    <w:rsid w:val="00105960"/>
    <w:rsid w:val="00105D6D"/>
    <w:rsid w:val="001068D9"/>
    <w:rsid w:val="00106AEC"/>
    <w:rsid w:val="00106C18"/>
    <w:rsid w:val="001070F7"/>
    <w:rsid w:val="00107704"/>
    <w:rsid w:val="00107F64"/>
    <w:rsid w:val="00107FE6"/>
    <w:rsid w:val="0011042A"/>
    <w:rsid w:val="00110B4F"/>
    <w:rsid w:val="00110C51"/>
    <w:rsid w:val="00112016"/>
    <w:rsid w:val="0011271D"/>
    <w:rsid w:val="00112F62"/>
    <w:rsid w:val="001130DC"/>
    <w:rsid w:val="001141B8"/>
    <w:rsid w:val="00114BA0"/>
    <w:rsid w:val="00114DCB"/>
    <w:rsid w:val="00115F0E"/>
    <w:rsid w:val="00116212"/>
    <w:rsid w:val="00116AD7"/>
    <w:rsid w:val="001177FF"/>
    <w:rsid w:val="0012096C"/>
    <w:rsid w:val="00122175"/>
    <w:rsid w:val="0012223B"/>
    <w:rsid w:val="00122481"/>
    <w:rsid w:val="0012252E"/>
    <w:rsid w:val="0012277D"/>
    <w:rsid w:val="00123C65"/>
    <w:rsid w:val="00123E7D"/>
    <w:rsid w:val="00124A43"/>
    <w:rsid w:val="0012507E"/>
    <w:rsid w:val="00126808"/>
    <w:rsid w:val="0012707B"/>
    <w:rsid w:val="0012722A"/>
    <w:rsid w:val="00127828"/>
    <w:rsid w:val="00127B41"/>
    <w:rsid w:val="001319B8"/>
    <w:rsid w:val="0013219D"/>
    <w:rsid w:val="001326E7"/>
    <w:rsid w:val="0013340F"/>
    <w:rsid w:val="00133C51"/>
    <w:rsid w:val="0013410C"/>
    <w:rsid w:val="00134BDB"/>
    <w:rsid w:val="0013536D"/>
    <w:rsid w:val="001358A3"/>
    <w:rsid w:val="00136E0D"/>
    <w:rsid w:val="00137880"/>
    <w:rsid w:val="001404C4"/>
    <w:rsid w:val="0014052F"/>
    <w:rsid w:val="00140EA0"/>
    <w:rsid w:val="001419BE"/>
    <w:rsid w:val="001438BD"/>
    <w:rsid w:val="00143C80"/>
    <w:rsid w:val="00143F85"/>
    <w:rsid w:val="001441B9"/>
    <w:rsid w:val="00144820"/>
    <w:rsid w:val="0014538A"/>
    <w:rsid w:val="00145434"/>
    <w:rsid w:val="001458BE"/>
    <w:rsid w:val="0014598B"/>
    <w:rsid w:val="00146777"/>
    <w:rsid w:val="00146B5F"/>
    <w:rsid w:val="00147DAD"/>
    <w:rsid w:val="00150420"/>
    <w:rsid w:val="001504A4"/>
    <w:rsid w:val="00150C96"/>
    <w:rsid w:val="00150E18"/>
    <w:rsid w:val="00150F4B"/>
    <w:rsid w:val="00151B98"/>
    <w:rsid w:val="00152AA1"/>
    <w:rsid w:val="0015502B"/>
    <w:rsid w:val="00155171"/>
    <w:rsid w:val="00155710"/>
    <w:rsid w:val="001559C7"/>
    <w:rsid w:val="00155BC3"/>
    <w:rsid w:val="00155F5F"/>
    <w:rsid w:val="00156347"/>
    <w:rsid w:val="00157003"/>
    <w:rsid w:val="001571E1"/>
    <w:rsid w:val="00157C89"/>
    <w:rsid w:val="001614FA"/>
    <w:rsid w:val="00161871"/>
    <w:rsid w:val="00161B64"/>
    <w:rsid w:val="00161BDA"/>
    <w:rsid w:val="00162710"/>
    <w:rsid w:val="00162EE8"/>
    <w:rsid w:val="00163294"/>
    <w:rsid w:val="00163DEC"/>
    <w:rsid w:val="00163F72"/>
    <w:rsid w:val="00164326"/>
    <w:rsid w:val="001644A8"/>
    <w:rsid w:val="001649E7"/>
    <w:rsid w:val="001653A7"/>
    <w:rsid w:val="00165768"/>
    <w:rsid w:val="00165F44"/>
    <w:rsid w:val="001670DE"/>
    <w:rsid w:val="00167681"/>
    <w:rsid w:val="00167735"/>
    <w:rsid w:val="001709AB"/>
    <w:rsid w:val="00170A07"/>
    <w:rsid w:val="00171618"/>
    <w:rsid w:val="00172679"/>
    <w:rsid w:val="00172861"/>
    <w:rsid w:val="00172AC9"/>
    <w:rsid w:val="001730E3"/>
    <w:rsid w:val="0017480B"/>
    <w:rsid w:val="001748F5"/>
    <w:rsid w:val="00174E4A"/>
    <w:rsid w:val="00175433"/>
    <w:rsid w:val="001757C1"/>
    <w:rsid w:val="00175897"/>
    <w:rsid w:val="00175B8C"/>
    <w:rsid w:val="00176A64"/>
    <w:rsid w:val="00176B34"/>
    <w:rsid w:val="00176D4A"/>
    <w:rsid w:val="0018037B"/>
    <w:rsid w:val="001808B3"/>
    <w:rsid w:val="00181928"/>
    <w:rsid w:val="001819B1"/>
    <w:rsid w:val="00181A6C"/>
    <w:rsid w:val="00182B75"/>
    <w:rsid w:val="00183EDE"/>
    <w:rsid w:val="0018460B"/>
    <w:rsid w:val="00184E6B"/>
    <w:rsid w:val="0018553C"/>
    <w:rsid w:val="001855E9"/>
    <w:rsid w:val="00186339"/>
    <w:rsid w:val="0018640D"/>
    <w:rsid w:val="00186F3E"/>
    <w:rsid w:val="00187421"/>
    <w:rsid w:val="001918B8"/>
    <w:rsid w:val="001921CD"/>
    <w:rsid w:val="001922F3"/>
    <w:rsid w:val="001938E4"/>
    <w:rsid w:val="00194AEB"/>
    <w:rsid w:val="00195107"/>
    <w:rsid w:val="0019536E"/>
    <w:rsid w:val="0019556E"/>
    <w:rsid w:val="00195A41"/>
    <w:rsid w:val="001968D7"/>
    <w:rsid w:val="00196992"/>
    <w:rsid w:val="001A104F"/>
    <w:rsid w:val="001A1EBA"/>
    <w:rsid w:val="001A233D"/>
    <w:rsid w:val="001A253F"/>
    <w:rsid w:val="001A29A6"/>
    <w:rsid w:val="001A2D10"/>
    <w:rsid w:val="001A2E55"/>
    <w:rsid w:val="001A3867"/>
    <w:rsid w:val="001A3EA4"/>
    <w:rsid w:val="001A4DA4"/>
    <w:rsid w:val="001A6D3A"/>
    <w:rsid w:val="001A7172"/>
    <w:rsid w:val="001A77CC"/>
    <w:rsid w:val="001B002E"/>
    <w:rsid w:val="001B08FE"/>
    <w:rsid w:val="001B13E6"/>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C0243"/>
    <w:rsid w:val="001C0990"/>
    <w:rsid w:val="001C11BE"/>
    <w:rsid w:val="001C1DE1"/>
    <w:rsid w:val="001C3229"/>
    <w:rsid w:val="001C48CC"/>
    <w:rsid w:val="001C5386"/>
    <w:rsid w:val="001C59FA"/>
    <w:rsid w:val="001C5E41"/>
    <w:rsid w:val="001C6C00"/>
    <w:rsid w:val="001C6CB7"/>
    <w:rsid w:val="001C77BC"/>
    <w:rsid w:val="001D04C7"/>
    <w:rsid w:val="001D0741"/>
    <w:rsid w:val="001D0B77"/>
    <w:rsid w:val="001D1404"/>
    <w:rsid w:val="001D1E46"/>
    <w:rsid w:val="001D2107"/>
    <w:rsid w:val="001D3678"/>
    <w:rsid w:val="001D398E"/>
    <w:rsid w:val="001D3FD1"/>
    <w:rsid w:val="001D48BB"/>
    <w:rsid w:val="001D4DD2"/>
    <w:rsid w:val="001D58A8"/>
    <w:rsid w:val="001D5B80"/>
    <w:rsid w:val="001D697C"/>
    <w:rsid w:val="001D71EF"/>
    <w:rsid w:val="001D72F3"/>
    <w:rsid w:val="001E00E3"/>
    <w:rsid w:val="001E0171"/>
    <w:rsid w:val="001E0361"/>
    <w:rsid w:val="001E1397"/>
    <w:rsid w:val="001E1873"/>
    <w:rsid w:val="001E1A30"/>
    <w:rsid w:val="001E2987"/>
    <w:rsid w:val="001E336E"/>
    <w:rsid w:val="001E359B"/>
    <w:rsid w:val="001E444D"/>
    <w:rsid w:val="001E45FF"/>
    <w:rsid w:val="001E4A43"/>
    <w:rsid w:val="001E67EE"/>
    <w:rsid w:val="001E6D3B"/>
    <w:rsid w:val="001E7677"/>
    <w:rsid w:val="001E7894"/>
    <w:rsid w:val="001E7ADD"/>
    <w:rsid w:val="001E7B2D"/>
    <w:rsid w:val="001E7E9C"/>
    <w:rsid w:val="001E7FA6"/>
    <w:rsid w:val="001F0844"/>
    <w:rsid w:val="001F090F"/>
    <w:rsid w:val="001F1A2B"/>
    <w:rsid w:val="001F1F7D"/>
    <w:rsid w:val="001F2349"/>
    <w:rsid w:val="001F34DB"/>
    <w:rsid w:val="001F38EA"/>
    <w:rsid w:val="001F3A0B"/>
    <w:rsid w:val="001F3DC3"/>
    <w:rsid w:val="001F4117"/>
    <w:rsid w:val="001F4428"/>
    <w:rsid w:val="001F4497"/>
    <w:rsid w:val="001F6253"/>
    <w:rsid w:val="001F657E"/>
    <w:rsid w:val="001F7360"/>
    <w:rsid w:val="001F747F"/>
    <w:rsid w:val="001F760A"/>
    <w:rsid w:val="001F78E5"/>
    <w:rsid w:val="001F79E9"/>
    <w:rsid w:val="002005D2"/>
    <w:rsid w:val="00200E88"/>
    <w:rsid w:val="00201722"/>
    <w:rsid w:val="00201A04"/>
    <w:rsid w:val="002021BF"/>
    <w:rsid w:val="00202224"/>
    <w:rsid w:val="0020298B"/>
    <w:rsid w:val="00202BE8"/>
    <w:rsid w:val="00202D2F"/>
    <w:rsid w:val="002038EA"/>
    <w:rsid w:val="002058A3"/>
    <w:rsid w:val="002058E8"/>
    <w:rsid w:val="00206111"/>
    <w:rsid w:val="002064A3"/>
    <w:rsid w:val="00206AF7"/>
    <w:rsid w:val="00207EE0"/>
    <w:rsid w:val="0021024C"/>
    <w:rsid w:val="00210A8F"/>
    <w:rsid w:val="00211407"/>
    <w:rsid w:val="00211A70"/>
    <w:rsid w:val="00211D26"/>
    <w:rsid w:val="00211E61"/>
    <w:rsid w:val="00212942"/>
    <w:rsid w:val="002135D9"/>
    <w:rsid w:val="002137E0"/>
    <w:rsid w:val="00213C8C"/>
    <w:rsid w:val="00215D0B"/>
    <w:rsid w:val="00216155"/>
    <w:rsid w:val="00216504"/>
    <w:rsid w:val="002173C8"/>
    <w:rsid w:val="002174A1"/>
    <w:rsid w:val="00217B35"/>
    <w:rsid w:val="00220A4E"/>
    <w:rsid w:val="00220E81"/>
    <w:rsid w:val="002214D7"/>
    <w:rsid w:val="00222335"/>
    <w:rsid w:val="0022294E"/>
    <w:rsid w:val="00222BB0"/>
    <w:rsid w:val="002234CE"/>
    <w:rsid w:val="002238A2"/>
    <w:rsid w:val="00223E58"/>
    <w:rsid w:val="002249B1"/>
    <w:rsid w:val="002253A7"/>
    <w:rsid w:val="00225A7C"/>
    <w:rsid w:val="002262E5"/>
    <w:rsid w:val="002262FE"/>
    <w:rsid w:val="00227FF2"/>
    <w:rsid w:val="0023074E"/>
    <w:rsid w:val="0023128B"/>
    <w:rsid w:val="002314B9"/>
    <w:rsid w:val="0023160D"/>
    <w:rsid w:val="00231F97"/>
    <w:rsid w:val="002324F0"/>
    <w:rsid w:val="00233BB2"/>
    <w:rsid w:val="00234208"/>
    <w:rsid w:val="00235568"/>
    <w:rsid w:val="00235DE4"/>
    <w:rsid w:val="00235E12"/>
    <w:rsid w:val="0023624E"/>
    <w:rsid w:val="0023713D"/>
    <w:rsid w:val="002371CB"/>
    <w:rsid w:val="00237F04"/>
    <w:rsid w:val="002414B3"/>
    <w:rsid w:val="00241AFC"/>
    <w:rsid w:val="00241BD9"/>
    <w:rsid w:val="00242921"/>
    <w:rsid w:val="00242C38"/>
    <w:rsid w:val="00243C9A"/>
    <w:rsid w:val="00243F73"/>
    <w:rsid w:val="00245529"/>
    <w:rsid w:val="002468FA"/>
    <w:rsid w:val="002473AC"/>
    <w:rsid w:val="0024781C"/>
    <w:rsid w:val="0025180E"/>
    <w:rsid w:val="002538A3"/>
    <w:rsid w:val="00254016"/>
    <w:rsid w:val="00254205"/>
    <w:rsid w:val="00255D02"/>
    <w:rsid w:val="00255EF0"/>
    <w:rsid w:val="00255FFD"/>
    <w:rsid w:val="0025690B"/>
    <w:rsid w:val="002569BC"/>
    <w:rsid w:val="0025754C"/>
    <w:rsid w:val="00257D2F"/>
    <w:rsid w:val="00257DB6"/>
    <w:rsid w:val="00257FCB"/>
    <w:rsid w:val="00264303"/>
    <w:rsid w:val="002647D4"/>
    <w:rsid w:val="00264C9F"/>
    <w:rsid w:val="00264D73"/>
    <w:rsid w:val="002657EF"/>
    <w:rsid w:val="00266BFB"/>
    <w:rsid w:val="002702BA"/>
    <w:rsid w:val="00270A1B"/>
    <w:rsid w:val="00270C34"/>
    <w:rsid w:val="00271D3D"/>
    <w:rsid w:val="00272226"/>
    <w:rsid w:val="00272CC8"/>
    <w:rsid w:val="00273027"/>
    <w:rsid w:val="0027356A"/>
    <w:rsid w:val="00273609"/>
    <w:rsid w:val="00273B0B"/>
    <w:rsid w:val="00273EDF"/>
    <w:rsid w:val="00273F79"/>
    <w:rsid w:val="002741AC"/>
    <w:rsid w:val="00274B21"/>
    <w:rsid w:val="00274D17"/>
    <w:rsid w:val="00275388"/>
    <w:rsid w:val="00275C3F"/>
    <w:rsid w:val="00275C41"/>
    <w:rsid w:val="00275D94"/>
    <w:rsid w:val="00275F09"/>
    <w:rsid w:val="00275F13"/>
    <w:rsid w:val="002768C9"/>
    <w:rsid w:val="0027691D"/>
    <w:rsid w:val="00276BC4"/>
    <w:rsid w:val="00280847"/>
    <w:rsid w:val="00280B31"/>
    <w:rsid w:val="002819C0"/>
    <w:rsid w:val="00283F18"/>
    <w:rsid w:val="00284478"/>
    <w:rsid w:val="00284E2E"/>
    <w:rsid w:val="00285887"/>
    <w:rsid w:val="00285981"/>
    <w:rsid w:val="00285F05"/>
    <w:rsid w:val="00286D37"/>
    <w:rsid w:val="00290674"/>
    <w:rsid w:val="0029192A"/>
    <w:rsid w:val="00291E74"/>
    <w:rsid w:val="00292979"/>
    <w:rsid w:val="0029351E"/>
    <w:rsid w:val="00295556"/>
    <w:rsid w:val="00295BB5"/>
    <w:rsid w:val="00295BEE"/>
    <w:rsid w:val="002A0FB3"/>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A7F28"/>
    <w:rsid w:val="002B0D26"/>
    <w:rsid w:val="002B10BB"/>
    <w:rsid w:val="002B17BF"/>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4DE"/>
    <w:rsid w:val="002C4A0E"/>
    <w:rsid w:val="002C4FFE"/>
    <w:rsid w:val="002C5FB7"/>
    <w:rsid w:val="002C6BA6"/>
    <w:rsid w:val="002C6D4E"/>
    <w:rsid w:val="002C7596"/>
    <w:rsid w:val="002C7B1B"/>
    <w:rsid w:val="002C7B60"/>
    <w:rsid w:val="002D04F2"/>
    <w:rsid w:val="002D1995"/>
    <w:rsid w:val="002D31A7"/>
    <w:rsid w:val="002D3CC9"/>
    <w:rsid w:val="002D3E93"/>
    <w:rsid w:val="002D4145"/>
    <w:rsid w:val="002D4D68"/>
    <w:rsid w:val="002D5184"/>
    <w:rsid w:val="002D5A4D"/>
    <w:rsid w:val="002D6B55"/>
    <w:rsid w:val="002D6DD5"/>
    <w:rsid w:val="002D76F8"/>
    <w:rsid w:val="002E09F2"/>
    <w:rsid w:val="002E0DFE"/>
    <w:rsid w:val="002E1255"/>
    <w:rsid w:val="002E186A"/>
    <w:rsid w:val="002E1C52"/>
    <w:rsid w:val="002E2167"/>
    <w:rsid w:val="002E22AF"/>
    <w:rsid w:val="002E2EC4"/>
    <w:rsid w:val="002E3398"/>
    <w:rsid w:val="002E33EB"/>
    <w:rsid w:val="002E3C7E"/>
    <w:rsid w:val="002E4147"/>
    <w:rsid w:val="002E5B1D"/>
    <w:rsid w:val="002E5F9E"/>
    <w:rsid w:val="002E6166"/>
    <w:rsid w:val="002E7D4F"/>
    <w:rsid w:val="002F0826"/>
    <w:rsid w:val="002F1BD8"/>
    <w:rsid w:val="002F2543"/>
    <w:rsid w:val="002F261D"/>
    <w:rsid w:val="002F2BB4"/>
    <w:rsid w:val="002F2D08"/>
    <w:rsid w:val="002F312A"/>
    <w:rsid w:val="002F4CFC"/>
    <w:rsid w:val="002F5B7C"/>
    <w:rsid w:val="002F6793"/>
    <w:rsid w:val="002F6A98"/>
    <w:rsid w:val="002F74F9"/>
    <w:rsid w:val="002F777D"/>
    <w:rsid w:val="00300644"/>
    <w:rsid w:val="00301BD4"/>
    <w:rsid w:val="00301DF1"/>
    <w:rsid w:val="00302FEE"/>
    <w:rsid w:val="00302FF3"/>
    <w:rsid w:val="00303127"/>
    <w:rsid w:val="0030357A"/>
    <w:rsid w:val="00304ECC"/>
    <w:rsid w:val="00304F7C"/>
    <w:rsid w:val="003059C4"/>
    <w:rsid w:val="00305D7A"/>
    <w:rsid w:val="00305FC7"/>
    <w:rsid w:val="003060F6"/>
    <w:rsid w:val="00306F34"/>
    <w:rsid w:val="0031018C"/>
    <w:rsid w:val="00310E68"/>
    <w:rsid w:val="003110A9"/>
    <w:rsid w:val="00311940"/>
    <w:rsid w:val="00311C79"/>
    <w:rsid w:val="00311E13"/>
    <w:rsid w:val="00313E2B"/>
    <w:rsid w:val="00314B4E"/>
    <w:rsid w:val="00314D14"/>
    <w:rsid w:val="00314F63"/>
    <w:rsid w:val="00315503"/>
    <w:rsid w:val="00315F0F"/>
    <w:rsid w:val="003165A3"/>
    <w:rsid w:val="0031679A"/>
    <w:rsid w:val="00317471"/>
    <w:rsid w:val="003204BB"/>
    <w:rsid w:val="00320D9B"/>
    <w:rsid w:val="003218F4"/>
    <w:rsid w:val="00321AAD"/>
    <w:rsid w:val="00321C39"/>
    <w:rsid w:val="00321D0D"/>
    <w:rsid w:val="00321E25"/>
    <w:rsid w:val="00323684"/>
    <w:rsid w:val="003236D1"/>
    <w:rsid w:val="00323FF1"/>
    <w:rsid w:val="00324204"/>
    <w:rsid w:val="00324398"/>
    <w:rsid w:val="003243FB"/>
    <w:rsid w:val="00324E91"/>
    <w:rsid w:val="003254DB"/>
    <w:rsid w:val="00326625"/>
    <w:rsid w:val="00327DAF"/>
    <w:rsid w:val="00327F63"/>
    <w:rsid w:val="00330040"/>
    <w:rsid w:val="00330F27"/>
    <w:rsid w:val="003320A4"/>
    <w:rsid w:val="003323B0"/>
    <w:rsid w:val="00332FCB"/>
    <w:rsid w:val="00333BAF"/>
    <w:rsid w:val="00335206"/>
    <w:rsid w:val="00335504"/>
    <w:rsid w:val="00335675"/>
    <w:rsid w:val="003360DC"/>
    <w:rsid w:val="0033631B"/>
    <w:rsid w:val="003367D4"/>
    <w:rsid w:val="00336A77"/>
    <w:rsid w:val="00336ABE"/>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0F6"/>
    <w:rsid w:val="003523B0"/>
    <w:rsid w:val="003531DE"/>
    <w:rsid w:val="00353759"/>
    <w:rsid w:val="00354A66"/>
    <w:rsid w:val="00354F4E"/>
    <w:rsid w:val="00355FC7"/>
    <w:rsid w:val="003562A0"/>
    <w:rsid w:val="00357790"/>
    <w:rsid w:val="003602C1"/>
    <w:rsid w:val="0036085B"/>
    <w:rsid w:val="00361AA9"/>
    <w:rsid w:val="00363545"/>
    <w:rsid w:val="00364316"/>
    <w:rsid w:val="003644C5"/>
    <w:rsid w:val="00364A91"/>
    <w:rsid w:val="00364E8B"/>
    <w:rsid w:val="00365F8A"/>
    <w:rsid w:val="003667FF"/>
    <w:rsid w:val="00366F42"/>
    <w:rsid w:val="003672B9"/>
    <w:rsid w:val="0036778B"/>
    <w:rsid w:val="003705B7"/>
    <w:rsid w:val="00370A11"/>
    <w:rsid w:val="0037103C"/>
    <w:rsid w:val="0037110C"/>
    <w:rsid w:val="00372303"/>
    <w:rsid w:val="00372580"/>
    <w:rsid w:val="003736CC"/>
    <w:rsid w:val="00373FD6"/>
    <w:rsid w:val="00374172"/>
    <w:rsid w:val="00376478"/>
    <w:rsid w:val="003766DA"/>
    <w:rsid w:val="00377657"/>
    <w:rsid w:val="00377C90"/>
    <w:rsid w:val="00377D33"/>
    <w:rsid w:val="00377F5E"/>
    <w:rsid w:val="00380059"/>
    <w:rsid w:val="003802F2"/>
    <w:rsid w:val="0038144E"/>
    <w:rsid w:val="003814AD"/>
    <w:rsid w:val="0038188C"/>
    <w:rsid w:val="0038225D"/>
    <w:rsid w:val="003823AF"/>
    <w:rsid w:val="0038245C"/>
    <w:rsid w:val="00383B30"/>
    <w:rsid w:val="00383EED"/>
    <w:rsid w:val="00383F07"/>
    <w:rsid w:val="00384FC3"/>
    <w:rsid w:val="00385FC5"/>
    <w:rsid w:val="003906A4"/>
    <w:rsid w:val="00390ED1"/>
    <w:rsid w:val="0039179A"/>
    <w:rsid w:val="0039249B"/>
    <w:rsid w:val="003956B3"/>
    <w:rsid w:val="00396734"/>
    <w:rsid w:val="00396ABD"/>
    <w:rsid w:val="00396D87"/>
    <w:rsid w:val="00397459"/>
    <w:rsid w:val="003A0924"/>
    <w:rsid w:val="003A0DBF"/>
    <w:rsid w:val="003A1334"/>
    <w:rsid w:val="003A168F"/>
    <w:rsid w:val="003A2E72"/>
    <w:rsid w:val="003A3804"/>
    <w:rsid w:val="003A3AE1"/>
    <w:rsid w:val="003A415A"/>
    <w:rsid w:val="003A52BE"/>
    <w:rsid w:val="003A5866"/>
    <w:rsid w:val="003A6989"/>
    <w:rsid w:val="003A6DE6"/>
    <w:rsid w:val="003A6E9F"/>
    <w:rsid w:val="003A790E"/>
    <w:rsid w:val="003B0AD8"/>
    <w:rsid w:val="003B0BC9"/>
    <w:rsid w:val="003B1727"/>
    <w:rsid w:val="003B2F42"/>
    <w:rsid w:val="003B392E"/>
    <w:rsid w:val="003B4658"/>
    <w:rsid w:val="003B4718"/>
    <w:rsid w:val="003B4987"/>
    <w:rsid w:val="003B4B8D"/>
    <w:rsid w:val="003B5498"/>
    <w:rsid w:val="003B5828"/>
    <w:rsid w:val="003B58D4"/>
    <w:rsid w:val="003C00FC"/>
    <w:rsid w:val="003C048D"/>
    <w:rsid w:val="003C0ACD"/>
    <w:rsid w:val="003C1A70"/>
    <w:rsid w:val="003C2E56"/>
    <w:rsid w:val="003C35D2"/>
    <w:rsid w:val="003C3C53"/>
    <w:rsid w:val="003C4036"/>
    <w:rsid w:val="003C4204"/>
    <w:rsid w:val="003C4700"/>
    <w:rsid w:val="003C5B78"/>
    <w:rsid w:val="003C5CE3"/>
    <w:rsid w:val="003C5F11"/>
    <w:rsid w:val="003C67B0"/>
    <w:rsid w:val="003C693A"/>
    <w:rsid w:val="003D02F4"/>
    <w:rsid w:val="003D0862"/>
    <w:rsid w:val="003D1A17"/>
    <w:rsid w:val="003D1E05"/>
    <w:rsid w:val="003D2112"/>
    <w:rsid w:val="003D4304"/>
    <w:rsid w:val="003D4B82"/>
    <w:rsid w:val="003D4CD6"/>
    <w:rsid w:val="003D5354"/>
    <w:rsid w:val="003D548E"/>
    <w:rsid w:val="003D6105"/>
    <w:rsid w:val="003D733E"/>
    <w:rsid w:val="003E0522"/>
    <w:rsid w:val="003E07A7"/>
    <w:rsid w:val="003E0E6D"/>
    <w:rsid w:val="003E2167"/>
    <w:rsid w:val="003E3555"/>
    <w:rsid w:val="003E3939"/>
    <w:rsid w:val="003E3A26"/>
    <w:rsid w:val="003E3E20"/>
    <w:rsid w:val="003E44D9"/>
    <w:rsid w:val="003E4F49"/>
    <w:rsid w:val="003E63A7"/>
    <w:rsid w:val="003E7324"/>
    <w:rsid w:val="003E762E"/>
    <w:rsid w:val="003F0CB8"/>
    <w:rsid w:val="003F12DB"/>
    <w:rsid w:val="003F135F"/>
    <w:rsid w:val="003F276E"/>
    <w:rsid w:val="003F2A55"/>
    <w:rsid w:val="003F3307"/>
    <w:rsid w:val="003F3DE5"/>
    <w:rsid w:val="003F45FC"/>
    <w:rsid w:val="003F4B6D"/>
    <w:rsid w:val="003F55A0"/>
    <w:rsid w:val="003F5FD1"/>
    <w:rsid w:val="003F621E"/>
    <w:rsid w:val="003F65E9"/>
    <w:rsid w:val="003F7DF4"/>
    <w:rsid w:val="00400F6E"/>
    <w:rsid w:val="00401624"/>
    <w:rsid w:val="00401DA8"/>
    <w:rsid w:val="0040226B"/>
    <w:rsid w:val="00402328"/>
    <w:rsid w:val="0040314A"/>
    <w:rsid w:val="0040340A"/>
    <w:rsid w:val="00404EAB"/>
    <w:rsid w:val="0040500A"/>
    <w:rsid w:val="00405D78"/>
    <w:rsid w:val="00405D9B"/>
    <w:rsid w:val="0041005A"/>
    <w:rsid w:val="00411932"/>
    <w:rsid w:val="00413AEE"/>
    <w:rsid w:val="00413EC4"/>
    <w:rsid w:val="004142A8"/>
    <w:rsid w:val="004144E2"/>
    <w:rsid w:val="00414B55"/>
    <w:rsid w:val="00414EAE"/>
    <w:rsid w:val="0041534E"/>
    <w:rsid w:val="0042091F"/>
    <w:rsid w:val="00421152"/>
    <w:rsid w:val="004228C7"/>
    <w:rsid w:val="00424AF8"/>
    <w:rsid w:val="00425178"/>
    <w:rsid w:val="0042566B"/>
    <w:rsid w:val="0042598C"/>
    <w:rsid w:val="0042798B"/>
    <w:rsid w:val="004301E0"/>
    <w:rsid w:val="0043030E"/>
    <w:rsid w:val="00430A7A"/>
    <w:rsid w:val="00431F20"/>
    <w:rsid w:val="00432A60"/>
    <w:rsid w:val="00432AFB"/>
    <w:rsid w:val="0043385E"/>
    <w:rsid w:val="00434024"/>
    <w:rsid w:val="00434428"/>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52C4"/>
    <w:rsid w:val="00445C65"/>
    <w:rsid w:val="00445E61"/>
    <w:rsid w:val="00447472"/>
    <w:rsid w:val="004474F8"/>
    <w:rsid w:val="0044790D"/>
    <w:rsid w:val="004479ED"/>
    <w:rsid w:val="00447BC3"/>
    <w:rsid w:val="00450A97"/>
    <w:rsid w:val="004511CF"/>
    <w:rsid w:val="00451361"/>
    <w:rsid w:val="004515DF"/>
    <w:rsid w:val="0045200F"/>
    <w:rsid w:val="00452086"/>
    <w:rsid w:val="00453196"/>
    <w:rsid w:val="004538C0"/>
    <w:rsid w:val="00453B4C"/>
    <w:rsid w:val="00453C82"/>
    <w:rsid w:val="00453CBF"/>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67FB7"/>
    <w:rsid w:val="0047092F"/>
    <w:rsid w:val="0047303C"/>
    <w:rsid w:val="00473A2B"/>
    <w:rsid w:val="00473B7E"/>
    <w:rsid w:val="0047485C"/>
    <w:rsid w:val="004749C1"/>
    <w:rsid w:val="00474E0B"/>
    <w:rsid w:val="004753C0"/>
    <w:rsid w:val="0047725A"/>
    <w:rsid w:val="00477550"/>
    <w:rsid w:val="004776AD"/>
    <w:rsid w:val="00483069"/>
    <w:rsid w:val="00483CE3"/>
    <w:rsid w:val="004844A8"/>
    <w:rsid w:val="00484987"/>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9"/>
    <w:rsid w:val="0049782E"/>
    <w:rsid w:val="004A1C0C"/>
    <w:rsid w:val="004A20AD"/>
    <w:rsid w:val="004A20F8"/>
    <w:rsid w:val="004A2ABC"/>
    <w:rsid w:val="004A2F10"/>
    <w:rsid w:val="004A3FFD"/>
    <w:rsid w:val="004A48FE"/>
    <w:rsid w:val="004A4983"/>
    <w:rsid w:val="004A50E5"/>
    <w:rsid w:val="004A54EE"/>
    <w:rsid w:val="004A565C"/>
    <w:rsid w:val="004A61B3"/>
    <w:rsid w:val="004A630D"/>
    <w:rsid w:val="004A688C"/>
    <w:rsid w:val="004A6D77"/>
    <w:rsid w:val="004A763B"/>
    <w:rsid w:val="004B0FAF"/>
    <w:rsid w:val="004B185D"/>
    <w:rsid w:val="004B21BA"/>
    <w:rsid w:val="004B21F7"/>
    <w:rsid w:val="004B3048"/>
    <w:rsid w:val="004B476E"/>
    <w:rsid w:val="004B4805"/>
    <w:rsid w:val="004B64A4"/>
    <w:rsid w:val="004B6688"/>
    <w:rsid w:val="004B6B6E"/>
    <w:rsid w:val="004B6DE6"/>
    <w:rsid w:val="004B7261"/>
    <w:rsid w:val="004B7D93"/>
    <w:rsid w:val="004C00DF"/>
    <w:rsid w:val="004C03D9"/>
    <w:rsid w:val="004C0B65"/>
    <w:rsid w:val="004C325C"/>
    <w:rsid w:val="004C386C"/>
    <w:rsid w:val="004C3CBA"/>
    <w:rsid w:val="004C504A"/>
    <w:rsid w:val="004C5084"/>
    <w:rsid w:val="004C5BC9"/>
    <w:rsid w:val="004C6737"/>
    <w:rsid w:val="004C6D8E"/>
    <w:rsid w:val="004C7297"/>
    <w:rsid w:val="004C7511"/>
    <w:rsid w:val="004C798D"/>
    <w:rsid w:val="004D0395"/>
    <w:rsid w:val="004D04A2"/>
    <w:rsid w:val="004D0989"/>
    <w:rsid w:val="004D0F14"/>
    <w:rsid w:val="004D0F32"/>
    <w:rsid w:val="004D203A"/>
    <w:rsid w:val="004D20BE"/>
    <w:rsid w:val="004D23F7"/>
    <w:rsid w:val="004D25A8"/>
    <w:rsid w:val="004D2FBF"/>
    <w:rsid w:val="004D30AB"/>
    <w:rsid w:val="004D3823"/>
    <w:rsid w:val="004D419B"/>
    <w:rsid w:val="004D43A2"/>
    <w:rsid w:val="004D4506"/>
    <w:rsid w:val="004D47EA"/>
    <w:rsid w:val="004D49BF"/>
    <w:rsid w:val="004D7734"/>
    <w:rsid w:val="004D7E5C"/>
    <w:rsid w:val="004E01FE"/>
    <w:rsid w:val="004E06D3"/>
    <w:rsid w:val="004E09E9"/>
    <w:rsid w:val="004E1047"/>
    <w:rsid w:val="004E1C7E"/>
    <w:rsid w:val="004E1F30"/>
    <w:rsid w:val="004E1F42"/>
    <w:rsid w:val="004E30C5"/>
    <w:rsid w:val="004E36F5"/>
    <w:rsid w:val="004E391E"/>
    <w:rsid w:val="004E3A8B"/>
    <w:rsid w:val="004E59AF"/>
    <w:rsid w:val="004E68DE"/>
    <w:rsid w:val="004E6A21"/>
    <w:rsid w:val="004E7A42"/>
    <w:rsid w:val="004E7F8B"/>
    <w:rsid w:val="004F058A"/>
    <w:rsid w:val="004F24E7"/>
    <w:rsid w:val="004F250A"/>
    <w:rsid w:val="004F2C25"/>
    <w:rsid w:val="004F31FF"/>
    <w:rsid w:val="004F40E8"/>
    <w:rsid w:val="004F4ED1"/>
    <w:rsid w:val="004F5397"/>
    <w:rsid w:val="004F5AD0"/>
    <w:rsid w:val="004F69F8"/>
    <w:rsid w:val="004F6BEB"/>
    <w:rsid w:val="004F7181"/>
    <w:rsid w:val="004F72DA"/>
    <w:rsid w:val="00500CA7"/>
    <w:rsid w:val="00500D91"/>
    <w:rsid w:val="00501606"/>
    <w:rsid w:val="00501D4A"/>
    <w:rsid w:val="00502524"/>
    <w:rsid w:val="00502C54"/>
    <w:rsid w:val="00504813"/>
    <w:rsid w:val="00504DE2"/>
    <w:rsid w:val="00505FF9"/>
    <w:rsid w:val="00507CA3"/>
    <w:rsid w:val="00510980"/>
    <w:rsid w:val="00510BD7"/>
    <w:rsid w:val="005110EF"/>
    <w:rsid w:val="00511327"/>
    <w:rsid w:val="005113AA"/>
    <w:rsid w:val="00511834"/>
    <w:rsid w:val="00511F9E"/>
    <w:rsid w:val="005127EC"/>
    <w:rsid w:val="0051361A"/>
    <w:rsid w:val="00513689"/>
    <w:rsid w:val="00513871"/>
    <w:rsid w:val="005139ED"/>
    <w:rsid w:val="005151D3"/>
    <w:rsid w:val="00515275"/>
    <w:rsid w:val="0051619C"/>
    <w:rsid w:val="00516ECE"/>
    <w:rsid w:val="00517760"/>
    <w:rsid w:val="005202CD"/>
    <w:rsid w:val="00520563"/>
    <w:rsid w:val="00520788"/>
    <w:rsid w:val="00520A09"/>
    <w:rsid w:val="005210D8"/>
    <w:rsid w:val="005213B0"/>
    <w:rsid w:val="005215EB"/>
    <w:rsid w:val="005219C3"/>
    <w:rsid w:val="005219C4"/>
    <w:rsid w:val="00522338"/>
    <w:rsid w:val="00522453"/>
    <w:rsid w:val="0052275F"/>
    <w:rsid w:val="0052399E"/>
    <w:rsid w:val="00523B6B"/>
    <w:rsid w:val="005244A4"/>
    <w:rsid w:val="005247E1"/>
    <w:rsid w:val="0052491D"/>
    <w:rsid w:val="005255B8"/>
    <w:rsid w:val="00526B39"/>
    <w:rsid w:val="0052703D"/>
    <w:rsid w:val="00527047"/>
    <w:rsid w:val="005271A6"/>
    <w:rsid w:val="0052720A"/>
    <w:rsid w:val="005273D4"/>
    <w:rsid w:val="005276E3"/>
    <w:rsid w:val="00527783"/>
    <w:rsid w:val="005277E7"/>
    <w:rsid w:val="00527FC1"/>
    <w:rsid w:val="00530444"/>
    <w:rsid w:val="0053102E"/>
    <w:rsid w:val="005315C8"/>
    <w:rsid w:val="00532D8A"/>
    <w:rsid w:val="0053569F"/>
    <w:rsid w:val="005360D1"/>
    <w:rsid w:val="00537355"/>
    <w:rsid w:val="00540CB6"/>
    <w:rsid w:val="00540FEB"/>
    <w:rsid w:val="00541B20"/>
    <w:rsid w:val="00541F61"/>
    <w:rsid w:val="005423C8"/>
    <w:rsid w:val="00542521"/>
    <w:rsid w:val="00542C01"/>
    <w:rsid w:val="00542F90"/>
    <w:rsid w:val="00543775"/>
    <w:rsid w:val="00543927"/>
    <w:rsid w:val="00544CFD"/>
    <w:rsid w:val="00544E1D"/>
    <w:rsid w:val="00545119"/>
    <w:rsid w:val="00545537"/>
    <w:rsid w:val="00545582"/>
    <w:rsid w:val="00545B60"/>
    <w:rsid w:val="005470C7"/>
    <w:rsid w:val="00547A2E"/>
    <w:rsid w:val="0055073A"/>
    <w:rsid w:val="00551574"/>
    <w:rsid w:val="0055175A"/>
    <w:rsid w:val="00552061"/>
    <w:rsid w:val="005538B2"/>
    <w:rsid w:val="00553973"/>
    <w:rsid w:val="00555956"/>
    <w:rsid w:val="00555CC4"/>
    <w:rsid w:val="00555D44"/>
    <w:rsid w:val="00557C2F"/>
    <w:rsid w:val="0056228F"/>
    <w:rsid w:val="00562F9E"/>
    <w:rsid w:val="005647B6"/>
    <w:rsid w:val="005650EC"/>
    <w:rsid w:val="0056596F"/>
    <w:rsid w:val="005679B4"/>
    <w:rsid w:val="00567A71"/>
    <w:rsid w:val="005704AC"/>
    <w:rsid w:val="00570D82"/>
    <w:rsid w:val="00571C21"/>
    <w:rsid w:val="005732E0"/>
    <w:rsid w:val="00573E80"/>
    <w:rsid w:val="00573F8B"/>
    <w:rsid w:val="00574D5F"/>
    <w:rsid w:val="005751EF"/>
    <w:rsid w:val="005759B7"/>
    <w:rsid w:val="00577361"/>
    <w:rsid w:val="005774B9"/>
    <w:rsid w:val="00580141"/>
    <w:rsid w:val="00580695"/>
    <w:rsid w:val="00580871"/>
    <w:rsid w:val="005814B5"/>
    <w:rsid w:val="00581829"/>
    <w:rsid w:val="00582723"/>
    <w:rsid w:val="0058392B"/>
    <w:rsid w:val="0058398D"/>
    <w:rsid w:val="00583E4B"/>
    <w:rsid w:val="0058659D"/>
    <w:rsid w:val="00586667"/>
    <w:rsid w:val="00586A7E"/>
    <w:rsid w:val="00586C35"/>
    <w:rsid w:val="0059019B"/>
    <w:rsid w:val="005908B2"/>
    <w:rsid w:val="005909BB"/>
    <w:rsid w:val="00591270"/>
    <w:rsid w:val="00591B93"/>
    <w:rsid w:val="00591F68"/>
    <w:rsid w:val="00592B40"/>
    <w:rsid w:val="00593010"/>
    <w:rsid w:val="005944CB"/>
    <w:rsid w:val="005946B6"/>
    <w:rsid w:val="005951D6"/>
    <w:rsid w:val="00595318"/>
    <w:rsid w:val="005953C4"/>
    <w:rsid w:val="005960BA"/>
    <w:rsid w:val="00596669"/>
    <w:rsid w:val="005975E2"/>
    <w:rsid w:val="005A02E1"/>
    <w:rsid w:val="005A130E"/>
    <w:rsid w:val="005A1624"/>
    <w:rsid w:val="005A313D"/>
    <w:rsid w:val="005A324D"/>
    <w:rsid w:val="005A32DA"/>
    <w:rsid w:val="005A3656"/>
    <w:rsid w:val="005A3804"/>
    <w:rsid w:val="005A41C9"/>
    <w:rsid w:val="005A4408"/>
    <w:rsid w:val="005A4621"/>
    <w:rsid w:val="005A4A88"/>
    <w:rsid w:val="005A4CF1"/>
    <w:rsid w:val="005A5AD3"/>
    <w:rsid w:val="005A75B7"/>
    <w:rsid w:val="005A78CA"/>
    <w:rsid w:val="005A7A18"/>
    <w:rsid w:val="005B54A2"/>
    <w:rsid w:val="005B5EB9"/>
    <w:rsid w:val="005B657F"/>
    <w:rsid w:val="005B69BD"/>
    <w:rsid w:val="005B6CE5"/>
    <w:rsid w:val="005B76B0"/>
    <w:rsid w:val="005C102F"/>
    <w:rsid w:val="005C136E"/>
    <w:rsid w:val="005C1A16"/>
    <w:rsid w:val="005C2A5A"/>
    <w:rsid w:val="005C2CFD"/>
    <w:rsid w:val="005C353C"/>
    <w:rsid w:val="005C4B91"/>
    <w:rsid w:val="005C509C"/>
    <w:rsid w:val="005C53F3"/>
    <w:rsid w:val="005C60E4"/>
    <w:rsid w:val="005C665A"/>
    <w:rsid w:val="005D00D4"/>
    <w:rsid w:val="005D0B42"/>
    <w:rsid w:val="005D0F51"/>
    <w:rsid w:val="005D12B9"/>
    <w:rsid w:val="005D1D69"/>
    <w:rsid w:val="005D2F5A"/>
    <w:rsid w:val="005D3576"/>
    <w:rsid w:val="005D3AFC"/>
    <w:rsid w:val="005D3E9D"/>
    <w:rsid w:val="005D43A8"/>
    <w:rsid w:val="005D4B97"/>
    <w:rsid w:val="005D4EFF"/>
    <w:rsid w:val="005D5242"/>
    <w:rsid w:val="005D5482"/>
    <w:rsid w:val="005D5CE7"/>
    <w:rsid w:val="005D63B7"/>
    <w:rsid w:val="005D70F2"/>
    <w:rsid w:val="005D7E5B"/>
    <w:rsid w:val="005E160C"/>
    <w:rsid w:val="005E2844"/>
    <w:rsid w:val="005E297F"/>
    <w:rsid w:val="005E2F27"/>
    <w:rsid w:val="005E321B"/>
    <w:rsid w:val="005E4B12"/>
    <w:rsid w:val="005E525C"/>
    <w:rsid w:val="005E615C"/>
    <w:rsid w:val="005E64D3"/>
    <w:rsid w:val="005E6BD8"/>
    <w:rsid w:val="005E6E2E"/>
    <w:rsid w:val="005E761F"/>
    <w:rsid w:val="005F002B"/>
    <w:rsid w:val="005F093A"/>
    <w:rsid w:val="005F0DF6"/>
    <w:rsid w:val="005F18AD"/>
    <w:rsid w:val="005F1F99"/>
    <w:rsid w:val="005F24BB"/>
    <w:rsid w:val="005F28AE"/>
    <w:rsid w:val="005F3A8D"/>
    <w:rsid w:val="005F538E"/>
    <w:rsid w:val="005F6D4D"/>
    <w:rsid w:val="006006A4"/>
    <w:rsid w:val="00600BDE"/>
    <w:rsid w:val="00600E5B"/>
    <w:rsid w:val="00601130"/>
    <w:rsid w:val="00601404"/>
    <w:rsid w:val="006019B8"/>
    <w:rsid w:val="006021D1"/>
    <w:rsid w:val="006032A6"/>
    <w:rsid w:val="00603C7B"/>
    <w:rsid w:val="006040D8"/>
    <w:rsid w:val="006041A2"/>
    <w:rsid w:val="00605E92"/>
    <w:rsid w:val="006078C7"/>
    <w:rsid w:val="006105C8"/>
    <w:rsid w:val="0061144E"/>
    <w:rsid w:val="006114F4"/>
    <w:rsid w:val="006137D4"/>
    <w:rsid w:val="00613D8C"/>
    <w:rsid w:val="00613E01"/>
    <w:rsid w:val="006146CF"/>
    <w:rsid w:val="00615A5C"/>
    <w:rsid w:val="00616014"/>
    <w:rsid w:val="0061653C"/>
    <w:rsid w:val="00617575"/>
    <w:rsid w:val="00617E8B"/>
    <w:rsid w:val="00620208"/>
    <w:rsid w:val="00620DE3"/>
    <w:rsid w:val="0062158F"/>
    <w:rsid w:val="00622FB9"/>
    <w:rsid w:val="0062467F"/>
    <w:rsid w:val="00624B6F"/>
    <w:rsid w:val="00624F62"/>
    <w:rsid w:val="006256D3"/>
    <w:rsid w:val="0062580B"/>
    <w:rsid w:val="00625846"/>
    <w:rsid w:val="00625ACD"/>
    <w:rsid w:val="00625BC9"/>
    <w:rsid w:val="00626AAF"/>
    <w:rsid w:val="00626ACC"/>
    <w:rsid w:val="006270A9"/>
    <w:rsid w:val="00627BB7"/>
    <w:rsid w:val="00627E65"/>
    <w:rsid w:val="00630583"/>
    <w:rsid w:val="006307E0"/>
    <w:rsid w:val="006308CF"/>
    <w:rsid w:val="0063266F"/>
    <w:rsid w:val="00633B97"/>
    <w:rsid w:val="00633CFE"/>
    <w:rsid w:val="00633DD5"/>
    <w:rsid w:val="00634C3E"/>
    <w:rsid w:val="00634F24"/>
    <w:rsid w:val="00635ED0"/>
    <w:rsid w:val="00636121"/>
    <w:rsid w:val="006369FD"/>
    <w:rsid w:val="00636B62"/>
    <w:rsid w:val="0064183C"/>
    <w:rsid w:val="00641AD5"/>
    <w:rsid w:val="006432D0"/>
    <w:rsid w:val="00643592"/>
    <w:rsid w:val="00644238"/>
    <w:rsid w:val="006443D2"/>
    <w:rsid w:val="00644A13"/>
    <w:rsid w:val="00645C8C"/>
    <w:rsid w:val="0064639B"/>
    <w:rsid w:val="006464E3"/>
    <w:rsid w:val="00646622"/>
    <w:rsid w:val="00646FF5"/>
    <w:rsid w:val="006478B4"/>
    <w:rsid w:val="00647B1E"/>
    <w:rsid w:val="0065127D"/>
    <w:rsid w:val="0065136E"/>
    <w:rsid w:val="0065418D"/>
    <w:rsid w:val="006559BB"/>
    <w:rsid w:val="006567F6"/>
    <w:rsid w:val="00656BBF"/>
    <w:rsid w:val="0065726C"/>
    <w:rsid w:val="006573AD"/>
    <w:rsid w:val="006574AD"/>
    <w:rsid w:val="0066024B"/>
    <w:rsid w:val="00660691"/>
    <w:rsid w:val="006612A0"/>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77973"/>
    <w:rsid w:val="006802FB"/>
    <w:rsid w:val="006805DC"/>
    <w:rsid w:val="00680FBF"/>
    <w:rsid w:val="0068105F"/>
    <w:rsid w:val="006817ED"/>
    <w:rsid w:val="006819FA"/>
    <w:rsid w:val="006821F4"/>
    <w:rsid w:val="006823FE"/>
    <w:rsid w:val="0068385F"/>
    <w:rsid w:val="00686F0D"/>
    <w:rsid w:val="006874C9"/>
    <w:rsid w:val="006923A9"/>
    <w:rsid w:val="006924D5"/>
    <w:rsid w:val="006925E6"/>
    <w:rsid w:val="00692FBD"/>
    <w:rsid w:val="006941B2"/>
    <w:rsid w:val="006954F7"/>
    <w:rsid w:val="00695735"/>
    <w:rsid w:val="00696CD3"/>
    <w:rsid w:val="00697002"/>
    <w:rsid w:val="006A0B54"/>
    <w:rsid w:val="006A102F"/>
    <w:rsid w:val="006A24F1"/>
    <w:rsid w:val="006A2C5A"/>
    <w:rsid w:val="006A2C8D"/>
    <w:rsid w:val="006A4032"/>
    <w:rsid w:val="006A4C5B"/>
    <w:rsid w:val="006A5240"/>
    <w:rsid w:val="006A663F"/>
    <w:rsid w:val="006A77DD"/>
    <w:rsid w:val="006A7C3C"/>
    <w:rsid w:val="006A7C47"/>
    <w:rsid w:val="006A7D7C"/>
    <w:rsid w:val="006A7F7E"/>
    <w:rsid w:val="006B0BAB"/>
    <w:rsid w:val="006B1364"/>
    <w:rsid w:val="006B2AFB"/>
    <w:rsid w:val="006B42D7"/>
    <w:rsid w:val="006B595B"/>
    <w:rsid w:val="006B6981"/>
    <w:rsid w:val="006B6F03"/>
    <w:rsid w:val="006B74A1"/>
    <w:rsid w:val="006B7585"/>
    <w:rsid w:val="006C0D7B"/>
    <w:rsid w:val="006C120C"/>
    <w:rsid w:val="006C15C3"/>
    <w:rsid w:val="006C1657"/>
    <w:rsid w:val="006C2281"/>
    <w:rsid w:val="006C3F1C"/>
    <w:rsid w:val="006C4234"/>
    <w:rsid w:val="006C4E73"/>
    <w:rsid w:val="006C6047"/>
    <w:rsid w:val="006C6093"/>
    <w:rsid w:val="006C63FB"/>
    <w:rsid w:val="006C72B2"/>
    <w:rsid w:val="006C79A5"/>
    <w:rsid w:val="006C7F1C"/>
    <w:rsid w:val="006D0B3D"/>
    <w:rsid w:val="006D1624"/>
    <w:rsid w:val="006D2AA2"/>
    <w:rsid w:val="006D32FC"/>
    <w:rsid w:val="006D3531"/>
    <w:rsid w:val="006D37D1"/>
    <w:rsid w:val="006D4B43"/>
    <w:rsid w:val="006D4FE3"/>
    <w:rsid w:val="006D57CA"/>
    <w:rsid w:val="006D5829"/>
    <w:rsid w:val="006D598A"/>
    <w:rsid w:val="006D600F"/>
    <w:rsid w:val="006D6A50"/>
    <w:rsid w:val="006D777A"/>
    <w:rsid w:val="006D7EBC"/>
    <w:rsid w:val="006E10B2"/>
    <w:rsid w:val="006E1DF2"/>
    <w:rsid w:val="006E2CAB"/>
    <w:rsid w:val="006E2F73"/>
    <w:rsid w:val="006E322F"/>
    <w:rsid w:val="006E3E7E"/>
    <w:rsid w:val="006E414B"/>
    <w:rsid w:val="006E53B3"/>
    <w:rsid w:val="006E63B6"/>
    <w:rsid w:val="006E6E3E"/>
    <w:rsid w:val="006E71C7"/>
    <w:rsid w:val="006E735B"/>
    <w:rsid w:val="006E73DA"/>
    <w:rsid w:val="006E7DCE"/>
    <w:rsid w:val="006F17E1"/>
    <w:rsid w:val="006F21D2"/>
    <w:rsid w:val="006F4CE4"/>
    <w:rsid w:val="006F4FD1"/>
    <w:rsid w:val="006F558D"/>
    <w:rsid w:val="006F5710"/>
    <w:rsid w:val="006F57A0"/>
    <w:rsid w:val="006F5D9A"/>
    <w:rsid w:val="006F72F5"/>
    <w:rsid w:val="00700D66"/>
    <w:rsid w:val="00701409"/>
    <w:rsid w:val="00701FF8"/>
    <w:rsid w:val="0070238D"/>
    <w:rsid w:val="00702CD4"/>
    <w:rsid w:val="00703094"/>
    <w:rsid w:val="00703560"/>
    <w:rsid w:val="00704976"/>
    <w:rsid w:val="007050FF"/>
    <w:rsid w:val="00706EAB"/>
    <w:rsid w:val="00710352"/>
    <w:rsid w:val="007107C4"/>
    <w:rsid w:val="00710D2E"/>
    <w:rsid w:val="00710D52"/>
    <w:rsid w:val="00710E87"/>
    <w:rsid w:val="007114B2"/>
    <w:rsid w:val="00711BC0"/>
    <w:rsid w:val="00713E0D"/>
    <w:rsid w:val="007141A1"/>
    <w:rsid w:val="0071431A"/>
    <w:rsid w:val="00714E11"/>
    <w:rsid w:val="00715763"/>
    <w:rsid w:val="0071593B"/>
    <w:rsid w:val="00715CB9"/>
    <w:rsid w:val="00716705"/>
    <w:rsid w:val="00716815"/>
    <w:rsid w:val="00717CA8"/>
    <w:rsid w:val="00720451"/>
    <w:rsid w:val="00720947"/>
    <w:rsid w:val="00720F75"/>
    <w:rsid w:val="007221A9"/>
    <w:rsid w:val="0072227C"/>
    <w:rsid w:val="0072232A"/>
    <w:rsid w:val="00722C56"/>
    <w:rsid w:val="00722C82"/>
    <w:rsid w:val="007231DF"/>
    <w:rsid w:val="00723444"/>
    <w:rsid w:val="00723515"/>
    <w:rsid w:val="007239DA"/>
    <w:rsid w:val="007245C5"/>
    <w:rsid w:val="00724AF7"/>
    <w:rsid w:val="00725111"/>
    <w:rsid w:val="00725C22"/>
    <w:rsid w:val="0072606C"/>
    <w:rsid w:val="007314CE"/>
    <w:rsid w:val="007319AB"/>
    <w:rsid w:val="007319CE"/>
    <w:rsid w:val="0073216C"/>
    <w:rsid w:val="00732405"/>
    <w:rsid w:val="00732B82"/>
    <w:rsid w:val="007333FE"/>
    <w:rsid w:val="00733561"/>
    <w:rsid w:val="00735327"/>
    <w:rsid w:val="00735343"/>
    <w:rsid w:val="00736511"/>
    <w:rsid w:val="00736E0B"/>
    <w:rsid w:val="0073706F"/>
    <w:rsid w:val="007400DD"/>
    <w:rsid w:val="00740446"/>
    <w:rsid w:val="00740865"/>
    <w:rsid w:val="00744554"/>
    <w:rsid w:val="0074567B"/>
    <w:rsid w:val="00745A41"/>
    <w:rsid w:val="00747102"/>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B26"/>
    <w:rsid w:val="00757D03"/>
    <w:rsid w:val="007610F9"/>
    <w:rsid w:val="00761FB6"/>
    <w:rsid w:val="007632DC"/>
    <w:rsid w:val="007644D6"/>
    <w:rsid w:val="007646FE"/>
    <w:rsid w:val="007650B5"/>
    <w:rsid w:val="00765AD3"/>
    <w:rsid w:val="00766186"/>
    <w:rsid w:val="00766962"/>
    <w:rsid w:val="007672B7"/>
    <w:rsid w:val="0076745F"/>
    <w:rsid w:val="00767524"/>
    <w:rsid w:val="0077148E"/>
    <w:rsid w:val="00771645"/>
    <w:rsid w:val="0077177B"/>
    <w:rsid w:val="00772106"/>
    <w:rsid w:val="00772619"/>
    <w:rsid w:val="0077267E"/>
    <w:rsid w:val="00772F09"/>
    <w:rsid w:val="00773E4B"/>
    <w:rsid w:val="00774079"/>
    <w:rsid w:val="007740B7"/>
    <w:rsid w:val="007743CD"/>
    <w:rsid w:val="00775287"/>
    <w:rsid w:val="00775CD8"/>
    <w:rsid w:val="00775F35"/>
    <w:rsid w:val="0077681D"/>
    <w:rsid w:val="007768A1"/>
    <w:rsid w:val="00776C90"/>
    <w:rsid w:val="00776FB3"/>
    <w:rsid w:val="00777D2F"/>
    <w:rsid w:val="0078122C"/>
    <w:rsid w:val="0078135F"/>
    <w:rsid w:val="00782369"/>
    <w:rsid w:val="00782645"/>
    <w:rsid w:val="00782D04"/>
    <w:rsid w:val="007831D2"/>
    <w:rsid w:val="00784983"/>
    <w:rsid w:val="00784C15"/>
    <w:rsid w:val="007855E1"/>
    <w:rsid w:val="00785623"/>
    <w:rsid w:val="0078678C"/>
    <w:rsid w:val="007867BB"/>
    <w:rsid w:val="00787271"/>
    <w:rsid w:val="007877ED"/>
    <w:rsid w:val="00787E33"/>
    <w:rsid w:val="00790432"/>
    <w:rsid w:val="0079083B"/>
    <w:rsid w:val="00790C01"/>
    <w:rsid w:val="00792EB2"/>
    <w:rsid w:val="007933C8"/>
    <w:rsid w:val="0079366D"/>
    <w:rsid w:val="00793F47"/>
    <w:rsid w:val="00793F5F"/>
    <w:rsid w:val="00795936"/>
    <w:rsid w:val="007959E4"/>
    <w:rsid w:val="00796924"/>
    <w:rsid w:val="00796E77"/>
    <w:rsid w:val="00797432"/>
    <w:rsid w:val="00797BC5"/>
    <w:rsid w:val="007A0716"/>
    <w:rsid w:val="007A1335"/>
    <w:rsid w:val="007A243E"/>
    <w:rsid w:val="007A27BC"/>
    <w:rsid w:val="007A2A6E"/>
    <w:rsid w:val="007A2D1C"/>
    <w:rsid w:val="007A3CB6"/>
    <w:rsid w:val="007A46B4"/>
    <w:rsid w:val="007A4875"/>
    <w:rsid w:val="007A492D"/>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C01AC"/>
    <w:rsid w:val="007C108F"/>
    <w:rsid w:val="007C13FC"/>
    <w:rsid w:val="007C1B02"/>
    <w:rsid w:val="007C3013"/>
    <w:rsid w:val="007C37F9"/>
    <w:rsid w:val="007C47AE"/>
    <w:rsid w:val="007C5105"/>
    <w:rsid w:val="007C638F"/>
    <w:rsid w:val="007C6B16"/>
    <w:rsid w:val="007C6E09"/>
    <w:rsid w:val="007C7095"/>
    <w:rsid w:val="007D02A0"/>
    <w:rsid w:val="007D0AE2"/>
    <w:rsid w:val="007D0F55"/>
    <w:rsid w:val="007D1330"/>
    <w:rsid w:val="007D1724"/>
    <w:rsid w:val="007D188B"/>
    <w:rsid w:val="007D33F4"/>
    <w:rsid w:val="007D3C31"/>
    <w:rsid w:val="007D3C57"/>
    <w:rsid w:val="007D5070"/>
    <w:rsid w:val="007D5456"/>
    <w:rsid w:val="007D5B26"/>
    <w:rsid w:val="007D6DA7"/>
    <w:rsid w:val="007D6EB5"/>
    <w:rsid w:val="007D744B"/>
    <w:rsid w:val="007E0A1A"/>
    <w:rsid w:val="007E0EA4"/>
    <w:rsid w:val="007E1A0E"/>
    <w:rsid w:val="007E2564"/>
    <w:rsid w:val="007E27A5"/>
    <w:rsid w:val="007E2D4B"/>
    <w:rsid w:val="007E33F7"/>
    <w:rsid w:val="007E3865"/>
    <w:rsid w:val="007E3BFD"/>
    <w:rsid w:val="007E43AE"/>
    <w:rsid w:val="007E45A0"/>
    <w:rsid w:val="007E471B"/>
    <w:rsid w:val="007E5768"/>
    <w:rsid w:val="007E67D9"/>
    <w:rsid w:val="007F0728"/>
    <w:rsid w:val="007F0A14"/>
    <w:rsid w:val="007F0D77"/>
    <w:rsid w:val="007F1FA4"/>
    <w:rsid w:val="007F2AF9"/>
    <w:rsid w:val="007F3094"/>
    <w:rsid w:val="007F3ABE"/>
    <w:rsid w:val="007F3E4C"/>
    <w:rsid w:val="007F501B"/>
    <w:rsid w:val="007F55AD"/>
    <w:rsid w:val="007F5D74"/>
    <w:rsid w:val="007F6533"/>
    <w:rsid w:val="007F69F6"/>
    <w:rsid w:val="00800F14"/>
    <w:rsid w:val="00801256"/>
    <w:rsid w:val="00801FCF"/>
    <w:rsid w:val="00802289"/>
    <w:rsid w:val="00802652"/>
    <w:rsid w:val="00802C57"/>
    <w:rsid w:val="00805B32"/>
    <w:rsid w:val="00806B85"/>
    <w:rsid w:val="0080772E"/>
    <w:rsid w:val="00807A78"/>
    <w:rsid w:val="00810FA5"/>
    <w:rsid w:val="00811FC9"/>
    <w:rsid w:val="0081351B"/>
    <w:rsid w:val="00814C9F"/>
    <w:rsid w:val="0081667C"/>
    <w:rsid w:val="00816808"/>
    <w:rsid w:val="008173F3"/>
    <w:rsid w:val="0081781D"/>
    <w:rsid w:val="00820F4D"/>
    <w:rsid w:val="008224F2"/>
    <w:rsid w:val="00822751"/>
    <w:rsid w:val="00822754"/>
    <w:rsid w:val="00823903"/>
    <w:rsid w:val="00823FF6"/>
    <w:rsid w:val="00824E43"/>
    <w:rsid w:val="00824F48"/>
    <w:rsid w:val="00825424"/>
    <w:rsid w:val="00825A5B"/>
    <w:rsid w:val="00825F74"/>
    <w:rsid w:val="00826709"/>
    <w:rsid w:val="008267C6"/>
    <w:rsid w:val="00826FC6"/>
    <w:rsid w:val="008276E8"/>
    <w:rsid w:val="00827D03"/>
    <w:rsid w:val="00830610"/>
    <w:rsid w:val="00830E41"/>
    <w:rsid w:val="00832838"/>
    <w:rsid w:val="008328E9"/>
    <w:rsid w:val="00833347"/>
    <w:rsid w:val="00834967"/>
    <w:rsid w:val="00834C83"/>
    <w:rsid w:val="00834FE6"/>
    <w:rsid w:val="00835082"/>
    <w:rsid w:val="0083589B"/>
    <w:rsid w:val="00835BCB"/>
    <w:rsid w:val="00835CDC"/>
    <w:rsid w:val="00840536"/>
    <w:rsid w:val="008424C6"/>
    <w:rsid w:val="00842E75"/>
    <w:rsid w:val="00844A27"/>
    <w:rsid w:val="00844E61"/>
    <w:rsid w:val="00845248"/>
    <w:rsid w:val="0084654B"/>
    <w:rsid w:val="00847570"/>
    <w:rsid w:val="00847625"/>
    <w:rsid w:val="008508CC"/>
    <w:rsid w:val="00850B09"/>
    <w:rsid w:val="008510C3"/>
    <w:rsid w:val="0085126E"/>
    <w:rsid w:val="00851E50"/>
    <w:rsid w:val="00852199"/>
    <w:rsid w:val="00852801"/>
    <w:rsid w:val="00852A48"/>
    <w:rsid w:val="00853C6D"/>
    <w:rsid w:val="0085489C"/>
    <w:rsid w:val="00855C1C"/>
    <w:rsid w:val="00855EBF"/>
    <w:rsid w:val="00856977"/>
    <w:rsid w:val="0085742B"/>
    <w:rsid w:val="0086106F"/>
    <w:rsid w:val="0086116F"/>
    <w:rsid w:val="0086165A"/>
    <w:rsid w:val="00862E41"/>
    <w:rsid w:val="00862FC2"/>
    <w:rsid w:val="0086305C"/>
    <w:rsid w:val="00863425"/>
    <w:rsid w:val="00863B9D"/>
    <w:rsid w:val="00863BE6"/>
    <w:rsid w:val="0086541E"/>
    <w:rsid w:val="008662B7"/>
    <w:rsid w:val="00866F17"/>
    <w:rsid w:val="00870CB6"/>
    <w:rsid w:val="00872444"/>
    <w:rsid w:val="0087246A"/>
    <w:rsid w:val="00872B40"/>
    <w:rsid w:val="008737DE"/>
    <w:rsid w:val="00877012"/>
    <w:rsid w:val="008775BC"/>
    <w:rsid w:val="00877FE8"/>
    <w:rsid w:val="008803E6"/>
    <w:rsid w:val="00880FB8"/>
    <w:rsid w:val="00881800"/>
    <w:rsid w:val="008824F8"/>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0809"/>
    <w:rsid w:val="00891CBE"/>
    <w:rsid w:val="0089261A"/>
    <w:rsid w:val="00892CE9"/>
    <w:rsid w:val="00893636"/>
    <w:rsid w:val="008940A6"/>
    <w:rsid w:val="00894C5C"/>
    <w:rsid w:val="00894CE5"/>
    <w:rsid w:val="00894D48"/>
    <w:rsid w:val="00894E14"/>
    <w:rsid w:val="0089506B"/>
    <w:rsid w:val="00895280"/>
    <w:rsid w:val="00895362"/>
    <w:rsid w:val="00896643"/>
    <w:rsid w:val="00896D37"/>
    <w:rsid w:val="008A1922"/>
    <w:rsid w:val="008A1F61"/>
    <w:rsid w:val="008A236E"/>
    <w:rsid w:val="008A23C2"/>
    <w:rsid w:val="008A347C"/>
    <w:rsid w:val="008A35E8"/>
    <w:rsid w:val="008A3B21"/>
    <w:rsid w:val="008A4B2A"/>
    <w:rsid w:val="008A636A"/>
    <w:rsid w:val="008A63B8"/>
    <w:rsid w:val="008A66A3"/>
    <w:rsid w:val="008A70CE"/>
    <w:rsid w:val="008A73A2"/>
    <w:rsid w:val="008A73C8"/>
    <w:rsid w:val="008A7E5E"/>
    <w:rsid w:val="008B1247"/>
    <w:rsid w:val="008B157F"/>
    <w:rsid w:val="008B2ABF"/>
    <w:rsid w:val="008B2B9E"/>
    <w:rsid w:val="008B645E"/>
    <w:rsid w:val="008B654C"/>
    <w:rsid w:val="008B65DD"/>
    <w:rsid w:val="008C0483"/>
    <w:rsid w:val="008C0AA6"/>
    <w:rsid w:val="008C1572"/>
    <w:rsid w:val="008C18DC"/>
    <w:rsid w:val="008C22B4"/>
    <w:rsid w:val="008C25E4"/>
    <w:rsid w:val="008C2DAE"/>
    <w:rsid w:val="008C33A8"/>
    <w:rsid w:val="008C35B8"/>
    <w:rsid w:val="008C3A00"/>
    <w:rsid w:val="008C4848"/>
    <w:rsid w:val="008C6372"/>
    <w:rsid w:val="008C703C"/>
    <w:rsid w:val="008C7774"/>
    <w:rsid w:val="008D03AE"/>
    <w:rsid w:val="008D106E"/>
    <w:rsid w:val="008D13C8"/>
    <w:rsid w:val="008D17FC"/>
    <w:rsid w:val="008D2D48"/>
    <w:rsid w:val="008D35AB"/>
    <w:rsid w:val="008D5860"/>
    <w:rsid w:val="008D5BB1"/>
    <w:rsid w:val="008D6157"/>
    <w:rsid w:val="008D76BB"/>
    <w:rsid w:val="008E00BF"/>
    <w:rsid w:val="008E3029"/>
    <w:rsid w:val="008E36DB"/>
    <w:rsid w:val="008E4885"/>
    <w:rsid w:val="008E48BA"/>
    <w:rsid w:val="008E55BA"/>
    <w:rsid w:val="008E5EE1"/>
    <w:rsid w:val="008E66EE"/>
    <w:rsid w:val="008E683D"/>
    <w:rsid w:val="008E6995"/>
    <w:rsid w:val="008F1C5D"/>
    <w:rsid w:val="008F4B8B"/>
    <w:rsid w:val="008F4DA8"/>
    <w:rsid w:val="008F5C19"/>
    <w:rsid w:val="008F5CCF"/>
    <w:rsid w:val="008F5E92"/>
    <w:rsid w:val="008F5F4B"/>
    <w:rsid w:val="008F7A15"/>
    <w:rsid w:val="008F7FC4"/>
    <w:rsid w:val="00900074"/>
    <w:rsid w:val="00900459"/>
    <w:rsid w:val="00900594"/>
    <w:rsid w:val="00900A1A"/>
    <w:rsid w:val="00900C65"/>
    <w:rsid w:val="0090109C"/>
    <w:rsid w:val="0090114F"/>
    <w:rsid w:val="00901BA8"/>
    <w:rsid w:val="00902261"/>
    <w:rsid w:val="00903E7A"/>
    <w:rsid w:val="00904A56"/>
    <w:rsid w:val="00904C0A"/>
    <w:rsid w:val="009059A9"/>
    <w:rsid w:val="009063E7"/>
    <w:rsid w:val="0090753F"/>
    <w:rsid w:val="00910060"/>
    <w:rsid w:val="009108C7"/>
    <w:rsid w:val="00910C00"/>
    <w:rsid w:val="00911363"/>
    <w:rsid w:val="00911D78"/>
    <w:rsid w:val="009151BF"/>
    <w:rsid w:val="009151C4"/>
    <w:rsid w:val="009153D4"/>
    <w:rsid w:val="00916078"/>
    <w:rsid w:val="00916DE8"/>
    <w:rsid w:val="00917B9D"/>
    <w:rsid w:val="00917DF5"/>
    <w:rsid w:val="00920FA8"/>
    <w:rsid w:val="009223BB"/>
    <w:rsid w:val="00922AC8"/>
    <w:rsid w:val="009232F2"/>
    <w:rsid w:val="00923342"/>
    <w:rsid w:val="009238C5"/>
    <w:rsid w:val="00923B9F"/>
    <w:rsid w:val="00923F44"/>
    <w:rsid w:val="009244AD"/>
    <w:rsid w:val="0092515E"/>
    <w:rsid w:val="00925E74"/>
    <w:rsid w:val="00926A1B"/>
    <w:rsid w:val="009278C5"/>
    <w:rsid w:val="00927A2B"/>
    <w:rsid w:val="00930BA2"/>
    <w:rsid w:val="00931DCD"/>
    <w:rsid w:val="009330D6"/>
    <w:rsid w:val="0093328F"/>
    <w:rsid w:val="0093362F"/>
    <w:rsid w:val="00934BF9"/>
    <w:rsid w:val="00934D5D"/>
    <w:rsid w:val="00936293"/>
    <w:rsid w:val="009364F7"/>
    <w:rsid w:val="009377D4"/>
    <w:rsid w:val="0093795D"/>
    <w:rsid w:val="009379C8"/>
    <w:rsid w:val="009401C8"/>
    <w:rsid w:val="009403BA"/>
    <w:rsid w:val="00940C29"/>
    <w:rsid w:val="0094138F"/>
    <w:rsid w:val="00941557"/>
    <w:rsid w:val="009417F0"/>
    <w:rsid w:val="00941945"/>
    <w:rsid w:val="00941AF3"/>
    <w:rsid w:val="00941E7E"/>
    <w:rsid w:val="00941F90"/>
    <w:rsid w:val="00942026"/>
    <w:rsid w:val="00942840"/>
    <w:rsid w:val="00942B3F"/>
    <w:rsid w:val="00942FBD"/>
    <w:rsid w:val="00943250"/>
    <w:rsid w:val="009433D2"/>
    <w:rsid w:val="0094536E"/>
    <w:rsid w:val="00946B96"/>
    <w:rsid w:val="00946EF3"/>
    <w:rsid w:val="0094770B"/>
    <w:rsid w:val="00947DA1"/>
    <w:rsid w:val="009508B3"/>
    <w:rsid w:val="0095098C"/>
    <w:rsid w:val="00952D57"/>
    <w:rsid w:val="0095341E"/>
    <w:rsid w:val="00954B84"/>
    <w:rsid w:val="0095500A"/>
    <w:rsid w:val="0095593F"/>
    <w:rsid w:val="00955C94"/>
    <w:rsid w:val="0095723A"/>
    <w:rsid w:val="009574E5"/>
    <w:rsid w:val="00957F77"/>
    <w:rsid w:val="00960BF3"/>
    <w:rsid w:val="009616D3"/>
    <w:rsid w:val="00961C92"/>
    <w:rsid w:val="00962383"/>
    <w:rsid w:val="009645BE"/>
    <w:rsid w:val="009647EC"/>
    <w:rsid w:val="00965839"/>
    <w:rsid w:val="00965B6F"/>
    <w:rsid w:val="0096640E"/>
    <w:rsid w:val="00966BF5"/>
    <w:rsid w:val="00966C0B"/>
    <w:rsid w:val="00967281"/>
    <w:rsid w:val="00967BB4"/>
    <w:rsid w:val="009705DA"/>
    <w:rsid w:val="00970747"/>
    <w:rsid w:val="009715DE"/>
    <w:rsid w:val="00972473"/>
    <w:rsid w:val="009725FD"/>
    <w:rsid w:val="00972916"/>
    <w:rsid w:val="00973A19"/>
    <w:rsid w:val="009746FC"/>
    <w:rsid w:val="009748F3"/>
    <w:rsid w:val="00974BBB"/>
    <w:rsid w:val="00974E61"/>
    <w:rsid w:val="0097613E"/>
    <w:rsid w:val="00976533"/>
    <w:rsid w:val="009765A5"/>
    <w:rsid w:val="00976D55"/>
    <w:rsid w:val="00976E36"/>
    <w:rsid w:val="009803E8"/>
    <w:rsid w:val="00981C74"/>
    <w:rsid w:val="0098230A"/>
    <w:rsid w:val="00983E8B"/>
    <w:rsid w:val="00984926"/>
    <w:rsid w:val="0098711C"/>
    <w:rsid w:val="00987AA8"/>
    <w:rsid w:val="00990677"/>
    <w:rsid w:val="009911F5"/>
    <w:rsid w:val="0099128D"/>
    <w:rsid w:val="009916F4"/>
    <w:rsid w:val="0099187E"/>
    <w:rsid w:val="00991A7D"/>
    <w:rsid w:val="009924BD"/>
    <w:rsid w:val="00993751"/>
    <w:rsid w:val="00993B5C"/>
    <w:rsid w:val="00993E40"/>
    <w:rsid w:val="00995C3B"/>
    <w:rsid w:val="0099769F"/>
    <w:rsid w:val="00997B4C"/>
    <w:rsid w:val="00997B52"/>
    <w:rsid w:val="00997D8E"/>
    <w:rsid w:val="009A14E0"/>
    <w:rsid w:val="009A176F"/>
    <w:rsid w:val="009A25E0"/>
    <w:rsid w:val="009A29FB"/>
    <w:rsid w:val="009A2FB6"/>
    <w:rsid w:val="009A36BC"/>
    <w:rsid w:val="009A3BED"/>
    <w:rsid w:val="009A3C86"/>
    <w:rsid w:val="009A3EEF"/>
    <w:rsid w:val="009A4759"/>
    <w:rsid w:val="009A4FF6"/>
    <w:rsid w:val="009A51C2"/>
    <w:rsid w:val="009A5805"/>
    <w:rsid w:val="009A5A69"/>
    <w:rsid w:val="009A65E1"/>
    <w:rsid w:val="009A6C55"/>
    <w:rsid w:val="009A7727"/>
    <w:rsid w:val="009B0982"/>
    <w:rsid w:val="009B0B07"/>
    <w:rsid w:val="009B11E9"/>
    <w:rsid w:val="009B2267"/>
    <w:rsid w:val="009B239C"/>
    <w:rsid w:val="009B2EB0"/>
    <w:rsid w:val="009B3163"/>
    <w:rsid w:val="009B3310"/>
    <w:rsid w:val="009B44BD"/>
    <w:rsid w:val="009B4FB3"/>
    <w:rsid w:val="009B5C76"/>
    <w:rsid w:val="009B6273"/>
    <w:rsid w:val="009B70F9"/>
    <w:rsid w:val="009B7477"/>
    <w:rsid w:val="009B75F1"/>
    <w:rsid w:val="009C12F7"/>
    <w:rsid w:val="009C13B9"/>
    <w:rsid w:val="009C1677"/>
    <w:rsid w:val="009C47C7"/>
    <w:rsid w:val="009C4D29"/>
    <w:rsid w:val="009C4E55"/>
    <w:rsid w:val="009C5380"/>
    <w:rsid w:val="009C55B1"/>
    <w:rsid w:val="009C5CE3"/>
    <w:rsid w:val="009C67A2"/>
    <w:rsid w:val="009D009D"/>
    <w:rsid w:val="009D09AD"/>
    <w:rsid w:val="009D0B87"/>
    <w:rsid w:val="009D13E0"/>
    <w:rsid w:val="009D161E"/>
    <w:rsid w:val="009D1EC5"/>
    <w:rsid w:val="009D203A"/>
    <w:rsid w:val="009D2783"/>
    <w:rsid w:val="009D2CC9"/>
    <w:rsid w:val="009D3819"/>
    <w:rsid w:val="009D425A"/>
    <w:rsid w:val="009D4761"/>
    <w:rsid w:val="009D5002"/>
    <w:rsid w:val="009D65B8"/>
    <w:rsid w:val="009D7BD2"/>
    <w:rsid w:val="009D7CF3"/>
    <w:rsid w:val="009E07CA"/>
    <w:rsid w:val="009E0AE8"/>
    <w:rsid w:val="009E0E95"/>
    <w:rsid w:val="009E0EE3"/>
    <w:rsid w:val="009E3645"/>
    <w:rsid w:val="009E409F"/>
    <w:rsid w:val="009E49FA"/>
    <w:rsid w:val="009E4AA0"/>
    <w:rsid w:val="009E4DC7"/>
    <w:rsid w:val="009E5117"/>
    <w:rsid w:val="009E5374"/>
    <w:rsid w:val="009E5BDE"/>
    <w:rsid w:val="009E699F"/>
    <w:rsid w:val="009E6D84"/>
    <w:rsid w:val="009E7D0C"/>
    <w:rsid w:val="009F0B00"/>
    <w:rsid w:val="009F2A50"/>
    <w:rsid w:val="009F345D"/>
    <w:rsid w:val="009F372A"/>
    <w:rsid w:val="009F406C"/>
    <w:rsid w:val="009F5180"/>
    <w:rsid w:val="009F5383"/>
    <w:rsid w:val="009F57D2"/>
    <w:rsid w:val="009F5E65"/>
    <w:rsid w:val="009F6586"/>
    <w:rsid w:val="009F6F1D"/>
    <w:rsid w:val="009F6FB9"/>
    <w:rsid w:val="009F7208"/>
    <w:rsid w:val="00A0143B"/>
    <w:rsid w:val="00A03E09"/>
    <w:rsid w:val="00A03E56"/>
    <w:rsid w:val="00A0434C"/>
    <w:rsid w:val="00A04BB1"/>
    <w:rsid w:val="00A04F22"/>
    <w:rsid w:val="00A050C4"/>
    <w:rsid w:val="00A105B6"/>
    <w:rsid w:val="00A10F42"/>
    <w:rsid w:val="00A12A1C"/>
    <w:rsid w:val="00A1302C"/>
    <w:rsid w:val="00A13218"/>
    <w:rsid w:val="00A134D2"/>
    <w:rsid w:val="00A1363E"/>
    <w:rsid w:val="00A136F7"/>
    <w:rsid w:val="00A146A7"/>
    <w:rsid w:val="00A14AD4"/>
    <w:rsid w:val="00A14DDB"/>
    <w:rsid w:val="00A1501B"/>
    <w:rsid w:val="00A154A5"/>
    <w:rsid w:val="00A167E4"/>
    <w:rsid w:val="00A171FC"/>
    <w:rsid w:val="00A17890"/>
    <w:rsid w:val="00A17CF2"/>
    <w:rsid w:val="00A20021"/>
    <w:rsid w:val="00A205DC"/>
    <w:rsid w:val="00A22579"/>
    <w:rsid w:val="00A227A3"/>
    <w:rsid w:val="00A22823"/>
    <w:rsid w:val="00A234FD"/>
    <w:rsid w:val="00A245AB"/>
    <w:rsid w:val="00A24A70"/>
    <w:rsid w:val="00A250D6"/>
    <w:rsid w:val="00A25693"/>
    <w:rsid w:val="00A25F96"/>
    <w:rsid w:val="00A260F0"/>
    <w:rsid w:val="00A279A7"/>
    <w:rsid w:val="00A27E73"/>
    <w:rsid w:val="00A30780"/>
    <w:rsid w:val="00A31010"/>
    <w:rsid w:val="00A3128F"/>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2E5E"/>
    <w:rsid w:val="00A4305D"/>
    <w:rsid w:val="00A430ED"/>
    <w:rsid w:val="00A431A2"/>
    <w:rsid w:val="00A446A5"/>
    <w:rsid w:val="00A44D0A"/>
    <w:rsid w:val="00A47386"/>
    <w:rsid w:val="00A47A59"/>
    <w:rsid w:val="00A47D17"/>
    <w:rsid w:val="00A47F7E"/>
    <w:rsid w:val="00A51FC7"/>
    <w:rsid w:val="00A5236A"/>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2C7"/>
    <w:rsid w:val="00A64F9C"/>
    <w:rsid w:val="00A653DC"/>
    <w:rsid w:val="00A67D44"/>
    <w:rsid w:val="00A67F12"/>
    <w:rsid w:val="00A70BAE"/>
    <w:rsid w:val="00A717B3"/>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844"/>
    <w:rsid w:val="00A779A7"/>
    <w:rsid w:val="00A80080"/>
    <w:rsid w:val="00A80585"/>
    <w:rsid w:val="00A81018"/>
    <w:rsid w:val="00A82238"/>
    <w:rsid w:val="00A83F80"/>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97080"/>
    <w:rsid w:val="00AA024A"/>
    <w:rsid w:val="00AA0C67"/>
    <w:rsid w:val="00AA14FC"/>
    <w:rsid w:val="00AA1B8D"/>
    <w:rsid w:val="00AA1F55"/>
    <w:rsid w:val="00AA3DF1"/>
    <w:rsid w:val="00AA5751"/>
    <w:rsid w:val="00AA5AB6"/>
    <w:rsid w:val="00AA5DF5"/>
    <w:rsid w:val="00AA69CE"/>
    <w:rsid w:val="00AA7AFA"/>
    <w:rsid w:val="00AB0CA9"/>
    <w:rsid w:val="00AB232A"/>
    <w:rsid w:val="00AB3D54"/>
    <w:rsid w:val="00AB4541"/>
    <w:rsid w:val="00AB4951"/>
    <w:rsid w:val="00AB4965"/>
    <w:rsid w:val="00AB49AB"/>
    <w:rsid w:val="00AB5653"/>
    <w:rsid w:val="00AB61F8"/>
    <w:rsid w:val="00AB73FC"/>
    <w:rsid w:val="00AC07E6"/>
    <w:rsid w:val="00AC07F1"/>
    <w:rsid w:val="00AC1C79"/>
    <w:rsid w:val="00AC2BA5"/>
    <w:rsid w:val="00AC3603"/>
    <w:rsid w:val="00AC5BA6"/>
    <w:rsid w:val="00AC6729"/>
    <w:rsid w:val="00AC6B8A"/>
    <w:rsid w:val="00AC7E21"/>
    <w:rsid w:val="00AD0595"/>
    <w:rsid w:val="00AD0650"/>
    <w:rsid w:val="00AD0AE9"/>
    <w:rsid w:val="00AD0EFD"/>
    <w:rsid w:val="00AD0F59"/>
    <w:rsid w:val="00AD1FB4"/>
    <w:rsid w:val="00AD2D43"/>
    <w:rsid w:val="00AD3CE9"/>
    <w:rsid w:val="00AD3EB7"/>
    <w:rsid w:val="00AD49CD"/>
    <w:rsid w:val="00AD6525"/>
    <w:rsid w:val="00AD6EB6"/>
    <w:rsid w:val="00AD751E"/>
    <w:rsid w:val="00AE109C"/>
    <w:rsid w:val="00AE14CA"/>
    <w:rsid w:val="00AE201B"/>
    <w:rsid w:val="00AE2219"/>
    <w:rsid w:val="00AE2808"/>
    <w:rsid w:val="00AE2A59"/>
    <w:rsid w:val="00AE2D1A"/>
    <w:rsid w:val="00AE2EA2"/>
    <w:rsid w:val="00AE3C1B"/>
    <w:rsid w:val="00AE402D"/>
    <w:rsid w:val="00AE41E7"/>
    <w:rsid w:val="00AE43C7"/>
    <w:rsid w:val="00AE5291"/>
    <w:rsid w:val="00AE6660"/>
    <w:rsid w:val="00AE672A"/>
    <w:rsid w:val="00AF0D9D"/>
    <w:rsid w:val="00AF27AC"/>
    <w:rsid w:val="00AF37BE"/>
    <w:rsid w:val="00AF3C32"/>
    <w:rsid w:val="00AF4483"/>
    <w:rsid w:val="00AF4D09"/>
    <w:rsid w:val="00AF539B"/>
    <w:rsid w:val="00AF5422"/>
    <w:rsid w:val="00AF597F"/>
    <w:rsid w:val="00AF5B5A"/>
    <w:rsid w:val="00AF5CB3"/>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07108"/>
    <w:rsid w:val="00B101C9"/>
    <w:rsid w:val="00B108EC"/>
    <w:rsid w:val="00B10EA9"/>
    <w:rsid w:val="00B119AF"/>
    <w:rsid w:val="00B1295D"/>
    <w:rsid w:val="00B13A85"/>
    <w:rsid w:val="00B14F8E"/>
    <w:rsid w:val="00B153DB"/>
    <w:rsid w:val="00B15945"/>
    <w:rsid w:val="00B17032"/>
    <w:rsid w:val="00B205B9"/>
    <w:rsid w:val="00B2068E"/>
    <w:rsid w:val="00B20B9E"/>
    <w:rsid w:val="00B21D97"/>
    <w:rsid w:val="00B22316"/>
    <w:rsid w:val="00B226DE"/>
    <w:rsid w:val="00B23624"/>
    <w:rsid w:val="00B23A72"/>
    <w:rsid w:val="00B24335"/>
    <w:rsid w:val="00B24EE0"/>
    <w:rsid w:val="00B25892"/>
    <w:rsid w:val="00B25F54"/>
    <w:rsid w:val="00B2601D"/>
    <w:rsid w:val="00B26242"/>
    <w:rsid w:val="00B2684F"/>
    <w:rsid w:val="00B27AB1"/>
    <w:rsid w:val="00B27B64"/>
    <w:rsid w:val="00B3105C"/>
    <w:rsid w:val="00B31256"/>
    <w:rsid w:val="00B315A0"/>
    <w:rsid w:val="00B315DA"/>
    <w:rsid w:val="00B32336"/>
    <w:rsid w:val="00B33709"/>
    <w:rsid w:val="00B33898"/>
    <w:rsid w:val="00B34756"/>
    <w:rsid w:val="00B34A18"/>
    <w:rsid w:val="00B35466"/>
    <w:rsid w:val="00B35FF3"/>
    <w:rsid w:val="00B362A8"/>
    <w:rsid w:val="00B3694E"/>
    <w:rsid w:val="00B37061"/>
    <w:rsid w:val="00B37D83"/>
    <w:rsid w:val="00B37DA4"/>
    <w:rsid w:val="00B408E7"/>
    <w:rsid w:val="00B45795"/>
    <w:rsid w:val="00B460F5"/>
    <w:rsid w:val="00B468CE"/>
    <w:rsid w:val="00B47662"/>
    <w:rsid w:val="00B47A0A"/>
    <w:rsid w:val="00B47A2B"/>
    <w:rsid w:val="00B47E10"/>
    <w:rsid w:val="00B5135E"/>
    <w:rsid w:val="00B5204A"/>
    <w:rsid w:val="00B52876"/>
    <w:rsid w:val="00B5292F"/>
    <w:rsid w:val="00B529D7"/>
    <w:rsid w:val="00B5318A"/>
    <w:rsid w:val="00B5364F"/>
    <w:rsid w:val="00B54FC0"/>
    <w:rsid w:val="00B55BCE"/>
    <w:rsid w:val="00B56679"/>
    <w:rsid w:val="00B56C57"/>
    <w:rsid w:val="00B579CB"/>
    <w:rsid w:val="00B60458"/>
    <w:rsid w:val="00B60835"/>
    <w:rsid w:val="00B60B96"/>
    <w:rsid w:val="00B61B3F"/>
    <w:rsid w:val="00B6236E"/>
    <w:rsid w:val="00B62468"/>
    <w:rsid w:val="00B626CD"/>
    <w:rsid w:val="00B6428C"/>
    <w:rsid w:val="00B66AC6"/>
    <w:rsid w:val="00B677D9"/>
    <w:rsid w:val="00B67EE6"/>
    <w:rsid w:val="00B70083"/>
    <w:rsid w:val="00B7171B"/>
    <w:rsid w:val="00B71B58"/>
    <w:rsid w:val="00B71CAF"/>
    <w:rsid w:val="00B73177"/>
    <w:rsid w:val="00B7366D"/>
    <w:rsid w:val="00B74DBC"/>
    <w:rsid w:val="00B75CAF"/>
    <w:rsid w:val="00B77030"/>
    <w:rsid w:val="00B77650"/>
    <w:rsid w:val="00B77808"/>
    <w:rsid w:val="00B8005A"/>
    <w:rsid w:val="00B821BB"/>
    <w:rsid w:val="00B82EC1"/>
    <w:rsid w:val="00B83775"/>
    <w:rsid w:val="00B83796"/>
    <w:rsid w:val="00B837A3"/>
    <w:rsid w:val="00B83AD6"/>
    <w:rsid w:val="00B8400C"/>
    <w:rsid w:val="00B84445"/>
    <w:rsid w:val="00B865CF"/>
    <w:rsid w:val="00B8707C"/>
    <w:rsid w:val="00B87B18"/>
    <w:rsid w:val="00B90827"/>
    <w:rsid w:val="00B91929"/>
    <w:rsid w:val="00B92F58"/>
    <w:rsid w:val="00B94C5D"/>
    <w:rsid w:val="00B9530B"/>
    <w:rsid w:val="00B9653E"/>
    <w:rsid w:val="00B9685D"/>
    <w:rsid w:val="00B97377"/>
    <w:rsid w:val="00BA0CB9"/>
    <w:rsid w:val="00BA0F3C"/>
    <w:rsid w:val="00BA1A86"/>
    <w:rsid w:val="00BA2789"/>
    <w:rsid w:val="00BA2947"/>
    <w:rsid w:val="00BA2DE3"/>
    <w:rsid w:val="00BA3BBF"/>
    <w:rsid w:val="00BA403E"/>
    <w:rsid w:val="00BA49B0"/>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44AB"/>
    <w:rsid w:val="00BD52E2"/>
    <w:rsid w:val="00BD5715"/>
    <w:rsid w:val="00BD5CBA"/>
    <w:rsid w:val="00BD60E7"/>
    <w:rsid w:val="00BD6DB2"/>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2714"/>
    <w:rsid w:val="00BF2BE8"/>
    <w:rsid w:val="00BF306E"/>
    <w:rsid w:val="00BF39D6"/>
    <w:rsid w:val="00BF3B3A"/>
    <w:rsid w:val="00BF4AFD"/>
    <w:rsid w:val="00BF4DB0"/>
    <w:rsid w:val="00BF5F30"/>
    <w:rsid w:val="00BF5F32"/>
    <w:rsid w:val="00BF7BCA"/>
    <w:rsid w:val="00C00919"/>
    <w:rsid w:val="00C00A25"/>
    <w:rsid w:val="00C00B4D"/>
    <w:rsid w:val="00C0185E"/>
    <w:rsid w:val="00C0268B"/>
    <w:rsid w:val="00C02E87"/>
    <w:rsid w:val="00C03255"/>
    <w:rsid w:val="00C03734"/>
    <w:rsid w:val="00C03FC6"/>
    <w:rsid w:val="00C0407F"/>
    <w:rsid w:val="00C04BC6"/>
    <w:rsid w:val="00C0555B"/>
    <w:rsid w:val="00C06E57"/>
    <w:rsid w:val="00C06F03"/>
    <w:rsid w:val="00C07033"/>
    <w:rsid w:val="00C07DBD"/>
    <w:rsid w:val="00C10283"/>
    <w:rsid w:val="00C1039F"/>
    <w:rsid w:val="00C10514"/>
    <w:rsid w:val="00C118DC"/>
    <w:rsid w:val="00C13145"/>
    <w:rsid w:val="00C13B23"/>
    <w:rsid w:val="00C13F4F"/>
    <w:rsid w:val="00C14316"/>
    <w:rsid w:val="00C14B83"/>
    <w:rsid w:val="00C14D49"/>
    <w:rsid w:val="00C16883"/>
    <w:rsid w:val="00C17496"/>
    <w:rsid w:val="00C2010A"/>
    <w:rsid w:val="00C215DD"/>
    <w:rsid w:val="00C21A80"/>
    <w:rsid w:val="00C22215"/>
    <w:rsid w:val="00C22635"/>
    <w:rsid w:val="00C2327D"/>
    <w:rsid w:val="00C23752"/>
    <w:rsid w:val="00C2406E"/>
    <w:rsid w:val="00C24075"/>
    <w:rsid w:val="00C2427E"/>
    <w:rsid w:val="00C248D6"/>
    <w:rsid w:val="00C26062"/>
    <w:rsid w:val="00C26079"/>
    <w:rsid w:val="00C263E4"/>
    <w:rsid w:val="00C303C3"/>
    <w:rsid w:val="00C303FC"/>
    <w:rsid w:val="00C3045E"/>
    <w:rsid w:val="00C309E0"/>
    <w:rsid w:val="00C31458"/>
    <w:rsid w:val="00C31C53"/>
    <w:rsid w:val="00C32BBC"/>
    <w:rsid w:val="00C33E5A"/>
    <w:rsid w:val="00C342C9"/>
    <w:rsid w:val="00C34538"/>
    <w:rsid w:val="00C34747"/>
    <w:rsid w:val="00C35A35"/>
    <w:rsid w:val="00C35EBF"/>
    <w:rsid w:val="00C36222"/>
    <w:rsid w:val="00C36318"/>
    <w:rsid w:val="00C363F1"/>
    <w:rsid w:val="00C36C76"/>
    <w:rsid w:val="00C378FE"/>
    <w:rsid w:val="00C37A25"/>
    <w:rsid w:val="00C407C2"/>
    <w:rsid w:val="00C41113"/>
    <w:rsid w:val="00C42674"/>
    <w:rsid w:val="00C42F6F"/>
    <w:rsid w:val="00C43428"/>
    <w:rsid w:val="00C43683"/>
    <w:rsid w:val="00C45173"/>
    <w:rsid w:val="00C4545A"/>
    <w:rsid w:val="00C45606"/>
    <w:rsid w:val="00C467C8"/>
    <w:rsid w:val="00C46DA4"/>
    <w:rsid w:val="00C46F9E"/>
    <w:rsid w:val="00C473F6"/>
    <w:rsid w:val="00C501D4"/>
    <w:rsid w:val="00C50540"/>
    <w:rsid w:val="00C50729"/>
    <w:rsid w:val="00C507DE"/>
    <w:rsid w:val="00C50D5E"/>
    <w:rsid w:val="00C518C9"/>
    <w:rsid w:val="00C52BA8"/>
    <w:rsid w:val="00C53E34"/>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39B6"/>
    <w:rsid w:val="00C74413"/>
    <w:rsid w:val="00C7449E"/>
    <w:rsid w:val="00C74DB0"/>
    <w:rsid w:val="00C75087"/>
    <w:rsid w:val="00C7659C"/>
    <w:rsid w:val="00C80619"/>
    <w:rsid w:val="00C80A3E"/>
    <w:rsid w:val="00C81415"/>
    <w:rsid w:val="00C81805"/>
    <w:rsid w:val="00C819DA"/>
    <w:rsid w:val="00C820C3"/>
    <w:rsid w:val="00C8303A"/>
    <w:rsid w:val="00C83F9B"/>
    <w:rsid w:val="00C8597B"/>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A35"/>
    <w:rsid w:val="00C94D44"/>
    <w:rsid w:val="00C954AB"/>
    <w:rsid w:val="00C96461"/>
    <w:rsid w:val="00C9664D"/>
    <w:rsid w:val="00C96788"/>
    <w:rsid w:val="00C9757F"/>
    <w:rsid w:val="00C976D0"/>
    <w:rsid w:val="00CA08CF"/>
    <w:rsid w:val="00CA0E3E"/>
    <w:rsid w:val="00CA1CC4"/>
    <w:rsid w:val="00CA1EF7"/>
    <w:rsid w:val="00CA2DDB"/>
    <w:rsid w:val="00CA3881"/>
    <w:rsid w:val="00CA47B8"/>
    <w:rsid w:val="00CA4BD3"/>
    <w:rsid w:val="00CA522F"/>
    <w:rsid w:val="00CA5EC9"/>
    <w:rsid w:val="00CA6702"/>
    <w:rsid w:val="00CA6C66"/>
    <w:rsid w:val="00CB0294"/>
    <w:rsid w:val="00CB0FED"/>
    <w:rsid w:val="00CB1C4F"/>
    <w:rsid w:val="00CB2726"/>
    <w:rsid w:val="00CB3186"/>
    <w:rsid w:val="00CB5566"/>
    <w:rsid w:val="00CB5586"/>
    <w:rsid w:val="00CB5635"/>
    <w:rsid w:val="00CB5AD3"/>
    <w:rsid w:val="00CB6134"/>
    <w:rsid w:val="00CB627D"/>
    <w:rsid w:val="00CB6FE0"/>
    <w:rsid w:val="00CB7768"/>
    <w:rsid w:val="00CC000A"/>
    <w:rsid w:val="00CC01F6"/>
    <w:rsid w:val="00CC0661"/>
    <w:rsid w:val="00CC217C"/>
    <w:rsid w:val="00CC24F5"/>
    <w:rsid w:val="00CC3282"/>
    <w:rsid w:val="00CC3682"/>
    <w:rsid w:val="00CC3A48"/>
    <w:rsid w:val="00CC555A"/>
    <w:rsid w:val="00CC5EFF"/>
    <w:rsid w:val="00CC6F63"/>
    <w:rsid w:val="00CD0CD8"/>
    <w:rsid w:val="00CD0E5D"/>
    <w:rsid w:val="00CD188E"/>
    <w:rsid w:val="00CD1D81"/>
    <w:rsid w:val="00CD27F9"/>
    <w:rsid w:val="00CD3D1A"/>
    <w:rsid w:val="00CD426B"/>
    <w:rsid w:val="00CD689A"/>
    <w:rsid w:val="00CD769A"/>
    <w:rsid w:val="00CE0D89"/>
    <w:rsid w:val="00CE1195"/>
    <w:rsid w:val="00CE1519"/>
    <w:rsid w:val="00CE1715"/>
    <w:rsid w:val="00CE1D0B"/>
    <w:rsid w:val="00CE2725"/>
    <w:rsid w:val="00CE2C6E"/>
    <w:rsid w:val="00CE4825"/>
    <w:rsid w:val="00CE49D4"/>
    <w:rsid w:val="00CE5656"/>
    <w:rsid w:val="00CE5886"/>
    <w:rsid w:val="00CE5889"/>
    <w:rsid w:val="00CE73B9"/>
    <w:rsid w:val="00CE750F"/>
    <w:rsid w:val="00CE7803"/>
    <w:rsid w:val="00CF0FD2"/>
    <w:rsid w:val="00CF1355"/>
    <w:rsid w:val="00CF138C"/>
    <w:rsid w:val="00CF23FB"/>
    <w:rsid w:val="00CF2A10"/>
    <w:rsid w:val="00CF2C2B"/>
    <w:rsid w:val="00CF2C6E"/>
    <w:rsid w:val="00CF3397"/>
    <w:rsid w:val="00CF43B6"/>
    <w:rsid w:val="00CF5814"/>
    <w:rsid w:val="00CF5D9F"/>
    <w:rsid w:val="00CF61FB"/>
    <w:rsid w:val="00CF62A2"/>
    <w:rsid w:val="00CF67EB"/>
    <w:rsid w:val="00CF745D"/>
    <w:rsid w:val="00CF7979"/>
    <w:rsid w:val="00D00038"/>
    <w:rsid w:val="00D00330"/>
    <w:rsid w:val="00D019AB"/>
    <w:rsid w:val="00D026B6"/>
    <w:rsid w:val="00D02F95"/>
    <w:rsid w:val="00D04D66"/>
    <w:rsid w:val="00D0731E"/>
    <w:rsid w:val="00D07444"/>
    <w:rsid w:val="00D103B6"/>
    <w:rsid w:val="00D10CBB"/>
    <w:rsid w:val="00D1107C"/>
    <w:rsid w:val="00D12B41"/>
    <w:rsid w:val="00D135FB"/>
    <w:rsid w:val="00D13B2B"/>
    <w:rsid w:val="00D15AEB"/>
    <w:rsid w:val="00D160CB"/>
    <w:rsid w:val="00D16259"/>
    <w:rsid w:val="00D16F43"/>
    <w:rsid w:val="00D17B8F"/>
    <w:rsid w:val="00D17BBD"/>
    <w:rsid w:val="00D201A6"/>
    <w:rsid w:val="00D2050B"/>
    <w:rsid w:val="00D206C3"/>
    <w:rsid w:val="00D22DA6"/>
    <w:rsid w:val="00D22FEC"/>
    <w:rsid w:val="00D23E63"/>
    <w:rsid w:val="00D245A1"/>
    <w:rsid w:val="00D24D73"/>
    <w:rsid w:val="00D24E55"/>
    <w:rsid w:val="00D25CC8"/>
    <w:rsid w:val="00D268F3"/>
    <w:rsid w:val="00D302CE"/>
    <w:rsid w:val="00D31278"/>
    <w:rsid w:val="00D31409"/>
    <w:rsid w:val="00D31C30"/>
    <w:rsid w:val="00D31E73"/>
    <w:rsid w:val="00D32A47"/>
    <w:rsid w:val="00D33954"/>
    <w:rsid w:val="00D33FC4"/>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4D4D"/>
    <w:rsid w:val="00D4539F"/>
    <w:rsid w:val="00D4727D"/>
    <w:rsid w:val="00D475F4"/>
    <w:rsid w:val="00D500B9"/>
    <w:rsid w:val="00D50BB9"/>
    <w:rsid w:val="00D5160C"/>
    <w:rsid w:val="00D51685"/>
    <w:rsid w:val="00D52AA9"/>
    <w:rsid w:val="00D534C9"/>
    <w:rsid w:val="00D535A9"/>
    <w:rsid w:val="00D53944"/>
    <w:rsid w:val="00D54A47"/>
    <w:rsid w:val="00D57862"/>
    <w:rsid w:val="00D57AB8"/>
    <w:rsid w:val="00D61C61"/>
    <w:rsid w:val="00D61DDC"/>
    <w:rsid w:val="00D629B8"/>
    <w:rsid w:val="00D63371"/>
    <w:rsid w:val="00D633E7"/>
    <w:rsid w:val="00D643EF"/>
    <w:rsid w:val="00D647C3"/>
    <w:rsid w:val="00D67522"/>
    <w:rsid w:val="00D677A7"/>
    <w:rsid w:val="00D72430"/>
    <w:rsid w:val="00D72597"/>
    <w:rsid w:val="00D72DC8"/>
    <w:rsid w:val="00D72DDC"/>
    <w:rsid w:val="00D73142"/>
    <w:rsid w:val="00D73DDA"/>
    <w:rsid w:val="00D7462E"/>
    <w:rsid w:val="00D751EA"/>
    <w:rsid w:val="00D755B7"/>
    <w:rsid w:val="00D75AFF"/>
    <w:rsid w:val="00D75D67"/>
    <w:rsid w:val="00D76E4A"/>
    <w:rsid w:val="00D7776A"/>
    <w:rsid w:val="00D803EF"/>
    <w:rsid w:val="00D812B8"/>
    <w:rsid w:val="00D8194D"/>
    <w:rsid w:val="00D819CF"/>
    <w:rsid w:val="00D81FD6"/>
    <w:rsid w:val="00D82516"/>
    <w:rsid w:val="00D82766"/>
    <w:rsid w:val="00D84D91"/>
    <w:rsid w:val="00D852AF"/>
    <w:rsid w:val="00D85F2C"/>
    <w:rsid w:val="00D87A0A"/>
    <w:rsid w:val="00D90262"/>
    <w:rsid w:val="00D905F6"/>
    <w:rsid w:val="00D90922"/>
    <w:rsid w:val="00D91AD3"/>
    <w:rsid w:val="00D91E69"/>
    <w:rsid w:val="00D926E8"/>
    <w:rsid w:val="00D92ADD"/>
    <w:rsid w:val="00D92B35"/>
    <w:rsid w:val="00D938AB"/>
    <w:rsid w:val="00D940D7"/>
    <w:rsid w:val="00D95CBC"/>
    <w:rsid w:val="00D960A0"/>
    <w:rsid w:val="00D9633A"/>
    <w:rsid w:val="00D965ED"/>
    <w:rsid w:val="00D9670C"/>
    <w:rsid w:val="00D96755"/>
    <w:rsid w:val="00D96DE7"/>
    <w:rsid w:val="00D9712F"/>
    <w:rsid w:val="00D97360"/>
    <w:rsid w:val="00D97394"/>
    <w:rsid w:val="00D97CAE"/>
    <w:rsid w:val="00DA12D0"/>
    <w:rsid w:val="00DA2706"/>
    <w:rsid w:val="00DA294E"/>
    <w:rsid w:val="00DA2B5B"/>
    <w:rsid w:val="00DA2E72"/>
    <w:rsid w:val="00DA321A"/>
    <w:rsid w:val="00DA46C2"/>
    <w:rsid w:val="00DA48F0"/>
    <w:rsid w:val="00DA578B"/>
    <w:rsid w:val="00DA5D46"/>
    <w:rsid w:val="00DA6127"/>
    <w:rsid w:val="00DA6334"/>
    <w:rsid w:val="00DA6FAA"/>
    <w:rsid w:val="00DA7175"/>
    <w:rsid w:val="00DA7BE0"/>
    <w:rsid w:val="00DA7C0C"/>
    <w:rsid w:val="00DB10A8"/>
    <w:rsid w:val="00DB19FD"/>
    <w:rsid w:val="00DB442F"/>
    <w:rsid w:val="00DB458E"/>
    <w:rsid w:val="00DB52BE"/>
    <w:rsid w:val="00DB623C"/>
    <w:rsid w:val="00DB7060"/>
    <w:rsid w:val="00DB787B"/>
    <w:rsid w:val="00DC0921"/>
    <w:rsid w:val="00DC0D32"/>
    <w:rsid w:val="00DC10B9"/>
    <w:rsid w:val="00DC1D97"/>
    <w:rsid w:val="00DC20DD"/>
    <w:rsid w:val="00DC2BDC"/>
    <w:rsid w:val="00DC30C3"/>
    <w:rsid w:val="00DC34DB"/>
    <w:rsid w:val="00DC40CE"/>
    <w:rsid w:val="00DC41BA"/>
    <w:rsid w:val="00DC49DD"/>
    <w:rsid w:val="00DC5A01"/>
    <w:rsid w:val="00DC5FC9"/>
    <w:rsid w:val="00DC61D4"/>
    <w:rsid w:val="00DC6804"/>
    <w:rsid w:val="00DC6EAD"/>
    <w:rsid w:val="00DC7020"/>
    <w:rsid w:val="00DC7204"/>
    <w:rsid w:val="00DC7854"/>
    <w:rsid w:val="00DD0118"/>
    <w:rsid w:val="00DD02FD"/>
    <w:rsid w:val="00DD06AD"/>
    <w:rsid w:val="00DD0F90"/>
    <w:rsid w:val="00DD11D8"/>
    <w:rsid w:val="00DD24F7"/>
    <w:rsid w:val="00DD35AB"/>
    <w:rsid w:val="00DD51C7"/>
    <w:rsid w:val="00DD6086"/>
    <w:rsid w:val="00DD65A4"/>
    <w:rsid w:val="00DD6B53"/>
    <w:rsid w:val="00DD71E2"/>
    <w:rsid w:val="00DE0698"/>
    <w:rsid w:val="00DE0F22"/>
    <w:rsid w:val="00DE1179"/>
    <w:rsid w:val="00DE11B1"/>
    <w:rsid w:val="00DE37B5"/>
    <w:rsid w:val="00DE43CA"/>
    <w:rsid w:val="00DE542C"/>
    <w:rsid w:val="00DE5D75"/>
    <w:rsid w:val="00DE6208"/>
    <w:rsid w:val="00DE6299"/>
    <w:rsid w:val="00DE63F0"/>
    <w:rsid w:val="00DE66EA"/>
    <w:rsid w:val="00DE67E9"/>
    <w:rsid w:val="00DF0404"/>
    <w:rsid w:val="00DF1D6D"/>
    <w:rsid w:val="00DF2386"/>
    <w:rsid w:val="00DF4195"/>
    <w:rsid w:val="00DF47CD"/>
    <w:rsid w:val="00DF64E5"/>
    <w:rsid w:val="00DF7909"/>
    <w:rsid w:val="00DF7BE2"/>
    <w:rsid w:val="00DF7FE7"/>
    <w:rsid w:val="00E00083"/>
    <w:rsid w:val="00E012F0"/>
    <w:rsid w:val="00E01342"/>
    <w:rsid w:val="00E02B6E"/>
    <w:rsid w:val="00E02E40"/>
    <w:rsid w:val="00E03835"/>
    <w:rsid w:val="00E03A76"/>
    <w:rsid w:val="00E03EC9"/>
    <w:rsid w:val="00E04803"/>
    <w:rsid w:val="00E0494D"/>
    <w:rsid w:val="00E0497A"/>
    <w:rsid w:val="00E06DA9"/>
    <w:rsid w:val="00E10665"/>
    <w:rsid w:val="00E10D99"/>
    <w:rsid w:val="00E12F8F"/>
    <w:rsid w:val="00E14B58"/>
    <w:rsid w:val="00E14EFF"/>
    <w:rsid w:val="00E1551C"/>
    <w:rsid w:val="00E15F60"/>
    <w:rsid w:val="00E16A60"/>
    <w:rsid w:val="00E16CC2"/>
    <w:rsid w:val="00E17DC1"/>
    <w:rsid w:val="00E21282"/>
    <w:rsid w:val="00E215B3"/>
    <w:rsid w:val="00E2276E"/>
    <w:rsid w:val="00E227DA"/>
    <w:rsid w:val="00E2282D"/>
    <w:rsid w:val="00E22AFE"/>
    <w:rsid w:val="00E2327D"/>
    <w:rsid w:val="00E246D8"/>
    <w:rsid w:val="00E253A0"/>
    <w:rsid w:val="00E25888"/>
    <w:rsid w:val="00E275A6"/>
    <w:rsid w:val="00E27915"/>
    <w:rsid w:val="00E27D44"/>
    <w:rsid w:val="00E27EBA"/>
    <w:rsid w:val="00E3014F"/>
    <w:rsid w:val="00E30664"/>
    <w:rsid w:val="00E308E6"/>
    <w:rsid w:val="00E31C01"/>
    <w:rsid w:val="00E32068"/>
    <w:rsid w:val="00E32440"/>
    <w:rsid w:val="00E337BF"/>
    <w:rsid w:val="00E33B83"/>
    <w:rsid w:val="00E343E6"/>
    <w:rsid w:val="00E35DD4"/>
    <w:rsid w:val="00E3621C"/>
    <w:rsid w:val="00E36F84"/>
    <w:rsid w:val="00E37BA7"/>
    <w:rsid w:val="00E37FD9"/>
    <w:rsid w:val="00E40A72"/>
    <w:rsid w:val="00E41079"/>
    <w:rsid w:val="00E414A4"/>
    <w:rsid w:val="00E42115"/>
    <w:rsid w:val="00E42818"/>
    <w:rsid w:val="00E42F5B"/>
    <w:rsid w:val="00E43BBF"/>
    <w:rsid w:val="00E43E6D"/>
    <w:rsid w:val="00E43F8B"/>
    <w:rsid w:val="00E4405A"/>
    <w:rsid w:val="00E46367"/>
    <w:rsid w:val="00E472B8"/>
    <w:rsid w:val="00E47483"/>
    <w:rsid w:val="00E474AC"/>
    <w:rsid w:val="00E509AF"/>
    <w:rsid w:val="00E523FF"/>
    <w:rsid w:val="00E526F8"/>
    <w:rsid w:val="00E53B79"/>
    <w:rsid w:val="00E53CE6"/>
    <w:rsid w:val="00E55CB4"/>
    <w:rsid w:val="00E57181"/>
    <w:rsid w:val="00E57506"/>
    <w:rsid w:val="00E5766A"/>
    <w:rsid w:val="00E611F2"/>
    <w:rsid w:val="00E6198A"/>
    <w:rsid w:val="00E61CC2"/>
    <w:rsid w:val="00E625A0"/>
    <w:rsid w:val="00E62FBE"/>
    <w:rsid w:val="00E63735"/>
    <w:rsid w:val="00E63F0B"/>
    <w:rsid w:val="00E64581"/>
    <w:rsid w:val="00E64BA3"/>
    <w:rsid w:val="00E64C99"/>
    <w:rsid w:val="00E651BE"/>
    <w:rsid w:val="00E658F0"/>
    <w:rsid w:val="00E66499"/>
    <w:rsid w:val="00E6689D"/>
    <w:rsid w:val="00E6701C"/>
    <w:rsid w:val="00E675AE"/>
    <w:rsid w:val="00E67F10"/>
    <w:rsid w:val="00E7033E"/>
    <w:rsid w:val="00E70772"/>
    <w:rsid w:val="00E71602"/>
    <w:rsid w:val="00E71668"/>
    <w:rsid w:val="00E723E1"/>
    <w:rsid w:val="00E72C60"/>
    <w:rsid w:val="00E736EE"/>
    <w:rsid w:val="00E74CDB"/>
    <w:rsid w:val="00E74FC5"/>
    <w:rsid w:val="00E755EA"/>
    <w:rsid w:val="00E75E9F"/>
    <w:rsid w:val="00E76DF1"/>
    <w:rsid w:val="00E7726B"/>
    <w:rsid w:val="00E772E5"/>
    <w:rsid w:val="00E8159A"/>
    <w:rsid w:val="00E820ED"/>
    <w:rsid w:val="00E822A0"/>
    <w:rsid w:val="00E822EB"/>
    <w:rsid w:val="00E8249B"/>
    <w:rsid w:val="00E83424"/>
    <w:rsid w:val="00E8377D"/>
    <w:rsid w:val="00E84205"/>
    <w:rsid w:val="00E84B6F"/>
    <w:rsid w:val="00E8596C"/>
    <w:rsid w:val="00E86826"/>
    <w:rsid w:val="00E86878"/>
    <w:rsid w:val="00E869E4"/>
    <w:rsid w:val="00E911FD"/>
    <w:rsid w:val="00E9130A"/>
    <w:rsid w:val="00E91F83"/>
    <w:rsid w:val="00E921A2"/>
    <w:rsid w:val="00E92342"/>
    <w:rsid w:val="00E92730"/>
    <w:rsid w:val="00E92DCD"/>
    <w:rsid w:val="00E93B56"/>
    <w:rsid w:val="00E93BB6"/>
    <w:rsid w:val="00E94759"/>
    <w:rsid w:val="00E950BB"/>
    <w:rsid w:val="00E952DC"/>
    <w:rsid w:val="00E95665"/>
    <w:rsid w:val="00E95D43"/>
    <w:rsid w:val="00E95F52"/>
    <w:rsid w:val="00E97CCB"/>
    <w:rsid w:val="00EA012D"/>
    <w:rsid w:val="00EA0263"/>
    <w:rsid w:val="00EA0987"/>
    <w:rsid w:val="00EA1333"/>
    <w:rsid w:val="00EA13DA"/>
    <w:rsid w:val="00EA1FF6"/>
    <w:rsid w:val="00EA2765"/>
    <w:rsid w:val="00EA33CB"/>
    <w:rsid w:val="00EA3486"/>
    <w:rsid w:val="00EA3A7F"/>
    <w:rsid w:val="00EA3FC2"/>
    <w:rsid w:val="00EA444A"/>
    <w:rsid w:val="00EA44B5"/>
    <w:rsid w:val="00EA4DD8"/>
    <w:rsid w:val="00EA683B"/>
    <w:rsid w:val="00EA782A"/>
    <w:rsid w:val="00EB1034"/>
    <w:rsid w:val="00EB151B"/>
    <w:rsid w:val="00EB1A19"/>
    <w:rsid w:val="00EB2FE6"/>
    <w:rsid w:val="00EB389C"/>
    <w:rsid w:val="00EB48B9"/>
    <w:rsid w:val="00EB4CBD"/>
    <w:rsid w:val="00EB642F"/>
    <w:rsid w:val="00EB6F37"/>
    <w:rsid w:val="00EB7DA6"/>
    <w:rsid w:val="00EC04F0"/>
    <w:rsid w:val="00EC0504"/>
    <w:rsid w:val="00EC0525"/>
    <w:rsid w:val="00EC1205"/>
    <w:rsid w:val="00EC13B3"/>
    <w:rsid w:val="00EC1696"/>
    <w:rsid w:val="00EC1AA4"/>
    <w:rsid w:val="00EC2664"/>
    <w:rsid w:val="00EC32C4"/>
    <w:rsid w:val="00EC3671"/>
    <w:rsid w:val="00EC4FE8"/>
    <w:rsid w:val="00EC5349"/>
    <w:rsid w:val="00EC61E0"/>
    <w:rsid w:val="00EC6CBC"/>
    <w:rsid w:val="00EC72B0"/>
    <w:rsid w:val="00EC7D69"/>
    <w:rsid w:val="00ED018D"/>
    <w:rsid w:val="00ED1169"/>
    <w:rsid w:val="00ED13F4"/>
    <w:rsid w:val="00ED1AE5"/>
    <w:rsid w:val="00ED1F5E"/>
    <w:rsid w:val="00ED3231"/>
    <w:rsid w:val="00ED36F8"/>
    <w:rsid w:val="00ED39D8"/>
    <w:rsid w:val="00ED4690"/>
    <w:rsid w:val="00ED49D6"/>
    <w:rsid w:val="00ED555B"/>
    <w:rsid w:val="00ED6057"/>
    <w:rsid w:val="00ED620B"/>
    <w:rsid w:val="00ED64A9"/>
    <w:rsid w:val="00ED64C2"/>
    <w:rsid w:val="00ED72A8"/>
    <w:rsid w:val="00ED7836"/>
    <w:rsid w:val="00ED7BB2"/>
    <w:rsid w:val="00EE0EB6"/>
    <w:rsid w:val="00EE1ED6"/>
    <w:rsid w:val="00EE309D"/>
    <w:rsid w:val="00EE31AB"/>
    <w:rsid w:val="00EE458C"/>
    <w:rsid w:val="00EE484E"/>
    <w:rsid w:val="00EE4EE3"/>
    <w:rsid w:val="00EE63B0"/>
    <w:rsid w:val="00EE7199"/>
    <w:rsid w:val="00EF05A9"/>
    <w:rsid w:val="00EF08F0"/>
    <w:rsid w:val="00EF0991"/>
    <w:rsid w:val="00EF0AB8"/>
    <w:rsid w:val="00EF17AC"/>
    <w:rsid w:val="00EF29EA"/>
    <w:rsid w:val="00EF4435"/>
    <w:rsid w:val="00EF4B11"/>
    <w:rsid w:val="00EF56B7"/>
    <w:rsid w:val="00EF5C41"/>
    <w:rsid w:val="00EF5C9D"/>
    <w:rsid w:val="00EF5E91"/>
    <w:rsid w:val="00EF666E"/>
    <w:rsid w:val="00EF7872"/>
    <w:rsid w:val="00F02473"/>
    <w:rsid w:val="00F02552"/>
    <w:rsid w:val="00F02661"/>
    <w:rsid w:val="00F02CE6"/>
    <w:rsid w:val="00F03C83"/>
    <w:rsid w:val="00F04266"/>
    <w:rsid w:val="00F05760"/>
    <w:rsid w:val="00F05E48"/>
    <w:rsid w:val="00F05E6F"/>
    <w:rsid w:val="00F06AC5"/>
    <w:rsid w:val="00F078F1"/>
    <w:rsid w:val="00F1054B"/>
    <w:rsid w:val="00F117D1"/>
    <w:rsid w:val="00F1291E"/>
    <w:rsid w:val="00F12D14"/>
    <w:rsid w:val="00F12DEB"/>
    <w:rsid w:val="00F1556C"/>
    <w:rsid w:val="00F15D4B"/>
    <w:rsid w:val="00F165FF"/>
    <w:rsid w:val="00F17207"/>
    <w:rsid w:val="00F174F3"/>
    <w:rsid w:val="00F175F5"/>
    <w:rsid w:val="00F17DB8"/>
    <w:rsid w:val="00F17E89"/>
    <w:rsid w:val="00F204C2"/>
    <w:rsid w:val="00F212AF"/>
    <w:rsid w:val="00F21C3F"/>
    <w:rsid w:val="00F22893"/>
    <w:rsid w:val="00F228A7"/>
    <w:rsid w:val="00F23CF3"/>
    <w:rsid w:val="00F24250"/>
    <w:rsid w:val="00F244A3"/>
    <w:rsid w:val="00F253B4"/>
    <w:rsid w:val="00F26404"/>
    <w:rsid w:val="00F270A8"/>
    <w:rsid w:val="00F27F55"/>
    <w:rsid w:val="00F30BFA"/>
    <w:rsid w:val="00F32065"/>
    <w:rsid w:val="00F32A17"/>
    <w:rsid w:val="00F32D03"/>
    <w:rsid w:val="00F32D5B"/>
    <w:rsid w:val="00F335A2"/>
    <w:rsid w:val="00F34139"/>
    <w:rsid w:val="00F3443C"/>
    <w:rsid w:val="00F344DE"/>
    <w:rsid w:val="00F34A20"/>
    <w:rsid w:val="00F34BC2"/>
    <w:rsid w:val="00F36780"/>
    <w:rsid w:val="00F36F5F"/>
    <w:rsid w:val="00F36FA4"/>
    <w:rsid w:val="00F376CC"/>
    <w:rsid w:val="00F4390C"/>
    <w:rsid w:val="00F43CEA"/>
    <w:rsid w:val="00F440F9"/>
    <w:rsid w:val="00F442BD"/>
    <w:rsid w:val="00F44D2C"/>
    <w:rsid w:val="00F45CC2"/>
    <w:rsid w:val="00F4778D"/>
    <w:rsid w:val="00F500A8"/>
    <w:rsid w:val="00F51E7B"/>
    <w:rsid w:val="00F52C1A"/>
    <w:rsid w:val="00F534C1"/>
    <w:rsid w:val="00F5393C"/>
    <w:rsid w:val="00F53F39"/>
    <w:rsid w:val="00F53F92"/>
    <w:rsid w:val="00F547A8"/>
    <w:rsid w:val="00F54855"/>
    <w:rsid w:val="00F55052"/>
    <w:rsid w:val="00F551D6"/>
    <w:rsid w:val="00F55389"/>
    <w:rsid w:val="00F553CC"/>
    <w:rsid w:val="00F5542F"/>
    <w:rsid w:val="00F5546A"/>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0C7"/>
    <w:rsid w:val="00F76A53"/>
    <w:rsid w:val="00F81721"/>
    <w:rsid w:val="00F81E8B"/>
    <w:rsid w:val="00F8252A"/>
    <w:rsid w:val="00F8294E"/>
    <w:rsid w:val="00F82F05"/>
    <w:rsid w:val="00F83985"/>
    <w:rsid w:val="00F83C91"/>
    <w:rsid w:val="00F83EC8"/>
    <w:rsid w:val="00F845D3"/>
    <w:rsid w:val="00F84BD4"/>
    <w:rsid w:val="00F852B9"/>
    <w:rsid w:val="00F861A9"/>
    <w:rsid w:val="00F86933"/>
    <w:rsid w:val="00F8799E"/>
    <w:rsid w:val="00F90439"/>
    <w:rsid w:val="00F9197D"/>
    <w:rsid w:val="00F91BD4"/>
    <w:rsid w:val="00F9345B"/>
    <w:rsid w:val="00F93D83"/>
    <w:rsid w:val="00F95092"/>
    <w:rsid w:val="00F95CA0"/>
    <w:rsid w:val="00F96BA5"/>
    <w:rsid w:val="00F973A1"/>
    <w:rsid w:val="00F97495"/>
    <w:rsid w:val="00FA030D"/>
    <w:rsid w:val="00FA048F"/>
    <w:rsid w:val="00FA0633"/>
    <w:rsid w:val="00FA07D3"/>
    <w:rsid w:val="00FA0846"/>
    <w:rsid w:val="00FA10E7"/>
    <w:rsid w:val="00FA1C88"/>
    <w:rsid w:val="00FA1FCB"/>
    <w:rsid w:val="00FA229C"/>
    <w:rsid w:val="00FA2D07"/>
    <w:rsid w:val="00FA374C"/>
    <w:rsid w:val="00FA42D8"/>
    <w:rsid w:val="00FA553B"/>
    <w:rsid w:val="00FA7271"/>
    <w:rsid w:val="00FA7A26"/>
    <w:rsid w:val="00FB03BD"/>
    <w:rsid w:val="00FB0D9D"/>
    <w:rsid w:val="00FB187B"/>
    <w:rsid w:val="00FB19B9"/>
    <w:rsid w:val="00FB1F2D"/>
    <w:rsid w:val="00FB2057"/>
    <w:rsid w:val="00FB2D0B"/>
    <w:rsid w:val="00FB36FE"/>
    <w:rsid w:val="00FB41AD"/>
    <w:rsid w:val="00FB5403"/>
    <w:rsid w:val="00FB5632"/>
    <w:rsid w:val="00FB584E"/>
    <w:rsid w:val="00FB5B4B"/>
    <w:rsid w:val="00FB620F"/>
    <w:rsid w:val="00FB66C4"/>
    <w:rsid w:val="00FB6AC8"/>
    <w:rsid w:val="00FB7688"/>
    <w:rsid w:val="00FB7B82"/>
    <w:rsid w:val="00FB7D22"/>
    <w:rsid w:val="00FB7DCB"/>
    <w:rsid w:val="00FC0BF5"/>
    <w:rsid w:val="00FC192D"/>
    <w:rsid w:val="00FC40A7"/>
    <w:rsid w:val="00FC40CB"/>
    <w:rsid w:val="00FC462B"/>
    <w:rsid w:val="00FC51FB"/>
    <w:rsid w:val="00FC5AAA"/>
    <w:rsid w:val="00FC6B31"/>
    <w:rsid w:val="00FD2082"/>
    <w:rsid w:val="00FD2E2F"/>
    <w:rsid w:val="00FD30C7"/>
    <w:rsid w:val="00FD3719"/>
    <w:rsid w:val="00FD47F3"/>
    <w:rsid w:val="00FD4F37"/>
    <w:rsid w:val="00FD5106"/>
    <w:rsid w:val="00FD58C6"/>
    <w:rsid w:val="00FD5E8C"/>
    <w:rsid w:val="00FD67D3"/>
    <w:rsid w:val="00FD7E3B"/>
    <w:rsid w:val="00FE0815"/>
    <w:rsid w:val="00FE0913"/>
    <w:rsid w:val="00FE1016"/>
    <w:rsid w:val="00FE2266"/>
    <w:rsid w:val="00FE3C89"/>
    <w:rsid w:val="00FE4857"/>
    <w:rsid w:val="00FE61B0"/>
    <w:rsid w:val="00FE657F"/>
    <w:rsid w:val="00FE7466"/>
    <w:rsid w:val="00FE77DF"/>
    <w:rsid w:val="00FF0082"/>
    <w:rsid w:val="00FF0BF2"/>
    <w:rsid w:val="00FF1234"/>
    <w:rsid w:val="00FF1F52"/>
    <w:rsid w:val="00FF2210"/>
    <w:rsid w:val="00FF2DC2"/>
    <w:rsid w:val="00FF35B1"/>
    <w:rsid w:val="00FF38AE"/>
    <w:rsid w:val="00FF4EEC"/>
    <w:rsid w:val="00FF51BB"/>
    <w:rsid w:val="00FF6ED7"/>
    <w:rsid w:val="00FF7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C828B960-F5B1-45B9-83F6-5D7B338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encinsinresolver1">
    <w:name w:val="Mención sin resolver1"/>
    <w:basedOn w:val="DefaultParagraphFont"/>
    <w:uiPriority w:val="99"/>
    <w:semiHidden/>
    <w:unhideWhenUsed/>
    <w:rsid w:val="007F1FA4"/>
    <w:rPr>
      <w:color w:val="605E5C"/>
      <w:shd w:val="clear" w:color="auto" w:fill="E1DFDD"/>
    </w:rPr>
  </w:style>
  <w:style w:type="character" w:customStyle="1" w:styleId="UnresolvedMention1">
    <w:name w:val="Unresolved Mention1"/>
    <w:basedOn w:val="DefaultParagraphFont"/>
    <w:uiPriority w:val="99"/>
    <w:semiHidden/>
    <w:unhideWhenUsed/>
    <w:rsid w:val="00B83796"/>
    <w:rPr>
      <w:color w:val="605E5C"/>
      <w:shd w:val="clear" w:color="auto" w:fill="E1DFDD"/>
    </w:rPr>
  </w:style>
  <w:style w:type="character" w:styleId="UnresolvedMention">
    <w:name w:val="Unresolved Mention"/>
    <w:basedOn w:val="DefaultParagraphFont"/>
    <w:uiPriority w:val="99"/>
    <w:semiHidden/>
    <w:unhideWhenUsed/>
    <w:rsid w:val="0094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resolucion-xiv1-cuestiones-financieras-y-presupuestar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46AFC-23AA-4CCC-B02E-CAC97217A317}">
  <ds:schemaRefs>
    <ds:schemaRef ds:uri="http://schemas.openxmlformats.org/officeDocument/2006/bibliography"/>
  </ds:schemaRefs>
</ds:datastoreItem>
</file>

<file path=customXml/itemProps2.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A1E76-278B-452B-874A-3F1920C05D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74976-BAA8-4170-8A86-54577CEF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3855</Words>
  <Characters>21974</Characters>
  <Application>Microsoft Office Word</Application>
  <DocSecurity>0</DocSecurity>
  <Lines>183</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25778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2024-04-04T07:47:00Z</cp:lastPrinted>
  <dcterms:created xsi:type="dcterms:W3CDTF">2024-10-17T11:37:00Z</dcterms:created>
  <dcterms:modified xsi:type="dcterms:W3CDTF">2024-10-21T10:36:00Z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