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4DBA" w14:textId="77777777" w:rsidR="00814ACF" w:rsidRPr="0089282D" w:rsidRDefault="00814ACF" w:rsidP="0045114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THE CONVENTION ON WETLANDS</w:t>
      </w:r>
    </w:p>
    <w:p w14:paraId="47D2C2BE" w14:textId="2FF80BCF" w:rsidR="00814ACF" w:rsidRPr="0089282D" w:rsidRDefault="00814ACF" w:rsidP="0045114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6</w:t>
      </w:r>
      <w:r w:rsidR="00975023">
        <w:rPr>
          <w:bCs/>
        </w:rPr>
        <w:t>3r</w:t>
      </w:r>
      <w:r w:rsidRPr="0089282D">
        <w:rPr>
          <w:bCs/>
        </w:rPr>
        <w:t>d meeting of the Standing Committee</w:t>
      </w:r>
    </w:p>
    <w:p w14:paraId="7B85DB9F" w14:textId="290CFCCD" w:rsidR="00814ACF" w:rsidRPr="005F045E" w:rsidRDefault="00814ACF" w:rsidP="0045114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de-DE"/>
        </w:rPr>
      </w:pPr>
      <w:r w:rsidRPr="005F045E">
        <w:rPr>
          <w:bCs/>
          <w:lang w:val="de-DE"/>
        </w:rPr>
        <w:t xml:space="preserve">Gland, </w:t>
      </w:r>
      <w:proofErr w:type="spellStart"/>
      <w:r w:rsidRPr="005F045E">
        <w:rPr>
          <w:bCs/>
          <w:lang w:val="de-DE"/>
        </w:rPr>
        <w:t>Switzerland</w:t>
      </w:r>
      <w:proofErr w:type="spellEnd"/>
      <w:r w:rsidRPr="005F045E">
        <w:rPr>
          <w:bCs/>
          <w:lang w:val="de-DE"/>
        </w:rPr>
        <w:t xml:space="preserve">, </w:t>
      </w:r>
      <w:r w:rsidR="00975023" w:rsidRPr="005F045E">
        <w:rPr>
          <w:bCs/>
          <w:lang w:val="de-DE"/>
        </w:rPr>
        <w:t>3-7</w:t>
      </w:r>
      <w:r w:rsidRPr="005F045E">
        <w:rPr>
          <w:bCs/>
          <w:lang w:val="de-DE"/>
        </w:rPr>
        <w:t xml:space="preserve"> </w:t>
      </w:r>
      <w:r w:rsidR="00975023" w:rsidRPr="005F045E">
        <w:rPr>
          <w:bCs/>
          <w:lang w:val="de-DE"/>
        </w:rPr>
        <w:t>June 2024</w:t>
      </w:r>
    </w:p>
    <w:p w14:paraId="18B91B93" w14:textId="77777777" w:rsidR="00135706" w:rsidRPr="005F045E" w:rsidRDefault="00135706" w:rsidP="0045114E">
      <w:pPr>
        <w:spacing w:after="0" w:line="240" w:lineRule="auto"/>
        <w:rPr>
          <w:rFonts w:cstheme="minorHAnsi"/>
          <w:b/>
          <w:sz w:val="28"/>
          <w:szCs w:val="28"/>
          <w:lang w:val="de-DE"/>
        </w:rPr>
      </w:pPr>
    </w:p>
    <w:p w14:paraId="6AB84799" w14:textId="77777777" w:rsidR="00205B98" w:rsidRDefault="00205B98" w:rsidP="0045114E">
      <w:pPr>
        <w:spacing w:after="0" w:line="240" w:lineRule="auto"/>
        <w:jc w:val="center"/>
        <w:rPr>
          <w:rFonts w:cstheme="minorHAnsi"/>
          <w:b/>
          <w:sz w:val="28"/>
          <w:szCs w:val="28"/>
        </w:rPr>
      </w:pPr>
    </w:p>
    <w:p w14:paraId="3AF7469F" w14:textId="2F6F42C3" w:rsidR="00205B98" w:rsidRDefault="00205B98" w:rsidP="0045114E">
      <w:pPr>
        <w:spacing w:after="0" w:line="240" w:lineRule="auto"/>
        <w:jc w:val="center"/>
        <w:rPr>
          <w:rFonts w:cstheme="minorHAnsi"/>
          <w:b/>
          <w:sz w:val="28"/>
          <w:szCs w:val="28"/>
        </w:rPr>
      </w:pPr>
      <w:r w:rsidRPr="001340A2">
        <w:rPr>
          <w:rFonts w:cstheme="minorHAnsi"/>
          <w:b/>
          <w:sz w:val="28"/>
          <w:szCs w:val="28"/>
        </w:rPr>
        <w:t>Decisions of the 6</w:t>
      </w:r>
      <w:r>
        <w:rPr>
          <w:rFonts w:cstheme="minorHAnsi"/>
          <w:b/>
          <w:sz w:val="28"/>
          <w:szCs w:val="28"/>
        </w:rPr>
        <w:t>3r</w:t>
      </w:r>
      <w:r w:rsidRPr="001340A2">
        <w:rPr>
          <w:rFonts w:cstheme="minorHAnsi"/>
          <w:b/>
          <w:sz w:val="28"/>
          <w:szCs w:val="28"/>
        </w:rPr>
        <w:t>d Meeting of the Standing Committee</w:t>
      </w:r>
    </w:p>
    <w:p w14:paraId="3B9BFA5D" w14:textId="2DDEEC11" w:rsidR="00205B98" w:rsidRDefault="00205B98" w:rsidP="0045114E">
      <w:pPr>
        <w:keepNext/>
        <w:spacing w:after="0" w:line="240" w:lineRule="auto"/>
        <w:rPr>
          <w:rFonts w:cstheme="minorHAnsi"/>
          <w:b/>
        </w:rPr>
      </w:pPr>
    </w:p>
    <w:p w14:paraId="045DB966" w14:textId="77777777" w:rsidR="005A4B27" w:rsidRPr="00294A7E" w:rsidRDefault="005A4B27"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2: Adoption of the provisional agenda</w:t>
      </w:r>
    </w:p>
    <w:p w14:paraId="1A9E3D86" w14:textId="77777777" w:rsidR="005A4B27" w:rsidRPr="00294A7E" w:rsidRDefault="005A4B27" w:rsidP="0045114E">
      <w:pPr>
        <w:keepNext/>
        <w:spacing w:after="0" w:line="240" w:lineRule="auto"/>
        <w:ind w:left="567" w:hanging="567"/>
        <w:rPr>
          <w:rFonts w:cstheme="minorHAnsi"/>
        </w:rPr>
      </w:pPr>
    </w:p>
    <w:p w14:paraId="26F26CC8" w14:textId="28AD343D" w:rsidR="005F4C17" w:rsidRDefault="00464088" w:rsidP="0045114E">
      <w:pPr>
        <w:spacing w:after="0" w:line="240" w:lineRule="auto"/>
      </w:pPr>
      <w:r w:rsidRPr="0010689C">
        <w:rPr>
          <w:rFonts w:cstheme="minorHAnsi"/>
          <w:b/>
        </w:rPr>
        <w:t>Decision SC6</w:t>
      </w:r>
      <w:r w:rsidR="00975023" w:rsidRPr="0010689C">
        <w:rPr>
          <w:rFonts w:cstheme="minorHAnsi"/>
          <w:b/>
        </w:rPr>
        <w:t>3</w:t>
      </w:r>
      <w:r w:rsidR="0017411A" w:rsidRPr="0010689C">
        <w:rPr>
          <w:rFonts w:cstheme="minorHAnsi"/>
          <w:b/>
        </w:rPr>
        <w:t xml:space="preserve">-01: </w:t>
      </w:r>
      <w:r w:rsidR="005F4C17" w:rsidRPr="0010689C">
        <w:rPr>
          <w:rFonts w:cstheme="minorHAnsi"/>
          <w:b/>
        </w:rPr>
        <w:t>The Standing Committee adopted the provisional agenda in document SC</w:t>
      </w:r>
      <w:r w:rsidRPr="0010689C">
        <w:rPr>
          <w:rFonts w:cstheme="minorHAnsi"/>
          <w:b/>
        </w:rPr>
        <w:t>6</w:t>
      </w:r>
      <w:r w:rsidR="00975023" w:rsidRPr="0010689C">
        <w:rPr>
          <w:rFonts w:cstheme="minorHAnsi"/>
          <w:b/>
        </w:rPr>
        <w:t>3</w:t>
      </w:r>
      <w:r w:rsidR="005F4C17" w:rsidRPr="0010689C">
        <w:rPr>
          <w:rFonts w:cstheme="minorHAnsi"/>
          <w:b/>
        </w:rPr>
        <w:t xml:space="preserve"> Doc.2</w:t>
      </w:r>
      <w:r w:rsidR="005B48FF" w:rsidRPr="0010689C">
        <w:rPr>
          <w:rFonts w:cstheme="minorHAnsi"/>
          <w:b/>
        </w:rPr>
        <w:t>.</w:t>
      </w:r>
    </w:p>
    <w:p w14:paraId="12FD1027" w14:textId="77777777" w:rsidR="0017411A" w:rsidRPr="00294A7E" w:rsidRDefault="0017411A" w:rsidP="0045114E">
      <w:pPr>
        <w:tabs>
          <w:tab w:val="left" w:pos="720"/>
          <w:tab w:val="center" w:pos="4680"/>
        </w:tabs>
        <w:spacing w:after="0" w:line="240" w:lineRule="auto"/>
        <w:contextualSpacing/>
        <w:rPr>
          <w:rFonts w:cstheme="minorHAnsi"/>
        </w:rPr>
      </w:pPr>
    </w:p>
    <w:p w14:paraId="1161549B" w14:textId="77777777" w:rsidR="0024341A" w:rsidRPr="00294A7E" w:rsidRDefault="0024341A"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3: Adoption of the provisional working programme</w:t>
      </w:r>
    </w:p>
    <w:p w14:paraId="5DF766C5" w14:textId="77777777" w:rsidR="0024341A" w:rsidRPr="00294A7E" w:rsidRDefault="0024341A" w:rsidP="0045114E">
      <w:pPr>
        <w:keepNext/>
        <w:spacing w:after="0" w:line="240" w:lineRule="auto"/>
        <w:rPr>
          <w:rFonts w:cstheme="minorHAnsi"/>
        </w:rPr>
      </w:pPr>
    </w:p>
    <w:p w14:paraId="289110D7" w14:textId="5CE57B25" w:rsidR="005F4C17" w:rsidRDefault="005F4C17" w:rsidP="0045114E">
      <w:pPr>
        <w:spacing w:after="0" w:line="240" w:lineRule="auto"/>
      </w:pPr>
      <w:r w:rsidRPr="00C72980">
        <w:rPr>
          <w:rFonts w:cstheme="minorHAnsi"/>
          <w:b/>
        </w:rPr>
        <w:t>Decision SC</w:t>
      </w:r>
      <w:r w:rsidR="00464088" w:rsidRPr="00C72980">
        <w:rPr>
          <w:rFonts w:cstheme="minorHAnsi"/>
          <w:b/>
        </w:rPr>
        <w:t>6</w:t>
      </w:r>
      <w:r w:rsidR="00975023" w:rsidRPr="00C72980">
        <w:rPr>
          <w:rFonts w:cstheme="minorHAnsi"/>
          <w:b/>
        </w:rPr>
        <w:t>3</w:t>
      </w:r>
      <w:r w:rsidRPr="00C72980">
        <w:rPr>
          <w:rFonts w:cstheme="minorHAnsi"/>
          <w:b/>
        </w:rPr>
        <w:t>-02: The Standing Committee adopted the provisional working programme in document SC</w:t>
      </w:r>
      <w:r w:rsidR="00975023" w:rsidRPr="00C72980">
        <w:rPr>
          <w:rFonts w:cstheme="minorHAnsi"/>
          <w:b/>
        </w:rPr>
        <w:t>63</w:t>
      </w:r>
      <w:r w:rsidR="00B74128" w:rsidRPr="00C72980">
        <w:rPr>
          <w:rFonts w:cstheme="minorHAnsi"/>
          <w:b/>
        </w:rPr>
        <w:t xml:space="preserve"> </w:t>
      </w:r>
      <w:r w:rsidRPr="00C72980">
        <w:rPr>
          <w:rFonts w:cstheme="minorHAnsi"/>
          <w:b/>
        </w:rPr>
        <w:t>Doc.3</w:t>
      </w:r>
      <w:r w:rsidR="00975023" w:rsidRPr="00C72980">
        <w:rPr>
          <w:rFonts w:cstheme="minorHAnsi"/>
          <w:b/>
        </w:rPr>
        <w:t xml:space="preserve"> Rev.1</w:t>
      </w:r>
      <w:r w:rsidR="00812C2E" w:rsidRPr="00C72980">
        <w:rPr>
          <w:rFonts w:cstheme="minorHAnsi"/>
          <w:b/>
        </w:rPr>
        <w:t>.</w:t>
      </w:r>
    </w:p>
    <w:p w14:paraId="088BBE94" w14:textId="77777777" w:rsidR="0024341A" w:rsidRPr="00294A7E" w:rsidRDefault="0024341A" w:rsidP="0045114E">
      <w:pPr>
        <w:tabs>
          <w:tab w:val="left" w:pos="720"/>
          <w:tab w:val="center" w:pos="4680"/>
        </w:tabs>
        <w:spacing w:after="0" w:line="240" w:lineRule="auto"/>
        <w:rPr>
          <w:rFonts w:cstheme="minorHAnsi"/>
          <w:bCs/>
        </w:rPr>
      </w:pPr>
    </w:p>
    <w:p w14:paraId="741AECEF" w14:textId="77777777" w:rsidR="0024341A" w:rsidRPr="00294A7E" w:rsidRDefault="0024341A"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4: Admission of observers</w:t>
      </w:r>
    </w:p>
    <w:p w14:paraId="48007D5E" w14:textId="77777777" w:rsidR="0024341A" w:rsidRPr="00294A7E" w:rsidRDefault="0024341A" w:rsidP="0045114E">
      <w:pPr>
        <w:keepNext/>
        <w:spacing w:after="0" w:line="240" w:lineRule="auto"/>
        <w:rPr>
          <w:rFonts w:cstheme="minorHAnsi"/>
        </w:rPr>
      </w:pPr>
    </w:p>
    <w:p w14:paraId="21C6707E" w14:textId="40ABB016" w:rsidR="002676BB" w:rsidRDefault="00D20B2A" w:rsidP="0045114E">
      <w:pPr>
        <w:spacing w:after="0" w:line="240" w:lineRule="auto"/>
        <w:contextualSpacing/>
        <w:rPr>
          <w:rFonts w:cstheme="minorHAnsi"/>
          <w:b/>
        </w:rPr>
      </w:pPr>
      <w:r w:rsidRPr="00065BF8">
        <w:rPr>
          <w:rFonts w:cstheme="minorHAnsi"/>
          <w:b/>
        </w:rPr>
        <w:t>Decision SC</w:t>
      </w:r>
      <w:r w:rsidR="00464088" w:rsidRPr="00065BF8">
        <w:rPr>
          <w:rFonts w:cstheme="minorHAnsi"/>
          <w:b/>
        </w:rPr>
        <w:t>63</w:t>
      </w:r>
      <w:r w:rsidRPr="00065BF8">
        <w:rPr>
          <w:rFonts w:cstheme="minorHAnsi"/>
          <w:b/>
        </w:rPr>
        <w:t>-0</w:t>
      </w:r>
      <w:r w:rsidR="00545238" w:rsidRPr="00065BF8">
        <w:rPr>
          <w:rFonts w:cstheme="minorHAnsi"/>
          <w:b/>
        </w:rPr>
        <w:t>3</w:t>
      </w:r>
      <w:r w:rsidRPr="00065BF8">
        <w:rPr>
          <w:rFonts w:cstheme="minorHAnsi"/>
          <w:b/>
        </w:rPr>
        <w:t xml:space="preserve">: The Standing Committee admitted the observers listed in </w:t>
      </w:r>
      <w:r w:rsidR="00862F03">
        <w:rPr>
          <w:rFonts w:cstheme="minorHAnsi"/>
          <w:b/>
        </w:rPr>
        <w:t xml:space="preserve">paragraph 6 of </w:t>
      </w:r>
      <w:r w:rsidR="00294A7E" w:rsidRPr="00065BF8">
        <w:rPr>
          <w:rFonts w:cstheme="minorHAnsi"/>
          <w:b/>
        </w:rPr>
        <w:t>document SC</w:t>
      </w:r>
      <w:r w:rsidR="00975023" w:rsidRPr="00065BF8">
        <w:rPr>
          <w:rFonts w:cstheme="minorHAnsi"/>
          <w:b/>
        </w:rPr>
        <w:t>63</w:t>
      </w:r>
      <w:r w:rsidR="00294A7E" w:rsidRPr="00065BF8">
        <w:rPr>
          <w:rFonts w:cstheme="minorHAnsi"/>
          <w:b/>
        </w:rPr>
        <w:t xml:space="preserve"> Doc.</w:t>
      </w:r>
      <w:r w:rsidRPr="00065BF8">
        <w:rPr>
          <w:rFonts w:cstheme="minorHAnsi"/>
          <w:b/>
        </w:rPr>
        <w:t>4.</w:t>
      </w:r>
    </w:p>
    <w:p w14:paraId="2F44542B" w14:textId="77777777" w:rsidR="0079631C" w:rsidRPr="00294A7E" w:rsidRDefault="0079631C" w:rsidP="0045114E">
      <w:pPr>
        <w:spacing w:after="0" w:line="240" w:lineRule="auto"/>
        <w:rPr>
          <w:rFonts w:cstheme="minorHAnsi"/>
        </w:rPr>
      </w:pPr>
    </w:p>
    <w:p w14:paraId="6B5DC3D8" w14:textId="26492EF9" w:rsidR="0079631C" w:rsidRPr="00294A7E" w:rsidRDefault="0079631C"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 xml:space="preserve">and </w:t>
      </w:r>
      <w:r w:rsidR="00AD4450">
        <w:t xml:space="preserve">the </w:t>
      </w:r>
      <w:r>
        <w:t>Chair of the Standing Committee</w:t>
      </w:r>
    </w:p>
    <w:p w14:paraId="072F2797" w14:textId="77777777" w:rsidR="0079631C" w:rsidRDefault="0079631C" w:rsidP="0045114E">
      <w:pPr>
        <w:keepNext/>
        <w:spacing w:after="0" w:line="240" w:lineRule="auto"/>
        <w:rPr>
          <w:rFonts w:cstheme="minorHAnsi"/>
        </w:rPr>
      </w:pPr>
    </w:p>
    <w:p w14:paraId="3FF16B20" w14:textId="16659AED" w:rsidR="0079631C" w:rsidRDefault="0079631C" w:rsidP="0045114E">
      <w:pPr>
        <w:spacing w:after="0" w:line="240" w:lineRule="auto"/>
        <w:contextualSpacing/>
        <w:rPr>
          <w:rFonts w:cstheme="minorHAnsi"/>
          <w:b/>
        </w:rPr>
      </w:pPr>
      <w:r w:rsidRPr="00294A7E">
        <w:rPr>
          <w:rFonts w:cstheme="minorHAnsi"/>
          <w:b/>
        </w:rPr>
        <w:t>Decision SC</w:t>
      </w:r>
      <w:r w:rsidR="00E66F99">
        <w:rPr>
          <w:rFonts w:cstheme="minorHAnsi"/>
          <w:b/>
        </w:rPr>
        <w:t>6</w:t>
      </w:r>
      <w:r w:rsidR="009C4483">
        <w:rPr>
          <w:rFonts w:cstheme="minorHAnsi"/>
          <w:b/>
        </w:rPr>
        <w:t>3</w:t>
      </w:r>
      <w:r w:rsidRPr="00294A7E">
        <w:rPr>
          <w:rFonts w:cstheme="minorHAnsi"/>
          <w:b/>
        </w:rPr>
        <w:t>-</w:t>
      </w:r>
      <w:r w:rsidR="00E22824">
        <w:rPr>
          <w:rFonts w:cstheme="minorHAnsi"/>
          <w:b/>
        </w:rPr>
        <w:t>04</w:t>
      </w:r>
      <w:r w:rsidR="00F03D5B">
        <w:rPr>
          <w:rFonts w:cstheme="minorHAnsi"/>
          <w:b/>
        </w:rPr>
        <w:t xml:space="preserve">: </w:t>
      </w:r>
      <w:r w:rsidR="007F459E" w:rsidRPr="007F459E">
        <w:rPr>
          <w:rFonts w:cstheme="minorHAnsi"/>
          <w:b/>
        </w:rPr>
        <w:t xml:space="preserve">The Standing Committee took note </w:t>
      </w:r>
      <w:r w:rsidR="00862F03">
        <w:rPr>
          <w:rFonts w:cstheme="minorHAnsi"/>
          <w:b/>
        </w:rPr>
        <w:t xml:space="preserve">of </w:t>
      </w:r>
      <w:r w:rsidR="007F459E" w:rsidRPr="007F459E">
        <w:rPr>
          <w:rFonts w:cstheme="minorHAnsi"/>
          <w:b/>
        </w:rPr>
        <w:t>the Report of the Executive Team and Chair of the Standing Committee published as document SC6</w:t>
      </w:r>
      <w:r w:rsidR="009C4483">
        <w:rPr>
          <w:rFonts w:cstheme="minorHAnsi"/>
          <w:b/>
        </w:rPr>
        <w:t>3</w:t>
      </w:r>
      <w:r w:rsidR="007F459E" w:rsidRPr="007F459E">
        <w:rPr>
          <w:rFonts w:cstheme="minorHAnsi"/>
          <w:b/>
        </w:rPr>
        <w:t xml:space="preserve"> Doc.5.</w:t>
      </w:r>
    </w:p>
    <w:p w14:paraId="4DCDA6F9" w14:textId="76C1DE48" w:rsidR="00F03D5B" w:rsidRDefault="00F03D5B" w:rsidP="0045114E">
      <w:pPr>
        <w:spacing w:after="0" w:line="240" w:lineRule="auto"/>
        <w:contextualSpacing/>
        <w:rPr>
          <w:rFonts w:cstheme="minorHAnsi"/>
          <w:b/>
        </w:rPr>
      </w:pPr>
    </w:p>
    <w:p w14:paraId="2B168679" w14:textId="4C9A5CE1" w:rsidR="00F03D5B" w:rsidRPr="00294A7E" w:rsidRDefault="00F03D5B"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6</w:t>
      </w:r>
      <w:r w:rsidRPr="00294A7E">
        <w:rPr>
          <w:rFonts w:cstheme="minorHAnsi"/>
          <w:bCs/>
        </w:rPr>
        <w:t xml:space="preserve">: Report of the </w:t>
      </w:r>
      <w:r>
        <w:rPr>
          <w:bCs/>
        </w:rPr>
        <w:t>Secretary General</w:t>
      </w:r>
    </w:p>
    <w:p w14:paraId="067968A5" w14:textId="77777777" w:rsidR="00F03D5B" w:rsidRDefault="00F03D5B" w:rsidP="0045114E">
      <w:pPr>
        <w:keepNext/>
        <w:spacing w:after="0" w:line="240" w:lineRule="auto"/>
        <w:ind w:left="567" w:hanging="567"/>
        <w:rPr>
          <w:rFonts w:cstheme="minorHAnsi"/>
          <w:b/>
        </w:rPr>
      </w:pPr>
    </w:p>
    <w:p w14:paraId="07C8B408" w14:textId="1EAF27D6" w:rsidR="00E66F99" w:rsidRDefault="00E66F99" w:rsidP="0045114E">
      <w:pPr>
        <w:spacing w:after="0" w:line="240" w:lineRule="auto"/>
        <w:contextualSpacing/>
        <w:rPr>
          <w:rFonts w:cstheme="minorHAnsi"/>
          <w:b/>
        </w:rPr>
      </w:pPr>
      <w:r w:rsidRPr="00294A7E">
        <w:rPr>
          <w:rFonts w:cstheme="minorHAnsi"/>
          <w:b/>
        </w:rPr>
        <w:t>Decision SC</w:t>
      </w:r>
      <w:r>
        <w:rPr>
          <w:rFonts w:cstheme="minorHAnsi"/>
          <w:b/>
        </w:rPr>
        <w:t>6</w:t>
      </w:r>
      <w:r w:rsidR="007A76AB">
        <w:rPr>
          <w:rFonts w:cstheme="minorHAnsi"/>
          <w:b/>
        </w:rPr>
        <w:t>3</w:t>
      </w:r>
      <w:r w:rsidRPr="00294A7E">
        <w:rPr>
          <w:rFonts w:cstheme="minorHAnsi"/>
          <w:b/>
        </w:rPr>
        <w:t>-</w:t>
      </w:r>
      <w:r w:rsidR="0084194C" w:rsidRPr="00711B81">
        <w:rPr>
          <w:rFonts w:cstheme="minorHAnsi"/>
          <w:b/>
        </w:rPr>
        <w:t>05</w:t>
      </w:r>
      <w:r w:rsidRPr="00711B81">
        <w:rPr>
          <w:rFonts w:cstheme="minorHAnsi"/>
          <w:b/>
        </w:rPr>
        <w:t xml:space="preserve">: </w:t>
      </w:r>
      <w:r w:rsidR="007A76AB" w:rsidRPr="00711B81">
        <w:rPr>
          <w:rFonts w:cstheme="minorHAnsi"/>
          <w:b/>
        </w:rPr>
        <w:t xml:space="preserve">The Standing Committee </w:t>
      </w:r>
      <w:r w:rsidR="005F36E0">
        <w:rPr>
          <w:rFonts w:cstheme="minorHAnsi"/>
          <w:b/>
        </w:rPr>
        <w:t>took note of</w:t>
      </w:r>
      <w:r w:rsidR="005F36E0" w:rsidRPr="00711B81">
        <w:rPr>
          <w:rFonts w:cstheme="minorHAnsi"/>
          <w:b/>
        </w:rPr>
        <w:t xml:space="preserve"> </w:t>
      </w:r>
      <w:r w:rsidR="007A76AB" w:rsidRPr="00711B81">
        <w:rPr>
          <w:rFonts w:cstheme="minorHAnsi"/>
          <w:b/>
        </w:rPr>
        <w:t>the Report of the Secretary General published as document SC63 Doc.6.</w:t>
      </w:r>
    </w:p>
    <w:p w14:paraId="49F76D82" w14:textId="77777777" w:rsidR="00F03D5B" w:rsidRDefault="00F03D5B" w:rsidP="0045114E">
      <w:pPr>
        <w:spacing w:after="0" w:line="240" w:lineRule="auto"/>
        <w:contextualSpacing/>
        <w:rPr>
          <w:rFonts w:cstheme="minorHAnsi"/>
          <w:b/>
        </w:rPr>
      </w:pPr>
    </w:p>
    <w:p w14:paraId="142857EB" w14:textId="65A7AD5E" w:rsidR="00F03D5B" w:rsidRPr="005E7BFA" w:rsidRDefault="00F03D5B"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E7BFA">
        <w:rPr>
          <w:rFonts w:cstheme="minorHAnsi"/>
          <w:bCs/>
        </w:rPr>
        <w:t xml:space="preserve">Agenda item </w:t>
      </w:r>
      <w:r w:rsidR="005E7BFA" w:rsidRPr="005E7BFA">
        <w:rPr>
          <w:rFonts w:cstheme="minorHAnsi"/>
          <w:bCs/>
        </w:rPr>
        <w:t>26</w:t>
      </w:r>
      <w:r w:rsidRPr="005E7BFA">
        <w:rPr>
          <w:rFonts w:cstheme="minorHAnsi"/>
          <w:bCs/>
        </w:rPr>
        <w:t xml:space="preserve">: </w:t>
      </w:r>
      <w:r w:rsidR="005E7BFA" w:rsidRPr="005E7BFA">
        <w:rPr>
          <w:rFonts w:cstheme="minorHAnsi"/>
          <w:bCs/>
        </w:rPr>
        <w:t xml:space="preserve">Dates of the 64th meeting of the Standing Committee </w:t>
      </w:r>
    </w:p>
    <w:p w14:paraId="6AC17EBA" w14:textId="77777777" w:rsidR="00F03D5B" w:rsidRPr="00311AE1" w:rsidRDefault="00F03D5B" w:rsidP="0045114E">
      <w:pPr>
        <w:keepNext/>
        <w:spacing w:after="0" w:line="240" w:lineRule="auto"/>
        <w:ind w:left="567" w:hanging="567"/>
        <w:rPr>
          <w:rFonts w:cstheme="minorHAnsi"/>
          <w:highlight w:val="yellow"/>
        </w:rPr>
      </w:pPr>
    </w:p>
    <w:p w14:paraId="186AA3B9" w14:textId="4BA6DBA0" w:rsidR="005E7BFA" w:rsidRPr="005E7BFA" w:rsidRDefault="005E7BFA" w:rsidP="0045114E">
      <w:pPr>
        <w:spacing w:after="0" w:line="240" w:lineRule="auto"/>
        <w:contextualSpacing/>
        <w:rPr>
          <w:rFonts w:cstheme="minorHAnsi"/>
          <w:b/>
        </w:rPr>
      </w:pPr>
      <w:r w:rsidRPr="00294A7E">
        <w:rPr>
          <w:rFonts w:cstheme="minorHAnsi"/>
          <w:b/>
        </w:rPr>
        <w:t>Decision SC</w:t>
      </w:r>
      <w:r>
        <w:rPr>
          <w:rFonts w:cstheme="minorHAnsi"/>
          <w:b/>
        </w:rPr>
        <w:t>63</w:t>
      </w:r>
      <w:r w:rsidRPr="00294A7E">
        <w:rPr>
          <w:rFonts w:cstheme="minorHAnsi"/>
          <w:b/>
        </w:rPr>
        <w:t>-</w:t>
      </w:r>
      <w:r w:rsidRPr="00711B81">
        <w:rPr>
          <w:rFonts w:cstheme="minorHAnsi"/>
          <w:b/>
        </w:rPr>
        <w:t>0</w:t>
      </w:r>
      <w:r>
        <w:rPr>
          <w:rFonts w:cstheme="minorHAnsi"/>
          <w:b/>
        </w:rPr>
        <w:t>6</w:t>
      </w:r>
      <w:r w:rsidRPr="00711B81">
        <w:rPr>
          <w:rFonts w:cstheme="minorHAnsi"/>
          <w:b/>
        </w:rPr>
        <w:t xml:space="preserve">: </w:t>
      </w:r>
      <w:r>
        <w:rPr>
          <w:rFonts w:cstheme="minorHAnsi"/>
          <w:b/>
        </w:rPr>
        <w:t>T</w:t>
      </w:r>
      <w:r w:rsidRPr="005E7BFA">
        <w:rPr>
          <w:rFonts w:cstheme="minorHAnsi"/>
          <w:b/>
        </w:rPr>
        <w:t>he Standing Committee decide</w:t>
      </w:r>
      <w:r w:rsidR="006346F9">
        <w:rPr>
          <w:rFonts w:cstheme="minorHAnsi"/>
          <w:b/>
        </w:rPr>
        <w:t>d</w:t>
      </w:r>
      <w:r w:rsidRPr="005E7BFA">
        <w:rPr>
          <w:rFonts w:cstheme="minorHAnsi"/>
          <w:b/>
        </w:rPr>
        <w:t xml:space="preserve"> to hold SC64 from 20 </w:t>
      </w:r>
      <w:r w:rsidR="005F36E0">
        <w:rPr>
          <w:rFonts w:cstheme="minorHAnsi"/>
          <w:b/>
        </w:rPr>
        <w:t>to</w:t>
      </w:r>
      <w:r w:rsidR="005F36E0" w:rsidRPr="005E7BFA">
        <w:rPr>
          <w:rFonts w:cstheme="minorHAnsi"/>
          <w:b/>
        </w:rPr>
        <w:t xml:space="preserve"> </w:t>
      </w:r>
      <w:r w:rsidRPr="005E7BFA">
        <w:rPr>
          <w:rFonts w:cstheme="minorHAnsi"/>
          <w:b/>
        </w:rPr>
        <w:t>24 January 2025 in Gland, Switzerland.</w:t>
      </w:r>
    </w:p>
    <w:p w14:paraId="651B2B17" w14:textId="77777777" w:rsidR="005E7BFA" w:rsidRDefault="005E7BFA" w:rsidP="0045114E">
      <w:pPr>
        <w:spacing w:after="0" w:line="240" w:lineRule="auto"/>
        <w:contextualSpacing/>
        <w:rPr>
          <w:rFonts w:cstheme="minorHAnsi"/>
          <w:b/>
        </w:rPr>
      </w:pPr>
    </w:p>
    <w:p w14:paraId="1DB55751" w14:textId="0E6053DA" w:rsidR="005E7BFA" w:rsidRPr="005E7BFA" w:rsidRDefault="005E7BFA"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E7BFA">
        <w:rPr>
          <w:rFonts w:cstheme="minorHAnsi"/>
          <w:bCs/>
        </w:rPr>
        <w:t xml:space="preserve">Agenda item </w:t>
      </w:r>
      <w:r>
        <w:rPr>
          <w:rFonts w:cstheme="minorHAnsi"/>
          <w:bCs/>
        </w:rPr>
        <w:t>7.1</w:t>
      </w:r>
      <w:r w:rsidRPr="005E7BFA">
        <w:rPr>
          <w:rFonts w:cstheme="minorHAnsi"/>
          <w:bCs/>
        </w:rPr>
        <w:t>: Report of the Management Working Group</w:t>
      </w:r>
      <w:r>
        <w:rPr>
          <w:rFonts w:cstheme="minorHAnsi"/>
          <w:bCs/>
        </w:rPr>
        <w:t xml:space="preserve">: </w:t>
      </w:r>
      <w:r w:rsidRPr="005E7BFA">
        <w:rPr>
          <w:rFonts w:cstheme="minorHAnsi"/>
          <w:bCs/>
        </w:rPr>
        <w:t>Report on the activities of the Management Working Group</w:t>
      </w:r>
    </w:p>
    <w:p w14:paraId="7FFFF07F" w14:textId="47A1168D" w:rsidR="005E7BFA" w:rsidRDefault="005E7BFA" w:rsidP="0045114E">
      <w:pPr>
        <w:keepNext/>
        <w:tabs>
          <w:tab w:val="left" w:pos="0"/>
        </w:tabs>
        <w:spacing w:after="0" w:line="240" w:lineRule="auto"/>
        <w:ind w:left="567" w:hanging="567"/>
      </w:pPr>
    </w:p>
    <w:p w14:paraId="0041705A" w14:textId="56F10478" w:rsidR="000B5744" w:rsidRDefault="000B5744" w:rsidP="0045114E">
      <w:pPr>
        <w:spacing w:after="0" w:line="240" w:lineRule="auto"/>
        <w:contextualSpacing/>
        <w:rPr>
          <w:rFonts w:cstheme="minorHAnsi"/>
          <w:b/>
          <w:bCs/>
        </w:rPr>
      </w:pPr>
      <w:r w:rsidRPr="00294A7E">
        <w:rPr>
          <w:rFonts w:cstheme="minorHAnsi"/>
          <w:b/>
        </w:rPr>
        <w:t>Decision SC</w:t>
      </w:r>
      <w:r>
        <w:rPr>
          <w:rFonts w:cstheme="minorHAnsi"/>
          <w:b/>
        </w:rPr>
        <w:t>63</w:t>
      </w:r>
      <w:r w:rsidRPr="00294A7E">
        <w:rPr>
          <w:rFonts w:cstheme="minorHAnsi"/>
          <w:b/>
        </w:rPr>
        <w:t>-</w:t>
      </w:r>
      <w:r w:rsidRPr="00711B81">
        <w:rPr>
          <w:rFonts w:cstheme="minorHAnsi"/>
          <w:b/>
        </w:rPr>
        <w:t>0</w:t>
      </w:r>
      <w:r>
        <w:rPr>
          <w:rFonts w:cstheme="minorHAnsi"/>
          <w:b/>
        </w:rPr>
        <w:t>7</w:t>
      </w:r>
      <w:r w:rsidRPr="00711B81">
        <w:rPr>
          <w:rFonts w:cstheme="minorHAnsi"/>
          <w:b/>
        </w:rPr>
        <w:t xml:space="preserve">: </w:t>
      </w:r>
      <w:r>
        <w:rPr>
          <w:rFonts w:cstheme="minorHAnsi"/>
          <w:b/>
          <w:bCs/>
        </w:rPr>
        <w:t>T</w:t>
      </w:r>
      <w:r w:rsidRPr="00713D71">
        <w:rPr>
          <w:rFonts w:cstheme="minorHAnsi"/>
          <w:b/>
          <w:bCs/>
        </w:rPr>
        <w:t>he Standing Committee t</w:t>
      </w:r>
      <w:r w:rsidR="006346F9">
        <w:rPr>
          <w:rFonts w:cstheme="minorHAnsi"/>
          <w:b/>
          <w:bCs/>
        </w:rPr>
        <w:t>ook</w:t>
      </w:r>
      <w:r w:rsidRPr="00713D71">
        <w:rPr>
          <w:rFonts w:cstheme="minorHAnsi"/>
          <w:b/>
          <w:bCs/>
        </w:rPr>
        <w:t xml:space="preserve"> note of the report</w:t>
      </w:r>
      <w:r w:rsidR="00CD7716" w:rsidRPr="00CD7716">
        <w:t xml:space="preserve"> </w:t>
      </w:r>
      <w:r w:rsidR="00CD7716" w:rsidRPr="00CD7716">
        <w:rPr>
          <w:rFonts w:cstheme="minorHAnsi"/>
          <w:b/>
          <w:bCs/>
        </w:rPr>
        <w:t>on the activities</w:t>
      </w:r>
      <w:r w:rsidRPr="00713D71">
        <w:rPr>
          <w:rFonts w:cstheme="minorHAnsi"/>
          <w:b/>
          <w:bCs/>
        </w:rPr>
        <w:t xml:space="preserve"> of the Management Working Group</w:t>
      </w:r>
      <w:r>
        <w:rPr>
          <w:rFonts w:cstheme="minorHAnsi"/>
          <w:b/>
          <w:bCs/>
        </w:rPr>
        <w:t xml:space="preserve"> as found in document SC63 Doc.7.1. </w:t>
      </w:r>
    </w:p>
    <w:p w14:paraId="63D4FEE8" w14:textId="77777777" w:rsidR="000B5744" w:rsidRDefault="000B5744" w:rsidP="0045114E">
      <w:pPr>
        <w:spacing w:after="0" w:line="240" w:lineRule="auto"/>
        <w:contextualSpacing/>
        <w:rPr>
          <w:rFonts w:cstheme="minorHAnsi"/>
          <w:b/>
          <w:bCs/>
        </w:rPr>
      </w:pPr>
    </w:p>
    <w:p w14:paraId="33BC7691" w14:textId="77455B43" w:rsidR="000B5744" w:rsidRDefault="000B5744" w:rsidP="0045114E">
      <w:pPr>
        <w:spacing w:after="0" w:line="240" w:lineRule="auto"/>
        <w:contextualSpacing/>
        <w:rPr>
          <w:rFonts w:cstheme="minorHAnsi"/>
          <w:b/>
          <w:bCs/>
        </w:rPr>
      </w:pPr>
      <w:r w:rsidRPr="00294A7E">
        <w:rPr>
          <w:rFonts w:cstheme="minorHAnsi"/>
          <w:b/>
        </w:rPr>
        <w:t>Decision SC</w:t>
      </w:r>
      <w:r>
        <w:rPr>
          <w:rFonts w:cstheme="minorHAnsi"/>
          <w:b/>
        </w:rPr>
        <w:t>63</w:t>
      </w:r>
      <w:r w:rsidRPr="00294A7E">
        <w:rPr>
          <w:rFonts w:cstheme="minorHAnsi"/>
          <w:b/>
        </w:rPr>
        <w:t>-</w:t>
      </w:r>
      <w:r w:rsidRPr="00711B81">
        <w:rPr>
          <w:rFonts w:cstheme="minorHAnsi"/>
          <w:b/>
        </w:rPr>
        <w:t>0</w:t>
      </w:r>
      <w:r>
        <w:rPr>
          <w:rFonts w:cstheme="minorHAnsi"/>
          <w:b/>
        </w:rPr>
        <w:t>8</w:t>
      </w:r>
      <w:r w:rsidRPr="00711B81">
        <w:rPr>
          <w:rFonts w:cstheme="minorHAnsi"/>
          <w:b/>
        </w:rPr>
        <w:t xml:space="preserve">: </w:t>
      </w:r>
      <w:r>
        <w:rPr>
          <w:rFonts w:cstheme="minorHAnsi"/>
          <w:b/>
          <w:bCs/>
        </w:rPr>
        <w:t>T</w:t>
      </w:r>
      <w:r w:rsidRPr="00713D71">
        <w:rPr>
          <w:rFonts w:cstheme="minorHAnsi"/>
          <w:b/>
          <w:bCs/>
        </w:rPr>
        <w:t>he</w:t>
      </w:r>
      <w:r w:rsidRPr="000B5744">
        <w:t xml:space="preserve"> </w:t>
      </w:r>
      <w:r w:rsidRPr="000B5744">
        <w:rPr>
          <w:rFonts w:cstheme="minorHAnsi"/>
          <w:b/>
          <w:bCs/>
        </w:rPr>
        <w:t>Standing Committee authorize</w:t>
      </w:r>
      <w:r w:rsidR="006346F9">
        <w:rPr>
          <w:rFonts w:cstheme="minorHAnsi"/>
          <w:b/>
          <w:bCs/>
        </w:rPr>
        <w:t>d</w:t>
      </w:r>
      <w:r w:rsidRPr="000B5744">
        <w:rPr>
          <w:rFonts w:cstheme="minorHAnsi"/>
          <w:b/>
          <w:bCs/>
        </w:rPr>
        <w:t xml:space="preserve"> the Secretary General of the Convention to enter into new cooperation agreements with organizations that meet the criteria found in SC54 Doc.</w:t>
      </w:r>
      <w:proofErr w:type="gramStart"/>
      <w:r w:rsidRPr="000B5744">
        <w:rPr>
          <w:rFonts w:cstheme="minorHAnsi"/>
          <w:b/>
          <w:bCs/>
        </w:rPr>
        <w:t>16.Rev.</w:t>
      </w:r>
      <w:proofErr w:type="gramEnd"/>
      <w:r w:rsidRPr="000B5744">
        <w:rPr>
          <w:rFonts w:cstheme="minorHAnsi"/>
          <w:b/>
          <w:bCs/>
        </w:rPr>
        <w:t>1. Further, the Standing Committee instruct</w:t>
      </w:r>
      <w:r w:rsidR="006346F9">
        <w:rPr>
          <w:rFonts w:cstheme="minorHAnsi"/>
          <w:b/>
          <w:bCs/>
        </w:rPr>
        <w:t>ed</w:t>
      </w:r>
      <w:r w:rsidRPr="000B5744">
        <w:rPr>
          <w:rFonts w:cstheme="minorHAnsi"/>
          <w:b/>
          <w:bCs/>
        </w:rPr>
        <w:t xml:space="preserve"> the Secretariat to include this instruction in the draft resolution on synergies for consideration by COP15. This decision repeals Decision SC52-11.</w:t>
      </w:r>
    </w:p>
    <w:p w14:paraId="48FFB3F5" w14:textId="77777777" w:rsidR="000B5744" w:rsidRDefault="000B5744" w:rsidP="0045114E">
      <w:pPr>
        <w:spacing w:after="0" w:line="240" w:lineRule="auto"/>
        <w:contextualSpacing/>
        <w:rPr>
          <w:rFonts w:cstheme="minorHAnsi"/>
          <w:b/>
        </w:rPr>
      </w:pPr>
    </w:p>
    <w:p w14:paraId="677701D5"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1</w:t>
      </w:r>
      <w:r w:rsidRPr="00294A7E">
        <w:rPr>
          <w:rFonts w:cstheme="minorHAnsi"/>
          <w:bCs/>
        </w:rPr>
        <w:t xml:space="preserve">1: </w:t>
      </w:r>
      <w:r w:rsidRPr="00A5545F">
        <w:rPr>
          <w:rFonts w:cstheme="minorHAnsi"/>
          <w:bCs/>
        </w:rPr>
        <w:t>Report of the Strategic Plan Working Group</w:t>
      </w:r>
    </w:p>
    <w:p w14:paraId="5B8E3E77" w14:textId="77777777" w:rsidR="005A4CA5" w:rsidRPr="00294A7E" w:rsidRDefault="005A4CA5" w:rsidP="0045114E">
      <w:pPr>
        <w:keepNext/>
        <w:spacing w:after="0" w:line="240" w:lineRule="auto"/>
        <w:ind w:left="567" w:hanging="567"/>
        <w:rPr>
          <w:rFonts w:cstheme="minorHAnsi"/>
        </w:rPr>
      </w:pPr>
    </w:p>
    <w:p w14:paraId="426B33CC" w14:textId="77777777" w:rsidR="005A4CA5" w:rsidRDefault="005A4CA5" w:rsidP="0045114E">
      <w:pPr>
        <w:spacing w:after="0" w:line="240" w:lineRule="auto"/>
      </w:pPr>
      <w:r w:rsidRPr="0010689C">
        <w:rPr>
          <w:rFonts w:cstheme="minorHAnsi"/>
          <w:b/>
        </w:rPr>
        <w:t>Decision SC63-0</w:t>
      </w:r>
      <w:r>
        <w:rPr>
          <w:rFonts w:cstheme="minorHAnsi"/>
          <w:b/>
        </w:rPr>
        <w:t>9</w:t>
      </w:r>
      <w:r w:rsidRPr="0010689C">
        <w:rPr>
          <w:rFonts w:cstheme="minorHAnsi"/>
          <w:b/>
        </w:rPr>
        <w:t>: T</w:t>
      </w:r>
      <w:r w:rsidRPr="00B42651">
        <w:rPr>
          <w:rFonts w:cstheme="minorHAnsi"/>
          <w:b/>
        </w:rPr>
        <w:t xml:space="preserve">he Standing Committee </w:t>
      </w:r>
      <w:r>
        <w:rPr>
          <w:rFonts w:cstheme="minorHAnsi"/>
          <w:b/>
        </w:rPr>
        <w:t>took</w:t>
      </w:r>
      <w:r w:rsidRPr="00B42651">
        <w:rPr>
          <w:rFonts w:cstheme="minorHAnsi"/>
          <w:b/>
        </w:rPr>
        <w:t xml:space="preserve"> note of the Report of the Strategic Plan Working Group</w:t>
      </w:r>
      <w:r w:rsidRPr="00A63670">
        <w:rPr>
          <w:rFonts w:cstheme="minorHAnsi"/>
          <w:b/>
        </w:rPr>
        <w:t xml:space="preserve"> </w:t>
      </w:r>
      <w:r w:rsidRPr="007F459E">
        <w:rPr>
          <w:rFonts w:cstheme="minorHAnsi"/>
          <w:b/>
        </w:rPr>
        <w:t>published as document SC6</w:t>
      </w:r>
      <w:r>
        <w:rPr>
          <w:rFonts w:cstheme="minorHAnsi"/>
          <w:b/>
        </w:rPr>
        <w:t>3</w:t>
      </w:r>
      <w:r w:rsidRPr="007F459E">
        <w:rPr>
          <w:rFonts w:cstheme="minorHAnsi"/>
          <w:b/>
        </w:rPr>
        <w:t xml:space="preserve"> Doc.</w:t>
      </w:r>
      <w:r>
        <w:rPr>
          <w:rFonts w:cstheme="minorHAnsi"/>
          <w:b/>
        </w:rPr>
        <w:t>11</w:t>
      </w:r>
      <w:r w:rsidRPr="00B42651">
        <w:rPr>
          <w:rFonts w:cstheme="minorHAnsi"/>
          <w:b/>
        </w:rPr>
        <w:t>.</w:t>
      </w:r>
    </w:p>
    <w:p w14:paraId="25AEEE01" w14:textId="77777777" w:rsidR="005A4CA5" w:rsidRPr="00294A7E" w:rsidRDefault="005A4CA5" w:rsidP="0045114E">
      <w:pPr>
        <w:spacing w:after="0" w:line="240" w:lineRule="auto"/>
        <w:rPr>
          <w:rFonts w:cstheme="minorHAnsi"/>
        </w:rPr>
      </w:pPr>
    </w:p>
    <w:p w14:paraId="42ED6E7C"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1</w:t>
      </w:r>
      <w:r w:rsidRPr="00294A7E">
        <w:rPr>
          <w:rFonts w:cstheme="minorHAnsi"/>
          <w:bCs/>
        </w:rPr>
        <w:t xml:space="preserve">2: </w:t>
      </w:r>
      <w:r w:rsidRPr="00011ED3">
        <w:rPr>
          <w:rFonts w:cstheme="minorHAnsi"/>
          <w:bCs/>
        </w:rPr>
        <w:t>Report of the Working Group on Institutional Strengthening</w:t>
      </w:r>
    </w:p>
    <w:p w14:paraId="29B467E2" w14:textId="77777777" w:rsidR="005A4CA5" w:rsidRPr="00294A7E" w:rsidRDefault="005A4CA5" w:rsidP="0045114E">
      <w:pPr>
        <w:keepNext/>
        <w:spacing w:after="0" w:line="240" w:lineRule="auto"/>
        <w:ind w:left="567" w:hanging="567"/>
        <w:rPr>
          <w:rFonts w:cstheme="minorHAnsi"/>
        </w:rPr>
      </w:pPr>
    </w:p>
    <w:p w14:paraId="77D18606" w14:textId="77777777" w:rsidR="005A4CA5" w:rsidRDefault="005A4CA5" w:rsidP="0045114E">
      <w:pPr>
        <w:spacing w:after="0" w:line="240" w:lineRule="auto"/>
      </w:pPr>
      <w:r w:rsidRPr="001610D2">
        <w:rPr>
          <w:rFonts w:cstheme="minorHAnsi"/>
          <w:b/>
        </w:rPr>
        <w:t>Decision SC63-10: The Standing Committee took note of the Report of the Working Group on Institutional Strengthening and approved the next steps proposed by the Working Group.</w:t>
      </w:r>
    </w:p>
    <w:p w14:paraId="3C0F86F8" w14:textId="77777777" w:rsidR="005A4CA5" w:rsidRPr="00294A7E" w:rsidRDefault="005A4CA5" w:rsidP="0045114E">
      <w:pPr>
        <w:tabs>
          <w:tab w:val="left" w:pos="720"/>
          <w:tab w:val="center" w:pos="4680"/>
        </w:tabs>
        <w:spacing w:after="0" w:line="240" w:lineRule="auto"/>
        <w:contextualSpacing/>
        <w:rPr>
          <w:rFonts w:cstheme="minorHAnsi"/>
        </w:rPr>
      </w:pPr>
    </w:p>
    <w:p w14:paraId="027E5D65" w14:textId="785C86F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294A7E">
        <w:rPr>
          <w:rFonts w:cstheme="minorHAnsi"/>
          <w:bCs/>
        </w:rPr>
        <w:t xml:space="preserve">Agenda item </w:t>
      </w:r>
      <w:r>
        <w:rPr>
          <w:rFonts w:cstheme="minorHAnsi"/>
          <w:bCs/>
        </w:rPr>
        <w:t>21.1</w:t>
      </w:r>
      <w:r w:rsidRPr="00294A7E">
        <w:rPr>
          <w:rFonts w:cstheme="minorHAnsi"/>
          <w:bCs/>
        </w:rPr>
        <w:t xml:space="preserve">: </w:t>
      </w:r>
      <w:r w:rsidRPr="00693FFB">
        <w:rPr>
          <w:rFonts w:cstheme="minorHAnsi"/>
          <w:bCs/>
        </w:rPr>
        <w:t>Preparation of the 15th meeting of the Conference of the Contracting</w:t>
      </w:r>
      <w:r w:rsidR="00ED585E">
        <w:rPr>
          <w:rFonts w:cstheme="minorHAnsi"/>
          <w:bCs/>
        </w:rPr>
        <w:t xml:space="preserve"> </w:t>
      </w:r>
      <w:r w:rsidRPr="00693FFB">
        <w:rPr>
          <w:rFonts w:cstheme="minorHAnsi"/>
          <w:bCs/>
        </w:rPr>
        <w:t>Parties (COP15)</w:t>
      </w:r>
      <w:r>
        <w:rPr>
          <w:rFonts w:cstheme="minorHAnsi"/>
          <w:bCs/>
        </w:rPr>
        <w:t>: Report of the Secretariat on COP15</w:t>
      </w:r>
    </w:p>
    <w:p w14:paraId="44D19D38" w14:textId="77777777" w:rsidR="005A4CA5" w:rsidRDefault="005A4CA5" w:rsidP="0045114E">
      <w:pPr>
        <w:keepNext/>
        <w:spacing w:after="0" w:line="240" w:lineRule="auto"/>
        <w:ind w:left="567" w:hanging="567"/>
      </w:pPr>
    </w:p>
    <w:p w14:paraId="688D2FB4" w14:textId="77777777" w:rsidR="005A4CA5" w:rsidRDefault="005A4CA5" w:rsidP="0045114E">
      <w:pPr>
        <w:spacing w:after="0" w:line="240" w:lineRule="auto"/>
      </w:pPr>
      <w:r w:rsidRPr="00C72980">
        <w:rPr>
          <w:rFonts w:cstheme="minorHAnsi"/>
          <w:b/>
        </w:rPr>
        <w:t>Decision SC63-</w:t>
      </w:r>
      <w:r>
        <w:rPr>
          <w:rFonts w:cstheme="minorHAnsi"/>
          <w:b/>
        </w:rPr>
        <w:t>11</w:t>
      </w:r>
      <w:r w:rsidRPr="00C72980">
        <w:rPr>
          <w:rFonts w:cstheme="minorHAnsi"/>
          <w:b/>
        </w:rPr>
        <w:t xml:space="preserve">: The </w:t>
      </w:r>
      <w:r w:rsidRPr="00514635">
        <w:rPr>
          <w:rFonts w:cstheme="minorHAnsi"/>
          <w:b/>
        </w:rPr>
        <w:t>Standing Committee t</w:t>
      </w:r>
      <w:r>
        <w:rPr>
          <w:rFonts w:cstheme="minorHAnsi"/>
          <w:b/>
        </w:rPr>
        <w:t>ook</w:t>
      </w:r>
      <w:r w:rsidRPr="00514635">
        <w:rPr>
          <w:rFonts w:cstheme="minorHAnsi"/>
          <w:b/>
        </w:rPr>
        <w:t xml:space="preserve"> note of the Report of the Secretariat on COP15 as found in document SC63 Doc.21</w:t>
      </w:r>
      <w:r>
        <w:rPr>
          <w:rFonts w:cstheme="minorHAnsi"/>
          <w:b/>
        </w:rPr>
        <w:t xml:space="preserve">.1, </w:t>
      </w:r>
      <w:r w:rsidRPr="00514635">
        <w:rPr>
          <w:rFonts w:cstheme="minorHAnsi"/>
          <w:b/>
        </w:rPr>
        <w:t>including the indicative timeline of events and deadlines leading up to COP15</w:t>
      </w:r>
      <w:r>
        <w:rPr>
          <w:rFonts w:cstheme="minorHAnsi"/>
          <w:b/>
        </w:rPr>
        <w:t>,</w:t>
      </w:r>
      <w:r w:rsidRPr="00514635">
        <w:rPr>
          <w:rFonts w:cstheme="minorHAnsi"/>
          <w:b/>
        </w:rPr>
        <w:t xml:space="preserve"> and approve</w:t>
      </w:r>
      <w:r>
        <w:rPr>
          <w:rFonts w:cstheme="minorHAnsi"/>
          <w:b/>
        </w:rPr>
        <w:t>d</w:t>
      </w:r>
      <w:r w:rsidRPr="00514635">
        <w:rPr>
          <w:rFonts w:cstheme="minorHAnsi"/>
          <w:b/>
        </w:rPr>
        <w:t xml:space="preserve"> the proposed theme and logo for COP15.</w:t>
      </w:r>
    </w:p>
    <w:p w14:paraId="0B6BEE40" w14:textId="77777777" w:rsidR="005A4CA5" w:rsidRPr="00294A7E" w:rsidRDefault="005A4CA5" w:rsidP="0045114E">
      <w:pPr>
        <w:tabs>
          <w:tab w:val="left" w:pos="720"/>
          <w:tab w:val="center" w:pos="4680"/>
        </w:tabs>
        <w:spacing w:after="0" w:line="240" w:lineRule="auto"/>
        <w:rPr>
          <w:rFonts w:cstheme="minorHAnsi"/>
          <w:bCs/>
        </w:rPr>
      </w:pPr>
    </w:p>
    <w:p w14:paraId="469FC944" w14:textId="77777777" w:rsidR="005A4CA5" w:rsidRPr="004D64A2"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68412010"/>
      <w:r w:rsidRPr="00294A7E">
        <w:rPr>
          <w:rFonts w:cstheme="minorHAnsi"/>
          <w:bCs/>
        </w:rPr>
        <w:t xml:space="preserve">Agenda item </w:t>
      </w:r>
      <w:r>
        <w:rPr>
          <w:rFonts w:cstheme="minorHAnsi"/>
          <w:bCs/>
        </w:rPr>
        <w:t>21.2</w:t>
      </w:r>
      <w:r w:rsidRPr="00294A7E">
        <w:rPr>
          <w:rFonts w:cstheme="minorHAnsi"/>
          <w:bCs/>
        </w:rPr>
        <w:t xml:space="preserve">: </w:t>
      </w:r>
      <w:r w:rsidRPr="00693FFB">
        <w:rPr>
          <w:rFonts w:cstheme="minorHAnsi"/>
          <w:bCs/>
        </w:rPr>
        <w:t>Preparation of COP15</w:t>
      </w:r>
      <w:r>
        <w:rPr>
          <w:rFonts w:cstheme="minorHAnsi"/>
          <w:bCs/>
        </w:rPr>
        <w:t>: Report of the Subgroup on COP15</w:t>
      </w:r>
    </w:p>
    <w:bookmarkEnd w:id="0"/>
    <w:p w14:paraId="7AF9227F" w14:textId="77777777" w:rsidR="005A4CA5" w:rsidRPr="00294A7E" w:rsidRDefault="005A4CA5" w:rsidP="0045114E">
      <w:pPr>
        <w:keepNext/>
        <w:spacing w:after="0" w:line="240" w:lineRule="auto"/>
        <w:ind w:left="567" w:hanging="567"/>
        <w:rPr>
          <w:rFonts w:cstheme="minorHAnsi"/>
        </w:rPr>
      </w:pPr>
    </w:p>
    <w:p w14:paraId="672E447C" w14:textId="77777777" w:rsidR="005A4CA5" w:rsidRPr="00F6135C" w:rsidRDefault="005A4CA5" w:rsidP="0045114E">
      <w:pPr>
        <w:spacing w:after="0" w:line="240" w:lineRule="auto"/>
        <w:rPr>
          <w:rFonts w:cstheme="minorHAnsi"/>
          <w:b/>
        </w:rPr>
      </w:pPr>
      <w:r w:rsidRPr="00F6135C">
        <w:rPr>
          <w:rFonts w:cstheme="minorHAnsi"/>
          <w:b/>
        </w:rPr>
        <w:t xml:space="preserve">Decision </w:t>
      </w:r>
      <w:r w:rsidRPr="00C72980">
        <w:rPr>
          <w:rFonts w:cstheme="minorHAnsi"/>
          <w:b/>
        </w:rPr>
        <w:t>SC63-</w:t>
      </w:r>
      <w:r>
        <w:rPr>
          <w:rFonts w:cstheme="minorHAnsi"/>
          <w:b/>
        </w:rPr>
        <w:t>12</w:t>
      </w:r>
      <w:r w:rsidRPr="00F6135C">
        <w:rPr>
          <w:rFonts w:cstheme="minorHAnsi"/>
          <w:b/>
        </w:rPr>
        <w:t>: The Standing Committee took note of the report presented by the Chair of the Subgroup on COP15.</w:t>
      </w:r>
    </w:p>
    <w:p w14:paraId="75062E6C" w14:textId="77777777" w:rsidR="005A4CA5" w:rsidRPr="005E7BFA" w:rsidRDefault="005A4CA5" w:rsidP="0045114E">
      <w:pPr>
        <w:spacing w:after="0" w:line="240" w:lineRule="auto"/>
        <w:contextualSpacing/>
        <w:rPr>
          <w:rFonts w:cstheme="minorHAnsi"/>
          <w:b/>
        </w:rPr>
      </w:pPr>
    </w:p>
    <w:p w14:paraId="092FDC39" w14:textId="77777777" w:rsidR="005A4CA5" w:rsidRPr="002F5798"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21.3</w:t>
      </w:r>
      <w:r w:rsidRPr="00294A7E">
        <w:rPr>
          <w:rFonts w:cstheme="minorHAnsi"/>
          <w:bCs/>
        </w:rPr>
        <w:t xml:space="preserve">: </w:t>
      </w:r>
      <w:r w:rsidRPr="00693FFB">
        <w:rPr>
          <w:rFonts w:cstheme="minorHAnsi"/>
          <w:bCs/>
        </w:rPr>
        <w:t>Preparation of COP15</w:t>
      </w:r>
      <w:r>
        <w:rPr>
          <w:rFonts w:cstheme="minorHAnsi"/>
          <w:bCs/>
        </w:rPr>
        <w:t xml:space="preserve">: </w:t>
      </w:r>
      <w:r w:rsidRPr="001F5C72">
        <w:rPr>
          <w:rFonts w:cstheme="minorHAnsi"/>
          <w:bCs/>
        </w:rPr>
        <w:t>Proposal of the Secretariat on the process for preparation and</w:t>
      </w:r>
      <w:r>
        <w:rPr>
          <w:rFonts w:cstheme="minorHAnsi"/>
          <w:bCs/>
        </w:rPr>
        <w:t xml:space="preserve"> </w:t>
      </w:r>
      <w:r w:rsidRPr="001F5C72">
        <w:rPr>
          <w:rFonts w:cstheme="minorHAnsi"/>
          <w:bCs/>
        </w:rPr>
        <w:t>review of draft resolutions</w:t>
      </w:r>
    </w:p>
    <w:p w14:paraId="0C203B45" w14:textId="77777777" w:rsidR="005A4CA5" w:rsidRDefault="005A4CA5" w:rsidP="0045114E">
      <w:pPr>
        <w:keepNext/>
        <w:tabs>
          <w:tab w:val="left" w:pos="0"/>
        </w:tabs>
        <w:spacing w:after="0" w:line="240" w:lineRule="auto"/>
        <w:ind w:left="567" w:hanging="567"/>
      </w:pPr>
    </w:p>
    <w:p w14:paraId="3E0E26BB" w14:textId="77777777" w:rsidR="005A4CA5" w:rsidRPr="00A13E6E" w:rsidRDefault="005A4CA5" w:rsidP="0045114E">
      <w:pPr>
        <w:spacing w:after="0" w:line="240" w:lineRule="auto"/>
        <w:contextualSpacing/>
        <w:rPr>
          <w:rFonts w:ascii="Calibri" w:eastAsia="Calibri" w:hAnsi="Calibri" w:cs="Calibri"/>
          <w:b/>
          <w:bCs/>
        </w:rPr>
      </w:pPr>
      <w:r w:rsidRPr="00A13E6E">
        <w:rPr>
          <w:rFonts w:ascii="Calibri" w:eastAsia="Calibri" w:hAnsi="Calibri" w:cs="Calibri"/>
          <w:b/>
          <w:bCs/>
        </w:rPr>
        <w:t xml:space="preserve">Decision </w:t>
      </w:r>
      <w:r w:rsidRPr="00C72980">
        <w:rPr>
          <w:rFonts w:cstheme="minorHAnsi"/>
          <w:b/>
        </w:rPr>
        <w:t>SC63-</w:t>
      </w:r>
      <w:r>
        <w:rPr>
          <w:rFonts w:cstheme="minorHAnsi"/>
          <w:b/>
        </w:rPr>
        <w:t>13</w:t>
      </w:r>
      <w:r>
        <w:rPr>
          <w:rFonts w:ascii="Calibri" w:eastAsia="Calibri" w:hAnsi="Calibri" w:cs="Calibri"/>
          <w:b/>
          <w:bCs/>
        </w:rPr>
        <w:t>: T</w:t>
      </w:r>
      <w:r w:rsidRPr="00A13E6E">
        <w:rPr>
          <w:rFonts w:ascii="Calibri" w:eastAsia="Calibri" w:hAnsi="Calibri" w:cs="Calibri"/>
          <w:b/>
          <w:bCs/>
        </w:rPr>
        <w:t>he Standing Committee</w:t>
      </w:r>
      <w:r>
        <w:rPr>
          <w:rFonts w:ascii="Calibri" w:eastAsia="Calibri" w:hAnsi="Calibri" w:cs="Calibri"/>
          <w:b/>
          <w:bCs/>
        </w:rPr>
        <w:t>:</w:t>
      </w:r>
    </w:p>
    <w:p w14:paraId="3FF09DE3" w14:textId="77777777" w:rsidR="005A4CA5" w:rsidRPr="00A13E6E" w:rsidRDefault="005A4CA5" w:rsidP="0045114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note</w:t>
      </w:r>
      <w:r>
        <w:rPr>
          <w:rFonts w:ascii="Calibri" w:eastAsia="Calibri" w:hAnsi="Calibri" w:cs="Times New Roman"/>
          <w:b/>
        </w:rPr>
        <w:t>d</w:t>
      </w:r>
      <w:r w:rsidRPr="00A13E6E">
        <w:rPr>
          <w:rFonts w:ascii="Calibri" w:eastAsia="Calibri" w:hAnsi="Calibri" w:cs="Times New Roman"/>
          <w:b/>
        </w:rPr>
        <w:t xml:space="preserve"> the indicative timeline for events related to the 15th meeting of the Conference of the Contracting Parties (COP15), in paragraph 3</w:t>
      </w:r>
      <w:r w:rsidRPr="0068560C">
        <w:t xml:space="preserve"> </w:t>
      </w:r>
      <w:r w:rsidRPr="0068560C">
        <w:rPr>
          <w:b/>
        </w:rPr>
        <w:t>of</w:t>
      </w:r>
      <w:r>
        <w:t xml:space="preserve"> </w:t>
      </w:r>
      <w:r w:rsidRPr="0068560C">
        <w:rPr>
          <w:rFonts w:ascii="Calibri" w:eastAsia="Calibri" w:hAnsi="Calibri" w:cs="Times New Roman"/>
          <w:b/>
        </w:rPr>
        <w:t>document SC63 Doc. 21.3</w:t>
      </w:r>
      <w:r w:rsidRPr="00A13E6E">
        <w:rPr>
          <w:rFonts w:ascii="Calibri" w:eastAsia="Calibri" w:hAnsi="Calibri" w:cs="Times New Roman"/>
          <w:b/>
        </w:rPr>
        <w:t xml:space="preserve">; </w:t>
      </w:r>
    </w:p>
    <w:p w14:paraId="0CE5F206" w14:textId="77777777" w:rsidR="005A4CA5" w:rsidRPr="00A13E6E" w:rsidRDefault="005A4CA5" w:rsidP="0045114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instruct</w:t>
      </w:r>
      <w:r>
        <w:rPr>
          <w:rFonts w:ascii="Calibri" w:eastAsia="Calibri" w:hAnsi="Calibri" w:cs="Times New Roman"/>
          <w:b/>
        </w:rPr>
        <w:t>ed</w:t>
      </w:r>
      <w:r w:rsidRPr="00A13E6E">
        <w:rPr>
          <w:rFonts w:ascii="Calibri" w:eastAsia="Calibri" w:hAnsi="Calibri" w:cs="Times New Roman"/>
          <w:b/>
        </w:rPr>
        <w:t xml:space="preserve"> the Secretariat to share with Contracting Parties the guidance for the preparation of draft resolutions for COP15, </w:t>
      </w:r>
      <w:r w:rsidRPr="00D12CD2">
        <w:rPr>
          <w:rFonts w:ascii="Calibri" w:eastAsia="Calibri" w:hAnsi="Calibri" w:cs="Times New Roman"/>
          <w:b/>
        </w:rPr>
        <w:t>as presented in Annex 1 and amended in plenary, with</w:t>
      </w:r>
      <w:r w:rsidRPr="00A13E6E">
        <w:rPr>
          <w:rFonts w:ascii="Calibri" w:eastAsia="Calibri" w:hAnsi="Calibri" w:cs="Times New Roman"/>
          <w:b/>
        </w:rPr>
        <w:t xml:space="preserve"> deadlines for submission updated to reflect the dates decided for the Committee’s 64th meeting (SC64); </w:t>
      </w:r>
    </w:p>
    <w:p w14:paraId="6C827A83" w14:textId="77777777" w:rsidR="005A4CA5" w:rsidRPr="00A13E6E" w:rsidRDefault="005A4CA5" w:rsidP="0045114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approve</w:t>
      </w:r>
      <w:r>
        <w:rPr>
          <w:rFonts w:ascii="Calibri" w:eastAsia="Calibri" w:hAnsi="Calibri" w:cs="Times New Roman"/>
          <w:b/>
        </w:rPr>
        <w:t>d</w:t>
      </w:r>
      <w:r w:rsidRPr="00A13E6E">
        <w:rPr>
          <w:rFonts w:ascii="Calibri" w:eastAsia="Calibri" w:hAnsi="Calibri" w:cs="Times New Roman"/>
          <w:b/>
        </w:rPr>
        <w:t xml:space="preserve"> the guidance on the Secretariat’s role in engaging with Contracting Parties in preparing draft resolutions, and the processes for doing so both before and after SC64, as proposed in paragraphs 7 to 10;</w:t>
      </w:r>
    </w:p>
    <w:p w14:paraId="64A2E57B" w14:textId="77777777" w:rsidR="005A4CA5" w:rsidRPr="004D64A2" w:rsidRDefault="005A4CA5" w:rsidP="0045114E">
      <w:pPr>
        <w:numPr>
          <w:ilvl w:val="0"/>
          <w:numId w:val="15"/>
        </w:numPr>
        <w:spacing w:after="0" w:line="240" w:lineRule="auto"/>
        <w:ind w:left="567" w:hanging="567"/>
        <w:contextualSpacing/>
        <w:rPr>
          <w:rFonts w:ascii="Calibri" w:eastAsia="Calibri" w:hAnsi="Calibri" w:cs="Calibri"/>
          <w:b/>
          <w:bCs/>
        </w:rPr>
      </w:pPr>
      <w:r w:rsidRPr="00A13E6E">
        <w:rPr>
          <w:rFonts w:ascii="Calibri" w:eastAsia="Calibri" w:hAnsi="Calibri" w:cs="Times New Roman"/>
          <w:b/>
        </w:rPr>
        <w:t>instruct</w:t>
      </w:r>
      <w:r>
        <w:rPr>
          <w:rFonts w:ascii="Calibri" w:eastAsia="Calibri" w:hAnsi="Calibri" w:cs="Times New Roman"/>
          <w:b/>
        </w:rPr>
        <w:t>ed</w:t>
      </w:r>
      <w:r w:rsidRPr="00A13E6E">
        <w:rPr>
          <w:rFonts w:ascii="Calibri" w:eastAsia="Calibri" w:hAnsi="Calibri" w:cs="Times New Roman"/>
          <w:b/>
        </w:rPr>
        <w:t xml:space="preserve"> the Secretariat to follow for COP15 the process for review of draft resolutions applied at COP14, applying logistical refinements as appropriate.</w:t>
      </w:r>
    </w:p>
    <w:p w14:paraId="584A7D1E" w14:textId="77777777" w:rsidR="005A4CA5" w:rsidRDefault="005A4CA5" w:rsidP="0045114E">
      <w:pPr>
        <w:tabs>
          <w:tab w:val="left" w:pos="0"/>
        </w:tabs>
        <w:spacing w:after="0" w:line="240" w:lineRule="auto"/>
        <w:contextualSpacing/>
      </w:pPr>
    </w:p>
    <w:p w14:paraId="3CAED525" w14:textId="77777777" w:rsidR="005A4CA5" w:rsidRPr="002F5798"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21.4</w:t>
      </w:r>
      <w:r w:rsidRPr="00294A7E">
        <w:rPr>
          <w:rFonts w:cstheme="minorHAnsi"/>
          <w:bCs/>
        </w:rPr>
        <w:t xml:space="preserve">: </w:t>
      </w:r>
      <w:r w:rsidRPr="00693FFB">
        <w:rPr>
          <w:rFonts w:cstheme="minorHAnsi"/>
          <w:bCs/>
        </w:rPr>
        <w:t>Preparation of COP15</w:t>
      </w:r>
      <w:r>
        <w:rPr>
          <w:rFonts w:cstheme="minorHAnsi"/>
          <w:bCs/>
        </w:rPr>
        <w:t xml:space="preserve">: </w:t>
      </w:r>
      <w:r w:rsidRPr="00631E71">
        <w:rPr>
          <w:rFonts w:cstheme="minorHAnsi"/>
          <w:bCs/>
        </w:rPr>
        <w:t>Proposal of the Secretariat on the Ramsar Wetland</w:t>
      </w:r>
      <w:r>
        <w:rPr>
          <w:rFonts w:cstheme="minorHAnsi"/>
          <w:bCs/>
        </w:rPr>
        <w:t xml:space="preserve"> </w:t>
      </w:r>
      <w:r w:rsidRPr="00631E71">
        <w:rPr>
          <w:rFonts w:cstheme="minorHAnsi"/>
          <w:bCs/>
        </w:rPr>
        <w:t>Conservation Awards</w:t>
      </w:r>
    </w:p>
    <w:p w14:paraId="1A33BFD7" w14:textId="77777777" w:rsidR="005A4CA5" w:rsidRDefault="005A4CA5" w:rsidP="0045114E">
      <w:pPr>
        <w:keepNext/>
        <w:spacing w:after="0" w:line="240" w:lineRule="auto"/>
        <w:ind w:left="567" w:hanging="567"/>
      </w:pPr>
    </w:p>
    <w:p w14:paraId="5F82AB86" w14:textId="47FC57E4" w:rsidR="005A4CA5" w:rsidRDefault="005A4CA5" w:rsidP="0045114E">
      <w:pPr>
        <w:spacing w:after="0" w:line="240" w:lineRule="auto"/>
        <w:rPr>
          <w:rFonts w:cstheme="minorHAnsi"/>
          <w:b/>
        </w:rPr>
      </w:pPr>
      <w:r w:rsidRPr="00F579FB">
        <w:rPr>
          <w:rFonts w:cstheme="minorHAnsi"/>
          <w:b/>
        </w:rPr>
        <w:t>Decision</w:t>
      </w:r>
      <w:r w:rsidRPr="00536E42">
        <w:rPr>
          <w:rFonts w:cstheme="minorHAnsi"/>
          <w:b/>
        </w:rPr>
        <w:t xml:space="preserve"> </w:t>
      </w:r>
      <w:r w:rsidRPr="00C72980">
        <w:rPr>
          <w:rFonts w:cstheme="minorHAnsi"/>
          <w:b/>
        </w:rPr>
        <w:t>SC63-</w:t>
      </w:r>
      <w:r>
        <w:rPr>
          <w:rFonts w:cstheme="minorHAnsi"/>
          <w:b/>
        </w:rPr>
        <w:t>14: T</w:t>
      </w:r>
      <w:r w:rsidRPr="00F579FB">
        <w:rPr>
          <w:rFonts w:cstheme="minorHAnsi"/>
          <w:b/>
        </w:rPr>
        <w:t>he Standing Committee note</w:t>
      </w:r>
      <w:r>
        <w:rPr>
          <w:rFonts w:cstheme="minorHAnsi"/>
          <w:b/>
        </w:rPr>
        <w:t>d</w:t>
      </w:r>
      <w:r w:rsidRPr="00F579FB">
        <w:rPr>
          <w:rFonts w:cstheme="minorHAnsi"/>
          <w:b/>
        </w:rPr>
        <w:t xml:space="preserve"> the estimated budget, funding requirements and timeline for the Award nomination process and decide</w:t>
      </w:r>
      <w:r>
        <w:rPr>
          <w:rFonts w:cstheme="minorHAnsi"/>
          <w:b/>
        </w:rPr>
        <w:t>d</w:t>
      </w:r>
      <w:r w:rsidRPr="00F579FB">
        <w:rPr>
          <w:rFonts w:cstheme="minorHAnsi"/>
          <w:b/>
        </w:rPr>
        <w:t xml:space="preserve"> that awards will be presented in the following categories: </w:t>
      </w:r>
      <w:r w:rsidR="007A74CE">
        <w:rPr>
          <w:rFonts w:cstheme="minorHAnsi"/>
          <w:b/>
        </w:rPr>
        <w:t>t</w:t>
      </w:r>
      <w:r>
        <w:rPr>
          <w:rFonts w:cstheme="minorHAnsi"/>
          <w:b/>
        </w:rPr>
        <w:t xml:space="preserve">he </w:t>
      </w:r>
      <w:r w:rsidRPr="00F579FB">
        <w:rPr>
          <w:rFonts w:cstheme="minorHAnsi"/>
          <w:b/>
        </w:rPr>
        <w:t>Ramsar Wetland</w:t>
      </w:r>
      <w:r>
        <w:rPr>
          <w:rFonts w:cstheme="minorHAnsi"/>
          <w:b/>
        </w:rPr>
        <w:t xml:space="preserve"> Conservation</w:t>
      </w:r>
      <w:r w:rsidRPr="00F579FB">
        <w:rPr>
          <w:rFonts w:cstheme="minorHAnsi"/>
          <w:b/>
        </w:rPr>
        <w:t xml:space="preserve"> Award for Young Wetland Champions, </w:t>
      </w:r>
      <w:r>
        <w:rPr>
          <w:rFonts w:cstheme="minorHAnsi"/>
          <w:b/>
        </w:rPr>
        <w:t xml:space="preserve">the </w:t>
      </w:r>
      <w:r w:rsidRPr="00F579FB">
        <w:rPr>
          <w:rFonts w:cstheme="minorHAnsi"/>
          <w:b/>
        </w:rPr>
        <w:t>Ramsar Wetland</w:t>
      </w:r>
      <w:r>
        <w:rPr>
          <w:rFonts w:cstheme="minorHAnsi"/>
          <w:b/>
        </w:rPr>
        <w:t xml:space="preserve"> Conservation</w:t>
      </w:r>
      <w:r w:rsidRPr="00F579FB">
        <w:rPr>
          <w:rFonts w:cstheme="minorHAnsi"/>
          <w:b/>
        </w:rPr>
        <w:t xml:space="preserve"> Award for Innovation, and </w:t>
      </w:r>
      <w:r>
        <w:rPr>
          <w:rFonts w:cstheme="minorHAnsi"/>
          <w:b/>
        </w:rPr>
        <w:t>t</w:t>
      </w:r>
      <w:r w:rsidRPr="001E0859">
        <w:rPr>
          <w:rFonts w:cstheme="minorHAnsi"/>
          <w:b/>
        </w:rPr>
        <w:t>he Ramsar Wetland</w:t>
      </w:r>
      <w:r>
        <w:rPr>
          <w:rFonts w:cstheme="minorHAnsi"/>
          <w:b/>
        </w:rPr>
        <w:t xml:space="preserve"> </w:t>
      </w:r>
      <w:r w:rsidRPr="00F579FB">
        <w:rPr>
          <w:rFonts w:cstheme="minorHAnsi"/>
          <w:b/>
        </w:rPr>
        <w:t>Indigenous Peoples Conservation and Wise Use Award</w:t>
      </w:r>
      <w:r>
        <w:rPr>
          <w:rFonts w:cstheme="minorHAnsi"/>
          <w:b/>
        </w:rPr>
        <w:t>.</w:t>
      </w:r>
    </w:p>
    <w:p w14:paraId="36C48E6F" w14:textId="77777777" w:rsidR="000A6390" w:rsidRDefault="000A6390" w:rsidP="0045114E">
      <w:pPr>
        <w:spacing w:after="0" w:line="240" w:lineRule="auto"/>
        <w:rPr>
          <w:rFonts w:cstheme="minorHAnsi"/>
          <w:b/>
        </w:rPr>
      </w:pPr>
    </w:p>
    <w:p w14:paraId="63FA9C38"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pPr>
      <w:r w:rsidRPr="00294A7E">
        <w:rPr>
          <w:rFonts w:cstheme="minorHAnsi"/>
          <w:bCs/>
        </w:rPr>
        <w:lastRenderedPageBreak/>
        <w:t xml:space="preserve">Agenda item </w:t>
      </w:r>
      <w:r>
        <w:rPr>
          <w:rFonts w:cstheme="minorHAnsi"/>
          <w:bCs/>
        </w:rPr>
        <w:t>13.1</w:t>
      </w:r>
      <w:r w:rsidRPr="00294A7E">
        <w:rPr>
          <w:rFonts w:cstheme="minorHAnsi"/>
          <w:bCs/>
        </w:rPr>
        <w:t xml:space="preserve">: </w:t>
      </w:r>
      <w:r w:rsidRPr="004D64A2">
        <w:rPr>
          <w:rFonts w:cstheme="minorHAnsi"/>
          <w:bCs/>
        </w:rPr>
        <w:t>Report of the Secretariat on implementation of Resolution XIV.3: Strategy for communication with Contracting Parties (Resolution XIV.3 paragraph 11)</w:t>
      </w:r>
    </w:p>
    <w:p w14:paraId="20480409" w14:textId="77777777" w:rsidR="005A4CA5" w:rsidRDefault="005A4CA5" w:rsidP="0045114E">
      <w:pPr>
        <w:keepNext/>
        <w:spacing w:after="0" w:line="240" w:lineRule="auto"/>
        <w:ind w:left="567" w:hanging="567"/>
        <w:rPr>
          <w:rFonts w:eastAsia="Calibri" w:cstheme="minorHAnsi"/>
          <w:bCs/>
        </w:rPr>
      </w:pPr>
    </w:p>
    <w:p w14:paraId="77BAEEBB" w14:textId="77777777" w:rsidR="005A4CA5" w:rsidRDefault="005A4CA5" w:rsidP="0045114E">
      <w:pPr>
        <w:spacing w:after="0" w:line="240" w:lineRule="auto"/>
        <w:rPr>
          <w:b/>
        </w:rPr>
      </w:pPr>
      <w:r w:rsidRPr="00F579FB">
        <w:rPr>
          <w:rFonts w:cstheme="minorHAnsi"/>
          <w:b/>
        </w:rPr>
        <w:t>Decision</w:t>
      </w:r>
      <w:r w:rsidRPr="00536E42">
        <w:rPr>
          <w:rFonts w:cstheme="minorHAnsi"/>
          <w:b/>
        </w:rPr>
        <w:t xml:space="preserve"> </w:t>
      </w:r>
      <w:r w:rsidRPr="00C72980">
        <w:rPr>
          <w:rFonts w:cstheme="minorHAnsi"/>
          <w:b/>
        </w:rPr>
        <w:t>SC63-</w:t>
      </w:r>
      <w:r>
        <w:rPr>
          <w:rFonts w:cstheme="minorHAnsi"/>
          <w:b/>
        </w:rPr>
        <w:t>15:</w:t>
      </w:r>
      <w:r w:rsidRPr="004D64A2">
        <w:rPr>
          <w:b/>
        </w:rPr>
        <w:t xml:space="preserve"> </w:t>
      </w:r>
      <w:r>
        <w:rPr>
          <w:b/>
        </w:rPr>
        <w:t>T</w:t>
      </w:r>
      <w:r w:rsidRPr="00785555">
        <w:rPr>
          <w:b/>
        </w:rPr>
        <w:t>he Standing Committee endorse</w:t>
      </w:r>
      <w:r>
        <w:rPr>
          <w:b/>
        </w:rPr>
        <w:t>d</w:t>
      </w:r>
      <w:r w:rsidRPr="00785555">
        <w:rPr>
          <w:b/>
        </w:rPr>
        <w:t xml:space="preserve"> the proposed plan </w:t>
      </w:r>
      <w:r>
        <w:rPr>
          <w:b/>
        </w:rPr>
        <w:t xml:space="preserve">in SC63 Doc.13.1 </w:t>
      </w:r>
      <w:r w:rsidRPr="00785555">
        <w:rPr>
          <w:b/>
        </w:rPr>
        <w:t>for communication with Contracting Parties and note</w:t>
      </w:r>
      <w:r>
        <w:rPr>
          <w:b/>
        </w:rPr>
        <w:t>d</w:t>
      </w:r>
      <w:r w:rsidRPr="00785555">
        <w:rPr>
          <w:b/>
        </w:rPr>
        <w:t xml:space="preserve"> that the Secretariat will apply the United Nations guidelines for gender-inclusive language in its communications.</w:t>
      </w:r>
    </w:p>
    <w:p w14:paraId="5965643C" w14:textId="77777777" w:rsidR="005A4CA5" w:rsidRDefault="005A4CA5" w:rsidP="0045114E">
      <w:pPr>
        <w:spacing w:after="0" w:line="240" w:lineRule="auto"/>
        <w:rPr>
          <w:b/>
        </w:rPr>
      </w:pPr>
    </w:p>
    <w:p w14:paraId="21C325A5"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pPr>
      <w:r>
        <w:rPr>
          <w:rFonts w:cstheme="minorHAnsi"/>
          <w:bCs/>
        </w:rPr>
        <w:t>A</w:t>
      </w:r>
      <w:r w:rsidRPr="00294A7E">
        <w:rPr>
          <w:rFonts w:cstheme="minorHAnsi"/>
          <w:bCs/>
        </w:rPr>
        <w:t xml:space="preserve">genda item </w:t>
      </w:r>
      <w:r>
        <w:rPr>
          <w:rFonts w:cstheme="minorHAnsi"/>
          <w:bCs/>
        </w:rPr>
        <w:t>13.2</w:t>
      </w:r>
      <w:r w:rsidRPr="00294A7E">
        <w:rPr>
          <w:rFonts w:cstheme="minorHAnsi"/>
          <w:bCs/>
        </w:rPr>
        <w:t xml:space="preserve">: </w:t>
      </w:r>
      <w:r w:rsidRPr="004D64A2">
        <w:rPr>
          <w:rFonts w:cstheme="minorHAnsi"/>
          <w:bCs/>
        </w:rPr>
        <w:t>Report of the Secretariat on implementation of Resolution XIV.3: Enhancing intersessional collaboration between Contracting Parties (follow-up to Standing Committee Decision SC62-18)</w:t>
      </w:r>
    </w:p>
    <w:p w14:paraId="5687E83B" w14:textId="77777777" w:rsidR="005A4CA5" w:rsidRDefault="005A4CA5" w:rsidP="0045114E">
      <w:pPr>
        <w:keepNext/>
        <w:spacing w:after="0" w:line="240" w:lineRule="auto"/>
        <w:ind w:left="567" w:hanging="567"/>
        <w:rPr>
          <w:rFonts w:eastAsia="Calibri" w:cstheme="minorHAnsi"/>
          <w:bCs/>
        </w:rPr>
      </w:pPr>
    </w:p>
    <w:p w14:paraId="66809660" w14:textId="77777777" w:rsidR="005A4CA5" w:rsidRDefault="005A4CA5" w:rsidP="0045114E">
      <w:pPr>
        <w:spacing w:after="0" w:line="240" w:lineRule="auto"/>
        <w:rPr>
          <w:rFonts w:eastAsia="Calibri" w:cstheme="minorHAnsi"/>
          <w:bCs/>
        </w:rPr>
      </w:pPr>
      <w:r w:rsidRPr="00F579FB">
        <w:rPr>
          <w:rFonts w:cstheme="minorHAnsi"/>
          <w:b/>
        </w:rPr>
        <w:t>Decision</w:t>
      </w:r>
      <w:r w:rsidRPr="00536E42">
        <w:rPr>
          <w:rFonts w:cstheme="minorHAnsi"/>
          <w:b/>
        </w:rPr>
        <w:t xml:space="preserve"> </w:t>
      </w:r>
      <w:r w:rsidRPr="00C72980">
        <w:rPr>
          <w:rFonts w:cstheme="minorHAnsi"/>
          <w:b/>
        </w:rPr>
        <w:t>SC63-</w:t>
      </w:r>
      <w:r>
        <w:rPr>
          <w:rFonts w:cstheme="minorHAnsi"/>
          <w:b/>
        </w:rPr>
        <w:t>16:</w:t>
      </w:r>
      <w:r w:rsidRPr="004D64A2">
        <w:rPr>
          <w:b/>
        </w:rPr>
        <w:t xml:space="preserve"> </w:t>
      </w:r>
      <w:r>
        <w:rPr>
          <w:b/>
        </w:rPr>
        <w:t>T</w:t>
      </w:r>
      <w:r w:rsidRPr="00785555">
        <w:rPr>
          <w:b/>
        </w:rPr>
        <w:t>he</w:t>
      </w:r>
      <w:r w:rsidRPr="004D64A2">
        <w:rPr>
          <w:b/>
        </w:rPr>
        <w:t xml:space="preserve"> Standing Committee endorsed the tools and approach </w:t>
      </w:r>
      <w:r>
        <w:rPr>
          <w:b/>
        </w:rPr>
        <w:t xml:space="preserve">proposed </w:t>
      </w:r>
      <w:r w:rsidRPr="00213AC1">
        <w:rPr>
          <w:b/>
        </w:rPr>
        <w:t>in SC63 Doc.13.2 Rev.1 for enhancing intersessional collaboration between Contracting Parties.</w:t>
      </w:r>
    </w:p>
    <w:p w14:paraId="66372A84" w14:textId="77777777" w:rsidR="00205B98" w:rsidRDefault="00205B98" w:rsidP="0045114E">
      <w:pPr>
        <w:spacing w:after="0" w:line="240" w:lineRule="auto"/>
        <w:ind w:left="567" w:hanging="567"/>
        <w:rPr>
          <w:rFonts w:cstheme="minorHAnsi"/>
          <w:b/>
        </w:rPr>
      </w:pPr>
    </w:p>
    <w:p w14:paraId="6B413D6E"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8:</w:t>
      </w:r>
      <w:r w:rsidRPr="002E7A0A">
        <w:rPr>
          <w:rFonts w:cstheme="minorHAnsi"/>
          <w:bCs/>
        </w:rPr>
        <w:t xml:space="preserve"> </w:t>
      </w:r>
      <w:r w:rsidRPr="0035238C">
        <w:rPr>
          <w:rFonts w:cstheme="minorHAnsi"/>
          <w:bCs/>
        </w:rPr>
        <w:t xml:space="preserve">Report of the Secretariat on the implementation of the Decisions of the Standing Committee  </w:t>
      </w:r>
    </w:p>
    <w:p w14:paraId="40DE9847" w14:textId="77777777" w:rsidR="005A4CA5" w:rsidRPr="00294A7E" w:rsidRDefault="005A4CA5" w:rsidP="0045114E">
      <w:pPr>
        <w:spacing w:after="0" w:line="240" w:lineRule="auto"/>
        <w:ind w:left="567" w:hanging="567"/>
        <w:rPr>
          <w:rFonts w:cstheme="minorHAnsi"/>
        </w:rPr>
      </w:pPr>
    </w:p>
    <w:p w14:paraId="5C2DCC6F" w14:textId="77777777" w:rsidR="005A4CA5" w:rsidRDefault="005A4CA5" w:rsidP="0045114E">
      <w:pPr>
        <w:spacing w:after="0" w:line="240" w:lineRule="auto"/>
        <w:rPr>
          <w:rFonts w:cstheme="minorHAnsi"/>
          <w:b/>
        </w:rPr>
      </w:pPr>
      <w:bookmarkStart w:id="1" w:name="_Hlk168473348"/>
      <w:r w:rsidRPr="005C1743">
        <w:rPr>
          <w:rFonts w:cstheme="minorHAnsi"/>
          <w:b/>
        </w:rPr>
        <w:t xml:space="preserve">Decision SC63-17: The Standing Committee </w:t>
      </w:r>
      <w:r w:rsidRPr="00627E61">
        <w:rPr>
          <w:rFonts w:cstheme="minorHAnsi"/>
          <w:b/>
        </w:rPr>
        <w:t>t</w:t>
      </w:r>
      <w:r>
        <w:rPr>
          <w:rFonts w:cstheme="minorHAnsi"/>
          <w:b/>
        </w:rPr>
        <w:t>ook</w:t>
      </w:r>
      <w:r w:rsidRPr="005C1743">
        <w:rPr>
          <w:rFonts w:cstheme="minorHAnsi"/>
          <w:b/>
        </w:rPr>
        <w:t xml:space="preserve"> note of the report prepared by the Secretariat and </w:t>
      </w:r>
      <w:r w:rsidRPr="00627E61">
        <w:rPr>
          <w:rFonts w:cstheme="minorHAnsi"/>
          <w:b/>
        </w:rPr>
        <w:t>confirmed</w:t>
      </w:r>
      <w:r w:rsidRPr="005C1743">
        <w:rPr>
          <w:rFonts w:cstheme="minorHAnsi"/>
          <w:b/>
        </w:rPr>
        <w:t xml:space="preserve"> that the two lists of Decisions from SC24 to SC62 found at </w:t>
      </w:r>
      <w:hyperlink r:id="rId11" w:history="1">
        <w:r w:rsidRPr="000270C0">
          <w:rPr>
            <w:rStyle w:val="Hyperlink"/>
            <w:rFonts w:cstheme="minorHAnsi"/>
            <w:b/>
          </w:rPr>
          <w:t>https://www.ramsar.org/document/list-standing-committee-decisions-which-have-been-implemented-are-no-longer-effect</w:t>
        </w:r>
      </w:hyperlink>
      <w:r>
        <w:rPr>
          <w:rFonts w:cstheme="minorHAnsi"/>
          <w:b/>
        </w:rPr>
        <w:t xml:space="preserve"> </w:t>
      </w:r>
      <w:r w:rsidRPr="005C1743">
        <w:rPr>
          <w:rFonts w:cstheme="minorHAnsi"/>
          <w:b/>
        </w:rPr>
        <w:t>and at Annex 1 of document SC63 Doc.8 fulfil the first and second steps of the process approved in Decision SC62-21</w:t>
      </w:r>
      <w:r>
        <w:rPr>
          <w:rFonts w:cstheme="minorHAnsi"/>
          <w:b/>
        </w:rPr>
        <w:t>.</w:t>
      </w:r>
    </w:p>
    <w:p w14:paraId="6408A8B8" w14:textId="77777777" w:rsidR="005A4CA5" w:rsidRDefault="005A4CA5" w:rsidP="0045114E">
      <w:pPr>
        <w:spacing w:after="0" w:line="240" w:lineRule="auto"/>
        <w:rPr>
          <w:rFonts w:cstheme="minorHAnsi"/>
          <w:b/>
        </w:rPr>
      </w:pPr>
    </w:p>
    <w:p w14:paraId="3B3D9859" w14:textId="77777777" w:rsidR="005A4CA5" w:rsidRPr="005C1743" w:rsidRDefault="005A4CA5" w:rsidP="0045114E">
      <w:pPr>
        <w:spacing w:after="0" w:line="240" w:lineRule="auto"/>
        <w:rPr>
          <w:rFonts w:cstheme="minorHAnsi"/>
          <w:b/>
        </w:rPr>
      </w:pPr>
      <w:r w:rsidRPr="005C1743">
        <w:rPr>
          <w:rFonts w:cstheme="minorHAnsi"/>
          <w:b/>
        </w:rPr>
        <w:t>Decision SC63-1</w:t>
      </w:r>
      <w:r>
        <w:rPr>
          <w:rFonts w:cstheme="minorHAnsi"/>
          <w:b/>
        </w:rPr>
        <w:t>8</w:t>
      </w:r>
      <w:r w:rsidRPr="005C1743">
        <w:rPr>
          <w:rFonts w:cstheme="minorHAnsi"/>
          <w:b/>
        </w:rPr>
        <w:t xml:space="preserve">: The Standing Committee </w:t>
      </w:r>
      <w:r w:rsidRPr="00627E61">
        <w:rPr>
          <w:rFonts w:cstheme="minorHAnsi"/>
          <w:b/>
        </w:rPr>
        <w:t>decide</w:t>
      </w:r>
      <w:r>
        <w:rPr>
          <w:rFonts w:cstheme="minorHAnsi"/>
          <w:b/>
        </w:rPr>
        <w:t>d</w:t>
      </w:r>
      <w:r w:rsidRPr="00627E61">
        <w:rPr>
          <w:rFonts w:cstheme="minorHAnsi"/>
          <w:b/>
        </w:rPr>
        <w:t xml:space="preserve"> that</w:t>
      </w:r>
      <w:r w:rsidRPr="005C1743">
        <w:rPr>
          <w:rFonts w:cstheme="minorHAnsi"/>
          <w:b/>
        </w:rPr>
        <w:t xml:space="preserve"> the Decisions identified as “outstanding” will be presented at fut</w:t>
      </w:r>
      <w:r w:rsidRPr="00CD7394">
        <w:rPr>
          <w:rFonts w:cstheme="minorHAnsi"/>
          <w:b/>
        </w:rPr>
        <w:t>ure meetings of the Standing Committee</w:t>
      </w:r>
      <w:r>
        <w:rPr>
          <w:rFonts w:cstheme="minorHAnsi"/>
          <w:b/>
        </w:rPr>
        <w:t>,</w:t>
      </w:r>
      <w:r w:rsidRPr="00CD7394">
        <w:rPr>
          <w:rFonts w:cstheme="minorHAnsi"/>
          <w:b/>
        </w:rPr>
        <w:t xml:space="preserve"> as described in paragraph 4 </w:t>
      </w:r>
      <w:r w:rsidRPr="00CD7394">
        <w:rPr>
          <w:b/>
        </w:rPr>
        <w:t>of document SC63 Doc.8</w:t>
      </w:r>
      <w:r>
        <w:rPr>
          <w:b/>
        </w:rPr>
        <w:t>,</w:t>
      </w:r>
      <w:r w:rsidRPr="00CD7394">
        <w:rPr>
          <w:b/>
        </w:rPr>
        <w:t xml:space="preserve"> </w:t>
      </w:r>
      <w:r w:rsidRPr="00CD7394">
        <w:rPr>
          <w:rFonts w:cstheme="minorHAnsi"/>
          <w:b/>
        </w:rPr>
        <w:t>and</w:t>
      </w:r>
      <w:r w:rsidRPr="005C1743">
        <w:rPr>
          <w:rFonts w:cstheme="minorHAnsi"/>
          <w:b/>
        </w:rPr>
        <w:t xml:space="preserve"> that Decisions identified as “implemented” will not be presented at future Standing Committee meetings. </w:t>
      </w:r>
      <w:r>
        <w:rPr>
          <w:rFonts w:cstheme="minorHAnsi"/>
          <w:b/>
        </w:rPr>
        <w:t>T</w:t>
      </w:r>
      <w:r w:rsidRPr="005C1743">
        <w:rPr>
          <w:rFonts w:cstheme="minorHAnsi"/>
          <w:b/>
        </w:rPr>
        <w:t xml:space="preserve">he Standing Committee </w:t>
      </w:r>
      <w:r w:rsidRPr="00627E61">
        <w:rPr>
          <w:rFonts w:cstheme="minorHAnsi"/>
          <w:b/>
        </w:rPr>
        <w:t>recommend</w:t>
      </w:r>
      <w:r>
        <w:rPr>
          <w:rFonts w:cstheme="minorHAnsi"/>
          <w:b/>
        </w:rPr>
        <w:t>ed</w:t>
      </w:r>
      <w:r w:rsidRPr="005C1743">
        <w:rPr>
          <w:rFonts w:cstheme="minorHAnsi"/>
          <w:b/>
        </w:rPr>
        <w:t xml:space="preserve"> that, where appropriate, “outstanding” Decisions be incorporated into future Resolutions such that they can then be considered “implemented” and removed from the list of “outstanding” Decisions.</w:t>
      </w:r>
    </w:p>
    <w:bookmarkEnd w:id="1"/>
    <w:p w14:paraId="450A71B0" w14:textId="77777777" w:rsidR="005A4CA5" w:rsidRPr="00294A7E" w:rsidRDefault="005A4CA5" w:rsidP="0045114E">
      <w:pPr>
        <w:spacing w:after="0" w:line="240" w:lineRule="auto"/>
        <w:rPr>
          <w:rFonts w:cstheme="minorHAnsi"/>
        </w:rPr>
      </w:pPr>
    </w:p>
    <w:p w14:paraId="21B77D01"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25: </w:t>
      </w:r>
      <w:r w:rsidRPr="00C9057E">
        <w:rPr>
          <w:rFonts w:cstheme="minorHAnsi"/>
          <w:bCs/>
        </w:rPr>
        <w:t>Report of the Secretariat on the Ramsar Regional Initiatives</w:t>
      </w:r>
    </w:p>
    <w:p w14:paraId="0FC3AF8C" w14:textId="77777777" w:rsidR="005A4CA5" w:rsidRDefault="005A4CA5" w:rsidP="0045114E">
      <w:pPr>
        <w:spacing w:after="0" w:line="240" w:lineRule="auto"/>
        <w:ind w:left="562" w:hanging="562"/>
      </w:pPr>
    </w:p>
    <w:p w14:paraId="61324ED2" w14:textId="77777777" w:rsidR="005A4CA5" w:rsidRDefault="005A4CA5" w:rsidP="0045114E">
      <w:pPr>
        <w:keepNext/>
        <w:spacing w:after="0" w:line="240" w:lineRule="auto"/>
        <w:ind w:left="561" w:hanging="561"/>
        <w:rPr>
          <w:rFonts w:cstheme="minorHAnsi"/>
          <w:b/>
        </w:rPr>
      </w:pPr>
      <w:r w:rsidRPr="00C9057E">
        <w:rPr>
          <w:rFonts w:cstheme="minorHAnsi"/>
          <w:b/>
        </w:rPr>
        <w:t>Decision SC63-1</w:t>
      </w:r>
      <w:r>
        <w:rPr>
          <w:rFonts w:cstheme="minorHAnsi"/>
          <w:b/>
        </w:rPr>
        <w:t>9</w:t>
      </w:r>
      <w:r w:rsidRPr="00C9057E">
        <w:rPr>
          <w:rFonts w:cstheme="minorHAnsi"/>
          <w:b/>
        </w:rPr>
        <w:t>:</w:t>
      </w:r>
      <w:r w:rsidRPr="005C1743">
        <w:rPr>
          <w:rFonts w:cstheme="minorHAnsi"/>
          <w:b/>
        </w:rPr>
        <w:t xml:space="preserve"> The Standing Committee</w:t>
      </w:r>
      <w:r>
        <w:rPr>
          <w:rFonts w:cstheme="minorHAnsi"/>
          <w:b/>
        </w:rPr>
        <w:t>:</w:t>
      </w:r>
    </w:p>
    <w:p w14:paraId="6206BAA2" w14:textId="77777777" w:rsidR="005A4CA5" w:rsidRPr="00C9057E" w:rsidRDefault="005A4CA5" w:rsidP="0045114E">
      <w:pPr>
        <w:spacing w:after="0" w:line="240" w:lineRule="auto"/>
        <w:ind w:left="562" w:hanging="562"/>
        <w:rPr>
          <w:b/>
          <w:bCs/>
        </w:rPr>
      </w:pPr>
      <w:r w:rsidRPr="00C9057E">
        <w:rPr>
          <w:b/>
          <w:bCs/>
        </w:rPr>
        <w:t>a.</w:t>
      </w:r>
      <w:r w:rsidRPr="00C9057E">
        <w:rPr>
          <w:b/>
          <w:bCs/>
        </w:rPr>
        <w:tab/>
        <w:t>took note of the annual reports submitted by the Ramsar Regional Initiatives (RRIs) for 2023 in accordance with Resolution XIV.7 on Ramsar Regional Initiatives;</w:t>
      </w:r>
    </w:p>
    <w:p w14:paraId="3732CBB8" w14:textId="0E0810C0" w:rsidR="005A4CA5" w:rsidRPr="00C9057E" w:rsidRDefault="005A4CA5" w:rsidP="0045114E">
      <w:pPr>
        <w:spacing w:after="0" w:line="240" w:lineRule="auto"/>
        <w:ind w:left="562" w:hanging="562"/>
        <w:rPr>
          <w:b/>
          <w:bCs/>
        </w:rPr>
      </w:pPr>
      <w:r w:rsidRPr="00C9057E">
        <w:rPr>
          <w:b/>
          <w:bCs/>
        </w:rPr>
        <w:t>b.</w:t>
      </w:r>
      <w:r w:rsidRPr="00C9057E">
        <w:rPr>
          <w:b/>
          <w:bCs/>
        </w:rPr>
        <w:tab/>
        <w:t xml:space="preserve">approved the proposal for a new Ramsar Regional Initiative, the Danube </w:t>
      </w:r>
      <w:proofErr w:type="spellStart"/>
      <w:r w:rsidRPr="00C9057E">
        <w:rPr>
          <w:b/>
          <w:bCs/>
        </w:rPr>
        <w:t>WILDisland</w:t>
      </w:r>
      <w:proofErr w:type="spellEnd"/>
      <w:r w:rsidRPr="00C9057E">
        <w:rPr>
          <w:b/>
          <w:bCs/>
        </w:rPr>
        <w:t xml:space="preserve"> initiative, within the framework of the Convention in accordance with </w:t>
      </w:r>
      <w:r w:rsidR="00EC7910">
        <w:rPr>
          <w:b/>
          <w:bCs/>
        </w:rPr>
        <w:t>p</w:t>
      </w:r>
      <w:r w:rsidRPr="00C9057E">
        <w:rPr>
          <w:b/>
          <w:bCs/>
        </w:rPr>
        <w:t>aragraph 27 of Resolution XIV.7</w:t>
      </w:r>
      <w:r>
        <w:rPr>
          <w:b/>
          <w:bCs/>
        </w:rPr>
        <w:t>,</w:t>
      </w:r>
      <w:r w:rsidRPr="00C9057E">
        <w:rPr>
          <w:b/>
          <w:bCs/>
        </w:rPr>
        <w:t xml:space="preserve"> and approved </w:t>
      </w:r>
      <w:r>
        <w:rPr>
          <w:b/>
          <w:bCs/>
        </w:rPr>
        <w:t xml:space="preserve">the allocation of </w:t>
      </w:r>
      <w:r w:rsidRPr="00C9057E">
        <w:rPr>
          <w:b/>
          <w:bCs/>
        </w:rPr>
        <w:t xml:space="preserve">start-up funding to the Danube </w:t>
      </w:r>
      <w:proofErr w:type="spellStart"/>
      <w:r w:rsidRPr="00C9057E">
        <w:rPr>
          <w:b/>
          <w:bCs/>
        </w:rPr>
        <w:t>WILDisland</w:t>
      </w:r>
      <w:proofErr w:type="spellEnd"/>
      <w:r w:rsidRPr="00C9057E">
        <w:rPr>
          <w:b/>
          <w:bCs/>
        </w:rPr>
        <w:t xml:space="preserve"> RRI from the 2024 core budget line D “Support to Regional Initiatives” proposed in document SC63 Doc.9.1 in the amount of CHF 29,000.</w:t>
      </w:r>
    </w:p>
    <w:p w14:paraId="32BE16C7" w14:textId="77777777" w:rsidR="005A4CA5" w:rsidRDefault="005A4CA5" w:rsidP="0045114E">
      <w:pPr>
        <w:spacing w:after="0" w:line="240" w:lineRule="auto"/>
        <w:ind w:left="567" w:hanging="567"/>
        <w:rPr>
          <w:rFonts w:eastAsia="Calibri" w:cstheme="minorHAnsi"/>
          <w:bCs/>
        </w:rPr>
      </w:pPr>
    </w:p>
    <w:p w14:paraId="417CAE54"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15: </w:t>
      </w:r>
      <w:r w:rsidRPr="00C9057E">
        <w:rPr>
          <w:rFonts w:cstheme="minorHAnsi"/>
          <w:bCs/>
        </w:rPr>
        <w:t>Enhancing the Convention’s visibility and synergies in partnership with multilateral environmental agreements and other international institutions</w:t>
      </w:r>
    </w:p>
    <w:p w14:paraId="63F31857" w14:textId="77777777" w:rsidR="005A4CA5" w:rsidRDefault="005A4CA5" w:rsidP="0045114E">
      <w:pPr>
        <w:spacing w:after="0" w:line="240" w:lineRule="auto"/>
        <w:ind w:left="567" w:hanging="567"/>
        <w:rPr>
          <w:rFonts w:eastAsia="Calibri" w:cstheme="minorHAnsi"/>
          <w:bCs/>
        </w:rPr>
      </w:pPr>
    </w:p>
    <w:p w14:paraId="7FF9A5A2" w14:textId="77777777" w:rsidR="005A4CA5" w:rsidRPr="00CD4024" w:rsidRDefault="005A4CA5" w:rsidP="0045114E">
      <w:pPr>
        <w:spacing w:after="0" w:line="240" w:lineRule="auto"/>
        <w:rPr>
          <w:rFonts w:cstheme="minorHAnsi"/>
          <w:b/>
        </w:rPr>
      </w:pPr>
      <w:r w:rsidRPr="00B2690B">
        <w:rPr>
          <w:rFonts w:cstheme="minorHAnsi"/>
          <w:b/>
        </w:rPr>
        <w:t xml:space="preserve">Decision </w:t>
      </w:r>
      <w:r w:rsidRPr="00C9057E">
        <w:rPr>
          <w:rFonts w:cstheme="minorHAnsi"/>
          <w:b/>
        </w:rPr>
        <w:t>SC63-</w:t>
      </w:r>
      <w:r>
        <w:rPr>
          <w:rFonts w:cstheme="minorHAnsi"/>
          <w:b/>
        </w:rPr>
        <w:t xml:space="preserve">20: </w:t>
      </w:r>
      <w:r w:rsidRPr="005C1743">
        <w:rPr>
          <w:rFonts w:cstheme="minorHAnsi"/>
          <w:b/>
        </w:rPr>
        <w:t>The Standing Committee</w:t>
      </w:r>
      <w:r w:rsidRPr="00C9057E">
        <w:t xml:space="preserve"> </w:t>
      </w:r>
      <w:r>
        <w:rPr>
          <w:rFonts w:cstheme="minorHAnsi"/>
          <w:b/>
        </w:rPr>
        <w:t>took note of</w:t>
      </w:r>
      <w:r w:rsidRPr="00C9057E">
        <w:rPr>
          <w:rFonts w:cstheme="minorHAnsi"/>
          <w:b/>
        </w:rPr>
        <w:t xml:space="preserve"> the progress in implementing Resolution XIV.6</w:t>
      </w:r>
      <w:r>
        <w:rPr>
          <w:rFonts w:cstheme="minorHAnsi"/>
          <w:b/>
        </w:rPr>
        <w:t xml:space="preserve"> </w:t>
      </w:r>
      <w:r w:rsidRPr="00C9057E">
        <w:rPr>
          <w:rFonts w:cstheme="minorHAnsi"/>
          <w:b/>
        </w:rPr>
        <w:t xml:space="preserve">on </w:t>
      </w:r>
      <w:r w:rsidRPr="0076430E">
        <w:rPr>
          <w:b/>
          <w:i/>
        </w:rPr>
        <w:t>Enhancing the Convention´s visibility and synergies with other multilateral environmental agreements and other international institutions</w:t>
      </w:r>
      <w:r w:rsidRPr="00C9057E">
        <w:rPr>
          <w:rFonts w:cstheme="minorHAnsi"/>
          <w:b/>
        </w:rPr>
        <w:t>.</w:t>
      </w:r>
    </w:p>
    <w:p w14:paraId="27542480" w14:textId="77777777" w:rsidR="005A4CA5" w:rsidRDefault="005A4CA5" w:rsidP="0045114E">
      <w:pPr>
        <w:spacing w:after="0" w:line="240" w:lineRule="auto"/>
        <w:ind w:left="567" w:hanging="567"/>
        <w:rPr>
          <w:rFonts w:eastAsia="Calibri" w:cstheme="minorHAnsi"/>
          <w:bCs/>
        </w:rPr>
      </w:pPr>
    </w:p>
    <w:p w14:paraId="620904A9" w14:textId="77777777" w:rsidR="005A4CA5" w:rsidRDefault="005A4CA5" w:rsidP="000A6390">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lastRenderedPageBreak/>
        <w:t xml:space="preserve">Agenda item </w:t>
      </w:r>
      <w:r>
        <w:rPr>
          <w:rFonts w:cstheme="minorHAnsi"/>
          <w:bCs/>
        </w:rPr>
        <w:t xml:space="preserve">14: </w:t>
      </w:r>
      <w:r w:rsidRPr="007A5E3A">
        <w:rPr>
          <w:rFonts w:cstheme="minorHAnsi"/>
          <w:bCs/>
        </w:rPr>
        <w:t>Work plan of the Secretariat for 2024</w:t>
      </w:r>
    </w:p>
    <w:p w14:paraId="3C00C13A" w14:textId="77777777" w:rsidR="005A4CA5" w:rsidRDefault="005A4CA5" w:rsidP="000A6390">
      <w:pPr>
        <w:keepNext/>
        <w:spacing w:after="0" w:line="240" w:lineRule="auto"/>
        <w:ind w:left="567" w:hanging="567"/>
        <w:rPr>
          <w:rFonts w:eastAsia="Calibri" w:cstheme="minorHAnsi"/>
          <w:bCs/>
        </w:rPr>
      </w:pPr>
    </w:p>
    <w:p w14:paraId="04019A20" w14:textId="77777777" w:rsidR="005A4CA5" w:rsidRPr="00B2690B" w:rsidRDefault="005A4CA5" w:rsidP="0045114E">
      <w:pPr>
        <w:spacing w:after="0" w:line="240" w:lineRule="auto"/>
        <w:rPr>
          <w:rFonts w:cstheme="minorHAnsi"/>
          <w:b/>
        </w:rPr>
      </w:pPr>
      <w:r w:rsidRPr="00B2690B">
        <w:rPr>
          <w:rFonts w:cstheme="minorHAnsi"/>
          <w:b/>
        </w:rPr>
        <w:t xml:space="preserve">Decision </w:t>
      </w:r>
      <w:r w:rsidRPr="00C9057E">
        <w:rPr>
          <w:rFonts w:cstheme="minorHAnsi"/>
          <w:b/>
        </w:rPr>
        <w:t>SC63-</w:t>
      </w:r>
      <w:r>
        <w:rPr>
          <w:rFonts w:cstheme="minorHAnsi"/>
          <w:b/>
        </w:rPr>
        <w:t>21: T</w:t>
      </w:r>
      <w:r w:rsidRPr="00B2690B">
        <w:rPr>
          <w:rFonts w:cstheme="minorHAnsi"/>
          <w:b/>
        </w:rPr>
        <w:t>he Standing Committee t</w:t>
      </w:r>
      <w:r>
        <w:rPr>
          <w:rFonts w:cstheme="minorHAnsi"/>
          <w:b/>
        </w:rPr>
        <w:t>ook</w:t>
      </w:r>
      <w:r w:rsidRPr="00B2690B">
        <w:rPr>
          <w:rFonts w:cstheme="minorHAnsi"/>
          <w:b/>
        </w:rPr>
        <w:t xml:space="preserve"> note of and approve</w:t>
      </w:r>
      <w:r>
        <w:rPr>
          <w:rFonts w:cstheme="minorHAnsi"/>
          <w:b/>
        </w:rPr>
        <w:t>d</w:t>
      </w:r>
      <w:r w:rsidRPr="00B2690B">
        <w:rPr>
          <w:rFonts w:cstheme="minorHAnsi"/>
          <w:b/>
        </w:rPr>
        <w:t xml:space="preserve"> the Secretariat’s annual work plan</w:t>
      </w:r>
      <w:r>
        <w:rPr>
          <w:rFonts w:cstheme="minorHAnsi"/>
          <w:b/>
        </w:rPr>
        <w:t xml:space="preserve"> </w:t>
      </w:r>
      <w:r w:rsidRPr="00B2690B">
        <w:rPr>
          <w:rFonts w:cstheme="minorHAnsi"/>
          <w:b/>
        </w:rPr>
        <w:t>for 2024.</w:t>
      </w:r>
    </w:p>
    <w:p w14:paraId="1740F87C" w14:textId="77777777" w:rsidR="005A4CA5" w:rsidRDefault="005A4CA5" w:rsidP="0045114E">
      <w:pPr>
        <w:spacing w:after="0" w:line="240" w:lineRule="auto"/>
        <w:rPr>
          <w:rFonts w:cstheme="minorHAnsi"/>
        </w:rPr>
      </w:pPr>
    </w:p>
    <w:p w14:paraId="32897594" w14:textId="44FC6110"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ind w:left="426" w:hanging="426"/>
        <w:outlineLvl w:val="0"/>
        <w:rPr>
          <w:rFonts w:cstheme="minorHAnsi"/>
          <w:bCs/>
        </w:rPr>
      </w:pPr>
      <w:r w:rsidRPr="00294A7E">
        <w:rPr>
          <w:rFonts w:cstheme="minorHAnsi"/>
          <w:bCs/>
        </w:rPr>
        <w:t xml:space="preserve">Agenda item </w:t>
      </w:r>
      <w:r>
        <w:rPr>
          <w:rFonts w:cstheme="minorHAnsi"/>
          <w:bCs/>
        </w:rPr>
        <w:t>16:</w:t>
      </w:r>
      <w:r w:rsidRPr="004718CB">
        <w:t xml:space="preserve"> </w:t>
      </w:r>
      <w:r w:rsidRPr="004718CB">
        <w:rPr>
          <w:rFonts w:cstheme="minorHAnsi"/>
          <w:bCs/>
        </w:rPr>
        <w:t>Review and consolidation of current Resolutions</w:t>
      </w:r>
    </w:p>
    <w:p w14:paraId="5B911704" w14:textId="77777777" w:rsidR="005A4CA5" w:rsidRDefault="005A4CA5" w:rsidP="0045114E">
      <w:pPr>
        <w:spacing w:after="0" w:line="240" w:lineRule="auto"/>
        <w:rPr>
          <w:rFonts w:cstheme="minorHAnsi"/>
        </w:rPr>
      </w:pPr>
    </w:p>
    <w:p w14:paraId="682CED0C" w14:textId="77777777" w:rsidR="005A4CA5" w:rsidRDefault="005A4CA5" w:rsidP="0045114E">
      <w:pPr>
        <w:keepNext/>
        <w:spacing w:after="0" w:line="240" w:lineRule="auto"/>
        <w:rPr>
          <w:rFonts w:cstheme="minorHAnsi"/>
          <w:b/>
        </w:rPr>
      </w:pPr>
      <w:r w:rsidRPr="00E73BF9">
        <w:rPr>
          <w:rFonts w:cstheme="minorHAnsi"/>
          <w:b/>
        </w:rPr>
        <w:t>Decision SC63-22: The Standing Committee</w:t>
      </w:r>
      <w:r>
        <w:rPr>
          <w:rFonts w:cstheme="minorHAnsi"/>
          <w:b/>
        </w:rPr>
        <w:t>:</w:t>
      </w:r>
    </w:p>
    <w:p w14:paraId="1E8EDFCB" w14:textId="5136C9C1" w:rsidR="005A4CA5" w:rsidRPr="00EC7910" w:rsidRDefault="00EC7910" w:rsidP="0045114E">
      <w:pPr>
        <w:keepNext/>
        <w:spacing w:after="0" w:line="240" w:lineRule="auto"/>
        <w:ind w:left="567" w:hanging="567"/>
        <w:rPr>
          <w:rFonts w:cstheme="minorHAnsi"/>
          <w:b/>
        </w:rPr>
      </w:pPr>
      <w:r>
        <w:rPr>
          <w:rFonts w:cstheme="minorHAnsi"/>
          <w:b/>
        </w:rPr>
        <w:t>a.</w:t>
      </w:r>
      <w:r>
        <w:rPr>
          <w:rFonts w:cstheme="minorHAnsi"/>
          <w:b/>
        </w:rPr>
        <w:tab/>
      </w:r>
      <w:r w:rsidR="005A4CA5" w:rsidRPr="00EC7910">
        <w:rPr>
          <w:rFonts w:cstheme="minorHAnsi"/>
          <w:b/>
        </w:rPr>
        <w:t xml:space="preserve">approved the four draft consolidated resolutions found in documents SC63 Doc.16.2, SC63 Doc.16.3, SC63 Doc.16.4 as amended in line with the Committee’s discussion, and SC63 Doc.16.5; </w:t>
      </w:r>
    </w:p>
    <w:p w14:paraId="6A2C40F1" w14:textId="298454F3" w:rsidR="005A4CA5" w:rsidRPr="00EC7910" w:rsidRDefault="00EC7910" w:rsidP="0045114E">
      <w:pPr>
        <w:keepNext/>
        <w:spacing w:after="0" w:line="240" w:lineRule="auto"/>
        <w:ind w:left="567" w:hanging="567"/>
        <w:rPr>
          <w:rFonts w:cstheme="minorHAnsi"/>
          <w:b/>
        </w:rPr>
      </w:pPr>
      <w:r>
        <w:rPr>
          <w:rFonts w:cstheme="minorHAnsi"/>
          <w:b/>
        </w:rPr>
        <w:t>b.</w:t>
      </w:r>
      <w:r>
        <w:rPr>
          <w:rFonts w:cstheme="minorHAnsi"/>
          <w:b/>
        </w:rPr>
        <w:tab/>
      </w:r>
      <w:r w:rsidR="005A4CA5" w:rsidRPr="00EC7910">
        <w:rPr>
          <w:rFonts w:cstheme="minorHAnsi"/>
          <w:b/>
        </w:rPr>
        <w:t>instructed the Secretariat to submit the draft consolidated resolutions in documents SC63 Doc.16.2, SC63 Doc.16.4 as amended, and SC63 Doc.16.5 for consideration and adoption by the Conference of the Parties at its 15th meeting; and</w:t>
      </w:r>
    </w:p>
    <w:p w14:paraId="3EC4415B" w14:textId="688FF1E0" w:rsidR="005A4CA5" w:rsidRPr="00EC7910" w:rsidRDefault="00EC7910" w:rsidP="0045114E">
      <w:pPr>
        <w:keepNext/>
        <w:spacing w:after="0" w:line="240" w:lineRule="auto"/>
        <w:ind w:left="567" w:hanging="567"/>
        <w:rPr>
          <w:rFonts w:cstheme="minorHAnsi"/>
          <w:b/>
        </w:rPr>
      </w:pPr>
      <w:r>
        <w:rPr>
          <w:rFonts w:cstheme="minorHAnsi"/>
          <w:b/>
        </w:rPr>
        <w:t>c.</w:t>
      </w:r>
      <w:r>
        <w:rPr>
          <w:rFonts w:cstheme="minorHAnsi"/>
          <w:b/>
        </w:rPr>
        <w:tab/>
      </w:r>
      <w:r w:rsidR="005A4CA5" w:rsidRPr="00EC7910">
        <w:rPr>
          <w:rFonts w:cstheme="minorHAnsi"/>
          <w:b/>
        </w:rPr>
        <w:t>noted that the views of Contracting Parties are reflected in the report of SC63.</w:t>
      </w:r>
    </w:p>
    <w:p w14:paraId="0A0C17CE" w14:textId="77777777" w:rsidR="005A4CA5" w:rsidRPr="005B4130" w:rsidRDefault="005A4CA5" w:rsidP="0045114E">
      <w:pPr>
        <w:keepNext/>
        <w:spacing w:after="0" w:line="240" w:lineRule="auto"/>
        <w:rPr>
          <w:rFonts w:cstheme="minorHAnsi"/>
          <w:b/>
        </w:rPr>
      </w:pPr>
      <w:r w:rsidRPr="005B4130">
        <w:rPr>
          <w:b/>
        </w:rPr>
        <w:t xml:space="preserve">The Committee’s Decision regarding the </w:t>
      </w:r>
      <w:r>
        <w:rPr>
          <w:b/>
        </w:rPr>
        <w:t xml:space="preserve">draft </w:t>
      </w:r>
      <w:r w:rsidRPr="005B4130">
        <w:rPr>
          <w:b/>
        </w:rPr>
        <w:t>consolidat</w:t>
      </w:r>
      <w:r>
        <w:rPr>
          <w:b/>
        </w:rPr>
        <w:t>ed resolut</w:t>
      </w:r>
      <w:r w:rsidRPr="005B4130">
        <w:rPr>
          <w:b/>
        </w:rPr>
        <w:t>ion in document SC63 Doc.16.3 is included in Decision SC63-24.</w:t>
      </w:r>
    </w:p>
    <w:p w14:paraId="0CF9E1DA" w14:textId="77777777" w:rsidR="005A4CA5" w:rsidRPr="00135706" w:rsidRDefault="005A4CA5" w:rsidP="0045114E">
      <w:pPr>
        <w:spacing w:after="0" w:line="240" w:lineRule="auto"/>
        <w:rPr>
          <w:rFonts w:cstheme="minorHAnsi"/>
        </w:rPr>
      </w:pPr>
    </w:p>
    <w:p w14:paraId="695A1B85"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17.1:</w:t>
      </w:r>
      <w:r w:rsidRPr="002E7A0A">
        <w:rPr>
          <w:rFonts w:cstheme="minorHAnsi"/>
          <w:bCs/>
        </w:rPr>
        <w:t xml:space="preserve"> </w:t>
      </w:r>
      <w:r w:rsidRPr="00240EF1">
        <w:rPr>
          <w:rFonts w:cstheme="minorHAnsi"/>
          <w:bCs/>
        </w:rPr>
        <w:t>Communication, capacity building, education, participation and awareness (CEPA)</w:t>
      </w:r>
      <w:r>
        <w:rPr>
          <w:rFonts w:cstheme="minorHAnsi"/>
          <w:bCs/>
        </w:rPr>
        <w:t xml:space="preserve">: </w:t>
      </w:r>
      <w:r>
        <w:t>Report of the Chair of the CEPA Oversight Panel</w:t>
      </w:r>
    </w:p>
    <w:p w14:paraId="5A546BD0" w14:textId="77777777" w:rsidR="005A4CA5" w:rsidRDefault="005A4CA5" w:rsidP="0045114E">
      <w:pPr>
        <w:spacing w:after="0" w:line="240" w:lineRule="auto"/>
        <w:rPr>
          <w:rFonts w:cstheme="minorHAnsi"/>
        </w:rPr>
      </w:pPr>
    </w:p>
    <w:p w14:paraId="73B8FEC6" w14:textId="77777777" w:rsidR="005A4CA5" w:rsidRPr="005C1743" w:rsidRDefault="005A4CA5" w:rsidP="0045114E">
      <w:pPr>
        <w:spacing w:after="0" w:line="240" w:lineRule="auto"/>
        <w:rPr>
          <w:rFonts w:cstheme="minorHAnsi"/>
          <w:b/>
        </w:rPr>
      </w:pPr>
      <w:r w:rsidRPr="005C1743">
        <w:rPr>
          <w:rFonts w:cstheme="minorHAnsi"/>
          <w:b/>
        </w:rPr>
        <w:t>Decision SC63-</w:t>
      </w:r>
      <w:r>
        <w:rPr>
          <w:rFonts w:cstheme="minorHAnsi"/>
          <w:b/>
        </w:rPr>
        <w:t>23</w:t>
      </w:r>
      <w:r w:rsidRPr="005C1743">
        <w:rPr>
          <w:rFonts w:cstheme="minorHAnsi"/>
          <w:b/>
        </w:rPr>
        <w:t xml:space="preserve">: </w:t>
      </w:r>
      <w:r w:rsidRPr="00483EED">
        <w:rPr>
          <w:rFonts w:cstheme="minorHAnsi"/>
          <w:b/>
        </w:rPr>
        <w:t xml:space="preserve">The Standing Committee took note of the Report of the CEPA Oversight Panel </w:t>
      </w:r>
      <w:r>
        <w:rPr>
          <w:rFonts w:cstheme="minorHAnsi"/>
          <w:b/>
        </w:rPr>
        <w:t xml:space="preserve">contained in document SC63 Doc.17.1 </w:t>
      </w:r>
      <w:r w:rsidRPr="00483EED">
        <w:rPr>
          <w:rFonts w:cstheme="minorHAnsi"/>
          <w:b/>
        </w:rPr>
        <w:t xml:space="preserve">and instructed the Panel to continue discussion on the need and value of a new logo, including budget considerations, in consultation with interested </w:t>
      </w:r>
      <w:r>
        <w:rPr>
          <w:rFonts w:cstheme="minorHAnsi"/>
          <w:b/>
        </w:rPr>
        <w:t>P</w:t>
      </w:r>
      <w:r w:rsidRPr="00483EED">
        <w:rPr>
          <w:rFonts w:cstheme="minorHAnsi"/>
          <w:b/>
        </w:rPr>
        <w:t>arties and the Secretariat</w:t>
      </w:r>
      <w:r>
        <w:rPr>
          <w:rFonts w:cstheme="minorHAnsi"/>
          <w:b/>
        </w:rPr>
        <w:t>,</w:t>
      </w:r>
      <w:r w:rsidRPr="00483EED">
        <w:rPr>
          <w:rFonts w:cstheme="minorHAnsi"/>
          <w:b/>
        </w:rPr>
        <w:t xml:space="preserve"> </w:t>
      </w:r>
      <w:r>
        <w:rPr>
          <w:rFonts w:cstheme="minorHAnsi"/>
          <w:b/>
        </w:rPr>
        <w:t xml:space="preserve">and </w:t>
      </w:r>
      <w:r w:rsidRPr="00C80F0E">
        <w:rPr>
          <w:rFonts w:cstheme="minorHAnsi"/>
          <w:b/>
        </w:rPr>
        <w:t>to report on progress to SC67</w:t>
      </w:r>
      <w:r w:rsidRPr="00483EED">
        <w:rPr>
          <w:rFonts w:cstheme="minorHAnsi"/>
          <w:b/>
        </w:rPr>
        <w:t>.</w:t>
      </w:r>
    </w:p>
    <w:p w14:paraId="1B12E792" w14:textId="77777777" w:rsidR="005A4CA5" w:rsidRPr="00294A7E" w:rsidRDefault="005A4CA5" w:rsidP="0045114E">
      <w:pPr>
        <w:spacing w:after="0" w:line="240" w:lineRule="auto"/>
        <w:rPr>
          <w:rFonts w:cstheme="minorHAnsi"/>
        </w:rPr>
      </w:pPr>
    </w:p>
    <w:p w14:paraId="3F4A8669"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17.2: </w:t>
      </w:r>
      <w:r w:rsidRPr="001B4B75">
        <w:rPr>
          <w:rFonts w:cstheme="minorHAnsi"/>
          <w:bCs/>
        </w:rPr>
        <w:t>CEPA:</w:t>
      </w:r>
      <w:r>
        <w:rPr>
          <w:rFonts w:cstheme="minorHAnsi"/>
          <w:bCs/>
        </w:rPr>
        <w:t xml:space="preserve"> </w:t>
      </w:r>
      <w:r w:rsidRPr="001B4B75">
        <w:rPr>
          <w:rFonts w:cstheme="minorHAnsi"/>
          <w:bCs/>
        </w:rPr>
        <w:t>Report of the Secretariat on the proposed future operations of the CEPA Oversight Panel, in accordance with Resolution XIV.8</w:t>
      </w:r>
    </w:p>
    <w:p w14:paraId="2626069F" w14:textId="77777777" w:rsidR="005A4CA5" w:rsidRDefault="005A4CA5" w:rsidP="0045114E">
      <w:pPr>
        <w:keepNext/>
        <w:spacing w:after="0" w:line="240" w:lineRule="auto"/>
        <w:ind w:left="567" w:hanging="567"/>
      </w:pPr>
    </w:p>
    <w:p w14:paraId="1BD8B83D" w14:textId="77777777" w:rsidR="005A4CA5" w:rsidRDefault="005A4CA5" w:rsidP="0045114E">
      <w:pPr>
        <w:spacing w:after="0" w:line="240" w:lineRule="auto"/>
        <w:rPr>
          <w:rFonts w:cstheme="minorHAnsi"/>
          <w:b/>
        </w:rPr>
      </w:pPr>
      <w:r w:rsidRPr="005C1743">
        <w:rPr>
          <w:rFonts w:cstheme="minorHAnsi"/>
          <w:b/>
        </w:rPr>
        <w:t>Decision SC63-</w:t>
      </w:r>
      <w:r>
        <w:rPr>
          <w:rFonts w:cstheme="minorHAnsi"/>
          <w:b/>
        </w:rPr>
        <w:t>24</w:t>
      </w:r>
      <w:r w:rsidRPr="005C1743">
        <w:rPr>
          <w:rFonts w:cstheme="minorHAnsi"/>
          <w:b/>
        </w:rPr>
        <w:t xml:space="preserve">: </w:t>
      </w:r>
      <w:r w:rsidRPr="00483EED">
        <w:rPr>
          <w:rFonts w:cstheme="minorHAnsi"/>
          <w:b/>
        </w:rPr>
        <w:t>The Standing Committee approved the proposal of the Secretariat on the future operations of the CEPA Oversight Panel, and instructed the Secretariat to prepare a draft resolution for consideration at SC64 and submission to the Conference of the Contracting Parties at COP15, reflecting the consolidation on Recommendations and Resolutions on CEPA submitted in Document SC63 Doc.16.3</w:t>
      </w:r>
      <w:r>
        <w:rPr>
          <w:rFonts w:cstheme="minorHAnsi"/>
          <w:b/>
        </w:rPr>
        <w:t xml:space="preserve"> </w:t>
      </w:r>
      <w:r w:rsidRPr="005B4130">
        <w:rPr>
          <w:rFonts w:cstheme="minorHAnsi"/>
          <w:b/>
        </w:rPr>
        <w:t>and approved through Decision SC63-22</w:t>
      </w:r>
      <w:r w:rsidRPr="001F762A">
        <w:rPr>
          <w:rFonts w:cstheme="minorHAnsi"/>
          <w:b/>
        </w:rPr>
        <w:t>, and the</w:t>
      </w:r>
      <w:r w:rsidRPr="00483EED">
        <w:rPr>
          <w:rFonts w:cstheme="minorHAnsi"/>
          <w:b/>
        </w:rPr>
        <w:t xml:space="preserve"> views of the Standing Committee on the process and timeline for nominating the Panel for the 2025-2028 triennium. The Standing Committee decided that the </w:t>
      </w:r>
      <w:r>
        <w:rPr>
          <w:rFonts w:cstheme="minorHAnsi"/>
          <w:b/>
        </w:rPr>
        <w:t xml:space="preserve">draft </w:t>
      </w:r>
      <w:r w:rsidRPr="00483EED">
        <w:rPr>
          <w:rFonts w:cstheme="minorHAnsi"/>
          <w:b/>
        </w:rPr>
        <w:t>consolidated</w:t>
      </w:r>
      <w:r>
        <w:rPr>
          <w:rFonts w:cstheme="minorHAnsi"/>
          <w:b/>
        </w:rPr>
        <w:t xml:space="preserve"> r</w:t>
      </w:r>
      <w:r w:rsidRPr="00483EED">
        <w:rPr>
          <w:rFonts w:cstheme="minorHAnsi"/>
          <w:b/>
        </w:rPr>
        <w:t>esolution on CEPA presented in Document SC63 Doc.16.3 would not be forwarded to COP15.</w:t>
      </w:r>
    </w:p>
    <w:p w14:paraId="6420B1A8" w14:textId="77777777" w:rsidR="005A4CA5" w:rsidRDefault="005A4CA5" w:rsidP="0045114E">
      <w:pPr>
        <w:spacing w:after="0" w:line="240" w:lineRule="auto"/>
        <w:rPr>
          <w:rFonts w:eastAsia="Calibri" w:cstheme="minorHAnsi"/>
          <w:bCs/>
        </w:rPr>
      </w:pPr>
    </w:p>
    <w:p w14:paraId="554C6E65"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17.3: </w:t>
      </w:r>
      <w:r w:rsidRPr="00976359">
        <w:rPr>
          <w:rFonts w:cstheme="minorHAnsi"/>
          <w:bCs/>
        </w:rPr>
        <w:t>CEPA:</w:t>
      </w:r>
      <w:r>
        <w:rPr>
          <w:rFonts w:cstheme="minorHAnsi"/>
          <w:bCs/>
        </w:rPr>
        <w:t xml:space="preserve"> </w:t>
      </w:r>
      <w:r w:rsidRPr="00976359">
        <w:rPr>
          <w:rFonts w:cstheme="minorHAnsi"/>
          <w:bCs/>
        </w:rPr>
        <w:t>Report of the Secretariat on World Wetlands Day 2024</w:t>
      </w:r>
    </w:p>
    <w:p w14:paraId="5FE5B5B7" w14:textId="77777777" w:rsidR="005A4CA5" w:rsidRDefault="005A4CA5" w:rsidP="0045114E">
      <w:pPr>
        <w:spacing w:after="0" w:line="240" w:lineRule="auto"/>
        <w:ind w:left="567" w:hanging="567"/>
        <w:rPr>
          <w:rFonts w:eastAsia="Calibri" w:cstheme="minorHAnsi"/>
          <w:bCs/>
        </w:rPr>
      </w:pPr>
    </w:p>
    <w:p w14:paraId="0A791CE7" w14:textId="77777777" w:rsidR="005A4CA5" w:rsidRPr="005B21FB" w:rsidRDefault="005A4CA5" w:rsidP="0045114E">
      <w:pPr>
        <w:spacing w:after="0" w:line="240" w:lineRule="auto"/>
        <w:rPr>
          <w:rFonts w:cstheme="minorHAnsi"/>
          <w:b/>
        </w:rPr>
      </w:pPr>
      <w:r w:rsidRPr="005C1743">
        <w:rPr>
          <w:rFonts w:cstheme="minorHAnsi"/>
          <w:b/>
        </w:rPr>
        <w:t>Decision SC63-</w:t>
      </w:r>
      <w:r>
        <w:rPr>
          <w:rFonts w:cstheme="minorHAnsi"/>
          <w:b/>
        </w:rPr>
        <w:t>25: T</w:t>
      </w:r>
      <w:r w:rsidRPr="00146F7B">
        <w:rPr>
          <w:rFonts w:cstheme="minorHAnsi"/>
          <w:b/>
        </w:rPr>
        <w:t>he Standing Committee t</w:t>
      </w:r>
      <w:r>
        <w:rPr>
          <w:rFonts w:cstheme="minorHAnsi"/>
          <w:b/>
        </w:rPr>
        <w:t>ook</w:t>
      </w:r>
      <w:r w:rsidRPr="00146F7B">
        <w:rPr>
          <w:rFonts w:cstheme="minorHAnsi"/>
          <w:b/>
        </w:rPr>
        <w:t xml:space="preserve"> note of the Report of the Secretariat on World Wetlands Day 2024 as presented in document SC63 Doc </w:t>
      </w:r>
      <w:r w:rsidRPr="005B4130">
        <w:rPr>
          <w:rFonts w:cstheme="minorHAnsi"/>
          <w:b/>
        </w:rPr>
        <w:t>17.3 Rev.1.</w:t>
      </w:r>
    </w:p>
    <w:p w14:paraId="63568CAD" w14:textId="77777777" w:rsidR="005A4CA5" w:rsidRDefault="005A4CA5" w:rsidP="0045114E">
      <w:pPr>
        <w:spacing w:after="0" w:line="240" w:lineRule="auto"/>
        <w:ind w:left="567" w:hanging="567"/>
        <w:rPr>
          <w:rFonts w:eastAsia="Calibri" w:cstheme="minorHAnsi"/>
          <w:bCs/>
        </w:rPr>
      </w:pPr>
    </w:p>
    <w:p w14:paraId="0A5FC2FC"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17.4: </w:t>
      </w:r>
      <w:r w:rsidRPr="00770D19">
        <w:rPr>
          <w:rFonts w:cstheme="minorHAnsi"/>
          <w:bCs/>
        </w:rPr>
        <w:t xml:space="preserve">CEPA: </w:t>
      </w:r>
      <w:r w:rsidRPr="00D91C8A">
        <w:rPr>
          <w:rFonts w:cstheme="minorHAnsi"/>
          <w:bCs/>
        </w:rPr>
        <w:t>World Wetlands Day themes for 2025, 2026 and 2027</w:t>
      </w:r>
    </w:p>
    <w:p w14:paraId="1E60F7B4" w14:textId="77777777" w:rsidR="005A4CA5" w:rsidRDefault="005A4CA5" w:rsidP="0045114E">
      <w:pPr>
        <w:spacing w:after="0" w:line="240" w:lineRule="auto"/>
        <w:ind w:left="567" w:hanging="567"/>
        <w:rPr>
          <w:rFonts w:eastAsia="Calibri" w:cstheme="minorHAnsi"/>
          <w:bCs/>
        </w:rPr>
      </w:pPr>
    </w:p>
    <w:p w14:paraId="090B77FB" w14:textId="77777777" w:rsidR="005A4CA5" w:rsidRPr="00AD43B1" w:rsidRDefault="005A4CA5" w:rsidP="0045114E">
      <w:pPr>
        <w:spacing w:after="0" w:line="240" w:lineRule="auto"/>
        <w:rPr>
          <w:rFonts w:cstheme="minorHAnsi"/>
          <w:b/>
        </w:rPr>
      </w:pPr>
      <w:r w:rsidRPr="005C1743">
        <w:rPr>
          <w:rFonts w:cstheme="minorHAnsi"/>
          <w:b/>
        </w:rPr>
        <w:t>Decision SC63-</w:t>
      </w:r>
      <w:r>
        <w:rPr>
          <w:rFonts w:cstheme="minorHAnsi"/>
          <w:b/>
        </w:rPr>
        <w:t>26</w:t>
      </w:r>
      <w:r w:rsidRPr="005C1743">
        <w:rPr>
          <w:rFonts w:cstheme="minorHAnsi"/>
          <w:b/>
        </w:rPr>
        <w:t xml:space="preserve">: </w:t>
      </w:r>
      <w:r>
        <w:rPr>
          <w:rFonts w:cstheme="minorHAnsi"/>
          <w:b/>
        </w:rPr>
        <w:t>T</w:t>
      </w:r>
      <w:r w:rsidRPr="00AD43B1">
        <w:rPr>
          <w:rFonts w:cstheme="minorHAnsi"/>
          <w:b/>
        </w:rPr>
        <w:t>he Standing Committee decide</w:t>
      </w:r>
      <w:r>
        <w:rPr>
          <w:rFonts w:cstheme="minorHAnsi"/>
          <w:b/>
        </w:rPr>
        <w:t>d</w:t>
      </w:r>
      <w:r w:rsidRPr="00AD43B1">
        <w:rPr>
          <w:rFonts w:cstheme="minorHAnsi"/>
          <w:b/>
        </w:rPr>
        <w:t xml:space="preserve"> on the following World Wetland Day themes</w:t>
      </w:r>
      <w:r>
        <w:rPr>
          <w:rFonts w:cstheme="minorHAnsi"/>
          <w:b/>
        </w:rPr>
        <w:t>:</w:t>
      </w:r>
    </w:p>
    <w:p w14:paraId="18068585" w14:textId="77777777" w:rsidR="005A4CA5" w:rsidRPr="00AD43B1" w:rsidRDefault="005A4CA5" w:rsidP="0045114E">
      <w:pPr>
        <w:spacing w:after="0" w:line="240" w:lineRule="auto"/>
        <w:ind w:left="567"/>
        <w:rPr>
          <w:rFonts w:cstheme="minorHAnsi"/>
          <w:b/>
        </w:rPr>
      </w:pPr>
      <w:r w:rsidRPr="00AD43B1">
        <w:rPr>
          <w:rFonts w:cstheme="minorHAnsi"/>
          <w:b/>
        </w:rPr>
        <w:t>2025 – Protecting wetlands for our common future</w:t>
      </w:r>
    </w:p>
    <w:p w14:paraId="4D3CEEAC" w14:textId="77777777" w:rsidR="005A4CA5" w:rsidRPr="00AD43B1" w:rsidRDefault="005A4CA5" w:rsidP="0045114E">
      <w:pPr>
        <w:spacing w:after="0" w:line="240" w:lineRule="auto"/>
        <w:ind w:left="567"/>
        <w:rPr>
          <w:rFonts w:cstheme="minorHAnsi"/>
          <w:b/>
        </w:rPr>
      </w:pPr>
      <w:r w:rsidRPr="00AD43B1">
        <w:rPr>
          <w:rFonts w:cstheme="minorHAnsi"/>
          <w:b/>
        </w:rPr>
        <w:t xml:space="preserve">2026 – </w:t>
      </w:r>
      <w:r w:rsidRPr="00184239">
        <w:rPr>
          <w:rFonts w:cstheme="minorHAnsi"/>
          <w:b/>
        </w:rPr>
        <w:t xml:space="preserve">Wetlands and traditional knowledge: </w:t>
      </w:r>
      <w:r>
        <w:rPr>
          <w:rFonts w:cstheme="minorHAnsi"/>
          <w:b/>
        </w:rPr>
        <w:t>Celebrating</w:t>
      </w:r>
      <w:r w:rsidRPr="00184239">
        <w:rPr>
          <w:rFonts w:cstheme="minorHAnsi"/>
          <w:b/>
        </w:rPr>
        <w:t xml:space="preserve"> cultural heritage</w:t>
      </w:r>
    </w:p>
    <w:p w14:paraId="359D0E88" w14:textId="77777777" w:rsidR="005A4CA5" w:rsidRPr="002532DE" w:rsidRDefault="005A4CA5" w:rsidP="0045114E">
      <w:pPr>
        <w:spacing w:after="0" w:line="240" w:lineRule="auto"/>
        <w:ind w:left="567"/>
        <w:rPr>
          <w:rFonts w:cstheme="minorHAnsi"/>
          <w:b/>
        </w:rPr>
      </w:pPr>
      <w:r w:rsidRPr="00AD43B1">
        <w:rPr>
          <w:rFonts w:cstheme="minorHAnsi"/>
          <w:b/>
        </w:rPr>
        <w:t>2027 –</w:t>
      </w:r>
      <w:r w:rsidRPr="00184239">
        <w:t xml:space="preserve"> </w:t>
      </w:r>
      <w:r w:rsidRPr="00184239">
        <w:rPr>
          <w:rFonts w:cstheme="minorHAnsi"/>
          <w:b/>
        </w:rPr>
        <w:t>Wetlands for sustainable cities</w:t>
      </w:r>
    </w:p>
    <w:p w14:paraId="744C48EA" w14:textId="77777777" w:rsidR="00DE1FFB" w:rsidRDefault="00DE1FFB" w:rsidP="0045114E">
      <w:pPr>
        <w:spacing w:after="0" w:line="240" w:lineRule="auto"/>
        <w:rPr>
          <w:rFonts w:cstheme="minorHAnsi"/>
          <w:b/>
        </w:rPr>
      </w:pPr>
    </w:p>
    <w:p w14:paraId="109C030D"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 xml:space="preserve">10: </w:t>
      </w:r>
      <w:r w:rsidRPr="00267C67">
        <w:rPr>
          <w:rFonts w:cstheme="minorHAnsi"/>
          <w:bCs/>
        </w:rPr>
        <w:t>Urgent challenges to the wise use of wetlands to receive enhanced attention: Update on wetland inventories</w:t>
      </w:r>
    </w:p>
    <w:p w14:paraId="7D4EDA18" w14:textId="77777777" w:rsidR="005A4CA5" w:rsidRPr="00493E18" w:rsidRDefault="005A4CA5" w:rsidP="0045114E">
      <w:pPr>
        <w:pStyle w:val="ListParagraph"/>
        <w:spacing w:after="0" w:line="240" w:lineRule="auto"/>
        <w:ind w:left="562" w:hanging="562"/>
        <w:rPr>
          <w:rFonts w:cstheme="minorHAnsi"/>
        </w:rPr>
      </w:pPr>
    </w:p>
    <w:p w14:paraId="5511C287" w14:textId="77777777" w:rsidR="005A4CA5" w:rsidRDefault="005A4CA5" w:rsidP="0045114E">
      <w:pPr>
        <w:pStyle w:val="ListParagraph"/>
        <w:spacing w:after="0" w:line="240" w:lineRule="auto"/>
        <w:ind w:left="0"/>
        <w:rPr>
          <w:rFonts w:cstheme="minorHAnsi"/>
          <w:b/>
          <w:bCs/>
        </w:rPr>
      </w:pPr>
      <w:r w:rsidRPr="00493E18">
        <w:rPr>
          <w:rFonts w:cstheme="minorHAnsi"/>
          <w:b/>
          <w:bCs/>
        </w:rPr>
        <w:t>Decision SC63-2</w:t>
      </w:r>
      <w:r>
        <w:rPr>
          <w:rFonts w:cstheme="minorHAnsi"/>
          <w:b/>
          <w:bCs/>
        </w:rPr>
        <w:t>7</w:t>
      </w:r>
      <w:r w:rsidRPr="00493E18">
        <w:rPr>
          <w:rFonts w:cstheme="minorHAnsi"/>
          <w:b/>
          <w:bCs/>
        </w:rPr>
        <w:t>: The</w:t>
      </w:r>
      <w:r w:rsidRPr="00493E18">
        <w:t xml:space="preserve"> </w:t>
      </w:r>
      <w:r w:rsidRPr="00493E18">
        <w:rPr>
          <w:rFonts w:cstheme="minorHAnsi"/>
          <w:b/>
          <w:bCs/>
        </w:rPr>
        <w:t>Standing Committee noted the progress of the Secretariat to provide a support mechanism to Contracting Parties in completing national wetland inventories and requested the Secretariat to pursue fundraising activities to amplify the development of the proposed mechanism.</w:t>
      </w:r>
    </w:p>
    <w:p w14:paraId="25609FF8" w14:textId="77777777" w:rsidR="005A4CA5" w:rsidRPr="008D4004" w:rsidRDefault="005A4CA5" w:rsidP="0045114E">
      <w:pPr>
        <w:pStyle w:val="ListParagraph"/>
        <w:spacing w:after="0" w:line="240" w:lineRule="auto"/>
        <w:ind w:left="0"/>
        <w:rPr>
          <w:rFonts w:cstheme="minorHAnsi"/>
          <w:b/>
          <w:bCs/>
        </w:rPr>
      </w:pPr>
    </w:p>
    <w:p w14:paraId="06E5A84A"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9.1: Financial and budgetary matters: Report on financial matters for 2023 and 2024</w:t>
      </w:r>
    </w:p>
    <w:p w14:paraId="25A1FA77" w14:textId="77777777" w:rsidR="005A4CA5" w:rsidRDefault="005A4CA5" w:rsidP="0045114E">
      <w:pPr>
        <w:spacing w:after="0" w:line="240" w:lineRule="auto"/>
        <w:ind w:left="567" w:hanging="567"/>
        <w:rPr>
          <w:rFonts w:cstheme="minorHAnsi"/>
        </w:rPr>
      </w:pPr>
    </w:p>
    <w:p w14:paraId="5212656C" w14:textId="77777777" w:rsidR="005A4CA5" w:rsidRPr="005B1124" w:rsidRDefault="005A4CA5" w:rsidP="0045114E">
      <w:pPr>
        <w:keepNext/>
        <w:spacing w:after="0" w:line="240" w:lineRule="auto"/>
        <w:rPr>
          <w:rFonts w:cstheme="minorHAnsi"/>
          <w:b/>
          <w:bCs/>
        </w:rPr>
      </w:pPr>
      <w:r w:rsidRPr="005C1743">
        <w:rPr>
          <w:rFonts w:cstheme="minorHAnsi"/>
          <w:b/>
        </w:rPr>
        <w:t>Decision SC63-</w:t>
      </w:r>
      <w:r w:rsidRPr="00282C0E">
        <w:rPr>
          <w:rFonts w:cstheme="minorHAnsi"/>
          <w:b/>
        </w:rPr>
        <w:t>2</w:t>
      </w:r>
      <w:r>
        <w:rPr>
          <w:rFonts w:cstheme="minorHAnsi"/>
          <w:b/>
        </w:rPr>
        <w:t>8</w:t>
      </w:r>
      <w:r w:rsidRPr="00282C0E">
        <w:rPr>
          <w:rFonts w:cstheme="minorHAnsi"/>
        </w:rPr>
        <w:t>:</w:t>
      </w:r>
      <w:r>
        <w:rPr>
          <w:rFonts w:cstheme="minorHAnsi"/>
        </w:rPr>
        <w:t xml:space="preserve"> </w:t>
      </w:r>
      <w:r w:rsidRPr="005B1124">
        <w:rPr>
          <w:rFonts w:cstheme="minorHAnsi"/>
          <w:b/>
          <w:bCs/>
        </w:rPr>
        <w:t>The Standing Committee:</w:t>
      </w:r>
    </w:p>
    <w:p w14:paraId="26C9B0EF" w14:textId="77777777" w:rsidR="005A4CA5" w:rsidRPr="005B1124" w:rsidRDefault="005A4CA5" w:rsidP="0045114E">
      <w:pPr>
        <w:spacing w:after="0" w:line="240" w:lineRule="auto"/>
        <w:ind w:left="567" w:hanging="567"/>
        <w:rPr>
          <w:rFonts w:cstheme="minorHAnsi"/>
          <w:b/>
          <w:bCs/>
        </w:rPr>
      </w:pPr>
      <w:proofErr w:type="spellStart"/>
      <w:r w:rsidRPr="005B1124">
        <w:rPr>
          <w:rFonts w:cstheme="minorHAnsi"/>
          <w:b/>
          <w:bCs/>
        </w:rPr>
        <w:t>i</w:t>
      </w:r>
      <w:proofErr w:type="spellEnd"/>
      <w:r w:rsidRPr="005B1124">
        <w:rPr>
          <w:rFonts w:cstheme="minorHAnsi"/>
          <w:b/>
          <w:bCs/>
        </w:rPr>
        <w:t xml:space="preserve">. </w:t>
      </w:r>
      <w:r w:rsidRPr="005B1124">
        <w:rPr>
          <w:rFonts w:cstheme="minorHAnsi"/>
          <w:b/>
          <w:bCs/>
        </w:rPr>
        <w:tab/>
        <w:t>accepted the 2023 audited financial statements as of 31 December 2023;</w:t>
      </w:r>
    </w:p>
    <w:p w14:paraId="22958C5B" w14:textId="77777777" w:rsidR="005A4CA5" w:rsidRPr="005B1124" w:rsidRDefault="005A4CA5" w:rsidP="0045114E">
      <w:pPr>
        <w:spacing w:after="0" w:line="240" w:lineRule="auto"/>
        <w:ind w:left="567" w:hanging="567"/>
        <w:rPr>
          <w:rFonts w:cstheme="minorHAnsi"/>
          <w:b/>
          <w:bCs/>
        </w:rPr>
      </w:pPr>
      <w:r w:rsidRPr="005B1124">
        <w:rPr>
          <w:rFonts w:cstheme="minorHAnsi"/>
          <w:b/>
          <w:bCs/>
        </w:rPr>
        <w:t xml:space="preserve">ii. </w:t>
      </w:r>
      <w:r w:rsidRPr="005B1124">
        <w:rPr>
          <w:rFonts w:cstheme="minorHAnsi"/>
          <w:b/>
          <w:bCs/>
        </w:rPr>
        <w:tab/>
        <w:t>noted the core budget results for 2023;</w:t>
      </w:r>
    </w:p>
    <w:p w14:paraId="5E363621" w14:textId="77777777" w:rsidR="005A4CA5" w:rsidRPr="005B1124" w:rsidRDefault="005A4CA5" w:rsidP="0045114E">
      <w:pPr>
        <w:spacing w:after="0" w:line="240" w:lineRule="auto"/>
        <w:ind w:left="567" w:hanging="567"/>
        <w:rPr>
          <w:rFonts w:cstheme="minorHAnsi"/>
          <w:b/>
          <w:bCs/>
        </w:rPr>
      </w:pPr>
      <w:r w:rsidRPr="005B1124">
        <w:rPr>
          <w:rFonts w:cstheme="minorHAnsi"/>
          <w:b/>
          <w:bCs/>
        </w:rPr>
        <w:t>iii.</w:t>
      </w:r>
      <w:r w:rsidRPr="005B1124">
        <w:rPr>
          <w:rFonts w:cstheme="minorHAnsi"/>
          <w:b/>
          <w:bCs/>
        </w:rPr>
        <w:tab/>
        <w:t>noted the status of the non-core balances and voluntary contributions for 2023;</w:t>
      </w:r>
    </w:p>
    <w:p w14:paraId="60C77D3B" w14:textId="77777777" w:rsidR="005A4CA5" w:rsidRPr="005B1124" w:rsidRDefault="005A4CA5" w:rsidP="0045114E">
      <w:pPr>
        <w:spacing w:after="0" w:line="240" w:lineRule="auto"/>
        <w:ind w:left="567" w:hanging="567"/>
        <w:rPr>
          <w:rFonts w:cstheme="minorHAnsi"/>
          <w:b/>
          <w:bCs/>
        </w:rPr>
      </w:pPr>
      <w:r w:rsidRPr="005B1124">
        <w:rPr>
          <w:rFonts w:cstheme="minorHAnsi"/>
          <w:b/>
          <w:bCs/>
        </w:rPr>
        <w:t xml:space="preserve">iv. </w:t>
      </w:r>
      <w:r w:rsidRPr="005B1124">
        <w:rPr>
          <w:rFonts w:cstheme="minorHAnsi"/>
          <w:b/>
          <w:bCs/>
        </w:rPr>
        <w:tab/>
        <w:t xml:space="preserve">approved the carry-forward of the pre-committed and unspent funds in amount of CHF 1,232,000 from 2023 to 2024, as included in column C of the table in Annex 1 Core Budget 2024 of </w:t>
      </w:r>
      <w:r>
        <w:rPr>
          <w:rFonts w:cstheme="minorHAnsi"/>
          <w:b/>
          <w:bCs/>
        </w:rPr>
        <w:t>document SC63 Com.1;</w:t>
      </w:r>
    </w:p>
    <w:p w14:paraId="601C3A31" w14:textId="3543531B" w:rsidR="005A4CA5" w:rsidRPr="005B1124" w:rsidRDefault="005A4CA5" w:rsidP="0045114E">
      <w:pPr>
        <w:spacing w:after="0" w:line="240" w:lineRule="auto"/>
        <w:ind w:left="567" w:hanging="567"/>
        <w:rPr>
          <w:rFonts w:cstheme="minorHAnsi"/>
          <w:b/>
          <w:bCs/>
        </w:rPr>
      </w:pPr>
      <w:r w:rsidRPr="005B1124">
        <w:rPr>
          <w:rFonts w:cstheme="minorHAnsi"/>
          <w:b/>
          <w:bCs/>
        </w:rPr>
        <w:t>v.</w:t>
      </w:r>
      <w:r w:rsidRPr="005B1124">
        <w:rPr>
          <w:rFonts w:cstheme="minorHAnsi"/>
          <w:b/>
          <w:bCs/>
        </w:rPr>
        <w:tab/>
        <w:t xml:space="preserve">approved the allocation of CHF 29,000 from the core budget to the Danube </w:t>
      </w:r>
      <w:proofErr w:type="spellStart"/>
      <w:r w:rsidRPr="005B1124">
        <w:rPr>
          <w:rFonts w:cstheme="minorHAnsi"/>
          <w:b/>
          <w:bCs/>
        </w:rPr>
        <w:t>WILDisland</w:t>
      </w:r>
      <w:proofErr w:type="spellEnd"/>
      <w:r w:rsidRPr="005B1124">
        <w:rPr>
          <w:rFonts w:cstheme="minorHAnsi"/>
          <w:b/>
          <w:bCs/>
        </w:rPr>
        <w:t xml:space="preserve"> Ramsar Regional Initiative for activities in 2024, as described in paragraph 23 of document SC63 Doc.9.1;</w:t>
      </w:r>
    </w:p>
    <w:p w14:paraId="35F14A02" w14:textId="77777777" w:rsidR="005A4CA5" w:rsidRPr="005B1124" w:rsidRDefault="005A4CA5" w:rsidP="0045114E">
      <w:pPr>
        <w:spacing w:after="0" w:line="240" w:lineRule="auto"/>
        <w:ind w:left="567" w:hanging="567"/>
        <w:rPr>
          <w:rFonts w:cstheme="minorHAnsi"/>
          <w:b/>
          <w:bCs/>
        </w:rPr>
      </w:pPr>
      <w:r w:rsidRPr="005B1124">
        <w:rPr>
          <w:rFonts w:cstheme="minorHAnsi"/>
          <w:b/>
          <w:bCs/>
        </w:rPr>
        <w:t>vi.</w:t>
      </w:r>
      <w:r w:rsidRPr="005B1124">
        <w:rPr>
          <w:rFonts w:cstheme="minorHAnsi"/>
          <w:b/>
          <w:bCs/>
        </w:rPr>
        <w:tab/>
        <w:t>noted the surplus balances at the end of 2023;</w:t>
      </w:r>
      <w:r>
        <w:rPr>
          <w:rFonts w:cstheme="minorHAnsi"/>
          <w:b/>
          <w:bCs/>
        </w:rPr>
        <w:t xml:space="preserve"> and</w:t>
      </w:r>
    </w:p>
    <w:p w14:paraId="04B11143" w14:textId="77777777" w:rsidR="005A4CA5" w:rsidRPr="005B1124" w:rsidRDefault="005A4CA5" w:rsidP="0045114E">
      <w:pPr>
        <w:spacing w:after="0" w:line="240" w:lineRule="auto"/>
        <w:ind w:left="567" w:hanging="567"/>
        <w:rPr>
          <w:rFonts w:cstheme="minorHAnsi"/>
          <w:b/>
          <w:bCs/>
        </w:rPr>
      </w:pPr>
      <w:r w:rsidRPr="005B1124">
        <w:rPr>
          <w:rFonts w:cstheme="minorHAnsi"/>
          <w:b/>
          <w:bCs/>
        </w:rPr>
        <w:t>vii.</w:t>
      </w:r>
      <w:r w:rsidRPr="005B1124">
        <w:rPr>
          <w:rFonts w:cstheme="minorHAnsi"/>
          <w:b/>
          <w:bCs/>
        </w:rPr>
        <w:tab/>
        <w:t>noted the information regarding the financial reports for 2024 and 2025 and regarding the invoices for 2025, as described in paragraphs 26 and 27 of document SC63 Doc. 9.1.</w:t>
      </w:r>
    </w:p>
    <w:p w14:paraId="17EFE559" w14:textId="77777777" w:rsidR="005A4CA5" w:rsidRPr="00135706" w:rsidRDefault="005A4CA5" w:rsidP="0045114E">
      <w:pPr>
        <w:spacing w:after="0" w:line="240" w:lineRule="auto"/>
        <w:ind w:left="567" w:hanging="567"/>
        <w:rPr>
          <w:rFonts w:cstheme="minorHAnsi"/>
        </w:rPr>
      </w:pPr>
    </w:p>
    <w:p w14:paraId="693E4F09" w14:textId="77777777" w:rsidR="005A4CA5" w:rsidRPr="00294A7E"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9.2: Financial and budgetary matters: Status of annual contributions</w:t>
      </w:r>
    </w:p>
    <w:p w14:paraId="6939429F" w14:textId="77777777" w:rsidR="005A4CA5" w:rsidRPr="005B1124" w:rsidRDefault="005A4CA5" w:rsidP="0045114E">
      <w:pPr>
        <w:pStyle w:val="ListParagraph"/>
        <w:spacing w:after="0" w:line="240" w:lineRule="auto"/>
        <w:ind w:left="562" w:hanging="562"/>
        <w:rPr>
          <w:rFonts w:cstheme="minorHAnsi"/>
        </w:rPr>
      </w:pPr>
    </w:p>
    <w:p w14:paraId="54BDC605" w14:textId="77777777" w:rsidR="005A4CA5" w:rsidRPr="002A41E2" w:rsidRDefault="005A4CA5" w:rsidP="0045114E">
      <w:pPr>
        <w:spacing w:after="0" w:line="240" w:lineRule="auto"/>
        <w:rPr>
          <w:rFonts w:cstheme="minorHAnsi"/>
          <w:b/>
        </w:rPr>
      </w:pPr>
      <w:r w:rsidRPr="005C1743">
        <w:rPr>
          <w:rFonts w:cstheme="minorHAnsi"/>
          <w:b/>
        </w:rPr>
        <w:t>Decision SC63-</w:t>
      </w:r>
      <w:r>
        <w:rPr>
          <w:rFonts w:cstheme="minorHAnsi"/>
          <w:b/>
        </w:rPr>
        <w:t>29</w:t>
      </w:r>
      <w:r w:rsidRPr="005C1743">
        <w:rPr>
          <w:rFonts w:cstheme="minorHAnsi"/>
          <w:b/>
        </w:rPr>
        <w:t xml:space="preserve">: </w:t>
      </w:r>
      <w:r w:rsidRPr="00483EED">
        <w:rPr>
          <w:rFonts w:cstheme="minorHAnsi"/>
          <w:b/>
        </w:rPr>
        <w:t>The Standing Committee</w:t>
      </w:r>
      <w:r>
        <w:rPr>
          <w:rFonts w:cstheme="minorHAnsi"/>
          <w:b/>
        </w:rPr>
        <w:t>:</w:t>
      </w:r>
    </w:p>
    <w:p w14:paraId="0F629C1D" w14:textId="77777777" w:rsidR="005A4CA5" w:rsidRPr="002A41E2" w:rsidRDefault="005A4CA5" w:rsidP="0045114E">
      <w:pPr>
        <w:spacing w:after="0" w:line="240" w:lineRule="auto"/>
        <w:ind w:left="567" w:hanging="567"/>
        <w:rPr>
          <w:rFonts w:cstheme="minorHAnsi"/>
          <w:b/>
        </w:rPr>
      </w:pPr>
      <w:proofErr w:type="spellStart"/>
      <w:r w:rsidRPr="002A41E2">
        <w:rPr>
          <w:rFonts w:cstheme="minorHAnsi"/>
          <w:b/>
        </w:rPr>
        <w:t>i</w:t>
      </w:r>
      <w:proofErr w:type="spellEnd"/>
      <w:r w:rsidRPr="002A41E2">
        <w:rPr>
          <w:rFonts w:cstheme="minorHAnsi"/>
          <w:b/>
        </w:rPr>
        <w:t>.</w:t>
      </w:r>
      <w:r w:rsidRPr="002A41E2">
        <w:rPr>
          <w:rFonts w:cstheme="minorHAnsi"/>
          <w:b/>
        </w:rPr>
        <w:tab/>
        <w:t xml:space="preserve">took note of the status of annual contributions; </w:t>
      </w:r>
    </w:p>
    <w:p w14:paraId="550BC665" w14:textId="77777777" w:rsidR="005A4CA5" w:rsidRPr="002A41E2" w:rsidRDefault="005A4CA5" w:rsidP="0045114E">
      <w:pPr>
        <w:spacing w:after="0" w:line="240" w:lineRule="auto"/>
        <w:ind w:left="567" w:hanging="567"/>
        <w:rPr>
          <w:rFonts w:cstheme="minorHAnsi"/>
          <w:b/>
        </w:rPr>
      </w:pPr>
      <w:r w:rsidRPr="002A41E2">
        <w:rPr>
          <w:rFonts w:cstheme="minorHAnsi"/>
          <w:b/>
        </w:rPr>
        <w:t>ii.</w:t>
      </w:r>
      <w:r w:rsidRPr="002A41E2">
        <w:rPr>
          <w:rFonts w:cstheme="minorHAnsi"/>
          <w:b/>
        </w:rPr>
        <w:tab/>
        <w:t>noted the actions listed in paragraphs 12 and 13 of document SC62 Doc.9.2 on group confirmation of outstanding contributions as part of the audit process;</w:t>
      </w:r>
    </w:p>
    <w:p w14:paraId="3FC703EE" w14:textId="77777777" w:rsidR="005A4CA5" w:rsidRPr="002A41E2" w:rsidRDefault="005A4CA5" w:rsidP="0045114E">
      <w:pPr>
        <w:spacing w:after="0" w:line="240" w:lineRule="auto"/>
        <w:ind w:left="567" w:hanging="567"/>
        <w:rPr>
          <w:rFonts w:cstheme="minorHAnsi"/>
          <w:b/>
        </w:rPr>
      </w:pPr>
      <w:r w:rsidRPr="002A41E2">
        <w:rPr>
          <w:rFonts w:cstheme="minorHAnsi"/>
          <w:b/>
        </w:rPr>
        <w:t>iii.</w:t>
      </w:r>
      <w:r w:rsidRPr="002A41E2">
        <w:rPr>
          <w:rFonts w:cstheme="minorHAnsi"/>
          <w:b/>
        </w:rPr>
        <w:tab/>
        <w:t xml:space="preserve">noted the actions listed in paragraphs 15, 17, 18 and 19 of </w:t>
      </w:r>
      <w:r>
        <w:rPr>
          <w:rFonts w:cstheme="minorHAnsi"/>
          <w:b/>
        </w:rPr>
        <w:t xml:space="preserve">the same </w:t>
      </w:r>
      <w:proofErr w:type="gramStart"/>
      <w:r w:rsidRPr="002A41E2">
        <w:rPr>
          <w:rFonts w:cstheme="minorHAnsi"/>
          <w:b/>
        </w:rPr>
        <w:t>document</w:t>
      </w:r>
      <w:proofErr w:type="gramEnd"/>
      <w:r w:rsidRPr="002A41E2">
        <w:rPr>
          <w:rFonts w:cstheme="minorHAnsi"/>
          <w:b/>
        </w:rPr>
        <w:t xml:space="preserve"> to continue encouraging the payment of annual contributions by the Contracting Parties;</w:t>
      </w:r>
    </w:p>
    <w:p w14:paraId="50EEA93C" w14:textId="77777777" w:rsidR="005A4CA5" w:rsidRPr="002A41E2" w:rsidRDefault="005A4CA5" w:rsidP="0045114E">
      <w:pPr>
        <w:spacing w:after="0" w:line="240" w:lineRule="auto"/>
        <w:ind w:left="567" w:hanging="567"/>
        <w:rPr>
          <w:rFonts w:cstheme="minorHAnsi"/>
          <w:b/>
        </w:rPr>
      </w:pPr>
      <w:r w:rsidRPr="002A41E2">
        <w:rPr>
          <w:rFonts w:cstheme="minorHAnsi"/>
          <w:b/>
        </w:rPr>
        <w:t>iv.</w:t>
      </w:r>
      <w:r w:rsidRPr="002A41E2">
        <w:rPr>
          <w:rFonts w:cstheme="minorHAnsi"/>
          <w:b/>
        </w:rPr>
        <w:tab/>
        <w:t xml:space="preserve">noted the changes in annual contributions receivable and in the annual provision against contributions receivable; and </w:t>
      </w:r>
    </w:p>
    <w:p w14:paraId="6EDF5296" w14:textId="77777777" w:rsidR="005A4CA5" w:rsidRPr="005C1743" w:rsidRDefault="005A4CA5" w:rsidP="0045114E">
      <w:pPr>
        <w:spacing w:after="0" w:line="240" w:lineRule="auto"/>
        <w:ind w:left="567" w:hanging="567"/>
        <w:rPr>
          <w:rFonts w:cstheme="minorHAnsi"/>
          <w:b/>
        </w:rPr>
      </w:pPr>
      <w:r w:rsidRPr="002A41E2">
        <w:rPr>
          <w:rFonts w:cstheme="minorHAnsi"/>
          <w:b/>
        </w:rPr>
        <w:t>v.</w:t>
      </w:r>
      <w:r w:rsidRPr="002A41E2">
        <w:rPr>
          <w:rFonts w:cstheme="minorHAnsi"/>
          <w:b/>
        </w:rPr>
        <w:tab/>
        <w:t xml:space="preserve">noted the status of the voluntary contributions received from </w:t>
      </w:r>
      <w:r>
        <w:rPr>
          <w:rFonts w:cstheme="minorHAnsi"/>
          <w:b/>
        </w:rPr>
        <w:t>t</w:t>
      </w:r>
      <w:r w:rsidRPr="002A41E2">
        <w:rPr>
          <w:rFonts w:cstheme="minorHAnsi"/>
          <w:b/>
        </w:rPr>
        <w:t>he C</w:t>
      </w:r>
      <w:r>
        <w:rPr>
          <w:rFonts w:cstheme="minorHAnsi"/>
          <w:b/>
        </w:rPr>
        <w:t xml:space="preserve">ontracting </w:t>
      </w:r>
      <w:r w:rsidRPr="002A41E2">
        <w:rPr>
          <w:rFonts w:cstheme="minorHAnsi"/>
          <w:b/>
        </w:rPr>
        <w:t>P</w:t>
      </w:r>
      <w:r>
        <w:rPr>
          <w:rFonts w:cstheme="minorHAnsi"/>
          <w:b/>
        </w:rPr>
        <w:t>artie</w:t>
      </w:r>
      <w:r w:rsidRPr="002A41E2">
        <w:rPr>
          <w:rFonts w:cstheme="minorHAnsi"/>
          <w:b/>
        </w:rPr>
        <w:t>s in the Africa region outlined in para</w:t>
      </w:r>
      <w:r>
        <w:rPr>
          <w:rFonts w:cstheme="minorHAnsi"/>
          <w:b/>
        </w:rPr>
        <w:t>graph</w:t>
      </w:r>
      <w:r w:rsidRPr="002A41E2">
        <w:rPr>
          <w:rFonts w:cstheme="minorHAnsi"/>
          <w:b/>
        </w:rPr>
        <w:t xml:space="preserve"> 22 of </w:t>
      </w:r>
      <w:r>
        <w:rPr>
          <w:rFonts w:cstheme="minorHAnsi"/>
          <w:b/>
        </w:rPr>
        <w:t>the same document.</w:t>
      </w:r>
    </w:p>
    <w:p w14:paraId="77E11B67" w14:textId="77777777" w:rsidR="005A4CA5" w:rsidRPr="00E24C04" w:rsidRDefault="005A4CA5" w:rsidP="0045114E">
      <w:pPr>
        <w:spacing w:after="0" w:line="240" w:lineRule="auto"/>
      </w:pPr>
    </w:p>
    <w:p w14:paraId="11E54152"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19: </w:t>
      </w:r>
      <w:r w:rsidRPr="008F44AC">
        <w:rPr>
          <w:rFonts w:cstheme="minorHAnsi"/>
          <w:bCs/>
        </w:rPr>
        <w:t>Report of the Chair of the Scientific and Technical Review Panel on implementation of the STRP work plan</w:t>
      </w:r>
    </w:p>
    <w:p w14:paraId="7510A441" w14:textId="77777777" w:rsidR="005A4CA5" w:rsidRPr="002A1268" w:rsidRDefault="005A4CA5" w:rsidP="0045114E">
      <w:pPr>
        <w:pStyle w:val="ListParagraph"/>
        <w:spacing w:after="0" w:line="240" w:lineRule="auto"/>
        <w:ind w:left="562" w:hanging="562"/>
        <w:rPr>
          <w:rFonts w:eastAsia="Calibri" w:cstheme="minorHAnsi"/>
          <w:bCs/>
        </w:rPr>
      </w:pPr>
    </w:p>
    <w:p w14:paraId="1A7A3678" w14:textId="77777777" w:rsidR="005A4CA5" w:rsidRDefault="005A4CA5" w:rsidP="0045114E">
      <w:pPr>
        <w:spacing w:after="0" w:line="240" w:lineRule="auto"/>
        <w:rPr>
          <w:rFonts w:cstheme="minorHAnsi"/>
          <w:b/>
        </w:rPr>
      </w:pPr>
      <w:r w:rsidRPr="005C1743">
        <w:rPr>
          <w:rFonts w:cstheme="minorHAnsi"/>
          <w:b/>
        </w:rPr>
        <w:t>Decision SC63-</w:t>
      </w:r>
      <w:r>
        <w:rPr>
          <w:rFonts w:cstheme="minorHAnsi"/>
          <w:b/>
        </w:rPr>
        <w:t>30: T</w:t>
      </w:r>
      <w:r w:rsidRPr="00146F7B">
        <w:rPr>
          <w:rFonts w:cstheme="minorHAnsi"/>
          <w:b/>
        </w:rPr>
        <w:t xml:space="preserve">he Standing Committee </w:t>
      </w:r>
      <w:r w:rsidRPr="002A1268">
        <w:rPr>
          <w:rFonts w:cstheme="minorHAnsi"/>
          <w:b/>
        </w:rPr>
        <w:t>noted the Report of the Chair of the Scientific and Technical Review Panel as presented in SC63 Doc.19 and the comments made by Parties; requested the STRP to undertake scoping and planning for a review of the classification system of wetland type to be implemented as a high priority task in the 2025-2027 triennium; and requested the STRP, working with the Secretariat, to organize a consultation with the earth observation community on development of an initiative to foster dialogue, knowledge exchange and guidance for earth observation in support of wetland inventory, assessment, monitoring and conservation.</w:t>
      </w:r>
    </w:p>
    <w:p w14:paraId="5D885FF3" w14:textId="77777777" w:rsidR="005A4CA5" w:rsidRPr="002A1268" w:rsidRDefault="005A4CA5" w:rsidP="0045114E">
      <w:pPr>
        <w:spacing w:after="0" w:line="240" w:lineRule="auto"/>
        <w:rPr>
          <w:rFonts w:cstheme="minorHAnsi"/>
          <w:b/>
        </w:rPr>
      </w:pPr>
    </w:p>
    <w:p w14:paraId="53D5DC9F"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lastRenderedPageBreak/>
        <w:t xml:space="preserve">Agenda item </w:t>
      </w:r>
      <w:r>
        <w:rPr>
          <w:rFonts w:cstheme="minorHAnsi"/>
          <w:bCs/>
        </w:rPr>
        <w:t xml:space="preserve">20: </w:t>
      </w:r>
      <w:r w:rsidRPr="008F44AC">
        <w:rPr>
          <w:rFonts w:cstheme="minorHAnsi"/>
          <w:bCs/>
        </w:rPr>
        <w:t>Technical proposal of the STRP on resourcing and implementing Waterbird Population Estimates</w:t>
      </w:r>
    </w:p>
    <w:p w14:paraId="05D42817" w14:textId="77777777" w:rsidR="005A4CA5" w:rsidRDefault="005A4CA5" w:rsidP="0045114E">
      <w:pPr>
        <w:spacing w:after="0" w:line="240" w:lineRule="auto"/>
        <w:ind w:left="567" w:hanging="567"/>
        <w:rPr>
          <w:rFonts w:eastAsia="Calibri" w:cstheme="minorHAnsi"/>
          <w:bCs/>
        </w:rPr>
      </w:pPr>
    </w:p>
    <w:p w14:paraId="3712A73D" w14:textId="77777777" w:rsidR="005A4CA5" w:rsidRPr="008F44AC" w:rsidRDefault="005A4CA5" w:rsidP="0045114E">
      <w:pPr>
        <w:spacing w:after="0" w:line="240" w:lineRule="auto"/>
        <w:rPr>
          <w:rFonts w:cstheme="minorHAnsi"/>
          <w:b/>
        </w:rPr>
      </w:pPr>
      <w:r w:rsidRPr="005C1743">
        <w:rPr>
          <w:rFonts w:cstheme="minorHAnsi"/>
          <w:b/>
        </w:rPr>
        <w:t>Decision SC63-</w:t>
      </w:r>
      <w:r>
        <w:rPr>
          <w:rFonts w:cstheme="minorHAnsi"/>
          <w:b/>
        </w:rPr>
        <w:t>31</w:t>
      </w:r>
      <w:r w:rsidRPr="005C1743">
        <w:rPr>
          <w:rFonts w:cstheme="minorHAnsi"/>
          <w:b/>
        </w:rPr>
        <w:t xml:space="preserve">: </w:t>
      </w:r>
      <w:r>
        <w:rPr>
          <w:rFonts w:cstheme="minorHAnsi"/>
          <w:b/>
        </w:rPr>
        <w:t>T</w:t>
      </w:r>
      <w:r w:rsidRPr="00AD43B1">
        <w:rPr>
          <w:rFonts w:cstheme="minorHAnsi"/>
          <w:b/>
        </w:rPr>
        <w:t xml:space="preserve">he Standing Committee </w:t>
      </w:r>
      <w:r w:rsidRPr="002A1268">
        <w:rPr>
          <w:rFonts w:cstheme="minorHAnsi"/>
          <w:b/>
        </w:rPr>
        <w:t>noted the technical proposal of the STRP on resourcing and implementing Waterbird Population Estimates as presented in SC63 Doc.20 and comments made by Parties</w:t>
      </w:r>
      <w:r>
        <w:rPr>
          <w:rFonts w:cstheme="minorHAnsi"/>
          <w:b/>
        </w:rPr>
        <w:t>;</w:t>
      </w:r>
      <w:r w:rsidRPr="002A1268">
        <w:rPr>
          <w:rFonts w:cstheme="minorHAnsi"/>
          <w:b/>
        </w:rPr>
        <w:t xml:space="preserve"> supported the development of the Partnership in line with the approach presented</w:t>
      </w:r>
      <w:r>
        <w:rPr>
          <w:rFonts w:cstheme="minorHAnsi"/>
          <w:b/>
        </w:rPr>
        <w:t xml:space="preserve">; and </w:t>
      </w:r>
      <w:r w:rsidRPr="002A1268">
        <w:rPr>
          <w:rFonts w:cstheme="minorHAnsi"/>
          <w:b/>
        </w:rPr>
        <w:t xml:space="preserve">requested the STRP to further develop the Partnership proposal and present it to SC64, including recommendations for resourcing it in consultation with the Subgroup on Finance.  </w:t>
      </w:r>
    </w:p>
    <w:p w14:paraId="61A6A16E" w14:textId="77777777" w:rsidR="005A4CA5" w:rsidRDefault="005A4CA5" w:rsidP="0045114E">
      <w:pPr>
        <w:spacing w:after="0" w:line="240" w:lineRule="auto"/>
        <w:ind w:left="567" w:hanging="567"/>
        <w:rPr>
          <w:rFonts w:eastAsia="Calibri" w:cstheme="minorHAnsi"/>
          <w:bCs/>
        </w:rPr>
      </w:pPr>
    </w:p>
    <w:p w14:paraId="508BE3BC" w14:textId="77777777" w:rsidR="005A4CA5" w:rsidRDefault="005A4CA5"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 xml:space="preserve">18: </w:t>
      </w:r>
      <w:r w:rsidRPr="008F44AC">
        <w:rPr>
          <w:rFonts w:cstheme="minorHAnsi"/>
          <w:bCs/>
        </w:rPr>
        <w:t>Report of the Youth Working Group</w:t>
      </w:r>
    </w:p>
    <w:p w14:paraId="216AC3FE" w14:textId="77777777" w:rsidR="005A4CA5" w:rsidRDefault="005A4CA5" w:rsidP="0045114E">
      <w:pPr>
        <w:spacing w:after="0" w:line="240" w:lineRule="auto"/>
        <w:rPr>
          <w:rFonts w:cstheme="minorHAnsi"/>
          <w:b/>
        </w:rPr>
      </w:pPr>
    </w:p>
    <w:p w14:paraId="0AA0FEBB" w14:textId="707D524C" w:rsidR="00297028" w:rsidRDefault="005A4CA5" w:rsidP="0045114E">
      <w:pPr>
        <w:spacing w:after="0" w:line="240" w:lineRule="auto"/>
        <w:rPr>
          <w:rFonts w:eastAsia="Calibri" w:cstheme="minorHAnsi"/>
          <w:bCs/>
        </w:rPr>
      </w:pPr>
      <w:r w:rsidRPr="005C1743">
        <w:rPr>
          <w:rFonts w:cstheme="minorHAnsi"/>
          <w:b/>
        </w:rPr>
        <w:t>Decision SC63-</w:t>
      </w:r>
      <w:r>
        <w:rPr>
          <w:rFonts w:cstheme="minorHAnsi"/>
          <w:b/>
        </w:rPr>
        <w:t>32</w:t>
      </w:r>
      <w:r w:rsidRPr="005C1743">
        <w:rPr>
          <w:rFonts w:cstheme="minorHAnsi"/>
          <w:b/>
        </w:rPr>
        <w:t xml:space="preserve">: </w:t>
      </w:r>
      <w:r>
        <w:rPr>
          <w:rFonts w:cstheme="minorHAnsi"/>
          <w:b/>
        </w:rPr>
        <w:t>T</w:t>
      </w:r>
      <w:r w:rsidRPr="00AD43B1">
        <w:rPr>
          <w:rFonts w:cstheme="minorHAnsi"/>
          <w:b/>
        </w:rPr>
        <w:t>he</w:t>
      </w:r>
      <w:r w:rsidRPr="002A1268">
        <w:t xml:space="preserve"> </w:t>
      </w:r>
      <w:r w:rsidRPr="002A1268">
        <w:rPr>
          <w:rFonts w:cstheme="minorHAnsi"/>
          <w:b/>
        </w:rPr>
        <w:t xml:space="preserve">Standing Committee took note of the progress of the Youth Working Group as presented in SC63 Doc.18 and comments made by </w:t>
      </w:r>
      <w:r>
        <w:rPr>
          <w:rFonts w:cstheme="minorHAnsi"/>
          <w:b/>
        </w:rPr>
        <w:t xml:space="preserve">Contracting </w:t>
      </w:r>
      <w:r w:rsidRPr="002A1268">
        <w:rPr>
          <w:rFonts w:cstheme="minorHAnsi"/>
          <w:b/>
        </w:rPr>
        <w:t>Parties.</w:t>
      </w:r>
    </w:p>
    <w:p w14:paraId="5040BC8D" w14:textId="77777777" w:rsidR="00297028" w:rsidRPr="00135706" w:rsidRDefault="00297028" w:rsidP="0045114E">
      <w:pPr>
        <w:keepNext/>
        <w:spacing w:after="0" w:line="240" w:lineRule="auto"/>
        <w:rPr>
          <w:rFonts w:cstheme="minorHAnsi"/>
        </w:rPr>
      </w:pPr>
    </w:p>
    <w:p w14:paraId="5E8E5FC9" w14:textId="77777777" w:rsidR="00297028" w:rsidRPr="00294A7E" w:rsidRDefault="00297028"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F9098E">
        <w:rPr>
          <w:rFonts w:cstheme="minorHAnsi"/>
          <w:bCs/>
        </w:rPr>
        <w:t>22</w:t>
      </w:r>
      <w:r>
        <w:rPr>
          <w:rFonts w:cstheme="minorHAnsi"/>
          <w:bCs/>
        </w:rPr>
        <w:t xml:space="preserve">: </w:t>
      </w:r>
      <w:r w:rsidRPr="00F9098E">
        <w:rPr>
          <w:rFonts w:cstheme="minorHAnsi"/>
          <w:bCs/>
        </w:rPr>
        <w:t>Report of the Secretariat on the challenges and opportunities related to the submission and updating of Ramsar Information Sheets</w:t>
      </w:r>
    </w:p>
    <w:p w14:paraId="00E547D1" w14:textId="77777777" w:rsidR="00297028" w:rsidRDefault="00297028" w:rsidP="0045114E">
      <w:pPr>
        <w:spacing w:after="0" w:line="240" w:lineRule="auto"/>
        <w:ind w:left="562" w:hanging="562"/>
        <w:rPr>
          <w:rFonts w:cstheme="minorHAnsi"/>
        </w:rPr>
      </w:pPr>
    </w:p>
    <w:p w14:paraId="7700C4C9" w14:textId="2C767063" w:rsidR="00297028" w:rsidRDefault="00297028" w:rsidP="0045114E">
      <w:pPr>
        <w:spacing w:after="0" w:line="240" w:lineRule="auto"/>
      </w:pPr>
      <w:r w:rsidRPr="0025591A">
        <w:rPr>
          <w:rFonts w:cstheme="minorHAnsi"/>
          <w:b/>
        </w:rPr>
        <w:t>Decision SC63-33: The Standing Committee decided to establish a working group to further elaborate on the priority actions presented in document SC63 Doc.22, in consultation with the Secretariat and the STRP, to inform the preparation of a draft resolution on strengthening future processes on updating the RIS. The working group will provide a report to SC64.</w:t>
      </w:r>
      <w:r w:rsidR="0051669D">
        <w:rPr>
          <w:rStyle w:val="FootnoteReference"/>
          <w:rFonts w:cstheme="minorHAnsi"/>
          <w:b/>
        </w:rPr>
        <w:footnoteReference w:id="2"/>
      </w:r>
    </w:p>
    <w:p w14:paraId="738A4522" w14:textId="77777777" w:rsidR="00297028" w:rsidRPr="00294A7E" w:rsidRDefault="00297028" w:rsidP="0045114E">
      <w:pPr>
        <w:spacing w:after="0" w:line="240" w:lineRule="auto"/>
        <w:ind w:left="562" w:hanging="562"/>
        <w:rPr>
          <w:rFonts w:cstheme="minorHAnsi"/>
        </w:rPr>
      </w:pPr>
    </w:p>
    <w:p w14:paraId="1A8B274F" w14:textId="77777777" w:rsidR="00297028" w:rsidRPr="00294A7E" w:rsidRDefault="00297028"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ED63A1">
        <w:rPr>
          <w:rFonts w:cstheme="minorHAnsi"/>
          <w:bCs/>
        </w:rPr>
        <w:t>23</w:t>
      </w:r>
      <w:r>
        <w:rPr>
          <w:rFonts w:cstheme="minorHAnsi"/>
          <w:bCs/>
        </w:rPr>
        <w:t xml:space="preserve">: </w:t>
      </w:r>
      <w:r w:rsidRPr="00ED63A1">
        <w:rPr>
          <w:rFonts w:cstheme="minorHAnsi"/>
          <w:bCs/>
        </w:rPr>
        <w:t>Report of the Secretariat on proposals on strengthening the process to include a Site on the List of Wetlands of International Importance</w:t>
      </w:r>
    </w:p>
    <w:p w14:paraId="2E9D545E" w14:textId="77777777" w:rsidR="00297028" w:rsidRDefault="00297028" w:rsidP="0045114E">
      <w:pPr>
        <w:spacing w:after="0" w:line="240" w:lineRule="auto"/>
        <w:ind w:left="567" w:hanging="567"/>
      </w:pPr>
    </w:p>
    <w:p w14:paraId="64BA5710" w14:textId="463CF460" w:rsidR="00297028" w:rsidRDefault="00297028" w:rsidP="0045114E">
      <w:pPr>
        <w:tabs>
          <w:tab w:val="left" w:pos="0"/>
        </w:tabs>
        <w:spacing w:after="0" w:line="240" w:lineRule="auto"/>
        <w:contextualSpacing/>
        <w:rPr>
          <w:b/>
          <w:bCs/>
        </w:rPr>
      </w:pPr>
      <w:r>
        <w:rPr>
          <w:b/>
          <w:bCs/>
        </w:rPr>
        <w:t xml:space="preserve">Decision SC63-34: The Standing Committee took note of the Secretariat’s report on proposals on strengthening the process to include a </w:t>
      </w:r>
      <w:r w:rsidR="009912B1">
        <w:rPr>
          <w:b/>
          <w:bCs/>
        </w:rPr>
        <w:t>s</w:t>
      </w:r>
      <w:r>
        <w:rPr>
          <w:b/>
          <w:bCs/>
        </w:rPr>
        <w:t>ite on the List of Wetlands of International Importance and comments made by Parties, and decided to revise SC63 Doc.23 for presentation at SC64 to more accurately reflect the views of the Legal Adviser, with a group of interested Parties to review the actions proposed in the document and provide additional recommendations for strengthening the process for including a site in the List of Wetlands of International Importance.</w:t>
      </w:r>
    </w:p>
    <w:p w14:paraId="5BAAF480" w14:textId="77777777" w:rsidR="00297028" w:rsidRPr="00294A7E" w:rsidRDefault="00297028" w:rsidP="0045114E">
      <w:pPr>
        <w:tabs>
          <w:tab w:val="left" w:pos="720"/>
          <w:tab w:val="center" w:pos="4680"/>
        </w:tabs>
        <w:spacing w:after="0" w:line="240" w:lineRule="auto"/>
        <w:contextualSpacing/>
        <w:rPr>
          <w:rFonts w:cstheme="minorHAnsi"/>
        </w:rPr>
      </w:pPr>
    </w:p>
    <w:p w14:paraId="4872BDB9" w14:textId="77777777" w:rsidR="00297028" w:rsidRPr="00294A7E" w:rsidRDefault="00297028"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bookmarkStart w:id="2" w:name="_Hlk168935222"/>
      <w:r w:rsidRPr="00294A7E">
        <w:rPr>
          <w:rFonts w:cstheme="minorHAnsi"/>
          <w:bCs/>
        </w:rPr>
        <w:t xml:space="preserve">Agenda item </w:t>
      </w:r>
      <w:r w:rsidRPr="00D465CA">
        <w:rPr>
          <w:rFonts w:cstheme="minorHAnsi"/>
          <w:bCs/>
        </w:rPr>
        <w:t>24</w:t>
      </w:r>
      <w:r>
        <w:rPr>
          <w:rFonts w:cstheme="minorHAnsi"/>
          <w:bCs/>
        </w:rPr>
        <w:t xml:space="preserve">: </w:t>
      </w:r>
      <w:r w:rsidRPr="00D465CA">
        <w:rPr>
          <w:rFonts w:cstheme="minorHAnsi"/>
          <w:bCs/>
        </w:rPr>
        <w:t>Update of the Secretariat on the implementation of Resolution XIV.20</w:t>
      </w:r>
    </w:p>
    <w:bookmarkEnd w:id="2"/>
    <w:p w14:paraId="55DCB738" w14:textId="77777777" w:rsidR="00297028" w:rsidRDefault="00297028" w:rsidP="0045114E">
      <w:pPr>
        <w:spacing w:after="0" w:line="240" w:lineRule="auto"/>
        <w:ind w:left="567" w:hanging="567"/>
      </w:pPr>
    </w:p>
    <w:p w14:paraId="0F6DD2E3" w14:textId="77777777" w:rsidR="00297028" w:rsidRDefault="00297028" w:rsidP="0045114E">
      <w:pPr>
        <w:spacing w:after="0" w:line="240" w:lineRule="auto"/>
        <w:rPr>
          <w:rFonts w:cstheme="minorHAnsi"/>
          <w:b/>
        </w:rPr>
      </w:pPr>
      <w:r w:rsidRPr="0082765E">
        <w:rPr>
          <w:rFonts w:cstheme="minorHAnsi"/>
          <w:b/>
        </w:rPr>
        <w:t>Decision SC63-</w:t>
      </w:r>
      <w:r>
        <w:rPr>
          <w:rFonts w:cstheme="minorHAnsi"/>
          <w:b/>
        </w:rPr>
        <w:t>35</w:t>
      </w:r>
      <w:r w:rsidRPr="0082765E">
        <w:rPr>
          <w:rFonts w:cstheme="minorHAnsi"/>
          <w:b/>
        </w:rPr>
        <w:t xml:space="preserve">: The Standing Committee </w:t>
      </w:r>
      <w:r>
        <w:rPr>
          <w:rFonts w:cstheme="minorHAnsi"/>
          <w:b/>
        </w:rPr>
        <w:t xml:space="preserve">took </w:t>
      </w:r>
      <w:r w:rsidRPr="0082765E">
        <w:rPr>
          <w:rFonts w:cstheme="minorHAnsi"/>
          <w:b/>
        </w:rPr>
        <w:t xml:space="preserve">note of the update of the Secretariat on the implementation of Resolution XIV.20 on </w:t>
      </w:r>
      <w:r>
        <w:rPr>
          <w:rFonts w:cstheme="minorHAnsi"/>
          <w:b/>
        </w:rPr>
        <w:t>t</w:t>
      </w:r>
      <w:r w:rsidRPr="0082765E">
        <w:rPr>
          <w:rFonts w:cstheme="minorHAnsi"/>
          <w:b/>
        </w:rPr>
        <w:t>he Convention’s response to environmental emergency in Ukraine relating to the damage of its Wetlands of International Importance (Ramsar Sites) stemming from the Russian Federation’s aggression.</w:t>
      </w:r>
    </w:p>
    <w:p w14:paraId="03400564" w14:textId="77777777" w:rsidR="00297028" w:rsidRDefault="00297028" w:rsidP="0045114E">
      <w:pPr>
        <w:spacing w:after="0" w:line="240" w:lineRule="auto"/>
        <w:rPr>
          <w:rFonts w:cstheme="minorHAnsi"/>
          <w:b/>
        </w:rPr>
      </w:pPr>
    </w:p>
    <w:p w14:paraId="4A1B8646" w14:textId="60BEC005" w:rsidR="00297028" w:rsidRPr="00294A7E" w:rsidRDefault="00297028"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11: </w:t>
      </w:r>
      <w:r w:rsidRPr="00A409E3">
        <w:rPr>
          <w:rFonts w:cstheme="minorHAnsi"/>
          <w:bCs/>
        </w:rPr>
        <w:t>Report of the Strategic Plan Working Group</w:t>
      </w:r>
    </w:p>
    <w:p w14:paraId="30E19FC1" w14:textId="77777777" w:rsidR="00E4378D" w:rsidRPr="00E4378D" w:rsidRDefault="00E4378D" w:rsidP="0045114E">
      <w:pPr>
        <w:spacing w:after="0" w:line="240" w:lineRule="auto"/>
        <w:rPr>
          <w:rFonts w:cstheme="minorHAnsi"/>
        </w:rPr>
      </w:pPr>
    </w:p>
    <w:p w14:paraId="7E8A9EB5" w14:textId="6584F5A1" w:rsidR="00297028" w:rsidRPr="00545F61" w:rsidRDefault="00297028" w:rsidP="0045114E">
      <w:pPr>
        <w:spacing w:after="0" w:line="240" w:lineRule="auto"/>
        <w:rPr>
          <w:rFonts w:cstheme="minorHAnsi"/>
          <w:b/>
        </w:rPr>
      </w:pPr>
      <w:r w:rsidRPr="00545F61">
        <w:rPr>
          <w:rFonts w:cstheme="minorHAnsi"/>
          <w:b/>
        </w:rPr>
        <w:t xml:space="preserve">Decision SC63-36: The Standing Committee took note of the progress report of the Strategic Plan Working Group (SPWG) and comments made by Parties on document SC63 Doc.11 Rev.1, and welcomed the progress made by the SPWG in </w:t>
      </w:r>
      <w:bookmarkStart w:id="3" w:name="_Hlk170132627"/>
      <w:r w:rsidRPr="00545F61">
        <w:rPr>
          <w:rFonts w:cstheme="minorHAnsi"/>
          <w:b/>
        </w:rPr>
        <w:t xml:space="preserve">Annex 3 </w:t>
      </w:r>
      <w:r w:rsidR="006210A0">
        <w:rPr>
          <w:rFonts w:cstheme="minorHAnsi"/>
          <w:b/>
        </w:rPr>
        <w:t>of that document</w:t>
      </w:r>
      <w:bookmarkEnd w:id="3"/>
      <w:r w:rsidRPr="00545F61">
        <w:rPr>
          <w:rFonts w:cstheme="minorHAnsi"/>
          <w:b/>
        </w:rPr>
        <w:t>, with amended language, as a basis for continued discussions to work towards a draft resolution for COP15.</w:t>
      </w:r>
    </w:p>
    <w:p w14:paraId="26F78150" w14:textId="77777777" w:rsidR="00297028" w:rsidRDefault="00297028" w:rsidP="0045114E">
      <w:pPr>
        <w:spacing w:after="0" w:line="240" w:lineRule="auto"/>
      </w:pPr>
    </w:p>
    <w:p w14:paraId="0028A1C6" w14:textId="0FA6A627" w:rsidR="00297028" w:rsidRPr="00294A7E" w:rsidRDefault="00297028" w:rsidP="0045114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4866">
        <w:rPr>
          <w:rFonts w:cstheme="minorHAnsi"/>
          <w:bCs/>
        </w:rPr>
        <w:lastRenderedPageBreak/>
        <w:t>Agenda item 7.2: Report of the Management Working Group: Report on the process for recruiting a new Secretary General</w:t>
      </w:r>
    </w:p>
    <w:p w14:paraId="20C6746E" w14:textId="77777777" w:rsidR="00297028" w:rsidRDefault="00297028" w:rsidP="000A6390">
      <w:pPr>
        <w:keepNext/>
        <w:spacing w:after="0" w:line="240" w:lineRule="auto"/>
        <w:ind w:left="567" w:hanging="567"/>
      </w:pPr>
    </w:p>
    <w:p w14:paraId="5EE3E784" w14:textId="7F75098D" w:rsidR="00F03D5B" w:rsidRPr="000A6390" w:rsidRDefault="00297028" w:rsidP="00C70886">
      <w:pPr>
        <w:spacing w:after="0" w:line="240" w:lineRule="auto"/>
        <w:rPr>
          <w:rFonts w:cstheme="minorHAnsi"/>
          <w:b/>
        </w:rPr>
      </w:pPr>
      <w:r w:rsidRPr="0057429F">
        <w:rPr>
          <w:rFonts w:cstheme="minorHAnsi"/>
          <w:b/>
        </w:rPr>
        <w:t>Decision SC63-37: The Standing Committee took note of the views expressed regarding the process for recruiting a new Secretary General and requested SC64 to continue discussions on this matter on the basis of the annex to document SC63 Doc.7.2 Rev.1.</w:t>
      </w:r>
    </w:p>
    <w:sectPr w:rsidR="00F03D5B" w:rsidRPr="000A6390" w:rsidSect="00F03D5B">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82938" w14:textId="77777777" w:rsidR="007A74CE" w:rsidRDefault="007A74CE" w:rsidP="0021462B">
      <w:pPr>
        <w:spacing w:after="0" w:line="240" w:lineRule="auto"/>
      </w:pPr>
      <w:r>
        <w:separator/>
      </w:r>
    </w:p>
  </w:endnote>
  <w:endnote w:type="continuationSeparator" w:id="0">
    <w:p w14:paraId="0698FFC3" w14:textId="77777777" w:rsidR="007A74CE" w:rsidRDefault="007A74CE" w:rsidP="0021462B">
      <w:pPr>
        <w:spacing w:after="0" w:line="240" w:lineRule="auto"/>
      </w:pPr>
      <w:r>
        <w:continuationSeparator/>
      </w:r>
    </w:p>
  </w:endnote>
  <w:endnote w:type="continuationNotice" w:id="1">
    <w:p w14:paraId="17BBB136" w14:textId="77777777" w:rsidR="007A74CE" w:rsidRDefault="007A7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344D" w14:textId="3353BFCE" w:rsidR="007A74CE" w:rsidRDefault="007A74CE" w:rsidP="00B96116">
    <w:pPr>
      <w:pStyle w:val="Footer"/>
      <w:tabs>
        <w:tab w:val="clear" w:pos="9026"/>
        <w:tab w:val="right" w:pos="13892"/>
      </w:tabs>
    </w:pPr>
    <w:r>
      <w:rPr>
        <w:sz w:val="20"/>
        <w:szCs w:val="20"/>
      </w:rPr>
      <w:t>SC63 Decisions</w:t>
    </w:r>
    <w:r>
      <w:rPr>
        <w:sz w:val="20"/>
        <w:szCs w:val="20"/>
      </w:rPr>
      <w:tab/>
    </w:r>
    <w:r>
      <w:rPr>
        <w:sz w:val="20"/>
        <w:szCs w:val="20"/>
      </w:rPr>
      <w:tab/>
    </w:r>
    <w:r w:rsidRPr="00816086">
      <w:rPr>
        <w:sz w:val="20"/>
        <w:szCs w:val="20"/>
      </w:rPr>
      <w:fldChar w:fldCharType="begin"/>
    </w:r>
    <w:r w:rsidRPr="00816086">
      <w:rPr>
        <w:sz w:val="20"/>
        <w:szCs w:val="20"/>
      </w:rPr>
      <w:instrText xml:space="preserve"> PAGE   \* MERGEFORMAT </w:instrText>
    </w:r>
    <w:r w:rsidRPr="00816086">
      <w:rPr>
        <w:sz w:val="20"/>
        <w:szCs w:val="20"/>
      </w:rPr>
      <w:fldChar w:fldCharType="separate"/>
    </w:r>
    <w:r>
      <w:rPr>
        <w:noProof/>
        <w:sz w:val="20"/>
        <w:szCs w:val="20"/>
      </w:rPr>
      <w:t>5</w:t>
    </w:r>
    <w:r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0999" w14:textId="77777777" w:rsidR="007A74CE" w:rsidRDefault="007A74CE" w:rsidP="0021462B">
      <w:pPr>
        <w:spacing w:after="0" w:line="240" w:lineRule="auto"/>
      </w:pPr>
      <w:r>
        <w:separator/>
      </w:r>
    </w:p>
  </w:footnote>
  <w:footnote w:type="continuationSeparator" w:id="0">
    <w:p w14:paraId="488343E8" w14:textId="77777777" w:rsidR="007A74CE" w:rsidRDefault="007A74CE" w:rsidP="0021462B">
      <w:pPr>
        <w:spacing w:after="0" w:line="240" w:lineRule="auto"/>
      </w:pPr>
      <w:r>
        <w:continuationSeparator/>
      </w:r>
    </w:p>
  </w:footnote>
  <w:footnote w:type="continuationNotice" w:id="1">
    <w:p w14:paraId="6121DA64" w14:textId="77777777" w:rsidR="007A74CE" w:rsidRDefault="007A74CE">
      <w:pPr>
        <w:spacing w:after="0" w:line="240" w:lineRule="auto"/>
      </w:pPr>
    </w:p>
  </w:footnote>
  <w:footnote w:id="2">
    <w:p w14:paraId="56C244D4" w14:textId="34CB276B" w:rsidR="0051669D" w:rsidRDefault="0051669D">
      <w:pPr>
        <w:pStyle w:val="FootnoteText"/>
      </w:pPr>
      <w:r>
        <w:rPr>
          <w:rStyle w:val="FootnoteReference"/>
        </w:rPr>
        <w:footnoteRef/>
      </w:r>
      <w:r>
        <w:t xml:space="preserve"> On </w:t>
      </w:r>
      <w:r w:rsidR="001336C1">
        <w:t xml:space="preserve">30 </w:t>
      </w:r>
      <w:r>
        <w:t xml:space="preserve">September 2024, through </w:t>
      </w:r>
      <w:r w:rsidRPr="000E012C">
        <w:t>Post-SC63 Intersessional Decision 01</w:t>
      </w:r>
      <w:r>
        <w:t>,</w:t>
      </w:r>
      <w:r w:rsidR="00F43AE5">
        <w:t xml:space="preserve"> </w:t>
      </w:r>
      <w:r>
        <w:t>t</w:t>
      </w:r>
      <w:r w:rsidRPr="000E012C">
        <w:t>he Standing Committee approved the terms of reference of the Working Group on RIS Updating.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85F81"/>
    <w:multiLevelType w:val="hybridMultilevel"/>
    <w:tmpl w:val="854C5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6DD3"/>
    <w:multiLevelType w:val="hybridMultilevel"/>
    <w:tmpl w:val="2D965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13E7F"/>
    <w:multiLevelType w:val="hybridMultilevel"/>
    <w:tmpl w:val="2B14FB12"/>
    <w:lvl w:ilvl="0" w:tplc="08090001">
      <w:start w:val="1"/>
      <w:numFmt w:val="bullet"/>
      <w:lvlText w:val=""/>
      <w:lvlJc w:val="left"/>
      <w:pPr>
        <w:ind w:left="720" w:hanging="360"/>
      </w:pPr>
      <w:rPr>
        <w:rFonts w:ascii="Symbol" w:hAnsi="Symbol" w:hint="default"/>
      </w:rPr>
    </w:lvl>
    <w:lvl w:ilvl="1" w:tplc="6B8664DA">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6AE"/>
    <w:multiLevelType w:val="hybridMultilevel"/>
    <w:tmpl w:val="610A4D56"/>
    <w:lvl w:ilvl="0" w:tplc="EAD6B8D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532509">
    <w:abstractNumId w:val="10"/>
  </w:num>
  <w:num w:numId="2" w16cid:durableId="756023966">
    <w:abstractNumId w:val="5"/>
  </w:num>
  <w:num w:numId="3" w16cid:durableId="1627202614">
    <w:abstractNumId w:val="4"/>
  </w:num>
  <w:num w:numId="4" w16cid:durableId="347175099">
    <w:abstractNumId w:val="0"/>
  </w:num>
  <w:num w:numId="5" w16cid:durableId="1664354879">
    <w:abstractNumId w:val="12"/>
  </w:num>
  <w:num w:numId="6" w16cid:durableId="268588782">
    <w:abstractNumId w:val="15"/>
  </w:num>
  <w:num w:numId="7" w16cid:durableId="1275408604">
    <w:abstractNumId w:val="7"/>
  </w:num>
  <w:num w:numId="8" w16cid:durableId="1879002758">
    <w:abstractNumId w:val="7"/>
  </w:num>
  <w:num w:numId="9" w16cid:durableId="1989238904">
    <w:abstractNumId w:val="14"/>
  </w:num>
  <w:num w:numId="10" w16cid:durableId="260340616">
    <w:abstractNumId w:val="9"/>
  </w:num>
  <w:num w:numId="11" w16cid:durableId="17588542">
    <w:abstractNumId w:val="1"/>
  </w:num>
  <w:num w:numId="12" w16cid:durableId="396050463">
    <w:abstractNumId w:val="2"/>
  </w:num>
  <w:num w:numId="13" w16cid:durableId="1512912272">
    <w:abstractNumId w:val="3"/>
  </w:num>
  <w:num w:numId="14" w16cid:durableId="942493438">
    <w:abstractNumId w:val="8"/>
  </w:num>
  <w:num w:numId="15" w16cid:durableId="479734444">
    <w:abstractNumId w:val="13"/>
  </w:num>
  <w:num w:numId="16" w16cid:durableId="1051928818">
    <w:abstractNumId w:val="11"/>
  </w:num>
  <w:num w:numId="17" w16cid:durableId="207696989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05896"/>
    <w:rsid w:val="00011242"/>
    <w:rsid w:val="00011710"/>
    <w:rsid w:val="00015DBE"/>
    <w:rsid w:val="000167A8"/>
    <w:rsid w:val="00033DBB"/>
    <w:rsid w:val="00035341"/>
    <w:rsid w:val="0003654E"/>
    <w:rsid w:val="00037E1E"/>
    <w:rsid w:val="00040BFC"/>
    <w:rsid w:val="00040E82"/>
    <w:rsid w:val="00043ED1"/>
    <w:rsid w:val="00046FF0"/>
    <w:rsid w:val="00051460"/>
    <w:rsid w:val="00052163"/>
    <w:rsid w:val="000523B2"/>
    <w:rsid w:val="00052A2A"/>
    <w:rsid w:val="000569B7"/>
    <w:rsid w:val="00065BF8"/>
    <w:rsid w:val="00065D01"/>
    <w:rsid w:val="00067B29"/>
    <w:rsid w:val="000732FB"/>
    <w:rsid w:val="0008003D"/>
    <w:rsid w:val="0008257D"/>
    <w:rsid w:val="00082A85"/>
    <w:rsid w:val="00093E6F"/>
    <w:rsid w:val="00094BD4"/>
    <w:rsid w:val="00095D7A"/>
    <w:rsid w:val="00096C8C"/>
    <w:rsid w:val="000A5B19"/>
    <w:rsid w:val="000A6390"/>
    <w:rsid w:val="000A7322"/>
    <w:rsid w:val="000A739B"/>
    <w:rsid w:val="000B5097"/>
    <w:rsid w:val="000B5744"/>
    <w:rsid w:val="000C10BB"/>
    <w:rsid w:val="000C31CF"/>
    <w:rsid w:val="000C6501"/>
    <w:rsid w:val="000C794A"/>
    <w:rsid w:val="000D1607"/>
    <w:rsid w:val="000D6619"/>
    <w:rsid w:val="000E00BE"/>
    <w:rsid w:val="000E0D43"/>
    <w:rsid w:val="000E1B66"/>
    <w:rsid w:val="000E1F64"/>
    <w:rsid w:val="000E621C"/>
    <w:rsid w:val="000F08CF"/>
    <w:rsid w:val="000F0DA6"/>
    <w:rsid w:val="000F6A3D"/>
    <w:rsid w:val="000F768E"/>
    <w:rsid w:val="000F7874"/>
    <w:rsid w:val="000F7F76"/>
    <w:rsid w:val="001014F9"/>
    <w:rsid w:val="001048C0"/>
    <w:rsid w:val="00105953"/>
    <w:rsid w:val="0010689C"/>
    <w:rsid w:val="00111AE4"/>
    <w:rsid w:val="00111E9F"/>
    <w:rsid w:val="0011266F"/>
    <w:rsid w:val="00113818"/>
    <w:rsid w:val="00121238"/>
    <w:rsid w:val="00121C24"/>
    <w:rsid w:val="00125D77"/>
    <w:rsid w:val="001266DB"/>
    <w:rsid w:val="00130E47"/>
    <w:rsid w:val="00131D19"/>
    <w:rsid w:val="001336C1"/>
    <w:rsid w:val="00135706"/>
    <w:rsid w:val="00135C9D"/>
    <w:rsid w:val="00141FBB"/>
    <w:rsid w:val="001436BD"/>
    <w:rsid w:val="001515FC"/>
    <w:rsid w:val="00152DA6"/>
    <w:rsid w:val="0016285F"/>
    <w:rsid w:val="00163ED4"/>
    <w:rsid w:val="00171731"/>
    <w:rsid w:val="0017223F"/>
    <w:rsid w:val="0017411A"/>
    <w:rsid w:val="00181E71"/>
    <w:rsid w:val="001833DC"/>
    <w:rsid w:val="00185088"/>
    <w:rsid w:val="001868C3"/>
    <w:rsid w:val="00194CAC"/>
    <w:rsid w:val="00197D9D"/>
    <w:rsid w:val="001A0231"/>
    <w:rsid w:val="001A1050"/>
    <w:rsid w:val="001A10DC"/>
    <w:rsid w:val="001A1A5D"/>
    <w:rsid w:val="001B10A8"/>
    <w:rsid w:val="001B1CCF"/>
    <w:rsid w:val="001B2FA1"/>
    <w:rsid w:val="001B786F"/>
    <w:rsid w:val="001C643C"/>
    <w:rsid w:val="001C70EF"/>
    <w:rsid w:val="001D0030"/>
    <w:rsid w:val="001D07DD"/>
    <w:rsid w:val="001D129D"/>
    <w:rsid w:val="001D1935"/>
    <w:rsid w:val="001D7A2A"/>
    <w:rsid w:val="001E185F"/>
    <w:rsid w:val="001E31B7"/>
    <w:rsid w:val="001E7082"/>
    <w:rsid w:val="001E7F06"/>
    <w:rsid w:val="001F2EA4"/>
    <w:rsid w:val="002035A8"/>
    <w:rsid w:val="00204321"/>
    <w:rsid w:val="00205B98"/>
    <w:rsid w:val="0020647A"/>
    <w:rsid w:val="00211A0E"/>
    <w:rsid w:val="00212BA9"/>
    <w:rsid w:val="00213A8D"/>
    <w:rsid w:val="0021462B"/>
    <w:rsid w:val="00225176"/>
    <w:rsid w:val="00234087"/>
    <w:rsid w:val="00234A2B"/>
    <w:rsid w:val="00242978"/>
    <w:rsid w:val="0024341A"/>
    <w:rsid w:val="00250708"/>
    <w:rsid w:val="00251E65"/>
    <w:rsid w:val="00253263"/>
    <w:rsid w:val="002566E0"/>
    <w:rsid w:val="00260CB8"/>
    <w:rsid w:val="002612B3"/>
    <w:rsid w:val="002620FA"/>
    <w:rsid w:val="002623E8"/>
    <w:rsid w:val="002676BB"/>
    <w:rsid w:val="00277224"/>
    <w:rsid w:val="00277425"/>
    <w:rsid w:val="002813FB"/>
    <w:rsid w:val="00282E54"/>
    <w:rsid w:val="00294A7E"/>
    <w:rsid w:val="0029655A"/>
    <w:rsid w:val="00297028"/>
    <w:rsid w:val="002A1752"/>
    <w:rsid w:val="002A609F"/>
    <w:rsid w:val="002B1C9D"/>
    <w:rsid w:val="002B333B"/>
    <w:rsid w:val="002B506E"/>
    <w:rsid w:val="002B5D8A"/>
    <w:rsid w:val="002C18F1"/>
    <w:rsid w:val="002C1D8B"/>
    <w:rsid w:val="002C46E8"/>
    <w:rsid w:val="002D1710"/>
    <w:rsid w:val="002D1A0A"/>
    <w:rsid w:val="002D3C07"/>
    <w:rsid w:val="002D4184"/>
    <w:rsid w:val="002D70BA"/>
    <w:rsid w:val="002E18AD"/>
    <w:rsid w:val="002E3F8A"/>
    <w:rsid w:val="002E7E09"/>
    <w:rsid w:val="002F3870"/>
    <w:rsid w:val="00300945"/>
    <w:rsid w:val="003016BC"/>
    <w:rsid w:val="00303762"/>
    <w:rsid w:val="00307696"/>
    <w:rsid w:val="003105BD"/>
    <w:rsid w:val="00311AE1"/>
    <w:rsid w:val="00311EA4"/>
    <w:rsid w:val="00312DBD"/>
    <w:rsid w:val="00316FB0"/>
    <w:rsid w:val="00320193"/>
    <w:rsid w:val="00322841"/>
    <w:rsid w:val="00322898"/>
    <w:rsid w:val="0032300E"/>
    <w:rsid w:val="00324094"/>
    <w:rsid w:val="0032759D"/>
    <w:rsid w:val="003323C2"/>
    <w:rsid w:val="003365A5"/>
    <w:rsid w:val="003370DB"/>
    <w:rsid w:val="0034026E"/>
    <w:rsid w:val="003422D8"/>
    <w:rsid w:val="00344658"/>
    <w:rsid w:val="003462C8"/>
    <w:rsid w:val="00347B02"/>
    <w:rsid w:val="00354752"/>
    <w:rsid w:val="00360D78"/>
    <w:rsid w:val="00362D32"/>
    <w:rsid w:val="00363EAD"/>
    <w:rsid w:val="00366660"/>
    <w:rsid w:val="00367A4B"/>
    <w:rsid w:val="00370B73"/>
    <w:rsid w:val="003713EF"/>
    <w:rsid w:val="0037198A"/>
    <w:rsid w:val="0037435C"/>
    <w:rsid w:val="00374368"/>
    <w:rsid w:val="00376AEA"/>
    <w:rsid w:val="00387A1D"/>
    <w:rsid w:val="003900EF"/>
    <w:rsid w:val="00396ADF"/>
    <w:rsid w:val="003B2460"/>
    <w:rsid w:val="003B515C"/>
    <w:rsid w:val="003B6C18"/>
    <w:rsid w:val="003C0E3F"/>
    <w:rsid w:val="003C32B7"/>
    <w:rsid w:val="003C4862"/>
    <w:rsid w:val="003D2889"/>
    <w:rsid w:val="003D5D1A"/>
    <w:rsid w:val="003E6857"/>
    <w:rsid w:val="003F6F4D"/>
    <w:rsid w:val="00400D96"/>
    <w:rsid w:val="00403150"/>
    <w:rsid w:val="00403D87"/>
    <w:rsid w:val="00407078"/>
    <w:rsid w:val="0041000E"/>
    <w:rsid w:val="004107FC"/>
    <w:rsid w:val="00414485"/>
    <w:rsid w:val="00416BFE"/>
    <w:rsid w:val="004254D7"/>
    <w:rsid w:val="004275A2"/>
    <w:rsid w:val="00427B3E"/>
    <w:rsid w:val="00432675"/>
    <w:rsid w:val="00434D8C"/>
    <w:rsid w:val="00440B38"/>
    <w:rsid w:val="00442449"/>
    <w:rsid w:val="00446B26"/>
    <w:rsid w:val="0045114E"/>
    <w:rsid w:val="00451620"/>
    <w:rsid w:val="0045164E"/>
    <w:rsid w:val="0045457C"/>
    <w:rsid w:val="00456B09"/>
    <w:rsid w:val="0046089C"/>
    <w:rsid w:val="004608D6"/>
    <w:rsid w:val="004636EA"/>
    <w:rsid w:val="00464088"/>
    <w:rsid w:val="0046661F"/>
    <w:rsid w:val="00480A12"/>
    <w:rsid w:val="00485F41"/>
    <w:rsid w:val="00486AD0"/>
    <w:rsid w:val="004872A3"/>
    <w:rsid w:val="004949B5"/>
    <w:rsid w:val="004A3EEF"/>
    <w:rsid w:val="004A6E99"/>
    <w:rsid w:val="004A701D"/>
    <w:rsid w:val="004B16FF"/>
    <w:rsid w:val="004B6AC0"/>
    <w:rsid w:val="004C2E9B"/>
    <w:rsid w:val="004D20C6"/>
    <w:rsid w:val="004D446C"/>
    <w:rsid w:val="004E28BD"/>
    <w:rsid w:val="004E2C70"/>
    <w:rsid w:val="004E7B4B"/>
    <w:rsid w:val="004F28C1"/>
    <w:rsid w:val="00500B32"/>
    <w:rsid w:val="005022A4"/>
    <w:rsid w:val="0051620D"/>
    <w:rsid w:val="0051669D"/>
    <w:rsid w:val="0053592E"/>
    <w:rsid w:val="00541DD8"/>
    <w:rsid w:val="00543BF9"/>
    <w:rsid w:val="00544A64"/>
    <w:rsid w:val="00545238"/>
    <w:rsid w:val="0054557E"/>
    <w:rsid w:val="0054722F"/>
    <w:rsid w:val="005502D7"/>
    <w:rsid w:val="00550CBA"/>
    <w:rsid w:val="00554312"/>
    <w:rsid w:val="00554838"/>
    <w:rsid w:val="00557E77"/>
    <w:rsid w:val="00561F98"/>
    <w:rsid w:val="0057429F"/>
    <w:rsid w:val="00581487"/>
    <w:rsid w:val="00583A38"/>
    <w:rsid w:val="00584154"/>
    <w:rsid w:val="00584301"/>
    <w:rsid w:val="0058654F"/>
    <w:rsid w:val="00593027"/>
    <w:rsid w:val="005936F1"/>
    <w:rsid w:val="005A3D2D"/>
    <w:rsid w:val="005A4B27"/>
    <w:rsid w:val="005A4CA5"/>
    <w:rsid w:val="005B0AC0"/>
    <w:rsid w:val="005B4766"/>
    <w:rsid w:val="005B48FF"/>
    <w:rsid w:val="005B73D2"/>
    <w:rsid w:val="005C32B7"/>
    <w:rsid w:val="005C3E7C"/>
    <w:rsid w:val="005C4477"/>
    <w:rsid w:val="005C4D95"/>
    <w:rsid w:val="005D1FDD"/>
    <w:rsid w:val="005D5335"/>
    <w:rsid w:val="005E1436"/>
    <w:rsid w:val="005E1A58"/>
    <w:rsid w:val="005E33B1"/>
    <w:rsid w:val="005E38DF"/>
    <w:rsid w:val="005E529E"/>
    <w:rsid w:val="005E61C6"/>
    <w:rsid w:val="005E7BFA"/>
    <w:rsid w:val="005F045E"/>
    <w:rsid w:val="005F0EC2"/>
    <w:rsid w:val="005F36E0"/>
    <w:rsid w:val="005F4C17"/>
    <w:rsid w:val="005F6C5C"/>
    <w:rsid w:val="006008CB"/>
    <w:rsid w:val="00601B54"/>
    <w:rsid w:val="0061113C"/>
    <w:rsid w:val="006208DD"/>
    <w:rsid w:val="006210A0"/>
    <w:rsid w:val="006211E5"/>
    <w:rsid w:val="00624F00"/>
    <w:rsid w:val="0062665F"/>
    <w:rsid w:val="00630910"/>
    <w:rsid w:val="00632426"/>
    <w:rsid w:val="00633E8E"/>
    <w:rsid w:val="006346F9"/>
    <w:rsid w:val="0064056B"/>
    <w:rsid w:val="00641266"/>
    <w:rsid w:val="00642437"/>
    <w:rsid w:val="00645566"/>
    <w:rsid w:val="00646B04"/>
    <w:rsid w:val="006523E7"/>
    <w:rsid w:val="00655353"/>
    <w:rsid w:val="0065637A"/>
    <w:rsid w:val="0066515D"/>
    <w:rsid w:val="006666D2"/>
    <w:rsid w:val="00666C2B"/>
    <w:rsid w:val="00667D01"/>
    <w:rsid w:val="00675BFB"/>
    <w:rsid w:val="0068291E"/>
    <w:rsid w:val="00683D21"/>
    <w:rsid w:val="00694026"/>
    <w:rsid w:val="00696420"/>
    <w:rsid w:val="006A020D"/>
    <w:rsid w:val="006A157B"/>
    <w:rsid w:val="006A46EA"/>
    <w:rsid w:val="006A4CDA"/>
    <w:rsid w:val="006A5C69"/>
    <w:rsid w:val="006A7A89"/>
    <w:rsid w:val="006B3DD2"/>
    <w:rsid w:val="006B5E80"/>
    <w:rsid w:val="006B761D"/>
    <w:rsid w:val="006C022D"/>
    <w:rsid w:val="006C73E4"/>
    <w:rsid w:val="006F0FDF"/>
    <w:rsid w:val="006F28D9"/>
    <w:rsid w:val="006F5E92"/>
    <w:rsid w:val="00711678"/>
    <w:rsid w:val="00711B81"/>
    <w:rsid w:val="0071279C"/>
    <w:rsid w:val="00721469"/>
    <w:rsid w:val="0072363D"/>
    <w:rsid w:val="00727C91"/>
    <w:rsid w:val="00736898"/>
    <w:rsid w:val="007439FE"/>
    <w:rsid w:val="007460D1"/>
    <w:rsid w:val="00747705"/>
    <w:rsid w:val="00752F75"/>
    <w:rsid w:val="00753EB2"/>
    <w:rsid w:val="00754241"/>
    <w:rsid w:val="007546F8"/>
    <w:rsid w:val="007564EF"/>
    <w:rsid w:val="0076043D"/>
    <w:rsid w:val="0076130E"/>
    <w:rsid w:val="00764A77"/>
    <w:rsid w:val="00764D6F"/>
    <w:rsid w:val="007669F5"/>
    <w:rsid w:val="00781BED"/>
    <w:rsid w:val="00783E5D"/>
    <w:rsid w:val="0078588B"/>
    <w:rsid w:val="00791D18"/>
    <w:rsid w:val="0079208E"/>
    <w:rsid w:val="007925D9"/>
    <w:rsid w:val="00793277"/>
    <w:rsid w:val="00793C93"/>
    <w:rsid w:val="0079473B"/>
    <w:rsid w:val="0079631C"/>
    <w:rsid w:val="0079632E"/>
    <w:rsid w:val="007A0A3F"/>
    <w:rsid w:val="007A4532"/>
    <w:rsid w:val="007A6C25"/>
    <w:rsid w:val="007A6FBF"/>
    <w:rsid w:val="007A74CE"/>
    <w:rsid w:val="007A76AB"/>
    <w:rsid w:val="007B2155"/>
    <w:rsid w:val="007B268C"/>
    <w:rsid w:val="007B277C"/>
    <w:rsid w:val="007B7C6E"/>
    <w:rsid w:val="007C7939"/>
    <w:rsid w:val="007C7F2E"/>
    <w:rsid w:val="007D30A0"/>
    <w:rsid w:val="007D520E"/>
    <w:rsid w:val="007D746A"/>
    <w:rsid w:val="007E570B"/>
    <w:rsid w:val="007E6F58"/>
    <w:rsid w:val="007E7A7B"/>
    <w:rsid w:val="007F3137"/>
    <w:rsid w:val="007F424B"/>
    <w:rsid w:val="007F459E"/>
    <w:rsid w:val="00812C2E"/>
    <w:rsid w:val="00814ACF"/>
    <w:rsid w:val="0081547F"/>
    <w:rsid w:val="008156F0"/>
    <w:rsid w:val="008179A1"/>
    <w:rsid w:val="00827B8B"/>
    <w:rsid w:val="00831663"/>
    <w:rsid w:val="0083600D"/>
    <w:rsid w:val="008410FE"/>
    <w:rsid w:val="0084194C"/>
    <w:rsid w:val="00843341"/>
    <w:rsid w:val="00846B31"/>
    <w:rsid w:val="008531DF"/>
    <w:rsid w:val="00853B55"/>
    <w:rsid w:val="0085514E"/>
    <w:rsid w:val="008615C1"/>
    <w:rsid w:val="0086293A"/>
    <w:rsid w:val="00862F03"/>
    <w:rsid w:val="0087432B"/>
    <w:rsid w:val="00875446"/>
    <w:rsid w:val="008804A8"/>
    <w:rsid w:val="00880BA8"/>
    <w:rsid w:val="00881410"/>
    <w:rsid w:val="00882E05"/>
    <w:rsid w:val="00885C6D"/>
    <w:rsid w:val="00890A37"/>
    <w:rsid w:val="008910F9"/>
    <w:rsid w:val="0089482D"/>
    <w:rsid w:val="00895030"/>
    <w:rsid w:val="0089568C"/>
    <w:rsid w:val="008A2242"/>
    <w:rsid w:val="008A50F6"/>
    <w:rsid w:val="008B0BD7"/>
    <w:rsid w:val="008B3E75"/>
    <w:rsid w:val="008B6CF3"/>
    <w:rsid w:val="008C05E9"/>
    <w:rsid w:val="008C1127"/>
    <w:rsid w:val="008C2486"/>
    <w:rsid w:val="008D116B"/>
    <w:rsid w:val="008D3BAC"/>
    <w:rsid w:val="008E2CB2"/>
    <w:rsid w:val="008E35E3"/>
    <w:rsid w:val="00905C21"/>
    <w:rsid w:val="00906E1C"/>
    <w:rsid w:val="0091457A"/>
    <w:rsid w:val="00921422"/>
    <w:rsid w:val="00921EC8"/>
    <w:rsid w:val="00925E93"/>
    <w:rsid w:val="009306B4"/>
    <w:rsid w:val="00933D94"/>
    <w:rsid w:val="0093422F"/>
    <w:rsid w:val="00940F43"/>
    <w:rsid w:val="009428CB"/>
    <w:rsid w:val="0094347C"/>
    <w:rsid w:val="00943A94"/>
    <w:rsid w:val="00951730"/>
    <w:rsid w:val="009549BE"/>
    <w:rsid w:val="00955177"/>
    <w:rsid w:val="009556B3"/>
    <w:rsid w:val="00956EFE"/>
    <w:rsid w:val="009643B7"/>
    <w:rsid w:val="00965639"/>
    <w:rsid w:val="00971290"/>
    <w:rsid w:val="0097189E"/>
    <w:rsid w:val="009723D0"/>
    <w:rsid w:val="00972A87"/>
    <w:rsid w:val="00975023"/>
    <w:rsid w:val="00976B31"/>
    <w:rsid w:val="00983642"/>
    <w:rsid w:val="00985357"/>
    <w:rsid w:val="00987BD7"/>
    <w:rsid w:val="009912B1"/>
    <w:rsid w:val="00995FCE"/>
    <w:rsid w:val="009961AC"/>
    <w:rsid w:val="009A0A9D"/>
    <w:rsid w:val="009A67C8"/>
    <w:rsid w:val="009A6EDB"/>
    <w:rsid w:val="009B0705"/>
    <w:rsid w:val="009B6872"/>
    <w:rsid w:val="009C33E8"/>
    <w:rsid w:val="009C4483"/>
    <w:rsid w:val="009C5EC5"/>
    <w:rsid w:val="009C6DA8"/>
    <w:rsid w:val="009D015E"/>
    <w:rsid w:val="009D3396"/>
    <w:rsid w:val="009D41B6"/>
    <w:rsid w:val="009E2D92"/>
    <w:rsid w:val="009E7260"/>
    <w:rsid w:val="009F3964"/>
    <w:rsid w:val="00A11312"/>
    <w:rsid w:val="00A143F1"/>
    <w:rsid w:val="00A21C0C"/>
    <w:rsid w:val="00A250BF"/>
    <w:rsid w:val="00A304EB"/>
    <w:rsid w:val="00A32A27"/>
    <w:rsid w:val="00A3357C"/>
    <w:rsid w:val="00A35D1B"/>
    <w:rsid w:val="00A369C9"/>
    <w:rsid w:val="00A4219F"/>
    <w:rsid w:val="00A47A1A"/>
    <w:rsid w:val="00A54897"/>
    <w:rsid w:val="00A56B91"/>
    <w:rsid w:val="00A70884"/>
    <w:rsid w:val="00A738DC"/>
    <w:rsid w:val="00A84B04"/>
    <w:rsid w:val="00A86EA6"/>
    <w:rsid w:val="00A900FF"/>
    <w:rsid w:val="00A93866"/>
    <w:rsid w:val="00A94017"/>
    <w:rsid w:val="00A97DC2"/>
    <w:rsid w:val="00AA35A1"/>
    <w:rsid w:val="00AA3626"/>
    <w:rsid w:val="00AA7FAF"/>
    <w:rsid w:val="00AB1DEB"/>
    <w:rsid w:val="00AB525F"/>
    <w:rsid w:val="00AB5C7C"/>
    <w:rsid w:val="00AC339C"/>
    <w:rsid w:val="00AC363F"/>
    <w:rsid w:val="00AC7C77"/>
    <w:rsid w:val="00AD14BC"/>
    <w:rsid w:val="00AD3594"/>
    <w:rsid w:val="00AD3D63"/>
    <w:rsid w:val="00AD4450"/>
    <w:rsid w:val="00AD793E"/>
    <w:rsid w:val="00AE3625"/>
    <w:rsid w:val="00AE5174"/>
    <w:rsid w:val="00AE707B"/>
    <w:rsid w:val="00AF56F5"/>
    <w:rsid w:val="00AF7014"/>
    <w:rsid w:val="00AF7228"/>
    <w:rsid w:val="00B23453"/>
    <w:rsid w:val="00B23E63"/>
    <w:rsid w:val="00B27D50"/>
    <w:rsid w:val="00B3294C"/>
    <w:rsid w:val="00B3442E"/>
    <w:rsid w:val="00B3611F"/>
    <w:rsid w:val="00B442CA"/>
    <w:rsid w:val="00B44EF2"/>
    <w:rsid w:val="00B46C13"/>
    <w:rsid w:val="00B46C71"/>
    <w:rsid w:val="00B475AA"/>
    <w:rsid w:val="00B47721"/>
    <w:rsid w:val="00B52919"/>
    <w:rsid w:val="00B60302"/>
    <w:rsid w:val="00B6181E"/>
    <w:rsid w:val="00B62467"/>
    <w:rsid w:val="00B62E75"/>
    <w:rsid w:val="00B70D29"/>
    <w:rsid w:val="00B74128"/>
    <w:rsid w:val="00B76D18"/>
    <w:rsid w:val="00B77951"/>
    <w:rsid w:val="00B80455"/>
    <w:rsid w:val="00B83816"/>
    <w:rsid w:val="00B855E6"/>
    <w:rsid w:val="00B96116"/>
    <w:rsid w:val="00B97795"/>
    <w:rsid w:val="00BA0294"/>
    <w:rsid w:val="00BA7AAC"/>
    <w:rsid w:val="00BB135B"/>
    <w:rsid w:val="00BB41CA"/>
    <w:rsid w:val="00BB542E"/>
    <w:rsid w:val="00BC1BD0"/>
    <w:rsid w:val="00BC304E"/>
    <w:rsid w:val="00BC4803"/>
    <w:rsid w:val="00BC5FF3"/>
    <w:rsid w:val="00BD300C"/>
    <w:rsid w:val="00BD74E2"/>
    <w:rsid w:val="00BE2067"/>
    <w:rsid w:val="00BE2ABC"/>
    <w:rsid w:val="00BF06D5"/>
    <w:rsid w:val="00BF73AC"/>
    <w:rsid w:val="00C00A3C"/>
    <w:rsid w:val="00C03FA9"/>
    <w:rsid w:val="00C04BED"/>
    <w:rsid w:val="00C05D05"/>
    <w:rsid w:val="00C078DD"/>
    <w:rsid w:val="00C115B5"/>
    <w:rsid w:val="00C1221D"/>
    <w:rsid w:val="00C21BB3"/>
    <w:rsid w:val="00C21FDF"/>
    <w:rsid w:val="00C23F37"/>
    <w:rsid w:val="00C2760A"/>
    <w:rsid w:val="00C27F80"/>
    <w:rsid w:val="00C4021C"/>
    <w:rsid w:val="00C40D5F"/>
    <w:rsid w:val="00C47E86"/>
    <w:rsid w:val="00C56683"/>
    <w:rsid w:val="00C602BE"/>
    <w:rsid w:val="00C611B3"/>
    <w:rsid w:val="00C64C2B"/>
    <w:rsid w:val="00C70886"/>
    <w:rsid w:val="00C7115C"/>
    <w:rsid w:val="00C72980"/>
    <w:rsid w:val="00C73282"/>
    <w:rsid w:val="00C85153"/>
    <w:rsid w:val="00C86147"/>
    <w:rsid w:val="00C92D16"/>
    <w:rsid w:val="00C951F9"/>
    <w:rsid w:val="00CA2333"/>
    <w:rsid w:val="00CA36D1"/>
    <w:rsid w:val="00CA3BDB"/>
    <w:rsid w:val="00CB09A0"/>
    <w:rsid w:val="00CB45A2"/>
    <w:rsid w:val="00CC2C93"/>
    <w:rsid w:val="00CC30D5"/>
    <w:rsid w:val="00CC3C70"/>
    <w:rsid w:val="00CC4566"/>
    <w:rsid w:val="00CC6DB5"/>
    <w:rsid w:val="00CD55B3"/>
    <w:rsid w:val="00CD5D60"/>
    <w:rsid w:val="00CD7716"/>
    <w:rsid w:val="00CE2FE7"/>
    <w:rsid w:val="00CE3C87"/>
    <w:rsid w:val="00CF0FE8"/>
    <w:rsid w:val="00CF14A8"/>
    <w:rsid w:val="00CF2AC4"/>
    <w:rsid w:val="00CF30CB"/>
    <w:rsid w:val="00D00BBD"/>
    <w:rsid w:val="00D1035F"/>
    <w:rsid w:val="00D11DE0"/>
    <w:rsid w:val="00D1200F"/>
    <w:rsid w:val="00D163CF"/>
    <w:rsid w:val="00D16E1A"/>
    <w:rsid w:val="00D20B2A"/>
    <w:rsid w:val="00D21B99"/>
    <w:rsid w:val="00D22178"/>
    <w:rsid w:val="00D315D4"/>
    <w:rsid w:val="00D349A5"/>
    <w:rsid w:val="00D35B8B"/>
    <w:rsid w:val="00D37F6E"/>
    <w:rsid w:val="00D4704A"/>
    <w:rsid w:val="00D47231"/>
    <w:rsid w:val="00D54A46"/>
    <w:rsid w:val="00D62485"/>
    <w:rsid w:val="00D6398B"/>
    <w:rsid w:val="00D66AE8"/>
    <w:rsid w:val="00D71B9D"/>
    <w:rsid w:val="00D72801"/>
    <w:rsid w:val="00D74B30"/>
    <w:rsid w:val="00D7656B"/>
    <w:rsid w:val="00D77582"/>
    <w:rsid w:val="00D849BB"/>
    <w:rsid w:val="00D84F77"/>
    <w:rsid w:val="00D900B1"/>
    <w:rsid w:val="00D92C88"/>
    <w:rsid w:val="00D93E9F"/>
    <w:rsid w:val="00DA1A52"/>
    <w:rsid w:val="00DA2204"/>
    <w:rsid w:val="00DA3496"/>
    <w:rsid w:val="00DA7386"/>
    <w:rsid w:val="00DB5E67"/>
    <w:rsid w:val="00DB6324"/>
    <w:rsid w:val="00DC26BD"/>
    <w:rsid w:val="00DC338C"/>
    <w:rsid w:val="00DC6E49"/>
    <w:rsid w:val="00DD4B32"/>
    <w:rsid w:val="00DD6CB6"/>
    <w:rsid w:val="00DE0587"/>
    <w:rsid w:val="00DE1FFB"/>
    <w:rsid w:val="00DE252E"/>
    <w:rsid w:val="00DE3186"/>
    <w:rsid w:val="00DE5211"/>
    <w:rsid w:val="00DE66F9"/>
    <w:rsid w:val="00DF020D"/>
    <w:rsid w:val="00DF1517"/>
    <w:rsid w:val="00DF6941"/>
    <w:rsid w:val="00DF7D6D"/>
    <w:rsid w:val="00E02F47"/>
    <w:rsid w:val="00E031BF"/>
    <w:rsid w:val="00E051A1"/>
    <w:rsid w:val="00E12D8E"/>
    <w:rsid w:val="00E14261"/>
    <w:rsid w:val="00E17E60"/>
    <w:rsid w:val="00E21EC0"/>
    <w:rsid w:val="00E22824"/>
    <w:rsid w:val="00E22DAF"/>
    <w:rsid w:val="00E2616F"/>
    <w:rsid w:val="00E378D8"/>
    <w:rsid w:val="00E37D85"/>
    <w:rsid w:val="00E4378D"/>
    <w:rsid w:val="00E460D8"/>
    <w:rsid w:val="00E46676"/>
    <w:rsid w:val="00E57C18"/>
    <w:rsid w:val="00E60CA5"/>
    <w:rsid w:val="00E64244"/>
    <w:rsid w:val="00E6583E"/>
    <w:rsid w:val="00E66F99"/>
    <w:rsid w:val="00E70BFC"/>
    <w:rsid w:val="00E76065"/>
    <w:rsid w:val="00E76DCA"/>
    <w:rsid w:val="00E828ED"/>
    <w:rsid w:val="00E83928"/>
    <w:rsid w:val="00E8665D"/>
    <w:rsid w:val="00E873E4"/>
    <w:rsid w:val="00E875D4"/>
    <w:rsid w:val="00E90605"/>
    <w:rsid w:val="00E938CA"/>
    <w:rsid w:val="00E9610A"/>
    <w:rsid w:val="00EA0885"/>
    <w:rsid w:val="00EB1A65"/>
    <w:rsid w:val="00EB1BD8"/>
    <w:rsid w:val="00EB42C7"/>
    <w:rsid w:val="00EB5383"/>
    <w:rsid w:val="00EB67D8"/>
    <w:rsid w:val="00EC1815"/>
    <w:rsid w:val="00EC300B"/>
    <w:rsid w:val="00EC46D8"/>
    <w:rsid w:val="00EC7910"/>
    <w:rsid w:val="00ED22B7"/>
    <w:rsid w:val="00ED2E5D"/>
    <w:rsid w:val="00ED585E"/>
    <w:rsid w:val="00EE7105"/>
    <w:rsid w:val="00EE7554"/>
    <w:rsid w:val="00EE7E71"/>
    <w:rsid w:val="00EF4CE5"/>
    <w:rsid w:val="00F00092"/>
    <w:rsid w:val="00F03D5B"/>
    <w:rsid w:val="00F057FC"/>
    <w:rsid w:val="00F07D0D"/>
    <w:rsid w:val="00F14AC3"/>
    <w:rsid w:val="00F1501C"/>
    <w:rsid w:val="00F20BB8"/>
    <w:rsid w:val="00F22DC9"/>
    <w:rsid w:val="00F35950"/>
    <w:rsid w:val="00F43279"/>
    <w:rsid w:val="00F43AE5"/>
    <w:rsid w:val="00F4437B"/>
    <w:rsid w:val="00F530AD"/>
    <w:rsid w:val="00F565FC"/>
    <w:rsid w:val="00F605B6"/>
    <w:rsid w:val="00F63433"/>
    <w:rsid w:val="00F708A3"/>
    <w:rsid w:val="00F73806"/>
    <w:rsid w:val="00F75BF1"/>
    <w:rsid w:val="00F822F6"/>
    <w:rsid w:val="00F85AA4"/>
    <w:rsid w:val="00F92602"/>
    <w:rsid w:val="00F945BA"/>
    <w:rsid w:val="00FA6993"/>
    <w:rsid w:val="00FB1621"/>
    <w:rsid w:val="00FC0A33"/>
    <w:rsid w:val="00FC0D43"/>
    <w:rsid w:val="00FC0FB2"/>
    <w:rsid w:val="00FC75A4"/>
    <w:rsid w:val="00FD3CC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72061287">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626306868">
      <w:bodyDiv w:val="1"/>
      <w:marLeft w:val="0"/>
      <w:marRight w:val="0"/>
      <w:marTop w:val="0"/>
      <w:marBottom w:val="0"/>
      <w:divBdr>
        <w:top w:val="none" w:sz="0" w:space="0" w:color="auto"/>
        <w:left w:val="none" w:sz="0" w:space="0" w:color="auto"/>
        <w:bottom w:val="none" w:sz="0" w:space="0" w:color="auto"/>
        <w:right w:val="none" w:sz="0" w:space="0" w:color="auto"/>
      </w:divBdr>
    </w:div>
    <w:div w:id="1787460219">
      <w:bodyDiv w:val="1"/>
      <w:marLeft w:val="0"/>
      <w:marRight w:val="0"/>
      <w:marTop w:val="0"/>
      <w:marBottom w:val="0"/>
      <w:divBdr>
        <w:top w:val="none" w:sz="0" w:space="0" w:color="auto"/>
        <w:left w:val="none" w:sz="0" w:space="0" w:color="auto"/>
        <w:bottom w:val="none" w:sz="0" w:space="0" w:color="auto"/>
        <w:right w:val="none" w:sz="0" w:space="0" w:color="auto"/>
      </w:divBdr>
    </w:div>
    <w:div w:id="1876230428">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B1341-9A43-4D56-A22D-27730D8BDC44}">
  <ds:schemaRefs>
    <ds:schemaRef ds:uri="http://purl.org/dc/elements/1.1/"/>
    <ds:schemaRef ds:uri="aedd258d-19a7-41ba-8260-b0918f25313d"/>
    <ds:schemaRef ds:uri="http://schemas.openxmlformats.org/package/2006/metadata/core-properties"/>
    <ds:schemaRef ds:uri="http://schemas.microsoft.com/office/2006/documentManagement/types"/>
    <ds:schemaRef ds:uri="8c0b6b05-eb82-4bda-97e8-cd82d0d6b453"/>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090BCC9-89CB-4CE1-A29F-4FD385EA4B5F}">
  <ds:schemaRefs>
    <ds:schemaRef ds:uri="http://schemas.openxmlformats.org/officeDocument/2006/bibliography"/>
  </ds:schemaRefs>
</ds:datastoreItem>
</file>

<file path=customXml/itemProps3.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4.xml><?xml version="1.0" encoding="utf-8"?>
<ds:datastoreItem xmlns:ds="http://schemas.openxmlformats.org/officeDocument/2006/customXml" ds:itemID="{45B8FC6A-9ACD-4395-A38B-A5BD9F35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cp:lastPrinted>2024-06-20T14:26:00Z</cp:lastPrinted>
  <dcterms:created xsi:type="dcterms:W3CDTF">2024-10-10T13:48:00Z</dcterms:created>
  <dcterms:modified xsi:type="dcterms:W3CDTF">2024-10-10T13:48:00Z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