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4DBA" w14:textId="77777777" w:rsidR="00814ACF" w:rsidRPr="003B21F0" w:rsidRDefault="00814ACF" w:rsidP="00814ACF">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rPr>
      </w:pPr>
      <w:r w:rsidRPr="003B21F0">
        <w:t>LA CONVENCIÓN SOBRE LOS HUMEDALES</w:t>
      </w:r>
    </w:p>
    <w:p w14:paraId="47D2C2BE" w14:textId="2FF80BCF" w:rsidR="00814ACF" w:rsidRPr="003B21F0" w:rsidRDefault="00814ACF" w:rsidP="00814ACF">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rPr>
      </w:pPr>
      <w:r w:rsidRPr="003B21F0">
        <w:t>63ª reunión del Comité Permanente</w:t>
      </w:r>
    </w:p>
    <w:p w14:paraId="7B85DB9F" w14:textId="290CFCCD" w:rsidR="00814ACF" w:rsidRPr="003B21F0" w:rsidRDefault="00814ACF" w:rsidP="00814ACF">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rPr>
      </w:pPr>
      <w:proofErr w:type="spellStart"/>
      <w:r w:rsidRPr="003B21F0">
        <w:t>Gland</w:t>
      </w:r>
      <w:proofErr w:type="spellEnd"/>
      <w:r w:rsidRPr="003B21F0">
        <w:t>, Suiza, 3 a 7 de junio de 2024</w:t>
      </w:r>
    </w:p>
    <w:p w14:paraId="18B91B93" w14:textId="77777777" w:rsidR="00135706" w:rsidRPr="003B21F0" w:rsidRDefault="00135706" w:rsidP="00ED2E5D">
      <w:pPr>
        <w:spacing w:after="0" w:line="240" w:lineRule="auto"/>
        <w:rPr>
          <w:rFonts w:cstheme="minorHAnsi"/>
          <w:b/>
          <w:sz w:val="28"/>
          <w:szCs w:val="28"/>
        </w:rPr>
      </w:pPr>
    </w:p>
    <w:p w14:paraId="6AB84799" w14:textId="77777777" w:rsidR="00205B98" w:rsidRPr="003B21F0" w:rsidRDefault="00205B98" w:rsidP="00205B98">
      <w:pPr>
        <w:spacing w:after="0" w:line="240" w:lineRule="auto"/>
        <w:jc w:val="center"/>
        <w:rPr>
          <w:rFonts w:cstheme="minorHAnsi"/>
          <w:b/>
          <w:sz w:val="28"/>
          <w:szCs w:val="28"/>
        </w:rPr>
      </w:pPr>
    </w:p>
    <w:p w14:paraId="3AF7469F" w14:textId="73F174EE" w:rsidR="00205B98" w:rsidRPr="003B21F0" w:rsidRDefault="007961A6" w:rsidP="00814ACF">
      <w:pPr>
        <w:spacing w:after="0" w:line="240" w:lineRule="auto"/>
        <w:jc w:val="center"/>
        <w:rPr>
          <w:rFonts w:cstheme="minorHAnsi"/>
          <w:b/>
          <w:sz w:val="28"/>
          <w:szCs w:val="28"/>
        </w:rPr>
      </w:pPr>
      <w:r>
        <w:rPr>
          <w:b/>
          <w:sz w:val="28"/>
        </w:rPr>
        <w:t>D</w:t>
      </w:r>
      <w:r w:rsidR="00205B98" w:rsidRPr="003B21F0">
        <w:rPr>
          <w:b/>
          <w:sz w:val="28"/>
        </w:rPr>
        <w:t>ecisiones de la 63ª reunión</w:t>
      </w:r>
      <w:r>
        <w:rPr>
          <w:b/>
          <w:sz w:val="28"/>
        </w:rPr>
        <w:t xml:space="preserve"> </w:t>
      </w:r>
      <w:r w:rsidR="00205B98" w:rsidRPr="003B21F0">
        <w:rPr>
          <w:b/>
          <w:sz w:val="28"/>
        </w:rPr>
        <w:t>del Comité Permanente</w:t>
      </w:r>
    </w:p>
    <w:p w14:paraId="1443B404" w14:textId="423F40F0" w:rsidR="00D84F77" w:rsidRDefault="00D84F77" w:rsidP="00ED2E5D">
      <w:pPr>
        <w:spacing w:after="0" w:line="240" w:lineRule="auto"/>
        <w:rPr>
          <w:rFonts w:cstheme="minorHAnsi"/>
        </w:rPr>
      </w:pPr>
    </w:p>
    <w:p w14:paraId="045DB966" w14:textId="77777777" w:rsidR="005A4B27" w:rsidRPr="003B21F0" w:rsidRDefault="005A4B27" w:rsidP="00ED2E5D">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2 del orden del día: Aprobación del orden del día provisional</w:t>
      </w:r>
    </w:p>
    <w:p w14:paraId="5AEF11C4" w14:textId="13BAE479" w:rsidR="005D5335" w:rsidRPr="003B21F0" w:rsidRDefault="005D5335" w:rsidP="00ED2E5D">
      <w:pPr>
        <w:spacing w:after="0" w:line="240" w:lineRule="auto"/>
        <w:ind w:left="567" w:hanging="567"/>
        <w:rPr>
          <w:rFonts w:cstheme="minorHAnsi"/>
          <w:highlight w:val="yellow"/>
        </w:rPr>
      </w:pPr>
    </w:p>
    <w:p w14:paraId="26F26CC8" w14:textId="28AD343D" w:rsidR="005F4C17" w:rsidRPr="003B21F0" w:rsidRDefault="00464088" w:rsidP="00ED2E5D">
      <w:pPr>
        <w:spacing w:after="0" w:line="240" w:lineRule="auto"/>
      </w:pPr>
      <w:r w:rsidRPr="003B21F0">
        <w:rPr>
          <w:b/>
        </w:rPr>
        <w:t>Decisión SC63-01: El Comité Permanente aprobó el orden del día provisional que figura en el documento SC63 Doc.2.</w:t>
      </w:r>
    </w:p>
    <w:p w14:paraId="12FD1027" w14:textId="77777777" w:rsidR="0017411A" w:rsidRPr="003B21F0" w:rsidRDefault="0017411A" w:rsidP="00ED2E5D">
      <w:pPr>
        <w:tabs>
          <w:tab w:val="left" w:pos="720"/>
          <w:tab w:val="center" w:pos="4680"/>
        </w:tabs>
        <w:spacing w:after="0" w:line="240" w:lineRule="auto"/>
        <w:contextualSpacing/>
        <w:rPr>
          <w:rFonts w:cstheme="minorHAnsi"/>
        </w:rPr>
      </w:pPr>
    </w:p>
    <w:p w14:paraId="1161549B" w14:textId="77777777" w:rsidR="0024341A" w:rsidRPr="003B21F0" w:rsidRDefault="0024341A" w:rsidP="00ED2E5D">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3 del orden del día: Aprobación del programa de trabajo provisional</w:t>
      </w:r>
    </w:p>
    <w:p w14:paraId="608C2DF1" w14:textId="06B782EB" w:rsidR="005F4C17" w:rsidRPr="003B21F0" w:rsidRDefault="005F4C17" w:rsidP="009D015E">
      <w:pPr>
        <w:spacing w:after="0" w:line="240" w:lineRule="auto"/>
      </w:pPr>
    </w:p>
    <w:p w14:paraId="289110D7" w14:textId="5CE57B25" w:rsidR="005F4C17" w:rsidRPr="003B21F0" w:rsidRDefault="005F4C17" w:rsidP="00ED2E5D">
      <w:pPr>
        <w:spacing w:after="0" w:line="240" w:lineRule="auto"/>
      </w:pPr>
      <w:r w:rsidRPr="003B21F0">
        <w:rPr>
          <w:b/>
        </w:rPr>
        <w:t>Decisión SC63-02: El Comité Permanente aprobó el programa de trabajo provisional que figura en el documento SC63 Doc.3 Rev.1.</w:t>
      </w:r>
    </w:p>
    <w:p w14:paraId="088BBE94" w14:textId="77777777" w:rsidR="0024341A" w:rsidRPr="003B21F0" w:rsidRDefault="0024341A" w:rsidP="00ED2E5D">
      <w:pPr>
        <w:tabs>
          <w:tab w:val="left" w:pos="720"/>
          <w:tab w:val="center" w:pos="4680"/>
        </w:tabs>
        <w:spacing w:after="0" w:line="240" w:lineRule="auto"/>
        <w:rPr>
          <w:rFonts w:cstheme="minorHAnsi"/>
          <w:bCs/>
        </w:rPr>
      </w:pPr>
    </w:p>
    <w:p w14:paraId="741AECEF" w14:textId="77777777" w:rsidR="0024341A" w:rsidRPr="003B21F0" w:rsidRDefault="0024341A" w:rsidP="00ED2E5D">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4 del orden del día: Admisión de observadores</w:t>
      </w:r>
    </w:p>
    <w:p w14:paraId="1A23BEF7" w14:textId="77777777" w:rsidR="00D20B2A" w:rsidRPr="003B21F0" w:rsidRDefault="00D20B2A" w:rsidP="00ED2E5D">
      <w:pPr>
        <w:spacing w:after="0" w:line="240" w:lineRule="auto"/>
        <w:rPr>
          <w:rFonts w:cstheme="minorHAnsi"/>
          <w:highlight w:val="yellow"/>
        </w:rPr>
      </w:pPr>
    </w:p>
    <w:p w14:paraId="21C6707E" w14:textId="40ABB016" w:rsidR="002676BB" w:rsidRPr="003B21F0" w:rsidRDefault="00D20B2A" w:rsidP="00ED2E5D">
      <w:pPr>
        <w:spacing w:after="0" w:line="240" w:lineRule="auto"/>
        <w:contextualSpacing/>
        <w:rPr>
          <w:rFonts w:cstheme="minorHAnsi"/>
          <w:b/>
        </w:rPr>
      </w:pPr>
      <w:r w:rsidRPr="003B21F0">
        <w:rPr>
          <w:b/>
        </w:rPr>
        <w:t>Decisión SC63-03: El Comité Permanente admitió a los observadores que se mencionan en el párrafo 6 del documento SC62 Doc.4.</w:t>
      </w:r>
    </w:p>
    <w:p w14:paraId="2F44542B" w14:textId="77777777" w:rsidR="0079631C" w:rsidRPr="003B21F0" w:rsidRDefault="0079631C" w:rsidP="00ED2E5D">
      <w:pPr>
        <w:spacing w:after="0" w:line="240" w:lineRule="auto"/>
        <w:rPr>
          <w:rFonts w:cstheme="minorHAnsi"/>
        </w:rPr>
      </w:pPr>
    </w:p>
    <w:p w14:paraId="6B5DC3D8" w14:textId="26492EF9" w:rsidR="0079631C" w:rsidRPr="003B21F0" w:rsidRDefault="0079631C" w:rsidP="00ED2E5D">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5 del orden del día: Informe de la Presidencia del Comité Permanente y del Equipo Ejecutivo</w:t>
      </w:r>
    </w:p>
    <w:p w14:paraId="12902BEA" w14:textId="77777777" w:rsidR="0079631C" w:rsidRPr="003B21F0" w:rsidRDefault="0079631C" w:rsidP="00ED2E5D">
      <w:pPr>
        <w:spacing w:after="0" w:line="240" w:lineRule="auto"/>
        <w:ind w:left="567" w:hanging="567"/>
        <w:rPr>
          <w:rFonts w:eastAsia="Calibri" w:cstheme="minorHAnsi"/>
          <w:bCs/>
        </w:rPr>
      </w:pPr>
    </w:p>
    <w:p w14:paraId="3FF16B20" w14:textId="16659AED" w:rsidR="0079631C" w:rsidRPr="003B21F0" w:rsidRDefault="0079631C" w:rsidP="00ED2E5D">
      <w:pPr>
        <w:spacing w:after="0" w:line="240" w:lineRule="auto"/>
        <w:contextualSpacing/>
        <w:rPr>
          <w:rFonts w:cstheme="minorHAnsi"/>
          <w:b/>
        </w:rPr>
      </w:pPr>
      <w:r w:rsidRPr="003B21F0">
        <w:rPr>
          <w:b/>
        </w:rPr>
        <w:t>Decisión SC63-04: El Comité Permanente tomó nota del Informe de la Presidencia del Comité Permanente y del Equipo Ejecutivo, publicado como documento SC63 Doc.5.</w:t>
      </w:r>
    </w:p>
    <w:p w14:paraId="4DCDA6F9" w14:textId="76C1DE48" w:rsidR="00F03D5B" w:rsidRPr="003B21F0" w:rsidRDefault="00F03D5B" w:rsidP="00ED2E5D">
      <w:pPr>
        <w:spacing w:after="0" w:line="240" w:lineRule="auto"/>
        <w:contextualSpacing/>
        <w:rPr>
          <w:rFonts w:cstheme="minorHAnsi"/>
          <w:b/>
        </w:rPr>
      </w:pPr>
    </w:p>
    <w:p w14:paraId="2B168679" w14:textId="4C9A5CE1" w:rsidR="00F03D5B" w:rsidRPr="003B21F0" w:rsidRDefault="00F03D5B" w:rsidP="00F03D5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 xml:space="preserve">Punto 6 del orden del día: Informe de la </w:t>
      </w:r>
      <w:proofErr w:type="gramStart"/>
      <w:r w:rsidRPr="003B21F0">
        <w:t>Secretaria General</w:t>
      </w:r>
      <w:proofErr w:type="gramEnd"/>
    </w:p>
    <w:p w14:paraId="4DF5B21C" w14:textId="77777777" w:rsidR="00F03D5B" w:rsidRPr="003B21F0" w:rsidRDefault="00F03D5B" w:rsidP="00F03D5B">
      <w:pPr>
        <w:spacing w:after="0" w:line="240" w:lineRule="auto"/>
        <w:ind w:left="567" w:hanging="567"/>
        <w:rPr>
          <w:rFonts w:eastAsia="Calibri" w:cstheme="minorHAnsi"/>
          <w:bCs/>
        </w:rPr>
      </w:pPr>
    </w:p>
    <w:p w14:paraId="07C8B408" w14:textId="1EAF27D6" w:rsidR="00E66F99" w:rsidRPr="003B21F0" w:rsidRDefault="00E66F99" w:rsidP="00E66F99">
      <w:pPr>
        <w:spacing w:after="0" w:line="240" w:lineRule="auto"/>
        <w:contextualSpacing/>
        <w:rPr>
          <w:rFonts w:cstheme="minorHAnsi"/>
          <w:b/>
        </w:rPr>
      </w:pPr>
      <w:r w:rsidRPr="003B21F0">
        <w:rPr>
          <w:b/>
        </w:rPr>
        <w:t xml:space="preserve">Decisión SC63-05: El Comité Permanente tomó nota del Informe de la </w:t>
      </w:r>
      <w:proofErr w:type="gramStart"/>
      <w:r w:rsidRPr="003B21F0">
        <w:rPr>
          <w:b/>
        </w:rPr>
        <w:t>Secretaria General</w:t>
      </w:r>
      <w:proofErr w:type="gramEnd"/>
      <w:r w:rsidRPr="003B21F0">
        <w:rPr>
          <w:b/>
        </w:rPr>
        <w:t xml:space="preserve"> publicado como documento SC63 Doc.6.</w:t>
      </w:r>
    </w:p>
    <w:p w14:paraId="49F76D82" w14:textId="77777777" w:rsidR="00F03D5B" w:rsidRPr="003B21F0" w:rsidRDefault="00F03D5B" w:rsidP="00ED2E5D">
      <w:pPr>
        <w:spacing w:after="0" w:line="240" w:lineRule="auto"/>
        <w:contextualSpacing/>
        <w:rPr>
          <w:rFonts w:cstheme="minorHAnsi"/>
          <w:b/>
        </w:rPr>
      </w:pPr>
    </w:p>
    <w:p w14:paraId="142857EB" w14:textId="65A7AD5E" w:rsidR="00F03D5B" w:rsidRPr="003B21F0" w:rsidRDefault="00F03D5B" w:rsidP="00F03D5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 xml:space="preserve">Punto 26 del orden del día: Fechas de la 64ª reunión del Comité Permanente </w:t>
      </w:r>
    </w:p>
    <w:p w14:paraId="08DA040E" w14:textId="07FC8E31" w:rsidR="005E7BFA" w:rsidRPr="003B21F0" w:rsidRDefault="005E7BFA" w:rsidP="005E7BFA">
      <w:pPr>
        <w:tabs>
          <w:tab w:val="left" w:pos="0"/>
        </w:tabs>
        <w:spacing w:after="0" w:line="240" w:lineRule="auto"/>
        <w:ind w:left="720" w:hanging="720"/>
        <w:contextualSpacing/>
      </w:pPr>
    </w:p>
    <w:p w14:paraId="186AA3B9" w14:textId="4BA6DBA0" w:rsidR="005E7BFA" w:rsidRPr="003B21F0" w:rsidRDefault="005E7BFA" w:rsidP="005E7BFA">
      <w:pPr>
        <w:spacing w:after="0" w:line="240" w:lineRule="auto"/>
        <w:contextualSpacing/>
        <w:rPr>
          <w:rFonts w:cstheme="minorHAnsi"/>
          <w:b/>
        </w:rPr>
      </w:pPr>
      <w:r w:rsidRPr="003B21F0">
        <w:rPr>
          <w:b/>
        </w:rPr>
        <w:t xml:space="preserve">Decisión SC63-06: El Comité Permanente decidió celebrar la reunión SC64 del 20 al 24 de enero de 2025 en </w:t>
      </w:r>
      <w:proofErr w:type="spellStart"/>
      <w:r w:rsidRPr="003B21F0">
        <w:rPr>
          <w:b/>
        </w:rPr>
        <w:t>Gland</w:t>
      </w:r>
      <w:proofErr w:type="spellEnd"/>
      <w:r w:rsidRPr="003B21F0">
        <w:rPr>
          <w:b/>
        </w:rPr>
        <w:t>, Suiza.</w:t>
      </w:r>
    </w:p>
    <w:p w14:paraId="651B2B17" w14:textId="77777777" w:rsidR="005E7BFA" w:rsidRPr="003B21F0" w:rsidRDefault="005E7BFA" w:rsidP="005E7BFA">
      <w:pPr>
        <w:spacing w:after="0" w:line="240" w:lineRule="auto"/>
        <w:contextualSpacing/>
        <w:rPr>
          <w:rFonts w:cstheme="minorHAnsi"/>
          <w:b/>
        </w:rPr>
      </w:pPr>
    </w:p>
    <w:p w14:paraId="1DB55751" w14:textId="0E6053DA" w:rsidR="005E7BFA" w:rsidRPr="003B21F0" w:rsidRDefault="005E7BFA" w:rsidP="005E7BFA">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7.1 del orden del día: Informe del Grupo de Trabajo Administrativo: Informe de las actividades del Grupo de Trabajo Administrativo</w:t>
      </w:r>
    </w:p>
    <w:p w14:paraId="6750EDC3" w14:textId="77777777" w:rsidR="000B5744" w:rsidRPr="003B21F0" w:rsidRDefault="000B5744" w:rsidP="000B5744">
      <w:pPr>
        <w:tabs>
          <w:tab w:val="left" w:pos="0"/>
        </w:tabs>
        <w:spacing w:after="0" w:line="240" w:lineRule="auto"/>
        <w:ind w:left="562" w:hanging="562"/>
        <w:contextualSpacing/>
      </w:pPr>
    </w:p>
    <w:p w14:paraId="0041705A" w14:textId="56F10478" w:rsidR="000B5744" w:rsidRPr="003B21F0" w:rsidRDefault="000B5744" w:rsidP="000B5744">
      <w:pPr>
        <w:spacing w:after="0" w:line="240" w:lineRule="auto"/>
        <w:contextualSpacing/>
        <w:rPr>
          <w:rFonts w:cstheme="minorHAnsi"/>
          <w:b/>
          <w:bCs/>
        </w:rPr>
      </w:pPr>
      <w:r w:rsidRPr="003B21F0">
        <w:rPr>
          <w:b/>
        </w:rPr>
        <w:t>Decisión SC63-07: El Comité Permanente tomó nota del informe</w:t>
      </w:r>
      <w:r w:rsidRPr="003B21F0">
        <w:t xml:space="preserve"> </w:t>
      </w:r>
      <w:r w:rsidRPr="003B21F0">
        <w:rPr>
          <w:b/>
        </w:rPr>
        <w:t xml:space="preserve">sobre las actividades del Grupo de Trabajo Administrativo que figura en el documento SC63 Doc.7.1. </w:t>
      </w:r>
    </w:p>
    <w:p w14:paraId="63D4FEE8" w14:textId="77777777" w:rsidR="000B5744" w:rsidRPr="003B21F0" w:rsidRDefault="000B5744" w:rsidP="000B5744">
      <w:pPr>
        <w:spacing w:after="0" w:line="240" w:lineRule="auto"/>
        <w:contextualSpacing/>
        <w:rPr>
          <w:rFonts w:cstheme="minorHAnsi"/>
          <w:b/>
          <w:bCs/>
        </w:rPr>
      </w:pPr>
    </w:p>
    <w:p w14:paraId="33BC7691" w14:textId="77455B43" w:rsidR="000B5744" w:rsidRPr="003B21F0" w:rsidRDefault="000B5744" w:rsidP="000B5744">
      <w:pPr>
        <w:spacing w:after="0" w:line="240" w:lineRule="auto"/>
        <w:contextualSpacing/>
        <w:rPr>
          <w:rFonts w:cstheme="minorHAnsi"/>
          <w:b/>
          <w:bCs/>
        </w:rPr>
      </w:pPr>
      <w:r w:rsidRPr="003B21F0">
        <w:rPr>
          <w:b/>
        </w:rPr>
        <w:t>Decisión SC63-08: El Comité Permanente autorizó al Secretario o Secretaria General de la Convención sobre los Humedales a suscribir nuevos acuerdos de cooperación con organizaciones que cumplan los criterios expuestos en el documento SC54 Doc.</w:t>
      </w:r>
      <w:proofErr w:type="gramStart"/>
      <w:r w:rsidRPr="003B21F0">
        <w:rPr>
          <w:b/>
        </w:rPr>
        <w:t>16.Rev.</w:t>
      </w:r>
      <w:proofErr w:type="gramEnd"/>
      <w:r w:rsidRPr="003B21F0">
        <w:rPr>
          <w:b/>
        </w:rPr>
        <w:t>1. Además, el Comité Permanente encargó a la Secretaría que incluyera esta instrucción en el proyecto de resolución sobre sinergias que se someterá a la consideración de la COP15. La presente decisión deroga la Decisión SC52-11.</w:t>
      </w:r>
    </w:p>
    <w:p w14:paraId="07FBF1C7" w14:textId="77777777" w:rsidR="005A4CA5" w:rsidRPr="003B21F0" w:rsidRDefault="005A4CA5" w:rsidP="005A4CA5">
      <w:pPr>
        <w:keepNext/>
        <w:spacing w:after="0" w:line="240" w:lineRule="auto"/>
        <w:rPr>
          <w:rFonts w:cstheme="minorHAnsi"/>
        </w:rPr>
      </w:pPr>
    </w:p>
    <w:p w14:paraId="677701D5"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11 del orden del día: Informe del Grupo de trabajo sobre el Plan Estratégico</w:t>
      </w:r>
    </w:p>
    <w:p w14:paraId="0855109E" w14:textId="77777777" w:rsidR="005A4CA5" w:rsidRPr="003B21F0" w:rsidRDefault="005A4CA5" w:rsidP="005A4CA5">
      <w:pPr>
        <w:spacing w:after="0" w:line="240" w:lineRule="auto"/>
        <w:ind w:left="562" w:hanging="562"/>
        <w:rPr>
          <w:rFonts w:cstheme="minorHAnsi"/>
        </w:rPr>
      </w:pPr>
    </w:p>
    <w:p w14:paraId="426B33CC" w14:textId="77777777" w:rsidR="005A4CA5" w:rsidRPr="003B21F0" w:rsidRDefault="005A4CA5" w:rsidP="005A4CA5">
      <w:pPr>
        <w:spacing w:after="0" w:line="240" w:lineRule="auto"/>
      </w:pPr>
      <w:r w:rsidRPr="003B21F0">
        <w:rPr>
          <w:b/>
        </w:rPr>
        <w:t>Decisión SC63-09: El Comité Permanente tomó nota del informe del Grupo de Trabajo sobre el Plan Estratégico, publicado como documento SC63 Doc.11.</w:t>
      </w:r>
    </w:p>
    <w:p w14:paraId="25AEEE01" w14:textId="77777777" w:rsidR="005A4CA5" w:rsidRPr="003B21F0" w:rsidRDefault="005A4CA5" w:rsidP="005A4CA5">
      <w:pPr>
        <w:spacing w:after="0" w:line="240" w:lineRule="auto"/>
        <w:rPr>
          <w:rFonts w:cstheme="minorHAnsi"/>
        </w:rPr>
      </w:pPr>
    </w:p>
    <w:p w14:paraId="42ED6E7C"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12 del orden del día: Informe del Grupo de trabajo sobre el fortalecimiento institucional</w:t>
      </w:r>
    </w:p>
    <w:p w14:paraId="59965897" w14:textId="77777777" w:rsidR="005A4CA5" w:rsidRPr="003B21F0" w:rsidRDefault="005A4CA5" w:rsidP="005A4CA5">
      <w:pPr>
        <w:spacing w:after="0" w:line="240" w:lineRule="auto"/>
        <w:ind w:left="567" w:hanging="567"/>
        <w:rPr>
          <w:rFonts w:cstheme="minorHAnsi"/>
          <w:highlight w:val="yellow"/>
        </w:rPr>
      </w:pPr>
    </w:p>
    <w:p w14:paraId="77D18606" w14:textId="77777777" w:rsidR="005A4CA5" w:rsidRPr="003B21F0" w:rsidRDefault="005A4CA5" w:rsidP="005A4CA5">
      <w:pPr>
        <w:spacing w:after="0" w:line="240" w:lineRule="auto"/>
      </w:pPr>
      <w:r w:rsidRPr="003B21F0">
        <w:rPr>
          <w:b/>
        </w:rPr>
        <w:t>Decisión SC63-10: El Comité Permanente tomó nota del informe del Grupo de trabajo sobre el fortalecimiento institucional y aprobó los próximos pasos propuestos por el Grupo de trabajo.</w:t>
      </w:r>
    </w:p>
    <w:p w14:paraId="3C0F86F8" w14:textId="77777777" w:rsidR="005A4CA5" w:rsidRPr="003B21F0" w:rsidRDefault="005A4CA5" w:rsidP="005A4CA5">
      <w:pPr>
        <w:tabs>
          <w:tab w:val="left" w:pos="720"/>
          <w:tab w:val="center" w:pos="4680"/>
        </w:tabs>
        <w:spacing w:after="0" w:line="240" w:lineRule="auto"/>
        <w:contextualSpacing/>
        <w:rPr>
          <w:rFonts w:cstheme="minorHAnsi"/>
        </w:rPr>
      </w:pPr>
    </w:p>
    <w:p w14:paraId="027E5D65" w14:textId="785C86F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rPr>
      </w:pPr>
      <w:r w:rsidRPr="003B21F0">
        <w:t>Punto 21.1 del orden del día: Preparación de la 15ª reunión de la Conferencia de las Partes Contratantes (COP15): Informe de la Secretaría sobre la COP15</w:t>
      </w:r>
    </w:p>
    <w:p w14:paraId="3F923F24" w14:textId="77777777" w:rsidR="005A4CA5" w:rsidRPr="003B21F0" w:rsidRDefault="005A4CA5" w:rsidP="005A4CA5">
      <w:pPr>
        <w:spacing w:after="0" w:line="240" w:lineRule="auto"/>
      </w:pPr>
    </w:p>
    <w:p w14:paraId="688D2FB4" w14:textId="77777777" w:rsidR="005A4CA5" w:rsidRPr="003B21F0" w:rsidRDefault="005A4CA5" w:rsidP="005A4CA5">
      <w:pPr>
        <w:spacing w:after="0" w:line="240" w:lineRule="auto"/>
      </w:pPr>
      <w:r w:rsidRPr="003B21F0">
        <w:rPr>
          <w:b/>
        </w:rPr>
        <w:t>Decisión SC63-11: El Comité Permanente tomó nota del Informe de la Secretaría sobre la COP15 que figura en el documento SC63 Doc.21.1 y del calendario indicativo de los eventos y plazos en el período previo a la COP15, y aprobó el tema y el logotipo propuestos para la COP15.</w:t>
      </w:r>
    </w:p>
    <w:p w14:paraId="0B6BEE40" w14:textId="77777777" w:rsidR="005A4CA5" w:rsidRPr="003B21F0" w:rsidRDefault="005A4CA5" w:rsidP="005A4CA5">
      <w:pPr>
        <w:tabs>
          <w:tab w:val="left" w:pos="720"/>
          <w:tab w:val="center" w:pos="4680"/>
        </w:tabs>
        <w:spacing w:after="0" w:line="240" w:lineRule="auto"/>
        <w:rPr>
          <w:rFonts w:cstheme="minorHAnsi"/>
          <w:bCs/>
        </w:rPr>
      </w:pPr>
    </w:p>
    <w:p w14:paraId="469FC944"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bookmarkStart w:id="0" w:name="_Hlk168412010"/>
      <w:r w:rsidRPr="003B21F0">
        <w:t>Punto 21.2 del orden del día: Preparación de la COP15: Informe del Subgrupo sobre la COP15</w:t>
      </w:r>
    </w:p>
    <w:bookmarkEnd w:id="0"/>
    <w:p w14:paraId="0F27066D" w14:textId="77777777" w:rsidR="005A4CA5" w:rsidRPr="003B21F0" w:rsidRDefault="005A4CA5" w:rsidP="005A4CA5">
      <w:pPr>
        <w:spacing w:after="0" w:line="240" w:lineRule="auto"/>
        <w:ind w:left="562" w:hanging="562"/>
        <w:rPr>
          <w:rFonts w:cstheme="minorHAnsi"/>
          <w:bCs/>
        </w:rPr>
      </w:pPr>
    </w:p>
    <w:p w14:paraId="672E447C" w14:textId="77777777" w:rsidR="005A4CA5" w:rsidRPr="003B21F0" w:rsidRDefault="005A4CA5" w:rsidP="005A4CA5">
      <w:pPr>
        <w:spacing w:after="0" w:line="240" w:lineRule="auto"/>
        <w:rPr>
          <w:rFonts w:cstheme="minorHAnsi"/>
          <w:b/>
        </w:rPr>
      </w:pPr>
      <w:r w:rsidRPr="003B21F0">
        <w:rPr>
          <w:b/>
        </w:rPr>
        <w:t>Decisión SC63-12: El Comité Permanente tomó nota del informe presentado por la Presidencia del Subgrupo sobre la COP15.</w:t>
      </w:r>
    </w:p>
    <w:p w14:paraId="75062E6C" w14:textId="77777777" w:rsidR="005A4CA5" w:rsidRPr="003B21F0" w:rsidRDefault="005A4CA5" w:rsidP="005A4CA5">
      <w:pPr>
        <w:spacing w:after="0" w:line="240" w:lineRule="auto"/>
        <w:contextualSpacing/>
        <w:rPr>
          <w:rFonts w:cstheme="minorHAnsi"/>
          <w:b/>
        </w:rPr>
      </w:pPr>
    </w:p>
    <w:p w14:paraId="092FDC39"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21.3 del orden del día: Preparación de la COP15: Propuesta de la Secretaría sobre el procedimiento para la preparación y el examen de proyectos de resolución</w:t>
      </w:r>
    </w:p>
    <w:p w14:paraId="7A237A0C" w14:textId="77777777" w:rsidR="005A4CA5" w:rsidRPr="003B21F0" w:rsidRDefault="005A4CA5" w:rsidP="005A4CA5">
      <w:pPr>
        <w:spacing w:after="0" w:line="240" w:lineRule="auto"/>
        <w:ind w:left="567" w:hanging="567"/>
        <w:rPr>
          <w:rFonts w:eastAsia="Calibri" w:cstheme="minorHAnsi"/>
          <w:bCs/>
        </w:rPr>
      </w:pPr>
    </w:p>
    <w:p w14:paraId="3E0E26BB" w14:textId="77777777" w:rsidR="005A4CA5" w:rsidRPr="003B21F0" w:rsidRDefault="005A4CA5" w:rsidP="005A4CA5">
      <w:pPr>
        <w:spacing w:after="0" w:line="240" w:lineRule="auto"/>
        <w:contextualSpacing/>
        <w:rPr>
          <w:rFonts w:ascii="Calibri" w:eastAsia="Calibri" w:hAnsi="Calibri" w:cs="Calibri"/>
          <w:b/>
          <w:bCs/>
        </w:rPr>
      </w:pPr>
      <w:r w:rsidRPr="003B21F0">
        <w:rPr>
          <w:rFonts w:ascii="Calibri" w:hAnsi="Calibri"/>
          <w:b/>
        </w:rPr>
        <w:t xml:space="preserve">Decisión </w:t>
      </w:r>
      <w:r w:rsidRPr="003B21F0">
        <w:rPr>
          <w:b/>
        </w:rPr>
        <w:t>SC63-13</w:t>
      </w:r>
      <w:r w:rsidRPr="003B21F0">
        <w:rPr>
          <w:rFonts w:ascii="Calibri" w:hAnsi="Calibri"/>
          <w:b/>
        </w:rPr>
        <w:t>: El Comité Permanente:</w:t>
      </w:r>
    </w:p>
    <w:p w14:paraId="3FF09DE3" w14:textId="77777777" w:rsidR="005A4CA5" w:rsidRPr="003B21F0" w:rsidRDefault="005A4CA5" w:rsidP="003462C8">
      <w:pPr>
        <w:numPr>
          <w:ilvl w:val="0"/>
          <w:numId w:val="15"/>
        </w:numPr>
        <w:spacing w:after="0" w:line="240" w:lineRule="auto"/>
        <w:ind w:left="567" w:hanging="567"/>
        <w:contextualSpacing/>
        <w:rPr>
          <w:rFonts w:ascii="Calibri" w:eastAsia="Calibri" w:hAnsi="Calibri" w:cs="Calibri"/>
          <w:b/>
          <w:bCs/>
        </w:rPr>
      </w:pPr>
      <w:r w:rsidRPr="003B21F0">
        <w:rPr>
          <w:rFonts w:ascii="Calibri" w:hAnsi="Calibri"/>
          <w:b/>
        </w:rPr>
        <w:t xml:space="preserve">tomó nota del calendario indicativo para los eventos relacionados con la 15ª reunión de las Partes Contratantes (COP15), que figura en el párrafo 3 del documento SC63 Doc. 21.3; </w:t>
      </w:r>
    </w:p>
    <w:p w14:paraId="0CE5F206" w14:textId="77777777" w:rsidR="005A4CA5" w:rsidRPr="003B21F0" w:rsidRDefault="005A4CA5" w:rsidP="003462C8">
      <w:pPr>
        <w:numPr>
          <w:ilvl w:val="0"/>
          <w:numId w:val="15"/>
        </w:numPr>
        <w:spacing w:after="0" w:line="240" w:lineRule="auto"/>
        <w:ind w:left="567" w:hanging="567"/>
        <w:contextualSpacing/>
        <w:rPr>
          <w:rFonts w:ascii="Calibri" w:eastAsia="Calibri" w:hAnsi="Calibri" w:cs="Calibri"/>
          <w:b/>
          <w:bCs/>
        </w:rPr>
      </w:pPr>
      <w:r w:rsidRPr="003B21F0">
        <w:rPr>
          <w:rFonts w:ascii="Calibri" w:hAnsi="Calibri"/>
          <w:b/>
        </w:rPr>
        <w:t xml:space="preserve">encargó a la Secretaría que divulgue entre las Partes Contratantes las orientaciones para la preparación de proyectos de resolución para la COP15, presentadas en el Anexo 1 y modificadas en sesión plenaria, con los plazos de presentación actualizados para que reflejen las fechas decididas para la 64ª reunión del Comité Permanente (SC64); </w:t>
      </w:r>
    </w:p>
    <w:p w14:paraId="6C827A83" w14:textId="77777777" w:rsidR="005A4CA5" w:rsidRPr="003B21F0" w:rsidRDefault="005A4CA5" w:rsidP="003462C8">
      <w:pPr>
        <w:numPr>
          <w:ilvl w:val="0"/>
          <w:numId w:val="15"/>
        </w:numPr>
        <w:spacing w:after="0" w:line="240" w:lineRule="auto"/>
        <w:ind w:left="567" w:hanging="567"/>
        <w:contextualSpacing/>
        <w:rPr>
          <w:rFonts w:ascii="Calibri" w:eastAsia="Calibri" w:hAnsi="Calibri" w:cs="Calibri"/>
          <w:b/>
          <w:bCs/>
        </w:rPr>
      </w:pPr>
      <w:r w:rsidRPr="003B21F0">
        <w:rPr>
          <w:rFonts w:ascii="Calibri" w:hAnsi="Calibri"/>
          <w:b/>
        </w:rPr>
        <w:t>aprobó las orientaciones sobre la función de la Secretaría en materia de colaboración con las Partes Contratantes en la preparación de proyectos de resolución, y los procedimientos para hacerlo tanto antes como después de la reunión SC64, como se indica en los párrafos 7 a 10;</w:t>
      </w:r>
    </w:p>
    <w:p w14:paraId="64A2E57B" w14:textId="77777777" w:rsidR="005A4CA5" w:rsidRPr="003B21F0" w:rsidRDefault="005A4CA5" w:rsidP="003462C8">
      <w:pPr>
        <w:numPr>
          <w:ilvl w:val="0"/>
          <w:numId w:val="15"/>
        </w:numPr>
        <w:spacing w:after="0" w:line="240" w:lineRule="auto"/>
        <w:ind w:left="567" w:hanging="567"/>
        <w:contextualSpacing/>
        <w:rPr>
          <w:rFonts w:ascii="Calibri" w:eastAsia="Calibri" w:hAnsi="Calibri" w:cs="Calibri"/>
          <w:b/>
          <w:bCs/>
        </w:rPr>
      </w:pPr>
      <w:r w:rsidRPr="003B21F0">
        <w:rPr>
          <w:rFonts w:ascii="Calibri" w:hAnsi="Calibri"/>
          <w:b/>
        </w:rPr>
        <w:t>encargó a la Secretaría que realice un seguimiento para la COP15 del procedimiento para el examen de los proyectos de resolución aplicado en la COP14, aplicando las mejoras logísticas que procedieran.</w:t>
      </w:r>
    </w:p>
    <w:p w14:paraId="584A7D1E" w14:textId="77777777" w:rsidR="005A4CA5" w:rsidRPr="003B21F0" w:rsidRDefault="005A4CA5" w:rsidP="005A4CA5">
      <w:pPr>
        <w:tabs>
          <w:tab w:val="left" w:pos="0"/>
        </w:tabs>
        <w:spacing w:after="0" w:line="240" w:lineRule="auto"/>
        <w:contextualSpacing/>
      </w:pPr>
    </w:p>
    <w:p w14:paraId="3CAED525"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21.4 del orden del día: Preparación de la COP15: Propuesta de la Secretaría sobre los Premios Ramsar a la Conservación de los Humedales</w:t>
      </w:r>
    </w:p>
    <w:p w14:paraId="4C57CDE5" w14:textId="77777777" w:rsidR="005A4CA5" w:rsidRPr="003B21F0" w:rsidRDefault="005A4CA5" w:rsidP="005A4CA5">
      <w:pPr>
        <w:spacing w:after="0" w:line="240" w:lineRule="auto"/>
        <w:rPr>
          <w:rFonts w:eastAsia="Calibri" w:cstheme="minorHAnsi"/>
          <w:bCs/>
        </w:rPr>
      </w:pPr>
    </w:p>
    <w:p w14:paraId="5F82AB86" w14:textId="778073CD" w:rsidR="005A4CA5" w:rsidRPr="003B21F0" w:rsidRDefault="005A4CA5" w:rsidP="005A4CA5">
      <w:pPr>
        <w:spacing w:after="0" w:line="240" w:lineRule="auto"/>
        <w:rPr>
          <w:rFonts w:cstheme="minorHAnsi"/>
          <w:b/>
        </w:rPr>
      </w:pPr>
      <w:r w:rsidRPr="003B21F0">
        <w:rPr>
          <w:b/>
        </w:rPr>
        <w:t>Decisión SC63-14: El Comité Permanente tomó nota del presupuesto previsto, los requisitos financieros y el calendario del proceso de presentación de candidaturas a los premios y decidió que se otorgarán premios en las categorías siguientes: Premio Ramsar a la Conservación de los Humedales a Jóvenes defensores de los humedales, el Premio Ramsar a la Conservación de los Humedales a la Innovación, y el Premio Ramsar a la Conservación y el Uso Racional de los Humedales por los Pueblos Indígenas.</w:t>
      </w:r>
    </w:p>
    <w:p w14:paraId="32FB0BA6" w14:textId="77777777" w:rsidR="005A4CA5" w:rsidRPr="003B21F0" w:rsidRDefault="005A4CA5" w:rsidP="005A4CA5">
      <w:pPr>
        <w:tabs>
          <w:tab w:val="left" w:pos="0"/>
        </w:tabs>
        <w:spacing w:after="0" w:line="240" w:lineRule="auto"/>
        <w:contextualSpacing/>
      </w:pPr>
    </w:p>
    <w:p w14:paraId="63FA9C38"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pPr>
      <w:r w:rsidRPr="003B21F0">
        <w:lastRenderedPageBreak/>
        <w:t>Punto 13.1 del orden del día: Informe de la Secretaría sobre la aplicación de la Resolución XIV.3: Estrategia de comunicación con las Partes Contratantes (Resolución XIV.3, párrafo 11)</w:t>
      </w:r>
    </w:p>
    <w:p w14:paraId="3E810C20" w14:textId="77777777" w:rsidR="005A4CA5" w:rsidRPr="003B21F0" w:rsidRDefault="005A4CA5" w:rsidP="005A4CA5">
      <w:pPr>
        <w:spacing w:after="0" w:line="240" w:lineRule="auto"/>
        <w:rPr>
          <w:rFonts w:eastAsia="Calibri" w:cstheme="minorHAnsi"/>
          <w:bCs/>
        </w:rPr>
      </w:pPr>
    </w:p>
    <w:p w14:paraId="77BAEEBB" w14:textId="77777777" w:rsidR="005A4CA5" w:rsidRPr="003B21F0" w:rsidRDefault="005A4CA5" w:rsidP="005A4CA5">
      <w:pPr>
        <w:spacing w:after="0" w:line="240" w:lineRule="auto"/>
        <w:rPr>
          <w:b/>
        </w:rPr>
      </w:pPr>
      <w:r w:rsidRPr="003B21F0">
        <w:rPr>
          <w:b/>
        </w:rPr>
        <w:t>Decisión SC63-15: El Comité Permanente aprobó el plan propuesto en el documento SC63 Doc.13.1 para la comunicación con las Partes Contratantes y tomó nota de que la Secretaría aplicará las orientaciones de las Naciones Unidas para el empleo de un lenguaje inclusivo en cuanto al género en sus comunicaciones.</w:t>
      </w:r>
    </w:p>
    <w:p w14:paraId="5965643C" w14:textId="77777777" w:rsidR="005A4CA5" w:rsidRPr="003B21F0" w:rsidRDefault="005A4CA5" w:rsidP="005A4CA5">
      <w:pPr>
        <w:spacing w:after="0" w:line="240" w:lineRule="auto"/>
        <w:rPr>
          <w:b/>
        </w:rPr>
      </w:pPr>
    </w:p>
    <w:p w14:paraId="21C325A5"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pPr>
      <w:r w:rsidRPr="003B21F0">
        <w:t>Punto 13.2 del orden del día: Informe de la Secretaría sobre la aplicación de la Resolución XIV.3: Mejora de la colaboración entre las Partes Contratantes en el período entre sesiones (seguimiento de la Decisión SC62-18 del Comité Permanente)</w:t>
      </w:r>
    </w:p>
    <w:p w14:paraId="6E4BA186" w14:textId="77777777" w:rsidR="005A4CA5" w:rsidRPr="003B21F0" w:rsidRDefault="005A4CA5" w:rsidP="005A4CA5">
      <w:pPr>
        <w:spacing w:after="0" w:line="240" w:lineRule="auto"/>
        <w:ind w:left="562" w:hanging="562"/>
        <w:contextualSpacing/>
        <w:rPr>
          <w:iCs/>
        </w:rPr>
      </w:pPr>
    </w:p>
    <w:p w14:paraId="66809660" w14:textId="77777777" w:rsidR="005A4CA5" w:rsidRPr="003B21F0" w:rsidRDefault="005A4CA5" w:rsidP="005A4CA5">
      <w:pPr>
        <w:spacing w:after="0" w:line="240" w:lineRule="auto"/>
        <w:rPr>
          <w:rFonts w:eastAsia="Calibri" w:cstheme="minorHAnsi"/>
          <w:bCs/>
        </w:rPr>
      </w:pPr>
      <w:r w:rsidRPr="003B21F0">
        <w:rPr>
          <w:b/>
        </w:rPr>
        <w:t>Decisión SC63-16: El Comité Permanente aprobó las herramientas y el método propuestos en el documento SC63 Doc.13.2 Rev.1 para mejorar la colaboración entre las Partes Contratantes en el período entre sesiones.</w:t>
      </w:r>
    </w:p>
    <w:p w14:paraId="25633DA9" w14:textId="77777777" w:rsidR="005A4CA5" w:rsidRPr="003B21F0" w:rsidRDefault="005A4CA5" w:rsidP="005A4CA5">
      <w:pPr>
        <w:keepNext/>
        <w:spacing w:after="0" w:line="240" w:lineRule="auto"/>
        <w:rPr>
          <w:rFonts w:cstheme="minorHAnsi"/>
        </w:rPr>
      </w:pPr>
    </w:p>
    <w:p w14:paraId="6B413D6E"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 xml:space="preserve">Punto 8 del orden del día: Informe de la Secretaría sobre la aplicación de las decisiones del Comité Permanente  </w:t>
      </w:r>
    </w:p>
    <w:p w14:paraId="199DF788" w14:textId="77777777" w:rsidR="005A4CA5" w:rsidRPr="003B21F0" w:rsidRDefault="005A4CA5" w:rsidP="005A4CA5">
      <w:pPr>
        <w:spacing w:after="0" w:line="240" w:lineRule="auto"/>
      </w:pPr>
    </w:p>
    <w:p w14:paraId="5C2DCC6F" w14:textId="5C30B77E" w:rsidR="005A4CA5" w:rsidRPr="003B21F0" w:rsidRDefault="005A4CA5" w:rsidP="005A4CA5">
      <w:pPr>
        <w:spacing w:after="0" w:line="240" w:lineRule="auto"/>
        <w:rPr>
          <w:rFonts w:cstheme="minorHAnsi"/>
          <w:b/>
        </w:rPr>
      </w:pPr>
      <w:bookmarkStart w:id="1" w:name="_Hlk168473348"/>
      <w:r w:rsidRPr="003B21F0">
        <w:rPr>
          <w:b/>
        </w:rPr>
        <w:t>Decisión SC63-17: El Comité Permanente tomó nota del informe preparado por la Secretaría y confirmó que las dos listas de decisiones aprobadas entre las reuniones SC24 y SC62 que se encuentran en la dirección</w:t>
      </w:r>
      <w:r w:rsidRPr="003B21F0">
        <w:t xml:space="preserve"> </w:t>
      </w:r>
      <w:hyperlink r:id="rId11" w:history="1">
        <w:r w:rsidRPr="003B21F0">
          <w:rPr>
            <w:rStyle w:val="Hyperlink"/>
            <w:b/>
          </w:rPr>
          <w:t>https://www.ramsar.org/document/list-standing-committee-decisions-which-have-been-implemented-are-no-longer-effect</w:t>
        </w:r>
      </w:hyperlink>
      <w:r w:rsidRPr="003B21F0">
        <w:t xml:space="preserve"> y </w:t>
      </w:r>
      <w:r w:rsidRPr="003B21F0">
        <w:rPr>
          <w:b/>
        </w:rPr>
        <w:t>en el Anexo 1 del documento SC63 Doc.8 cumplen el primer paso y el segundo paso del proceso aprobado en la Decisión</w:t>
      </w:r>
      <w:r w:rsidR="003B21F0">
        <w:rPr>
          <w:b/>
        </w:rPr>
        <w:t> </w:t>
      </w:r>
      <w:r w:rsidRPr="003B21F0">
        <w:rPr>
          <w:b/>
        </w:rPr>
        <w:t>SC62</w:t>
      </w:r>
      <w:r w:rsidR="003B21F0">
        <w:rPr>
          <w:b/>
        </w:rPr>
        <w:noBreakHyphen/>
      </w:r>
      <w:r w:rsidRPr="003B21F0">
        <w:rPr>
          <w:b/>
        </w:rPr>
        <w:t>21.</w:t>
      </w:r>
    </w:p>
    <w:p w14:paraId="6408A8B8" w14:textId="77777777" w:rsidR="005A4CA5" w:rsidRPr="003B21F0" w:rsidRDefault="005A4CA5" w:rsidP="005A4CA5">
      <w:pPr>
        <w:spacing w:after="0" w:line="240" w:lineRule="auto"/>
        <w:rPr>
          <w:rFonts w:cstheme="minorHAnsi"/>
          <w:b/>
        </w:rPr>
      </w:pPr>
    </w:p>
    <w:p w14:paraId="3B3D9859" w14:textId="77777777" w:rsidR="005A4CA5" w:rsidRPr="003B21F0" w:rsidRDefault="005A4CA5" w:rsidP="005A4CA5">
      <w:pPr>
        <w:spacing w:after="0" w:line="240" w:lineRule="auto"/>
        <w:rPr>
          <w:rFonts w:cstheme="minorHAnsi"/>
          <w:b/>
        </w:rPr>
      </w:pPr>
      <w:r w:rsidRPr="003B21F0">
        <w:rPr>
          <w:b/>
        </w:rPr>
        <w:t>Decisión SC63-18: El Comité Permanente decidió que las decisiones identificadas como “pendientes” se presentarán en reuniones futuras del Comité Permanente, tal como se describe en el párrafo 4 del documento SC63 Doc.8, y que las decisiones identificadas como “aplicadas” no se presentarán en reuniones futuras del Comité Permanente. El Comité Permanente recomendó que, cuando proceda, las decisiones “pendientes” se incorporen en resoluciones futuras, de modo que puedan considerarse como “aplicadas” y eliminarse de la lista de decisiones “pendientes”.</w:t>
      </w:r>
    </w:p>
    <w:bookmarkEnd w:id="1"/>
    <w:p w14:paraId="450A71B0" w14:textId="77777777" w:rsidR="005A4CA5" w:rsidRPr="003B21F0" w:rsidRDefault="005A4CA5" w:rsidP="005A4CA5">
      <w:pPr>
        <w:spacing w:after="0" w:line="240" w:lineRule="auto"/>
        <w:rPr>
          <w:rFonts w:cstheme="minorHAnsi"/>
        </w:rPr>
      </w:pPr>
    </w:p>
    <w:p w14:paraId="21B77D01"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3B21F0">
        <w:t>Punto 25 del orden del día: Informe de la Secretaría sobre las iniciativas regionales de Ramsar</w:t>
      </w:r>
    </w:p>
    <w:p w14:paraId="0FC3AF8C" w14:textId="77777777" w:rsidR="005A4CA5" w:rsidRPr="003B21F0" w:rsidRDefault="005A4CA5" w:rsidP="005A4CA5">
      <w:pPr>
        <w:spacing w:after="0" w:line="240" w:lineRule="auto"/>
        <w:ind w:left="562" w:hanging="562"/>
      </w:pPr>
    </w:p>
    <w:p w14:paraId="61324ED2" w14:textId="77777777" w:rsidR="005A4CA5" w:rsidRPr="003B21F0" w:rsidRDefault="005A4CA5" w:rsidP="005A4CA5">
      <w:pPr>
        <w:keepNext/>
        <w:spacing w:after="0" w:line="240" w:lineRule="auto"/>
        <w:ind w:left="561" w:hanging="561"/>
        <w:rPr>
          <w:rFonts w:cstheme="minorHAnsi"/>
          <w:b/>
        </w:rPr>
      </w:pPr>
      <w:r w:rsidRPr="003B21F0">
        <w:rPr>
          <w:b/>
        </w:rPr>
        <w:t>Decisión SC63-19: El Comité Permanente:</w:t>
      </w:r>
    </w:p>
    <w:p w14:paraId="6206BAA2" w14:textId="77777777" w:rsidR="005A4CA5" w:rsidRPr="003B21F0" w:rsidRDefault="005A4CA5" w:rsidP="005A4CA5">
      <w:pPr>
        <w:spacing w:after="0" w:line="240" w:lineRule="auto"/>
        <w:ind w:left="562" w:hanging="562"/>
        <w:rPr>
          <w:b/>
          <w:bCs/>
        </w:rPr>
      </w:pPr>
      <w:r w:rsidRPr="003B21F0">
        <w:rPr>
          <w:b/>
        </w:rPr>
        <w:t>a.</w:t>
      </w:r>
      <w:r w:rsidRPr="003B21F0">
        <w:rPr>
          <w:b/>
        </w:rPr>
        <w:tab/>
        <w:t>tomó nota de los informes anuales presentados por las iniciativas regionales de Ramsar (IRR) para 2023 de conformidad con la Resolución XIV.7, Iniciativas regionales de Ramsar;</w:t>
      </w:r>
    </w:p>
    <w:p w14:paraId="3732CBB8" w14:textId="0E0810C0" w:rsidR="005A4CA5" w:rsidRPr="003B21F0" w:rsidRDefault="005A4CA5" w:rsidP="005A4CA5">
      <w:pPr>
        <w:spacing w:after="0" w:line="240" w:lineRule="auto"/>
        <w:ind w:left="562" w:hanging="562"/>
        <w:rPr>
          <w:b/>
          <w:bCs/>
        </w:rPr>
      </w:pPr>
      <w:r w:rsidRPr="003B21F0">
        <w:rPr>
          <w:b/>
        </w:rPr>
        <w:t>b.</w:t>
      </w:r>
      <w:r w:rsidRPr="003B21F0">
        <w:rPr>
          <w:b/>
        </w:rPr>
        <w:tab/>
        <w:t xml:space="preserve">aprobó la propuesta de una nueva iniciativa regional de Ramsar, la iniciativa </w:t>
      </w:r>
      <w:proofErr w:type="spellStart"/>
      <w:r w:rsidRPr="003B21F0">
        <w:rPr>
          <w:b/>
        </w:rPr>
        <w:t>Danube</w:t>
      </w:r>
      <w:proofErr w:type="spellEnd"/>
      <w:r w:rsidRPr="003B21F0">
        <w:rPr>
          <w:b/>
        </w:rPr>
        <w:t xml:space="preserve"> </w:t>
      </w:r>
      <w:proofErr w:type="spellStart"/>
      <w:r w:rsidRPr="003B21F0">
        <w:rPr>
          <w:b/>
        </w:rPr>
        <w:t>WILDisland</w:t>
      </w:r>
      <w:proofErr w:type="spellEnd"/>
      <w:r w:rsidRPr="003B21F0">
        <w:rPr>
          <w:b/>
        </w:rPr>
        <w:t xml:space="preserve">, en el marco de la Convención de conformidad con el párrafo 27 de la Resolución XIV.7, y aprobó la asignación de financiación inicial a la IRR </w:t>
      </w:r>
      <w:proofErr w:type="spellStart"/>
      <w:r w:rsidRPr="003B21F0">
        <w:rPr>
          <w:b/>
        </w:rPr>
        <w:t>Danube</w:t>
      </w:r>
      <w:proofErr w:type="spellEnd"/>
      <w:r w:rsidRPr="003B21F0">
        <w:rPr>
          <w:b/>
        </w:rPr>
        <w:t xml:space="preserve"> </w:t>
      </w:r>
      <w:proofErr w:type="spellStart"/>
      <w:r w:rsidRPr="003B21F0">
        <w:rPr>
          <w:b/>
        </w:rPr>
        <w:t>WILDisland</w:t>
      </w:r>
      <w:proofErr w:type="spellEnd"/>
      <w:r w:rsidRPr="003B21F0">
        <w:rPr>
          <w:b/>
        </w:rPr>
        <w:t xml:space="preserve"> de la partida D “Apoyo a iniciativas regionales” del presupuesto básico de 2024 propuesta en el documento SC63 Doc.9.1, por la suma de 29 000 francos suizos.</w:t>
      </w:r>
    </w:p>
    <w:p w14:paraId="32BE16C7" w14:textId="77777777" w:rsidR="005A4CA5" w:rsidRPr="003B21F0" w:rsidRDefault="005A4CA5" w:rsidP="005A4CA5">
      <w:pPr>
        <w:spacing w:after="0" w:line="240" w:lineRule="auto"/>
        <w:ind w:left="567" w:hanging="567"/>
        <w:rPr>
          <w:rFonts w:eastAsia="Calibri" w:cstheme="minorHAnsi"/>
          <w:bCs/>
        </w:rPr>
      </w:pPr>
    </w:p>
    <w:p w14:paraId="417CAE54"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3B21F0">
        <w:lastRenderedPageBreak/>
        <w:t>Punto 15 del orden del día: Mejora de la visibilidad de la Convención y de las sinergias en colaboración con acuerdos multilaterales sobre el medio ambiente y otras instituciones internacionales</w:t>
      </w:r>
    </w:p>
    <w:p w14:paraId="6738A4C7" w14:textId="77777777" w:rsidR="005A4CA5" w:rsidRPr="003B21F0" w:rsidRDefault="005A4CA5" w:rsidP="00E4378D">
      <w:pPr>
        <w:keepNext/>
        <w:spacing w:after="0" w:line="240" w:lineRule="auto"/>
        <w:ind w:left="567" w:hanging="567"/>
        <w:rPr>
          <w:rFonts w:eastAsia="Calibri" w:cstheme="minorHAnsi"/>
          <w:bCs/>
        </w:rPr>
      </w:pPr>
    </w:p>
    <w:p w14:paraId="7FF9A5A2" w14:textId="77777777" w:rsidR="005A4CA5" w:rsidRPr="003B21F0" w:rsidRDefault="005A4CA5" w:rsidP="005A4CA5">
      <w:pPr>
        <w:spacing w:after="0" w:line="240" w:lineRule="auto"/>
        <w:rPr>
          <w:rFonts w:cstheme="minorHAnsi"/>
          <w:b/>
        </w:rPr>
      </w:pPr>
      <w:r w:rsidRPr="003B21F0">
        <w:rPr>
          <w:b/>
        </w:rPr>
        <w:t xml:space="preserve">Decisión SC63-20: </w:t>
      </w:r>
      <w:r w:rsidRPr="003B21F0">
        <w:rPr>
          <w:b/>
          <w:bCs/>
        </w:rPr>
        <w:t xml:space="preserve">El Comité Permanente tomó nota de los progresos realizados en la aplicación de la Resolución XIV.6 sobre </w:t>
      </w:r>
      <w:r w:rsidRPr="003B21F0">
        <w:rPr>
          <w:b/>
          <w:bCs/>
          <w:i/>
          <w:iCs/>
        </w:rPr>
        <w:t>Mejora de la visibilidad de la Convención y de las sinergias con otros acuerdos multilaterales sobre el medio ambiente e instituciones internacionales</w:t>
      </w:r>
      <w:r w:rsidRPr="003B21F0">
        <w:rPr>
          <w:b/>
          <w:bCs/>
        </w:rPr>
        <w:t>.</w:t>
      </w:r>
    </w:p>
    <w:p w14:paraId="27542480" w14:textId="77777777" w:rsidR="005A4CA5" w:rsidRPr="003B21F0" w:rsidRDefault="005A4CA5" w:rsidP="005A4CA5">
      <w:pPr>
        <w:spacing w:after="0" w:line="240" w:lineRule="auto"/>
        <w:ind w:left="567" w:hanging="567"/>
        <w:rPr>
          <w:rFonts w:eastAsia="Calibri" w:cstheme="minorHAnsi"/>
          <w:bCs/>
        </w:rPr>
      </w:pPr>
    </w:p>
    <w:p w14:paraId="620904A9"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3B21F0">
        <w:t>Punto 14 del orden del día: Plan de trabajo de la Secretaría para 2024</w:t>
      </w:r>
    </w:p>
    <w:p w14:paraId="3C00C13A" w14:textId="77777777" w:rsidR="005A4CA5" w:rsidRPr="003B21F0" w:rsidRDefault="005A4CA5" w:rsidP="005A4CA5">
      <w:pPr>
        <w:spacing w:after="0" w:line="240" w:lineRule="auto"/>
        <w:ind w:left="567" w:hanging="567"/>
        <w:rPr>
          <w:rFonts w:eastAsia="Calibri" w:cstheme="minorHAnsi"/>
          <w:bCs/>
        </w:rPr>
      </w:pPr>
    </w:p>
    <w:p w14:paraId="04019A20" w14:textId="77777777" w:rsidR="005A4CA5" w:rsidRPr="003B21F0" w:rsidRDefault="005A4CA5" w:rsidP="005A4CA5">
      <w:pPr>
        <w:spacing w:after="0" w:line="240" w:lineRule="auto"/>
        <w:rPr>
          <w:rFonts w:cstheme="minorHAnsi"/>
          <w:b/>
        </w:rPr>
      </w:pPr>
      <w:r w:rsidRPr="003B21F0">
        <w:rPr>
          <w:b/>
        </w:rPr>
        <w:t>Decisión SC63-21: El Comité Permanente tomó nota del Plan anual de trabajo de la Secretaría para 2024 y lo aprobó.</w:t>
      </w:r>
    </w:p>
    <w:p w14:paraId="4C9B0AA2" w14:textId="77777777" w:rsidR="00205B98" w:rsidRPr="003B21F0" w:rsidRDefault="00205B98" w:rsidP="00E4378D">
      <w:pPr>
        <w:spacing w:after="0" w:line="240" w:lineRule="auto"/>
        <w:rPr>
          <w:rFonts w:cstheme="minorHAnsi"/>
          <w:b/>
        </w:rPr>
      </w:pPr>
    </w:p>
    <w:p w14:paraId="32897594" w14:textId="55237718"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ind w:left="426" w:hanging="426"/>
        <w:outlineLvl w:val="0"/>
        <w:rPr>
          <w:rFonts w:cstheme="minorHAnsi"/>
          <w:bCs/>
        </w:rPr>
      </w:pPr>
      <w:r w:rsidRPr="003B21F0">
        <w:t>Punto 16 del orden del día: Examen y consolidación de las resoluciones en vigor (continuación)</w:t>
      </w:r>
    </w:p>
    <w:p w14:paraId="5B911704" w14:textId="77777777" w:rsidR="005A4CA5" w:rsidRPr="003B21F0" w:rsidRDefault="005A4CA5" w:rsidP="00E4378D">
      <w:pPr>
        <w:spacing w:after="0" w:line="240" w:lineRule="auto"/>
        <w:rPr>
          <w:rFonts w:cstheme="minorHAnsi"/>
        </w:rPr>
      </w:pPr>
    </w:p>
    <w:p w14:paraId="682CED0C" w14:textId="77777777" w:rsidR="005A4CA5" w:rsidRPr="003B21F0" w:rsidRDefault="005A4CA5" w:rsidP="005A4CA5">
      <w:pPr>
        <w:keepNext/>
        <w:spacing w:after="0" w:line="240" w:lineRule="auto"/>
        <w:rPr>
          <w:rFonts w:cstheme="minorHAnsi"/>
          <w:b/>
        </w:rPr>
      </w:pPr>
      <w:r w:rsidRPr="003B21F0">
        <w:rPr>
          <w:b/>
        </w:rPr>
        <w:t>Decisión SC63-22: El Comité Permanente:</w:t>
      </w:r>
    </w:p>
    <w:p w14:paraId="1E8EDFCB" w14:textId="5136C9C1" w:rsidR="005A4CA5" w:rsidRPr="003B21F0" w:rsidRDefault="00EC7910" w:rsidP="002F640E">
      <w:pPr>
        <w:spacing w:after="0" w:line="240" w:lineRule="auto"/>
        <w:ind w:left="567" w:hanging="567"/>
        <w:rPr>
          <w:rFonts w:cstheme="minorHAnsi"/>
          <w:b/>
        </w:rPr>
      </w:pPr>
      <w:r w:rsidRPr="003B21F0">
        <w:rPr>
          <w:b/>
        </w:rPr>
        <w:t>a.</w:t>
      </w:r>
      <w:r w:rsidRPr="003B21F0">
        <w:rPr>
          <w:b/>
        </w:rPr>
        <w:tab/>
        <w:t xml:space="preserve">aprobó los cuatro proyectos de resoluciones consolidadas que figuran en los documentos SC63 Doc.16.2, SC63 Doc.16.3, SC63 Doc.16.4, en su forma enmendada conforme a los debates que mantuvo el Comité, y SC63 Doc.16.5; </w:t>
      </w:r>
    </w:p>
    <w:p w14:paraId="6A2C40F1" w14:textId="298454F3" w:rsidR="005A4CA5" w:rsidRPr="003B21F0" w:rsidRDefault="00EC7910" w:rsidP="002F640E">
      <w:pPr>
        <w:spacing w:after="0" w:line="240" w:lineRule="auto"/>
        <w:ind w:left="567" w:hanging="567"/>
        <w:rPr>
          <w:rFonts w:cstheme="minorHAnsi"/>
          <w:b/>
        </w:rPr>
      </w:pPr>
      <w:r w:rsidRPr="003B21F0">
        <w:rPr>
          <w:b/>
        </w:rPr>
        <w:t>b.</w:t>
      </w:r>
      <w:r w:rsidRPr="003B21F0">
        <w:rPr>
          <w:b/>
        </w:rPr>
        <w:tab/>
        <w:t>encargó a la Secretaría que presentara los proyectos de resoluciones consolidadas que figuran en los documentos SC63 Doc.16.2, SC63 Doc.16.4, SC63 Doc.16.4 en su forma enmendada y SC63 Doc.16.5 para su consideración y adopción por la 15ª reunión de la Conferencia de las Partes; y</w:t>
      </w:r>
    </w:p>
    <w:p w14:paraId="3EC4415B" w14:textId="688FF1E0" w:rsidR="005A4CA5" w:rsidRPr="003B21F0" w:rsidRDefault="00EC7910" w:rsidP="002F640E">
      <w:pPr>
        <w:spacing w:after="0" w:line="240" w:lineRule="auto"/>
        <w:ind w:left="567" w:hanging="567"/>
        <w:rPr>
          <w:rFonts w:cstheme="minorHAnsi"/>
          <w:b/>
        </w:rPr>
      </w:pPr>
      <w:r w:rsidRPr="003B21F0">
        <w:rPr>
          <w:b/>
        </w:rPr>
        <w:t>c.</w:t>
      </w:r>
      <w:r w:rsidRPr="003B21F0">
        <w:rPr>
          <w:b/>
        </w:rPr>
        <w:tab/>
        <w:t>hizo notar que las opiniones de las Partes Contratantes se reflejaban en el informe de la reunión SC63.</w:t>
      </w:r>
    </w:p>
    <w:p w14:paraId="0A0C17CE" w14:textId="21264E12" w:rsidR="005A4CA5" w:rsidRPr="003B21F0" w:rsidRDefault="005A4CA5" w:rsidP="002F640E">
      <w:pPr>
        <w:spacing w:after="0" w:line="240" w:lineRule="auto"/>
        <w:rPr>
          <w:rFonts w:cstheme="minorHAnsi"/>
          <w:b/>
        </w:rPr>
      </w:pPr>
      <w:r w:rsidRPr="003B21F0">
        <w:rPr>
          <w:b/>
        </w:rPr>
        <w:t xml:space="preserve">La decisión del Comité relativa al proyecto de </w:t>
      </w:r>
      <w:r w:rsidR="00D30473">
        <w:rPr>
          <w:b/>
        </w:rPr>
        <w:t>r</w:t>
      </w:r>
      <w:r w:rsidRPr="003B21F0">
        <w:rPr>
          <w:b/>
        </w:rPr>
        <w:t>esolución consolidada que figura en el documento SC63 Doc.16.3 se incluye en la Decisión SC63-24.</w:t>
      </w:r>
    </w:p>
    <w:p w14:paraId="0CF9E1DA" w14:textId="77777777" w:rsidR="005A4CA5" w:rsidRPr="003B21F0" w:rsidRDefault="005A4CA5" w:rsidP="00E4378D">
      <w:pPr>
        <w:spacing w:after="0" w:line="240" w:lineRule="auto"/>
        <w:rPr>
          <w:rFonts w:cstheme="minorHAnsi"/>
        </w:rPr>
      </w:pPr>
    </w:p>
    <w:p w14:paraId="695A1B85"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17.1 del orden del día: Comunicación, fomento de capacidad, educación, concienciación y participación (</w:t>
      </w:r>
      <w:proofErr w:type="spellStart"/>
      <w:r w:rsidRPr="003B21F0">
        <w:t>CECoP</w:t>
      </w:r>
      <w:proofErr w:type="spellEnd"/>
      <w:r w:rsidRPr="003B21F0">
        <w:t xml:space="preserve">): Informe de la Presidencia del Grupo de supervisión de las actividades de </w:t>
      </w:r>
      <w:proofErr w:type="spellStart"/>
      <w:r w:rsidRPr="003B21F0">
        <w:t>CECoP</w:t>
      </w:r>
      <w:proofErr w:type="spellEnd"/>
    </w:p>
    <w:p w14:paraId="68ACB550" w14:textId="77777777" w:rsidR="007E19D4" w:rsidRDefault="007E19D4" w:rsidP="005A4CA5">
      <w:pPr>
        <w:spacing w:after="0" w:line="240" w:lineRule="auto"/>
        <w:rPr>
          <w:b/>
        </w:rPr>
      </w:pPr>
    </w:p>
    <w:p w14:paraId="73B8FEC6" w14:textId="054950C8" w:rsidR="005A4CA5" w:rsidRPr="003B21F0" w:rsidRDefault="005A4CA5" w:rsidP="005A4CA5">
      <w:pPr>
        <w:spacing w:after="0" w:line="240" w:lineRule="auto"/>
        <w:rPr>
          <w:rFonts w:cstheme="minorHAnsi"/>
          <w:b/>
        </w:rPr>
      </w:pPr>
      <w:r w:rsidRPr="003B21F0">
        <w:rPr>
          <w:b/>
        </w:rPr>
        <w:t xml:space="preserve">Decisión SC63-23: El Comité Permanente tomó nota del Informe del Grupo de supervisión de las actividades de </w:t>
      </w:r>
      <w:proofErr w:type="spellStart"/>
      <w:r w:rsidRPr="003B21F0">
        <w:rPr>
          <w:b/>
        </w:rPr>
        <w:t>CECoP</w:t>
      </w:r>
      <w:proofErr w:type="spellEnd"/>
      <w:r w:rsidRPr="003B21F0">
        <w:rPr>
          <w:b/>
        </w:rPr>
        <w:t xml:space="preserve"> contenido en el documento SC63 Doc.17.1 y encargó al Grupo que prosiguiera el debate sobre la necesidad y el valor de un nuevo logotipo, incluidas consideraciones presupuestarias, en consulta con las Partes interesadas y la Secretaría, y que informara sobre los progresos realizados a la reunión SC67.</w:t>
      </w:r>
    </w:p>
    <w:p w14:paraId="1B12E792" w14:textId="77777777" w:rsidR="005A4CA5" w:rsidRPr="003B21F0" w:rsidRDefault="005A4CA5" w:rsidP="005A4CA5">
      <w:pPr>
        <w:spacing w:after="0" w:line="240" w:lineRule="auto"/>
        <w:rPr>
          <w:rFonts w:cstheme="minorHAnsi"/>
        </w:rPr>
      </w:pPr>
    </w:p>
    <w:p w14:paraId="3F4A8669"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 xml:space="preserve">Punto 17.2 del orden del día: </w:t>
      </w:r>
      <w:proofErr w:type="spellStart"/>
      <w:r w:rsidRPr="003B21F0">
        <w:t>CECoP</w:t>
      </w:r>
      <w:proofErr w:type="spellEnd"/>
      <w:r w:rsidRPr="003B21F0">
        <w:t xml:space="preserve">: Informe de la Secretaría sobre las actividades futuras propuestas para el Grupo de supervisión de las actividades de </w:t>
      </w:r>
      <w:proofErr w:type="spellStart"/>
      <w:r w:rsidRPr="003B21F0">
        <w:t>CECoP</w:t>
      </w:r>
      <w:proofErr w:type="spellEnd"/>
      <w:r w:rsidRPr="003B21F0">
        <w:t>, de conformidad con la Resolución XIV.8</w:t>
      </w:r>
    </w:p>
    <w:p w14:paraId="2626069F" w14:textId="77777777" w:rsidR="005A4CA5" w:rsidRPr="003B21F0" w:rsidRDefault="005A4CA5" w:rsidP="005A4CA5">
      <w:pPr>
        <w:keepNext/>
        <w:spacing w:after="0" w:line="240" w:lineRule="auto"/>
        <w:ind w:left="567" w:hanging="567"/>
      </w:pPr>
    </w:p>
    <w:p w14:paraId="1BD8B83D" w14:textId="77777777" w:rsidR="005A4CA5" w:rsidRPr="003B21F0" w:rsidRDefault="005A4CA5" w:rsidP="005A4CA5">
      <w:pPr>
        <w:spacing w:after="0" w:line="240" w:lineRule="auto"/>
        <w:rPr>
          <w:rFonts w:cstheme="minorHAnsi"/>
          <w:b/>
        </w:rPr>
      </w:pPr>
      <w:r w:rsidRPr="003B21F0">
        <w:rPr>
          <w:b/>
        </w:rPr>
        <w:t xml:space="preserve">Decisión SC63-24: El Comité Permanente aprobó la propuesta de la Secretaría sobre el futuro funcionamiento del Grupo de supervisión de las actividades de </w:t>
      </w:r>
      <w:proofErr w:type="spellStart"/>
      <w:r w:rsidRPr="003B21F0">
        <w:rPr>
          <w:b/>
        </w:rPr>
        <w:t>CECoP</w:t>
      </w:r>
      <w:proofErr w:type="spellEnd"/>
      <w:r w:rsidRPr="003B21F0">
        <w:rPr>
          <w:b/>
        </w:rPr>
        <w:t xml:space="preserve">, y encargó a la Secretaría que preparara un proyecto de resolución para su consideración en la reunión SC64 y su presentación a la Conferencia de las Partes Contratantes en la COP15, que reflejara la consolidación de las recomendaciones y resoluciones sobre </w:t>
      </w:r>
      <w:proofErr w:type="spellStart"/>
      <w:r w:rsidRPr="003B21F0">
        <w:rPr>
          <w:b/>
        </w:rPr>
        <w:t>CECoP</w:t>
      </w:r>
      <w:proofErr w:type="spellEnd"/>
      <w:r w:rsidRPr="003B21F0">
        <w:rPr>
          <w:b/>
        </w:rPr>
        <w:t xml:space="preserve"> presentadas en el Documento SC63 Doc.16.3 y aprobadas mediante la Decisión SC63-22, y las opiniones del Comité Permanente sobre el proceso y el calendario para la designación del Grupo para el trienio 2025-2028. El Comité </w:t>
      </w:r>
      <w:r w:rsidRPr="003B21F0">
        <w:rPr>
          <w:b/>
        </w:rPr>
        <w:lastRenderedPageBreak/>
        <w:t xml:space="preserve">Permanente decidió que el proyecto de resolución consolidada sobre </w:t>
      </w:r>
      <w:proofErr w:type="spellStart"/>
      <w:r w:rsidRPr="003B21F0">
        <w:rPr>
          <w:b/>
        </w:rPr>
        <w:t>CECoP</w:t>
      </w:r>
      <w:proofErr w:type="spellEnd"/>
      <w:r w:rsidRPr="003B21F0">
        <w:rPr>
          <w:b/>
        </w:rPr>
        <w:t xml:space="preserve"> presentado en el documento SC63 Doc.16.3 no se remitiría a la COP15.</w:t>
      </w:r>
    </w:p>
    <w:p w14:paraId="6420B1A8" w14:textId="77777777" w:rsidR="005A4CA5" w:rsidRPr="003B21F0" w:rsidRDefault="005A4CA5" w:rsidP="005A4CA5">
      <w:pPr>
        <w:spacing w:after="0" w:line="240" w:lineRule="auto"/>
        <w:rPr>
          <w:rFonts w:eastAsia="Calibri" w:cstheme="minorHAnsi"/>
          <w:bCs/>
        </w:rPr>
      </w:pPr>
    </w:p>
    <w:p w14:paraId="554C6E65"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3B21F0">
        <w:t xml:space="preserve">Punto 17.3 del orden del día: </w:t>
      </w:r>
      <w:proofErr w:type="spellStart"/>
      <w:r w:rsidRPr="003B21F0">
        <w:t>CECoP</w:t>
      </w:r>
      <w:proofErr w:type="spellEnd"/>
      <w:r w:rsidRPr="003B21F0">
        <w:t>: Informe de la Secretaría sobre el Día Mundial de los Humedales 2024</w:t>
      </w:r>
    </w:p>
    <w:p w14:paraId="5FE5B5B7" w14:textId="77777777" w:rsidR="005A4CA5" w:rsidRPr="003B21F0" w:rsidRDefault="005A4CA5" w:rsidP="005A4CA5">
      <w:pPr>
        <w:spacing w:after="0" w:line="240" w:lineRule="auto"/>
        <w:ind w:left="567" w:hanging="567"/>
        <w:rPr>
          <w:rFonts w:eastAsia="Calibri" w:cstheme="minorHAnsi"/>
          <w:bCs/>
        </w:rPr>
      </w:pPr>
    </w:p>
    <w:p w14:paraId="0A791CE7" w14:textId="77777777" w:rsidR="005A4CA5" w:rsidRPr="003B21F0" w:rsidRDefault="005A4CA5" w:rsidP="005A4CA5">
      <w:pPr>
        <w:spacing w:after="0" w:line="240" w:lineRule="auto"/>
        <w:rPr>
          <w:rFonts w:cstheme="minorHAnsi"/>
          <w:b/>
        </w:rPr>
      </w:pPr>
      <w:r w:rsidRPr="003B21F0">
        <w:rPr>
          <w:b/>
        </w:rPr>
        <w:t>Decisión SC63-25: El Comité Permanente tomó nota del Informe de la Secretaría sobre el Día Mundial de los Humedales 2024 que figura en el documento SC63 </w:t>
      </w:r>
      <w:proofErr w:type="spellStart"/>
      <w:r w:rsidRPr="003B21F0">
        <w:rPr>
          <w:b/>
        </w:rPr>
        <w:t>Doc</w:t>
      </w:r>
      <w:proofErr w:type="spellEnd"/>
      <w:r w:rsidRPr="003B21F0">
        <w:rPr>
          <w:b/>
        </w:rPr>
        <w:t xml:space="preserve"> 17.3 Rev.1.</w:t>
      </w:r>
    </w:p>
    <w:p w14:paraId="63568CAD" w14:textId="77777777" w:rsidR="005A4CA5" w:rsidRPr="003B21F0" w:rsidRDefault="005A4CA5" w:rsidP="005A4CA5">
      <w:pPr>
        <w:spacing w:after="0" w:line="240" w:lineRule="auto"/>
        <w:ind w:left="567" w:hanging="567"/>
        <w:rPr>
          <w:rFonts w:eastAsia="Calibri" w:cstheme="minorHAnsi"/>
          <w:bCs/>
        </w:rPr>
      </w:pPr>
    </w:p>
    <w:p w14:paraId="0A5FC2FC"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3B21F0">
        <w:t xml:space="preserve">Punto 17.4 del orden del día: </w:t>
      </w:r>
      <w:proofErr w:type="spellStart"/>
      <w:r w:rsidRPr="003B21F0">
        <w:t>CECoP</w:t>
      </w:r>
      <w:proofErr w:type="spellEnd"/>
      <w:r w:rsidRPr="003B21F0">
        <w:t>: Temas para el Día Mundial de los Humedales en 2025, 2026 y 2027</w:t>
      </w:r>
    </w:p>
    <w:p w14:paraId="1E60F7B4" w14:textId="77777777" w:rsidR="005A4CA5" w:rsidRPr="003B21F0" w:rsidRDefault="005A4CA5" w:rsidP="005A4CA5">
      <w:pPr>
        <w:spacing w:after="0" w:line="240" w:lineRule="auto"/>
        <w:ind w:left="567" w:hanging="567"/>
        <w:rPr>
          <w:rFonts w:eastAsia="Calibri" w:cstheme="minorHAnsi"/>
          <w:bCs/>
        </w:rPr>
      </w:pPr>
    </w:p>
    <w:p w14:paraId="090B77FB" w14:textId="77777777" w:rsidR="005A4CA5" w:rsidRPr="003B21F0" w:rsidRDefault="005A4CA5" w:rsidP="005A4CA5">
      <w:pPr>
        <w:spacing w:after="0" w:line="240" w:lineRule="auto"/>
        <w:rPr>
          <w:rFonts w:cstheme="minorHAnsi"/>
          <w:b/>
        </w:rPr>
      </w:pPr>
      <w:r w:rsidRPr="003B21F0">
        <w:rPr>
          <w:b/>
        </w:rPr>
        <w:t>Decisión SC63-26: El Comité Permanente decidió que los temas para el Día Mundial de los Humedales serían los siguientes:</w:t>
      </w:r>
    </w:p>
    <w:p w14:paraId="18068585" w14:textId="77777777" w:rsidR="005A4CA5" w:rsidRPr="003B21F0" w:rsidRDefault="005A4CA5" w:rsidP="003462C8">
      <w:pPr>
        <w:spacing w:after="0" w:line="240" w:lineRule="auto"/>
        <w:ind w:left="567"/>
        <w:rPr>
          <w:rFonts w:cstheme="minorHAnsi"/>
          <w:b/>
        </w:rPr>
      </w:pPr>
      <w:r w:rsidRPr="003B21F0">
        <w:rPr>
          <w:b/>
        </w:rPr>
        <w:t>2025 – Proteger los humedales para nuestro futuro común</w:t>
      </w:r>
    </w:p>
    <w:p w14:paraId="4D3CEEAC" w14:textId="77777777" w:rsidR="005A4CA5" w:rsidRPr="003B21F0" w:rsidRDefault="005A4CA5" w:rsidP="003462C8">
      <w:pPr>
        <w:spacing w:after="0" w:line="240" w:lineRule="auto"/>
        <w:ind w:left="567"/>
        <w:rPr>
          <w:rFonts w:cstheme="minorHAnsi"/>
          <w:b/>
        </w:rPr>
      </w:pPr>
      <w:r w:rsidRPr="003B21F0">
        <w:rPr>
          <w:b/>
        </w:rPr>
        <w:t>2026 – Los humedales y los conocimientos tradicionales: celebrar el patrimonio cultural</w:t>
      </w:r>
    </w:p>
    <w:p w14:paraId="359D0E88" w14:textId="77777777" w:rsidR="005A4CA5" w:rsidRPr="003B21F0" w:rsidRDefault="005A4CA5" w:rsidP="003462C8">
      <w:pPr>
        <w:spacing w:after="0" w:line="240" w:lineRule="auto"/>
        <w:ind w:left="567"/>
        <w:rPr>
          <w:rFonts w:cstheme="minorHAnsi"/>
          <w:b/>
        </w:rPr>
      </w:pPr>
      <w:r w:rsidRPr="003B21F0">
        <w:rPr>
          <w:b/>
          <w:bCs/>
        </w:rPr>
        <w:t>2027 – Humedales para ciudades sostenibles</w:t>
      </w:r>
    </w:p>
    <w:p w14:paraId="744C48EA" w14:textId="77777777" w:rsidR="00DE1FFB" w:rsidRPr="003B21F0" w:rsidRDefault="00DE1FFB" w:rsidP="00E4378D">
      <w:pPr>
        <w:spacing w:after="0" w:line="240" w:lineRule="auto"/>
        <w:rPr>
          <w:rFonts w:cstheme="minorHAnsi"/>
          <w:b/>
        </w:rPr>
      </w:pPr>
    </w:p>
    <w:p w14:paraId="109C030D"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10 del orden del día: Retos urgentes en materia de uso racional de los humedales que merecen mayor atención: información actualizada sobre los inventarios de humedales</w:t>
      </w:r>
    </w:p>
    <w:p w14:paraId="7D4EDA18" w14:textId="77777777" w:rsidR="005A4CA5" w:rsidRPr="003B21F0" w:rsidRDefault="005A4CA5" w:rsidP="005A4CA5">
      <w:pPr>
        <w:pStyle w:val="ListParagraph"/>
        <w:spacing w:after="0" w:line="240" w:lineRule="auto"/>
        <w:ind w:left="562" w:hanging="562"/>
        <w:rPr>
          <w:rFonts w:cstheme="minorHAnsi"/>
        </w:rPr>
      </w:pPr>
    </w:p>
    <w:p w14:paraId="5511C287" w14:textId="77777777" w:rsidR="005A4CA5" w:rsidRPr="003B21F0" w:rsidRDefault="005A4CA5" w:rsidP="005A4CA5">
      <w:pPr>
        <w:pStyle w:val="ListParagraph"/>
        <w:spacing w:after="0" w:line="240" w:lineRule="auto"/>
        <w:ind w:left="0"/>
        <w:rPr>
          <w:rFonts w:cstheme="minorHAnsi"/>
          <w:b/>
          <w:bCs/>
        </w:rPr>
      </w:pPr>
      <w:r w:rsidRPr="003B21F0">
        <w:rPr>
          <w:b/>
        </w:rPr>
        <w:t xml:space="preserve">Decisión SC63-27: </w:t>
      </w:r>
      <w:r w:rsidRPr="003B21F0">
        <w:rPr>
          <w:b/>
          <w:bCs/>
        </w:rPr>
        <w:t>El Comité Permanente tomó nota de los avances de la Secretaría en la provisión de un mecanismo para ayudar a las Partes Contratantes a elaborar sus inventarios nacionales de humedales y pidió a la Secretaría que lleve a cabo actividades de recaudación de fondos con miras a facilitar la creación del mecanismo propuesto.</w:t>
      </w:r>
    </w:p>
    <w:p w14:paraId="25609FF8" w14:textId="77777777" w:rsidR="005A4CA5" w:rsidRPr="003B21F0" w:rsidRDefault="005A4CA5" w:rsidP="005A4CA5">
      <w:pPr>
        <w:pStyle w:val="ListParagraph"/>
        <w:spacing w:after="0" w:line="240" w:lineRule="auto"/>
        <w:ind w:left="0"/>
        <w:rPr>
          <w:rFonts w:cstheme="minorHAnsi"/>
          <w:b/>
          <w:bCs/>
        </w:rPr>
      </w:pPr>
    </w:p>
    <w:p w14:paraId="06E5A84A"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9.1 del orden del día: Cuestiones financieras y presupuestarias: Informe sobre cuestiones financieras para 2023 y 2024</w:t>
      </w:r>
    </w:p>
    <w:p w14:paraId="25A1FA77" w14:textId="77777777" w:rsidR="005A4CA5" w:rsidRPr="003B21F0" w:rsidRDefault="005A4CA5" w:rsidP="00E4378D">
      <w:pPr>
        <w:spacing w:after="0" w:line="240" w:lineRule="auto"/>
        <w:ind w:left="567" w:hanging="567"/>
        <w:rPr>
          <w:rFonts w:cstheme="minorHAnsi"/>
        </w:rPr>
      </w:pPr>
    </w:p>
    <w:p w14:paraId="5212656C" w14:textId="77777777" w:rsidR="005A4CA5" w:rsidRPr="003B21F0" w:rsidRDefault="005A4CA5" w:rsidP="005A4CA5">
      <w:pPr>
        <w:keepNext/>
        <w:spacing w:after="0" w:line="240" w:lineRule="auto"/>
        <w:rPr>
          <w:rFonts w:cstheme="minorHAnsi"/>
          <w:b/>
          <w:bCs/>
        </w:rPr>
      </w:pPr>
      <w:r w:rsidRPr="003B21F0">
        <w:rPr>
          <w:b/>
        </w:rPr>
        <w:t>Decisión SC63-28</w:t>
      </w:r>
      <w:r w:rsidRPr="003B21F0">
        <w:t xml:space="preserve">: </w:t>
      </w:r>
      <w:r w:rsidRPr="003B21F0">
        <w:rPr>
          <w:b/>
        </w:rPr>
        <w:t>El Comité Permanente:</w:t>
      </w:r>
    </w:p>
    <w:p w14:paraId="26C9B0EF" w14:textId="77777777" w:rsidR="005A4CA5" w:rsidRPr="003B21F0" w:rsidRDefault="005A4CA5" w:rsidP="00E4378D">
      <w:pPr>
        <w:spacing w:after="0" w:line="240" w:lineRule="auto"/>
        <w:ind w:left="567" w:hanging="567"/>
        <w:rPr>
          <w:rFonts w:cstheme="minorHAnsi"/>
          <w:b/>
          <w:bCs/>
        </w:rPr>
      </w:pPr>
      <w:r w:rsidRPr="003B21F0">
        <w:rPr>
          <w:b/>
        </w:rPr>
        <w:t>i.</w:t>
      </w:r>
      <w:r w:rsidRPr="003B21F0">
        <w:rPr>
          <w:b/>
        </w:rPr>
        <w:tab/>
        <w:t>aceptó los estados financieros auditados para 2023 a 31 de diciembre de 2023;</w:t>
      </w:r>
    </w:p>
    <w:p w14:paraId="22958C5B" w14:textId="77777777" w:rsidR="005A4CA5" w:rsidRPr="003B21F0" w:rsidRDefault="005A4CA5" w:rsidP="00E4378D">
      <w:pPr>
        <w:spacing w:after="0" w:line="240" w:lineRule="auto"/>
        <w:ind w:left="567" w:hanging="567"/>
        <w:rPr>
          <w:rFonts w:cstheme="minorHAnsi"/>
          <w:b/>
          <w:bCs/>
        </w:rPr>
      </w:pPr>
      <w:proofErr w:type="spellStart"/>
      <w:r w:rsidRPr="003B21F0">
        <w:rPr>
          <w:b/>
        </w:rPr>
        <w:t>ii</w:t>
      </w:r>
      <w:proofErr w:type="spellEnd"/>
      <w:r w:rsidRPr="003B21F0">
        <w:rPr>
          <w:b/>
        </w:rPr>
        <w:t xml:space="preserve">. </w:t>
      </w:r>
      <w:r w:rsidRPr="003B21F0">
        <w:rPr>
          <w:b/>
        </w:rPr>
        <w:tab/>
        <w:t>tomó nota de los resultados del presupuesto básico para 2023;</w:t>
      </w:r>
    </w:p>
    <w:p w14:paraId="5E363621" w14:textId="77777777" w:rsidR="005A4CA5" w:rsidRPr="003B21F0" w:rsidRDefault="005A4CA5" w:rsidP="00E4378D">
      <w:pPr>
        <w:spacing w:after="0" w:line="240" w:lineRule="auto"/>
        <w:ind w:left="567" w:hanging="567"/>
        <w:rPr>
          <w:rFonts w:cstheme="minorHAnsi"/>
          <w:b/>
          <w:bCs/>
        </w:rPr>
      </w:pPr>
      <w:proofErr w:type="spellStart"/>
      <w:r w:rsidRPr="003B21F0">
        <w:rPr>
          <w:b/>
        </w:rPr>
        <w:t>iii</w:t>
      </w:r>
      <w:proofErr w:type="spellEnd"/>
      <w:r w:rsidRPr="003B21F0">
        <w:rPr>
          <w:b/>
        </w:rPr>
        <w:t>.</w:t>
      </w:r>
      <w:r w:rsidRPr="003B21F0">
        <w:rPr>
          <w:b/>
        </w:rPr>
        <w:tab/>
        <w:t>tomó nota de la situación de la financiación complementaria y las contribuciones voluntarias para 2023;</w:t>
      </w:r>
    </w:p>
    <w:p w14:paraId="60C77D3B" w14:textId="77777777" w:rsidR="005A4CA5" w:rsidRPr="003B21F0" w:rsidRDefault="005A4CA5" w:rsidP="00E4378D">
      <w:pPr>
        <w:spacing w:after="0" w:line="240" w:lineRule="auto"/>
        <w:ind w:left="567" w:hanging="567"/>
        <w:rPr>
          <w:rFonts w:cstheme="minorHAnsi"/>
          <w:b/>
          <w:bCs/>
        </w:rPr>
      </w:pPr>
      <w:proofErr w:type="spellStart"/>
      <w:r w:rsidRPr="003B21F0">
        <w:rPr>
          <w:b/>
        </w:rPr>
        <w:t>iv</w:t>
      </w:r>
      <w:proofErr w:type="spellEnd"/>
      <w:r w:rsidRPr="003B21F0">
        <w:rPr>
          <w:b/>
        </w:rPr>
        <w:t xml:space="preserve">. </w:t>
      </w:r>
      <w:r w:rsidRPr="003B21F0">
        <w:rPr>
          <w:b/>
        </w:rPr>
        <w:tab/>
        <w:t>aprobó el traspaso de 2023 a 2024 de los fondos previamente comprometidos y no gastados por la suma de 1 232 000 francos suizos, como se indica en la columna C del cuadro del Anexo 1, Presupuesto básico para 2024, del documento SC63 Com.1;</w:t>
      </w:r>
    </w:p>
    <w:p w14:paraId="601C3A31" w14:textId="3543531B" w:rsidR="005A4CA5" w:rsidRPr="003B21F0" w:rsidRDefault="005A4CA5" w:rsidP="00E4378D">
      <w:pPr>
        <w:spacing w:after="0" w:line="240" w:lineRule="auto"/>
        <w:ind w:left="567" w:hanging="567"/>
        <w:rPr>
          <w:rFonts w:cstheme="minorHAnsi"/>
          <w:b/>
          <w:bCs/>
        </w:rPr>
      </w:pPr>
      <w:r w:rsidRPr="003B21F0">
        <w:rPr>
          <w:b/>
        </w:rPr>
        <w:t>v.</w:t>
      </w:r>
      <w:r w:rsidRPr="003B21F0">
        <w:rPr>
          <w:b/>
        </w:rPr>
        <w:tab/>
        <w:t xml:space="preserve">aprobó la asignación de 29 000 francos suizos del presupuesto básico a la Iniciativa regional de Ramsar </w:t>
      </w:r>
      <w:proofErr w:type="spellStart"/>
      <w:r w:rsidRPr="003B21F0">
        <w:rPr>
          <w:b/>
        </w:rPr>
        <w:t>Danube</w:t>
      </w:r>
      <w:proofErr w:type="spellEnd"/>
      <w:r w:rsidRPr="003B21F0">
        <w:rPr>
          <w:b/>
        </w:rPr>
        <w:t xml:space="preserve"> </w:t>
      </w:r>
      <w:proofErr w:type="spellStart"/>
      <w:r w:rsidRPr="003B21F0">
        <w:rPr>
          <w:b/>
        </w:rPr>
        <w:t>WILDisland</w:t>
      </w:r>
      <w:proofErr w:type="spellEnd"/>
      <w:r w:rsidRPr="003B21F0">
        <w:rPr>
          <w:b/>
        </w:rPr>
        <w:t xml:space="preserve"> para actividades que se realizarán en 2024, como se indica en el párrafo 23 del documento SC63 Doc.9.1;</w:t>
      </w:r>
    </w:p>
    <w:p w14:paraId="35F14A02" w14:textId="77777777" w:rsidR="005A4CA5" w:rsidRPr="003B21F0" w:rsidRDefault="005A4CA5" w:rsidP="00E4378D">
      <w:pPr>
        <w:spacing w:after="0" w:line="240" w:lineRule="auto"/>
        <w:ind w:left="567" w:hanging="567"/>
        <w:rPr>
          <w:rFonts w:cstheme="minorHAnsi"/>
          <w:b/>
          <w:bCs/>
        </w:rPr>
      </w:pPr>
      <w:r w:rsidRPr="003B21F0">
        <w:rPr>
          <w:b/>
        </w:rPr>
        <w:t>vi.</w:t>
      </w:r>
      <w:r w:rsidRPr="003B21F0">
        <w:rPr>
          <w:b/>
        </w:rPr>
        <w:tab/>
        <w:t>tomó nota de los saldos excedentes a finales de 2023; y</w:t>
      </w:r>
    </w:p>
    <w:p w14:paraId="04B11143" w14:textId="77777777" w:rsidR="005A4CA5" w:rsidRPr="003B21F0" w:rsidRDefault="005A4CA5" w:rsidP="00E4378D">
      <w:pPr>
        <w:spacing w:after="0" w:line="240" w:lineRule="auto"/>
        <w:ind w:left="567" w:hanging="567"/>
        <w:rPr>
          <w:rFonts w:cstheme="minorHAnsi"/>
          <w:b/>
          <w:bCs/>
        </w:rPr>
      </w:pPr>
      <w:proofErr w:type="spellStart"/>
      <w:r w:rsidRPr="003B21F0">
        <w:rPr>
          <w:b/>
        </w:rPr>
        <w:t>vii</w:t>
      </w:r>
      <w:proofErr w:type="spellEnd"/>
      <w:r w:rsidRPr="003B21F0">
        <w:rPr>
          <w:b/>
        </w:rPr>
        <w:t>.</w:t>
      </w:r>
      <w:r w:rsidRPr="003B21F0">
        <w:rPr>
          <w:b/>
        </w:rPr>
        <w:tab/>
        <w:t>tomó nota de la información relativa a los estados financieros para 2024 y 2025 y las facturas para 2025, como se describe en los párrafos 26 y 27 del documento SC63 Doc. 9,1.</w:t>
      </w:r>
    </w:p>
    <w:p w14:paraId="17EFE559" w14:textId="77777777" w:rsidR="005A4CA5" w:rsidRPr="003B21F0" w:rsidRDefault="005A4CA5" w:rsidP="00E4378D">
      <w:pPr>
        <w:spacing w:after="0" w:line="240" w:lineRule="auto"/>
        <w:ind w:left="567" w:hanging="567"/>
        <w:rPr>
          <w:rFonts w:cstheme="minorHAnsi"/>
        </w:rPr>
      </w:pPr>
    </w:p>
    <w:p w14:paraId="693E4F09"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9.2 del orden del día: Cuestiones financieras y presupuestarias: Estado de las contribuciones anuales</w:t>
      </w:r>
    </w:p>
    <w:p w14:paraId="6939429F" w14:textId="77777777" w:rsidR="005A4CA5" w:rsidRPr="003B21F0" w:rsidRDefault="005A4CA5" w:rsidP="005A4CA5">
      <w:pPr>
        <w:pStyle w:val="ListParagraph"/>
        <w:spacing w:after="0" w:line="240" w:lineRule="auto"/>
        <w:ind w:left="562" w:hanging="562"/>
        <w:rPr>
          <w:rFonts w:cstheme="minorHAnsi"/>
        </w:rPr>
      </w:pPr>
    </w:p>
    <w:p w14:paraId="54BDC605" w14:textId="77777777" w:rsidR="005A4CA5" w:rsidRPr="003B21F0" w:rsidRDefault="005A4CA5" w:rsidP="005A4CA5">
      <w:pPr>
        <w:spacing w:after="0" w:line="240" w:lineRule="auto"/>
        <w:rPr>
          <w:rFonts w:cstheme="minorHAnsi"/>
          <w:b/>
        </w:rPr>
      </w:pPr>
      <w:r w:rsidRPr="003B21F0">
        <w:rPr>
          <w:b/>
        </w:rPr>
        <w:t>Decisión SC63-29: El Comité Permanente:</w:t>
      </w:r>
    </w:p>
    <w:p w14:paraId="0F629C1D" w14:textId="77777777" w:rsidR="005A4CA5" w:rsidRPr="003B21F0" w:rsidRDefault="005A4CA5" w:rsidP="003462C8">
      <w:pPr>
        <w:spacing w:after="0" w:line="240" w:lineRule="auto"/>
        <w:ind w:left="567" w:hanging="567"/>
        <w:rPr>
          <w:rFonts w:cstheme="minorHAnsi"/>
          <w:b/>
        </w:rPr>
      </w:pPr>
      <w:r w:rsidRPr="003B21F0">
        <w:rPr>
          <w:b/>
        </w:rPr>
        <w:t>i.</w:t>
      </w:r>
      <w:r w:rsidRPr="003B21F0">
        <w:rPr>
          <w:b/>
        </w:rPr>
        <w:tab/>
        <w:t xml:space="preserve">tomó nota del estado de las contribuciones anuales; </w:t>
      </w:r>
    </w:p>
    <w:p w14:paraId="550BC665" w14:textId="77777777" w:rsidR="005A4CA5" w:rsidRPr="003B21F0" w:rsidRDefault="005A4CA5" w:rsidP="003462C8">
      <w:pPr>
        <w:spacing w:after="0" w:line="240" w:lineRule="auto"/>
        <w:ind w:left="567" w:hanging="567"/>
        <w:rPr>
          <w:rFonts w:cstheme="minorHAnsi"/>
          <w:b/>
        </w:rPr>
      </w:pPr>
      <w:proofErr w:type="spellStart"/>
      <w:r w:rsidRPr="003B21F0">
        <w:rPr>
          <w:b/>
        </w:rPr>
        <w:lastRenderedPageBreak/>
        <w:t>ii</w:t>
      </w:r>
      <w:proofErr w:type="spellEnd"/>
      <w:r w:rsidRPr="003B21F0">
        <w:rPr>
          <w:b/>
        </w:rPr>
        <w:t>.</w:t>
      </w:r>
      <w:r w:rsidRPr="003B21F0">
        <w:rPr>
          <w:b/>
        </w:rPr>
        <w:tab/>
        <w:t>tomó nota de las acciones enumeradas en los párrafos 12 y 13 del documento SC62 Doc.9.2 sobre la confirmación de los grupos acerca de las contribuciones pendientes, como parte del proceso de auditoría;</w:t>
      </w:r>
    </w:p>
    <w:p w14:paraId="3FC703EE" w14:textId="77777777" w:rsidR="005A4CA5" w:rsidRPr="003B21F0" w:rsidRDefault="005A4CA5" w:rsidP="003462C8">
      <w:pPr>
        <w:spacing w:after="0" w:line="240" w:lineRule="auto"/>
        <w:ind w:left="567" w:hanging="567"/>
        <w:rPr>
          <w:rFonts w:cstheme="minorHAnsi"/>
          <w:b/>
        </w:rPr>
      </w:pPr>
      <w:proofErr w:type="spellStart"/>
      <w:r w:rsidRPr="003B21F0">
        <w:rPr>
          <w:b/>
        </w:rPr>
        <w:t>iii</w:t>
      </w:r>
      <w:proofErr w:type="spellEnd"/>
      <w:r w:rsidRPr="003B21F0">
        <w:rPr>
          <w:b/>
        </w:rPr>
        <w:t>.</w:t>
      </w:r>
      <w:r w:rsidRPr="003B21F0">
        <w:rPr>
          <w:b/>
        </w:rPr>
        <w:tab/>
        <w:t>tomó nota de las acciones enumeradas en los párrafos 15, 17, 18 y 19 del mismo documento para seguir fomentando el pago de las contribuciones anuales;</w:t>
      </w:r>
    </w:p>
    <w:p w14:paraId="50EEA93C" w14:textId="77777777" w:rsidR="005A4CA5" w:rsidRPr="003B21F0" w:rsidRDefault="005A4CA5" w:rsidP="003462C8">
      <w:pPr>
        <w:spacing w:after="0" w:line="240" w:lineRule="auto"/>
        <w:ind w:left="567" w:hanging="567"/>
        <w:rPr>
          <w:rFonts w:cstheme="minorHAnsi"/>
          <w:b/>
        </w:rPr>
      </w:pPr>
      <w:proofErr w:type="spellStart"/>
      <w:r w:rsidRPr="003B21F0">
        <w:rPr>
          <w:b/>
        </w:rPr>
        <w:t>iv</w:t>
      </w:r>
      <w:proofErr w:type="spellEnd"/>
      <w:r w:rsidRPr="003B21F0">
        <w:rPr>
          <w:b/>
        </w:rPr>
        <w:t>.</w:t>
      </w:r>
      <w:r w:rsidRPr="003B21F0">
        <w:rPr>
          <w:b/>
        </w:rPr>
        <w:tab/>
        <w:t xml:space="preserve">tomó nota del cambio en las contribuciones anuales por cobrar y en la provisión anual para las contribuciones pendientes de pago; y </w:t>
      </w:r>
    </w:p>
    <w:p w14:paraId="6EDF5296" w14:textId="77777777" w:rsidR="005A4CA5" w:rsidRPr="003B21F0" w:rsidRDefault="005A4CA5" w:rsidP="003462C8">
      <w:pPr>
        <w:spacing w:after="0" w:line="240" w:lineRule="auto"/>
        <w:ind w:left="567" w:hanging="567"/>
        <w:rPr>
          <w:rFonts w:cstheme="minorHAnsi"/>
          <w:b/>
        </w:rPr>
      </w:pPr>
      <w:r w:rsidRPr="003B21F0">
        <w:rPr>
          <w:b/>
        </w:rPr>
        <w:t>v.</w:t>
      </w:r>
      <w:r w:rsidRPr="003B21F0">
        <w:rPr>
          <w:b/>
        </w:rPr>
        <w:tab/>
        <w:t>tomó nota del estado de las contribuciones voluntarias que pagaron las Partes Contratantes de la región de África, como se describe en el párrafo 22 del mismo documento.</w:t>
      </w:r>
    </w:p>
    <w:p w14:paraId="087044FF" w14:textId="77777777" w:rsidR="005A4CA5" w:rsidRPr="003B21F0" w:rsidRDefault="005A4CA5" w:rsidP="005A4CA5">
      <w:pPr>
        <w:spacing w:after="0" w:line="240" w:lineRule="auto"/>
        <w:rPr>
          <w:rFonts w:cstheme="minorHAnsi"/>
        </w:rPr>
      </w:pPr>
    </w:p>
    <w:p w14:paraId="11E54152"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3B21F0">
        <w:t>Punto 19 del orden del día: Informe de la Presidencia del Grupo de Examen Científico y Técnico sobre la aplicación del plan de trabajo del GECT</w:t>
      </w:r>
    </w:p>
    <w:p w14:paraId="7510A441" w14:textId="77777777" w:rsidR="005A4CA5" w:rsidRPr="003B21F0" w:rsidRDefault="005A4CA5" w:rsidP="005A4CA5">
      <w:pPr>
        <w:pStyle w:val="ListParagraph"/>
        <w:spacing w:after="0" w:line="240" w:lineRule="auto"/>
        <w:ind w:left="562" w:hanging="562"/>
        <w:rPr>
          <w:rFonts w:eastAsia="Calibri" w:cstheme="minorHAnsi"/>
          <w:bCs/>
        </w:rPr>
      </w:pPr>
    </w:p>
    <w:p w14:paraId="1A7A3678" w14:textId="77777777" w:rsidR="005A4CA5" w:rsidRPr="003B21F0" w:rsidRDefault="005A4CA5" w:rsidP="005A4CA5">
      <w:pPr>
        <w:spacing w:after="0" w:line="240" w:lineRule="auto"/>
        <w:rPr>
          <w:rFonts w:cstheme="minorHAnsi"/>
          <w:b/>
        </w:rPr>
      </w:pPr>
      <w:r w:rsidRPr="003B21F0">
        <w:rPr>
          <w:b/>
        </w:rPr>
        <w:t>Decisión SC63-30: El Comité Permanente tomó nota del informe de la Presidencia del Grupo de Examen Científico y Técnico que figura en el documento SC63 Doc.19 y de las observaciones que formularon las Partes; pidió al GECT que emprendiera la determinación del alcance y la planificación de un examen del sistema de clasificación de los tipos de humedales que se ejecutaría como una tarea de alta prioridad en el trienio 2025-2027; y pidió al GECT que trabajara en colaboración con la Secretaría para organizar una consulta con la comunidad de observación de la Tierra sobre el establecimiento de una iniciativa para fomentar el diálogo, el intercambio de conocimientos y las orientaciones para la observación de la Tierra, como apoyo para el inventario, la evaluación, el seguimiento y la conservación de los humedales.</w:t>
      </w:r>
    </w:p>
    <w:p w14:paraId="5D885FF3" w14:textId="77777777" w:rsidR="005A4CA5" w:rsidRPr="003B21F0" w:rsidRDefault="005A4CA5" w:rsidP="005A4CA5">
      <w:pPr>
        <w:spacing w:after="0" w:line="240" w:lineRule="auto"/>
        <w:rPr>
          <w:rFonts w:cstheme="minorHAnsi"/>
          <w:b/>
        </w:rPr>
      </w:pPr>
    </w:p>
    <w:p w14:paraId="53D5DC9F"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3B21F0">
        <w:t>Punto 20 del orden del día: Propuesta técnica del GECT sobre la obtención de recursos para las estimaciones de poblaciones de aves acuáticas y la realización de estas</w:t>
      </w:r>
    </w:p>
    <w:p w14:paraId="05D42817" w14:textId="77777777" w:rsidR="005A4CA5" w:rsidRPr="003B21F0" w:rsidRDefault="005A4CA5" w:rsidP="005A4CA5">
      <w:pPr>
        <w:spacing w:after="0" w:line="240" w:lineRule="auto"/>
        <w:ind w:left="567" w:hanging="567"/>
        <w:rPr>
          <w:rFonts w:eastAsia="Calibri" w:cstheme="minorHAnsi"/>
          <w:bCs/>
        </w:rPr>
      </w:pPr>
    </w:p>
    <w:p w14:paraId="3712A73D" w14:textId="77777777" w:rsidR="005A4CA5" w:rsidRPr="003B21F0" w:rsidRDefault="005A4CA5" w:rsidP="005A4CA5">
      <w:pPr>
        <w:spacing w:after="0" w:line="240" w:lineRule="auto"/>
        <w:rPr>
          <w:rFonts w:cstheme="minorHAnsi"/>
          <w:b/>
        </w:rPr>
      </w:pPr>
      <w:r w:rsidRPr="003B21F0">
        <w:rPr>
          <w:b/>
        </w:rPr>
        <w:t xml:space="preserve">Decisión SC63-31: El Comité Permanente tomó nota de la propuesta técnica del GECT sobre la obtención de recursos y la ejecución de las estimaciones de las poblaciones de aves acuáticas que figura en el documento SC63 Doc.20 y de las observaciones formuladas por las Partes, apoyó la creación de una alianza en consonancia con el enfoque presentado, y solicitó al GECT que siguiera perfeccionando la propuesta de la alianza y la presentara a la reunión SC64, con recomendaciones para dotarla de recursos en consulta con el Subgrupo de Finanzas.  </w:t>
      </w:r>
    </w:p>
    <w:p w14:paraId="61A6A16E" w14:textId="77777777" w:rsidR="005A4CA5" w:rsidRPr="003B21F0" w:rsidRDefault="005A4CA5" w:rsidP="005A4CA5">
      <w:pPr>
        <w:spacing w:after="0" w:line="240" w:lineRule="auto"/>
        <w:ind w:left="567" w:hanging="567"/>
        <w:rPr>
          <w:rFonts w:eastAsia="Calibri" w:cstheme="minorHAnsi"/>
          <w:bCs/>
        </w:rPr>
      </w:pPr>
    </w:p>
    <w:p w14:paraId="508BE3BC" w14:textId="77777777" w:rsidR="005A4CA5" w:rsidRPr="003B21F0" w:rsidRDefault="005A4CA5" w:rsidP="005A4CA5">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rsidRPr="003B21F0">
        <w:t>Punto 18 del orden del día: Informe del Grupo de trabajo sobre la juventud</w:t>
      </w:r>
    </w:p>
    <w:p w14:paraId="216AC3FE" w14:textId="77777777" w:rsidR="005A4CA5" w:rsidRPr="003B21F0" w:rsidRDefault="005A4CA5" w:rsidP="005A4CA5">
      <w:pPr>
        <w:spacing w:after="0" w:line="240" w:lineRule="auto"/>
        <w:rPr>
          <w:rFonts w:cstheme="minorHAnsi"/>
          <w:b/>
        </w:rPr>
      </w:pPr>
    </w:p>
    <w:p w14:paraId="0AA0FEBB" w14:textId="707D524C" w:rsidR="00297028" w:rsidRPr="003B21F0" w:rsidRDefault="005A4CA5" w:rsidP="00297028">
      <w:pPr>
        <w:spacing w:after="0" w:line="240" w:lineRule="auto"/>
        <w:rPr>
          <w:rFonts w:eastAsia="Calibri" w:cstheme="minorHAnsi"/>
          <w:bCs/>
        </w:rPr>
      </w:pPr>
      <w:r w:rsidRPr="003B21F0">
        <w:rPr>
          <w:b/>
        </w:rPr>
        <w:t>Decisión SC63-32: El Comité Permanente tomó nota de los progresos realizados por el Grupo de trabajo sobre la juventud presentados en el documento SC63 Doc.18, así como de las observaciones formuladas por las Partes Contratantes.</w:t>
      </w:r>
    </w:p>
    <w:p w14:paraId="5040BC8D" w14:textId="77777777" w:rsidR="00297028" w:rsidRPr="003B21F0" w:rsidRDefault="00297028" w:rsidP="00297028">
      <w:pPr>
        <w:keepNext/>
        <w:spacing w:after="0" w:line="240" w:lineRule="auto"/>
        <w:rPr>
          <w:rFonts w:cstheme="minorHAnsi"/>
        </w:rPr>
      </w:pPr>
    </w:p>
    <w:p w14:paraId="5E8E5FC9" w14:textId="77777777" w:rsidR="00297028" w:rsidRPr="003B21F0" w:rsidRDefault="00297028" w:rsidP="0029702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22 del orden del día: Informe de la Secretaría sobre las dificultades y oportunidades relacionadas con la presentación y actualización de las Fichas Informativas de Ramsar</w:t>
      </w:r>
    </w:p>
    <w:p w14:paraId="00E547D1" w14:textId="77777777" w:rsidR="00297028" w:rsidRPr="003B21F0" w:rsidRDefault="00297028" w:rsidP="00297028">
      <w:pPr>
        <w:spacing w:after="0" w:line="240" w:lineRule="auto"/>
        <w:ind w:left="562" w:hanging="562"/>
        <w:rPr>
          <w:rFonts w:cstheme="minorHAnsi"/>
        </w:rPr>
      </w:pPr>
    </w:p>
    <w:p w14:paraId="7700C4C9" w14:textId="74628271" w:rsidR="00297028" w:rsidRPr="003B21F0" w:rsidRDefault="00297028" w:rsidP="00297028">
      <w:pPr>
        <w:spacing w:after="0" w:line="240" w:lineRule="auto"/>
      </w:pPr>
      <w:r w:rsidRPr="003B21F0">
        <w:rPr>
          <w:b/>
        </w:rPr>
        <w:t>Decisión SC63-33: El Comité Permanente decidió establecer un grupo de trabajo para seguir elaborando las acciones prioritarias presentadas en el documento SC63 Doc.22, en consulta con la Secretaría y el GECT, para fundamentar la preparación de un proyecto de resolución sobre el fortalecimiento de los procesos futuros de actualización de las FIR. El grupo de trabajo presentará un informe a la reunión SC64.</w:t>
      </w:r>
      <w:r w:rsidR="00A56072">
        <w:rPr>
          <w:rStyle w:val="FootnoteReference"/>
          <w:b/>
        </w:rPr>
        <w:footnoteReference w:id="2"/>
      </w:r>
    </w:p>
    <w:p w14:paraId="738A4522" w14:textId="77777777" w:rsidR="00297028" w:rsidRPr="003B21F0" w:rsidRDefault="00297028" w:rsidP="00297028">
      <w:pPr>
        <w:spacing w:after="0" w:line="240" w:lineRule="auto"/>
        <w:ind w:left="562" w:hanging="562"/>
        <w:rPr>
          <w:rFonts w:cstheme="minorHAnsi"/>
        </w:rPr>
      </w:pPr>
    </w:p>
    <w:p w14:paraId="1A8B274F" w14:textId="77777777" w:rsidR="00297028" w:rsidRPr="003B21F0" w:rsidRDefault="00297028" w:rsidP="0029702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23 del orden del día: Informe de la Secretaría sobre las propuestas para fortalecer el proceso de inscripción de los sitios en la Lista de Humedales de Importancia Internacional</w:t>
      </w:r>
    </w:p>
    <w:p w14:paraId="2E9D545E" w14:textId="77777777" w:rsidR="00297028" w:rsidRPr="003B21F0" w:rsidRDefault="00297028" w:rsidP="00297028">
      <w:pPr>
        <w:spacing w:after="0" w:line="240" w:lineRule="auto"/>
        <w:ind w:left="567" w:hanging="567"/>
      </w:pPr>
    </w:p>
    <w:p w14:paraId="64BA5710" w14:textId="463CF460" w:rsidR="00297028" w:rsidRPr="003B21F0" w:rsidRDefault="00297028" w:rsidP="00297028">
      <w:pPr>
        <w:tabs>
          <w:tab w:val="left" w:pos="0"/>
        </w:tabs>
        <w:spacing w:line="240" w:lineRule="auto"/>
        <w:contextualSpacing/>
        <w:rPr>
          <w:b/>
          <w:bCs/>
        </w:rPr>
      </w:pPr>
      <w:r w:rsidRPr="003B21F0">
        <w:rPr>
          <w:b/>
        </w:rPr>
        <w:t>Decisión SC63-34: El Comité Permanente tomó nota del informe de la Secretaría sobre las propuestas para fortalecer el proceso de inscripción de sitios en la Lista de Humedales de Importancia Internacional y de las observaciones formuladas por las Partes, y decidió revisar el documento SC63 Doc.23 para presentarlo en la reunión SC64 a fin de reflejar con mayor precisión las opiniones del Asesor Jurídico, con un grupo de Partes interesadas que examinarían las acciones propuestas en el documento y formularían recomendaciones adicionales para fortalecer el proceso de inscripción de sitios en la Lista de Humedales de Importancia Internacional.</w:t>
      </w:r>
    </w:p>
    <w:p w14:paraId="5BAAF480" w14:textId="77777777" w:rsidR="00297028" w:rsidRPr="003B21F0" w:rsidRDefault="00297028" w:rsidP="00297028">
      <w:pPr>
        <w:tabs>
          <w:tab w:val="left" w:pos="720"/>
          <w:tab w:val="center" w:pos="4680"/>
        </w:tabs>
        <w:spacing w:after="0" w:line="240" w:lineRule="auto"/>
        <w:contextualSpacing/>
        <w:rPr>
          <w:rFonts w:cstheme="minorHAnsi"/>
        </w:rPr>
      </w:pPr>
    </w:p>
    <w:p w14:paraId="4872BDB9" w14:textId="77777777" w:rsidR="00297028" w:rsidRPr="003B21F0" w:rsidRDefault="00297028" w:rsidP="0029702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rPr>
      </w:pPr>
      <w:bookmarkStart w:id="2" w:name="_Hlk168935222"/>
      <w:r w:rsidRPr="003B21F0">
        <w:t>Punto 24 del orden del día: Información actualizada de la Secretaría sobre la aplicación de la Resolución XIV.20</w:t>
      </w:r>
    </w:p>
    <w:bookmarkEnd w:id="2"/>
    <w:p w14:paraId="55DCB738" w14:textId="77777777" w:rsidR="00297028" w:rsidRPr="003B21F0" w:rsidRDefault="00297028" w:rsidP="00297028">
      <w:pPr>
        <w:spacing w:after="0" w:line="240" w:lineRule="auto"/>
        <w:ind w:left="567" w:hanging="567"/>
      </w:pPr>
    </w:p>
    <w:p w14:paraId="0F6DD2E3" w14:textId="77777777" w:rsidR="00297028" w:rsidRPr="003B21F0" w:rsidRDefault="00297028" w:rsidP="00297028">
      <w:pPr>
        <w:spacing w:after="0" w:line="240" w:lineRule="auto"/>
        <w:rPr>
          <w:rFonts w:cstheme="minorHAnsi"/>
          <w:b/>
        </w:rPr>
      </w:pPr>
      <w:r w:rsidRPr="003B21F0">
        <w:rPr>
          <w:b/>
        </w:rPr>
        <w:t>Decisión SC63-35: El Comité Permanente tomó nota de la información actualizada proporcionada por la Secretaría sobre aplicación de la Resolución XIV.20 relativa a la respuesta de la Convención a la emergencia ambiental en Ucrania por los daños causados a sus Humedales de Importancia Internacional (sitios Ramsar) a raíz de la agresión de la Federación de Rusia.</w:t>
      </w:r>
    </w:p>
    <w:p w14:paraId="03400564" w14:textId="77777777" w:rsidR="00297028" w:rsidRPr="003B21F0" w:rsidRDefault="00297028" w:rsidP="00297028">
      <w:pPr>
        <w:spacing w:after="0" w:line="240" w:lineRule="auto"/>
        <w:rPr>
          <w:rFonts w:cstheme="minorHAnsi"/>
          <w:b/>
        </w:rPr>
      </w:pPr>
    </w:p>
    <w:p w14:paraId="4A1B8646" w14:textId="129A8211" w:rsidR="00297028" w:rsidRPr="003B21F0" w:rsidRDefault="00297028" w:rsidP="0029702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Punto 11 del orden del día: Informe del Grupo de Trabajo sobre el Plan Estratégico</w:t>
      </w:r>
    </w:p>
    <w:p w14:paraId="30E19FC1" w14:textId="77777777" w:rsidR="00E4378D" w:rsidRPr="003B21F0" w:rsidRDefault="00E4378D" w:rsidP="00297028">
      <w:pPr>
        <w:spacing w:after="0" w:line="240" w:lineRule="auto"/>
        <w:rPr>
          <w:rFonts w:cstheme="minorHAnsi"/>
        </w:rPr>
      </w:pPr>
    </w:p>
    <w:p w14:paraId="7E8A9EB5" w14:textId="6584F5A1" w:rsidR="00297028" w:rsidRPr="003B21F0" w:rsidRDefault="00297028" w:rsidP="00297028">
      <w:pPr>
        <w:spacing w:after="0" w:line="240" w:lineRule="auto"/>
        <w:rPr>
          <w:rFonts w:cstheme="minorHAnsi"/>
          <w:b/>
        </w:rPr>
      </w:pPr>
      <w:r w:rsidRPr="003B21F0">
        <w:rPr>
          <w:b/>
        </w:rPr>
        <w:t>Decisión SC63-36: El Comité Permanente tomó nota del informe sobre los progresos realizados por el Grupo de Trabajo sobre el Plan Estratégico (GTPE) y de las observaciones formuladas por las Partes sobre el documento SC63 Doc.11 Rev.1, y acogió con satisfacción los progresos realizados por el GTPE que figuran en el Anexo 3 de ese documento, con texto modificado, como base para seguir deliberando con miras a un proyecto de resolución para la COP15.</w:t>
      </w:r>
    </w:p>
    <w:p w14:paraId="26F78150" w14:textId="77777777" w:rsidR="00297028" w:rsidRPr="003B21F0" w:rsidRDefault="00297028" w:rsidP="00297028">
      <w:pPr>
        <w:spacing w:after="0" w:line="240" w:lineRule="auto"/>
      </w:pPr>
    </w:p>
    <w:p w14:paraId="0028A1C6" w14:textId="47EE054D" w:rsidR="00297028" w:rsidRPr="003B21F0" w:rsidRDefault="00297028" w:rsidP="00297028">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3B21F0">
        <w:t xml:space="preserve">Punto 7.2 del orden del día: Informe del Grupo de Trabajo Administrativo: Informe del proceso de contratación de un nuevo </w:t>
      </w:r>
      <w:proofErr w:type="gramStart"/>
      <w:r w:rsidRPr="003B21F0">
        <w:t>Secretario</w:t>
      </w:r>
      <w:proofErr w:type="gramEnd"/>
      <w:r w:rsidRPr="003B21F0">
        <w:t xml:space="preserve"> o Secretaria General</w:t>
      </w:r>
    </w:p>
    <w:p w14:paraId="20C6746E" w14:textId="77777777" w:rsidR="00297028" w:rsidRPr="003B21F0" w:rsidRDefault="00297028" w:rsidP="00297028">
      <w:pPr>
        <w:spacing w:after="0" w:line="240" w:lineRule="auto"/>
        <w:ind w:left="567" w:hanging="567"/>
      </w:pPr>
    </w:p>
    <w:p w14:paraId="0E483097" w14:textId="5374C891" w:rsidR="00297028" w:rsidRPr="007E19D4" w:rsidRDefault="00297028" w:rsidP="00297028">
      <w:pPr>
        <w:spacing w:after="0" w:line="240" w:lineRule="auto"/>
        <w:rPr>
          <w:b/>
        </w:rPr>
      </w:pPr>
      <w:r w:rsidRPr="003B21F0">
        <w:rPr>
          <w:b/>
        </w:rPr>
        <w:t xml:space="preserve">Decisión SC63-37: El Comité Permanente tomó nota de las opiniones expresadas en relación con el proceso de contratación de un nuevo </w:t>
      </w:r>
      <w:proofErr w:type="gramStart"/>
      <w:r w:rsidRPr="003B21F0">
        <w:rPr>
          <w:b/>
        </w:rPr>
        <w:t>Secretario</w:t>
      </w:r>
      <w:proofErr w:type="gramEnd"/>
      <w:r w:rsidRPr="003B21F0">
        <w:rPr>
          <w:b/>
        </w:rPr>
        <w:t xml:space="preserve"> o Secretaria General y solicitó a la reunión SC64 que siguiera deliberando sobre este asunto basándose en el anexo del documento SC63 Doc.7.2 Rev.1.</w:t>
      </w:r>
    </w:p>
    <w:sectPr w:rsidR="00297028" w:rsidRPr="007E19D4" w:rsidSect="00F03D5B">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B4F30" w14:textId="77777777" w:rsidR="00042B97" w:rsidRDefault="00042B97" w:rsidP="0021462B">
      <w:pPr>
        <w:spacing w:after="0" w:line="240" w:lineRule="auto"/>
      </w:pPr>
      <w:r>
        <w:separator/>
      </w:r>
    </w:p>
  </w:endnote>
  <w:endnote w:type="continuationSeparator" w:id="0">
    <w:p w14:paraId="3936B670" w14:textId="77777777" w:rsidR="00042B97" w:rsidRDefault="00042B97" w:rsidP="0021462B">
      <w:pPr>
        <w:spacing w:after="0" w:line="240" w:lineRule="auto"/>
      </w:pPr>
      <w:r>
        <w:continuationSeparator/>
      </w:r>
    </w:p>
  </w:endnote>
  <w:endnote w:type="continuationNotice" w:id="1">
    <w:p w14:paraId="751B8E86" w14:textId="77777777" w:rsidR="00042B97" w:rsidRDefault="00042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1344D" w14:textId="0A5B7076" w:rsidR="007A74CE" w:rsidRDefault="007961A6" w:rsidP="00B96116">
    <w:pPr>
      <w:pStyle w:val="Footer"/>
      <w:tabs>
        <w:tab w:val="clear" w:pos="9026"/>
        <w:tab w:val="right" w:pos="13892"/>
      </w:tabs>
    </w:pPr>
    <w:r>
      <w:rPr>
        <w:sz w:val="20"/>
      </w:rPr>
      <w:t>D</w:t>
    </w:r>
    <w:r w:rsidR="007A74CE">
      <w:rPr>
        <w:sz w:val="20"/>
      </w:rPr>
      <w:t>ecisiones de la reunión SC63</w:t>
    </w:r>
    <w:r w:rsidR="007A74CE">
      <w:rPr>
        <w:sz w:val="20"/>
      </w:rPr>
      <w:tab/>
    </w:r>
    <w:r w:rsidR="007A74CE">
      <w:rPr>
        <w:sz w:val="20"/>
      </w:rPr>
      <w:tab/>
    </w:r>
    <w:r w:rsidR="007A74CE" w:rsidRPr="00816086">
      <w:rPr>
        <w:sz w:val="20"/>
      </w:rPr>
      <w:fldChar w:fldCharType="begin"/>
    </w:r>
    <w:r w:rsidR="007A74CE" w:rsidRPr="00816086">
      <w:rPr>
        <w:sz w:val="20"/>
      </w:rPr>
      <w:instrText xml:space="preserve"> PAGE   \* MERGEFORMAT </w:instrText>
    </w:r>
    <w:r w:rsidR="007A74CE" w:rsidRPr="00816086">
      <w:rPr>
        <w:sz w:val="20"/>
      </w:rPr>
      <w:fldChar w:fldCharType="separate"/>
    </w:r>
    <w:r w:rsidR="007A74CE">
      <w:rPr>
        <w:sz w:val="20"/>
      </w:rPr>
      <w:t>5</w:t>
    </w:r>
    <w:r w:rsidR="007A74CE" w:rsidRPr="0081608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35748" w14:textId="77777777" w:rsidR="00042B97" w:rsidRDefault="00042B97" w:rsidP="0021462B">
      <w:pPr>
        <w:spacing w:after="0" w:line="240" w:lineRule="auto"/>
      </w:pPr>
      <w:r>
        <w:separator/>
      </w:r>
    </w:p>
  </w:footnote>
  <w:footnote w:type="continuationSeparator" w:id="0">
    <w:p w14:paraId="5C6F718B" w14:textId="77777777" w:rsidR="00042B97" w:rsidRDefault="00042B97" w:rsidP="0021462B">
      <w:pPr>
        <w:spacing w:after="0" w:line="240" w:lineRule="auto"/>
      </w:pPr>
      <w:r>
        <w:continuationSeparator/>
      </w:r>
    </w:p>
  </w:footnote>
  <w:footnote w:type="continuationNotice" w:id="1">
    <w:p w14:paraId="236F28DF" w14:textId="77777777" w:rsidR="00042B97" w:rsidRDefault="00042B97">
      <w:pPr>
        <w:spacing w:after="0" w:line="240" w:lineRule="auto"/>
      </w:pPr>
    </w:p>
  </w:footnote>
  <w:footnote w:id="2">
    <w:p w14:paraId="02331F11" w14:textId="76F0AEB8" w:rsidR="00A56072" w:rsidRPr="00A56072" w:rsidRDefault="00A56072">
      <w:pPr>
        <w:pStyle w:val="FootnoteText"/>
      </w:pPr>
      <w:r>
        <w:rPr>
          <w:rStyle w:val="FootnoteReference"/>
        </w:rPr>
        <w:footnoteRef/>
      </w:r>
      <w:r>
        <w:t xml:space="preserve"> </w:t>
      </w:r>
      <w:r w:rsidRPr="00A56072">
        <w:t>El 30 de septiembre de 2024, a través de la Decisión 01 entre períodos de sesiones tras la reunión SC63, el Comité Permanente aprobó los términos de referencia del Grupo de trabajo sobre la actualización de las Fichas Informativas de Ramsar (FIR).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650D8"/>
    <w:multiLevelType w:val="hybridMultilevel"/>
    <w:tmpl w:val="6E1EEAC4"/>
    <w:lvl w:ilvl="0" w:tplc="B320448E">
      <w:start w:val="10"/>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024C02"/>
    <w:multiLevelType w:val="hybridMultilevel"/>
    <w:tmpl w:val="5790C46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 w15:restartNumberingAfterBreak="0">
    <w:nsid w:val="21C825EE"/>
    <w:multiLevelType w:val="hybridMultilevel"/>
    <w:tmpl w:val="E8325340"/>
    <w:lvl w:ilvl="0" w:tplc="AEDE20C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4" w15:restartNumberingAfterBreak="0">
    <w:nsid w:val="245046B4"/>
    <w:multiLevelType w:val="multilevel"/>
    <w:tmpl w:val="8F32EE4A"/>
    <w:styleLink w:val="Style1"/>
    <w:lvl w:ilvl="0">
      <w:start w:val="1"/>
      <w:numFmt w:val="decimal"/>
      <w:lvlText w:val="%1."/>
      <w:lvlJc w:val="left"/>
      <w:pPr>
        <w:ind w:left="720" w:hanging="360"/>
      </w:pPr>
      <w:rPr>
        <w:rFonts w:hint="default"/>
      </w:rPr>
    </w:lvl>
    <w:lvl w:ilvl="1">
      <w:start w:val="1"/>
      <w:numFmt w:val="lowerRoman"/>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085F81"/>
    <w:multiLevelType w:val="hybridMultilevel"/>
    <w:tmpl w:val="854C5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26DD3"/>
    <w:multiLevelType w:val="hybridMultilevel"/>
    <w:tmpl w:val="2D9657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2003FA"/>
    <w:multiLevelType w:val="hybridMultilevel"/>
    <w:tmpl w:val="9DE4DA8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9" w15:restartNumberingAfterBreak="0">
    <w:nsid w:val="52A41629"/>
    <w:multiLevelType w:val="hybridMultilevel"/>
    <w:tmpl w:val="C384598A"/>
    <w:lvl w:ilvl="0" w:tplc="1EE45DE6">
      <w:start w:val="1"/>
      <w:numFmt w:val="bullet"/>
      <w:lvlText w:val="-"/>
      <w:lvlJc w:val="left"/>
      <w:pPr>
        <w:ind w:left="720" w:hanging="360"/>
      </w:pPr>
      <w:rPr>
        <w:rFonts w:ascii="Yu Gothic" w:eastAsia="Yu Gothic" w:hAnsi="Yu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313E7F"/>
    <w:multiLevelType w:val="hybridMultilevel"/>
    <w:tmpl w:val="2B14FB12"/>
    <w:lvl w:ilvl="0" w:tplc="08090001">
      <w:start w:val="1"/>
      <w:numFmt w:val="bullet"/>
      <w:lvlText w:val=""/>
      <w:lvlJc w:val="left"/>
      <w:pPr>
        <w:ind w:left="720" w:hanging="360"/>
      </w:pPr>
      <w:rPr>
        <w:rFonts w:ascii="Symbol" w:hAnsi="Symbol" w:hint="default"/>
      </w:rPr>
    </w:lvl>
    <w:lvl w:ilvl="1" w:tplc="6B8664DA">
      <w:numFmt w:val="bullet"/>
      <w:lvlText w:val="-"/>
      <w:lvlJc w:val="left"/>
      <w:pPr>
        <w:ind w:left="1500" w:hanging="4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E76AE"/>
    <w:multiLevelType w:val="hybridMultilevel"/>
    <w:tmpl w:val="610A4D56"/>
    <w:lvl w:ilvl="0" w:tplc="EAD6B8D6">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3075551"/>
    <w:multiLevelType w:val="hybridMultilevel"/>
    <w:tmpl w:val="5C6E6138"/>
    <w:lvl w:ilvl="0" w:tplc="011A96D8">
      <w:start w:val="1"/>
      <w:numFmt w:val="lowerLetter"/>
      <w:lvlText w:val="%1."/>
      <w:lvlJc w:val="left"/>
      <w:pPr>
        <w:ind w:left="785" w:hanging="360"/>
      </w:pPr>
      <w:rPr>
        <w:rFonts w:ascii="Calibri" w:hAnsi="Calibri" w:cs="Times New Roman" w:hint="default"/>
        <w:b/>
        <w:bCs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64333C25"/>
    <w:multiLevelType w:val="hybridMultilevel"/>
    <w:tmpl w:val="3C90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158B8"/>
    <w:multiLevelType w:val="hybridMultilevel"/>
    <w:tmpl w:val="BB24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4432671">
    <w:abstractNumId w:val="10"/>
  </w:num>
  <w:num w:numId="2" w16cid:durableId="1829248004">
    <w:abstractNumId w:val="5"/>
  </w:num>
  <w:num w:numId="3" w16cid:durableId="1206217285">
    <w:abstractNumId w:val="4"/>
  </w:num>
  <w:num w:numId="4" w16cid:durableId="588273653">
    <w:abstractNumId w:val="0"/>
  </w:num>
  <w:num w:numId="5" w16cid:durableId="227695634">
    <w:abstractNumId w:val="12"/>
  </w:num>
  <w:num w:numId="6" w16cid:durableId="58478350">
    <w:abstractNumId w:val="15"/>
  </w:num>
  <w:num w:numId="7" w16cid:durableId="1527789196">
    <w:abstractNumId w:val="7"/>
  </w:num>
  <w:num w:numId="8" w16cid:durableId="369764847">
    <w:abstractNumId w:val="7"/>
  </w:num>
  <w:num w:numId="9" w16cid:durableId="904494041">
    <w:abstractNumId w:val="14"/>
  </w:num>
  <w:num w:numId="10" w16cid:durableId="109594086">
    <w:abstractNumId w:val="9"/>
  </w:num>
  <w:num w:numId="11" w16cid:durableId="153958974">
    <w:abstractNumId w:val="1"/>
  </w:num>
  <w:num w:numId="12" w16cid:durableId="2042701141">
    <w:abstractNumId w:val="2"/>
  </w:num>
  <w:num w:numId="13" w16cid:durableId="1895267787">
    <w:abstractNumId w:val="3"/>
  </w:num>
  <w:num w:numId="14" w16cid:durableId="2011717969">
    <w:abstractNumId w:val="8"/>
  </w:num>
  <w:num w:numId="15" w16cid:durableId="1159345982">
    <w:abstractNumId w:val="13"/>
  </w:num>
  <w:num w:numId="16" w16cid:durableId="925646666">
    <w:abstractNumId w:val="11"/>
  </w:num>
  <w:num w:numId="17" w16cid:durableId="86798951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94"/>
    <w:rsid w:val="0000107B"/>
    <w:rsid w:val="00003406"/>
    <w:rsid w:val="00005539"/>
    <w:rsid w:val="00005896"/>
    <w:rsid w:val="00011242"/>
    <w:rsid w:val="00011710"/>
    <w:rsid w:val="00015DBE"/>
    <w:rsid w:val="000167A8"/>
    <w:rsid w:val="00033DBB"/>
    <w:rsid w:val="00035341"/>
    <w:rsid w:val="0003654E"/>
    <w:rsid w:val="00037E1E"/>
    <w:rsid w:val="00040BFC"/>
    <w:rsid w:val="00040E82"/>
    <w:rsid w:val="00042B97"/>
    <w:rsid w:val="00043ED1"/>
    <w:rsid w:val="00046FF0"/>
    <w:rsid w:val="00051460"/>
    <w:rsid w:val="00052163"/>
    <w:rsid w:val="000523B2"/>
    <w:rsid w:val="00052A2A"/>
    <w:rsid w:val="000569B7"/>
    <w:rsid w:val="00065BF8"/>
    <w:rsid w:val="00065D01"/>
    <w:rsid w:val="00067B29"/>
    <w:rsid w:val="000732FB"/>
    <w:rsid w:val="0008003D"/>
    <w:rsid w:val="0008257D"/>
    <w:rsid w:val="00082A85"/>
    <w:rsid w:val="00093E6F"/>
    <w:rsid w:val="00094BD4"/>
    <w:rsid w:val="00095D7A"/>
    <w:rsid w:val="00096C8C"/>
    <w:rsid w:val="000A409A"/>
    <w:rsid w:val="000A5B19"/>
    <w:rsid w:val="000A7322"/>
    <w:rsid w:val="000A739B"/>
    <w:rsid w:val="000B5097"/>
    <w:rsid w:val="000B5744"/>
    <w:rsid w:val="000C10BB"/>
    <w:rsid w:val="000C31CF"/>
    <w:rsid w:val="000C6501"/>
    <w:rsid w:val="000C794A"/>
    <w:rsid w:val="000D1607"/>
    <w:rsid w:val="000D1FD6"/>
    <w:rsid w:val="000D6619"/>
    <w:rsid w:val="000E00BE"/>
    <w:rsid w:val="000E0D43"/>
    <w:rsid w:val="000E1B66"/>
    <w:rsid w:val="000E1F64"/>
    <w:rsid w:val="000E621C"/>
    <w:rsid w:val="000F08CF"/>
    <w:rsid w:val="000F0DA6"/>
    <w:rsid w:val="000F6A3D"/>
    <w:rsid w:val="000F768E"/>
    <w:rsid w:val="000F7874"/>
    <w:rsid w:val="000F7F76"/>
    <w:rsid w:val="001014F9"/>
    <w:rsid w:val="001048C0"/>
    <w:rsid w:val="00105953"/>
    <w:rsid w:val="0010689C"/>
    <w:rsid w:val="00111AE4"/>
    <w:rsid w:val="00111E9F"/>
    <w:rsid w:val="0011266F"/>
    <w:rsid w:val="00113818"/>
    <w:rsid w:val="00121238"/>
    <w:rsid w:val="00121C24"/>
    <w:rsid w:val="00125D77"/>
    <w:rsid w:val="001266DB"/>
    <w:rsid w:val="00130E47"/>
    <w:rsid w:val="00131D19"/>
    <w:rsid w:val="00135706"/>
    <w:rsid w:val="00135C9D"/>
    <w:rsid w:val="00141FBB"/>
    <w:rsid w:val="001436BD"/>
    <w:rsid w:val="001515FC"/>
    <w:rsid w:val="00152DA6"/>
    <w:rsid w:val="00163ED4"/>
    <w:rsid w:val="00171731"/>
    <w:rsid w:val="0017223F"/>
    <w:rsid w:val="0017411A"/>
    <w:rsid w:val="00181E71"/>
    <w:rsid w:val="001833DC"/>
    <w:rsid w:val="00185088"/>
    <w:rsid w:val="001868C3"/>
    <w:rsid w:val="00194CAC"/>
    <w:rsid w:val="00197D9D"/>
    <w:rsid w:val="001A0231"/>
    <w:rsid w:val="001A1050"/>
    <w:rsid w:val="001A10DC"/>
    <w:rsid w:val="001A1A5D"/>
    <w:rsid w:val="001B1CCF"/>
    <w:rsid w:val="001B2FA1"/>
    <w:rsid w:val="001B786F"/>
    <w:rsid w:val="001C643C"/>
    <w:rsid w:val="001C70EF"/>
    <w:rsid w:val="001D07DD"/>
    <w:rsid w:val="001D129D"/>
    <w:rsid w:val="001D1935"/>
    <w:rsid w:val="001D7A2A"/>
    <w:rsid w:val="001E185F"/>
    <w:rsid w:val="001E31B7"/>
    <w:rsid w:val="001E7082"/>
    <w:rsid w:val="001E7F06"/>
    <w:rsid w:val="001F2EA4"/>
    <w:rsid w:val="002035A8"/>
    <w:rsid w:val="00204321"/>
    <w:rsid w:val="00205B98"/>
    <w:rsid w:val="0020647A"/>
    <w:rsid w:val="00211A0E"/>
    <w:rsid w:val="00212BA9"/>
    <w:rsid w:val="00213A8D"/>
    <w:rsid w:val="0021462B"/>
    <w:rsid w:val="00234087"/>
    <w:rsid w:val="00234A2B"/>
    <w:rsid w:val="00242978"/>
    <w:rsid w:val="0024341A"/>
    <w:rsid w:val="00250708"/>
    <w:rsid w:val="00251E65"/>
    <w:rsid w:val="00253263"/>
    <w:rsid w:val="002566E0"/>
    <w:rsid w:val="00260CB8"/>
    <w:rsid w:val="002612B3"/>
    <w:rsid w:val="002620FA"/>
    <w:rsid w:val="002623E8"/>
    <w:rsid w:val="002676BB"/>
    <w:rsid w:val="00277224"/>
    <w:rsid w:val="00277425"/>
    <w:rsid w:val="002813FB"/>
    <w:rsid w:val="00282E54"/>
    <w:rsid w:val="00294A7E"/>
    <w:rsid w:val="0029655A"/>
    <w:rsid w:val="00297028"/>
    <w:rsid w:val="002A1752"/>
    <w:rsid w:val="002A609F"/>
    <w:rsid w:val="002B1C9D"/>
    <w:rsid w:val="002B333B"/>
    <w:rsid w:val="002B506E"/>
    <w:rsid w:val="002B5D8A"/>
    <w:rsid w:val="002C18F1"/>
    <w:rsid w:val="002C1D8B"/>
    <w:rsid w:val="002C396C"/>
    <w:rsid w:val="002C46E8"/>
    <w:rsid w:val="002D1710"/>
    <w:rsid w:val="002D1A0A"/>
    <w:rsid w:val="002D3C07"/>
    <w:rsid w:val="002D4184"/>
    <w:rsid w:val="002D70BA"/>
    <w:rsid w:val="002E18AD"/>
    <w:rsid w:val="002E3F8A"/>
    <w:rsid w:val="002E7E09"/>
    <w:rsid w:val="002F3870"/>
    <w:rsid w:val="002F640E"/>
    <w:rsid w:val="00300945"/>
    <w:rsid w:val="003016BC"/>
    <w:rsid w:val="00303762"/>
    <w:rsid w:val="00307696"/>
    <w:rsid w:val="003105BD"/>
    <w:rsid w:val="00311AE1"/>
    <w:rsid w:val="00311EA4"/>
    <w:rsid w:val="00312DBD"/>
    <w:rsid w:val="00316FB0"/>
    <w:rsid w:val="00320193"/>
    <w:rsid w:val="00322841"/>
    <w:rsid w:val="00322898"/>
    <w:rsid w:val="0032300E"/>
    <w:rsid w:val="00324094"/>
    <w:rsid w:val="0032759D"/>
    <w:rsid w:val="003323C2"/>
    <w:rsid w:val="003365A5"/>
    <w:rsid w:val="003370DB"/>
    <w:rsid w:val="0034026E"/>
    <w:rsid w:val="00344658"/>
    <w:rsid w:val="003462C8"/>
    <w:rsid w:val="00347B02"/>
    <w:rsid w:val="00354752"/>
    <w:rsid w:val="00360D78"/>
    <w:rsid w:val="00362D32"/>
    <w:rsid w:val="00363EAD"/>
    <w:rsid w:val="00366660"/>
    <w:rsid w:val="00367A4B"/>
    <w:rsid w:val="00370B73"/>
    <w:rsid w:val="003713EF"/>
    <w:rsid w:val="0037198A"/>
    <w:rsid w:val="0037435C"/>
    <w:rsid w:val="00374368"/>
    <w:rsid w:val="00376AEA"/>
    <w:rsid w:val="00387A1D"/>
    <w:rsid w:val="003900EF"/>
    <w:rsid w:val="00396ADF"/>
    <w:rsid w:val="003B21F0"/>
    <w:rsid w:val="003B2460"/>
    <w:rsid w:val="003B515C"/>
    <w:rsid w:val="003B6C18"/>
    <w:rsid w:val="003C0E3F"/>
    <w:rsid w:val="003C32B7"/>
    <w:rsid w:val="003C4862"/>
    <w:rsid w:val="003D5D1A"/>
    <w:rsid w:val="003E6857"/>
    <w:rsid w:val="003F6F4D"/>
    <w:rsid w:val="00400D96"/>
    <w:rsid w:val="00403150"/>
    <w:rsid w:val="00403D87"/>
    <w:rsid w:val="00407078"/>
    <w:rsid w:val="0041000E"/>
    <w:rsid w:val="004107FC"/>
    <w:rsid w:val="00414485"/>
    <w:rsid w:val="00416BFE"/>
    <w:rsid w:val="004254D7"/>
    <w:rsid w:val="004275A2"/>
    <w:rsid w:val="00427B3E"/>
    <w:rsid w:val="00432675"/>
    <w:rsid w:val="00434D8C"/>
    <w:rsid w:val="00440B38"/>
    <w:rsid w:val="00442449"/>
    <w:rsid w:val="00446B26"/>
    <w:rsid w:val="00451620"/>
    <w:rsid w:val="0045164E"/>
    <w:rsid w:val="0045457C"/>
    <w:rsid w:val="00456B09"/>
    <w:rsid w:val="0046089C"/>
    <w:rsid w:val="004608D6"/>
    <w:rsid w:val="004636EA"/>
    <w:rsid w:val="00464088"/>
    <w:rsid w:val="0046661F"/>
    <w:rsid w:val="00480A12"/>
    <w:rsid w:val="00485F41"/>
    <w:rsid w:val="00486AD0"/>
    <w:rsid w:val="004872A3"/>
    <w:rsid w:val="004949B5"/>
    <w:rsid w:val="004A3EEF"/>
    <w:rsid w:val="004A6E99"/>
    <w:rsid w:val="004A701D"/>
    <w:rsid w:val="004B16FF"/>
    <w:rsid w:val="004B6AC0"/>
    <w:rsid w:val="004C2E9B"/>
    <w:rsid w:val="004D20C6"/>
    <w:rsid w:val="004D446C"/>
    <w:rsid w:val="004E28BD"/>
    <w:rsid w:val="004E2C70"/>
    <w:rsid w:val="004E7B4B"/>
    <w:rsid w:val="004F28C1"/>
    <w:rsid w:val="00500B32"/>
    <w:rsid w:val="005022A4"/>
    <w:rsid w:val="0051620D"/>
    <w:rsid w:val="0053592E"/>
    <w:rsid w:val="00541DD8"/>
    <w:rsid w:val="00543BF9"/>
    <w:rsid w:val="00544A64"/>
    <w:rsid w:val="00545238"/>
    <w:rsid w:val="0054557E"/>
    <w:rsid w:val="0054722F"/>
    <w:rsid w:val="005502D7"/>
    <w:rsid w:val="00550CBA"/>
    <w:rsid w:val="00554312"/>
    <w:rsid w:val="00554838"/>
    <w:rsid w:val="00557E77"/>
    <w:rsid w:val="00561F98"/>
    <w:rsid w:val="00575C2B"/>
    <w:rsid w:val="00581487"/>
    <w:rsid w:val="00583A38"/>
    <w:rsid w:val="00584154"/>
    <w:rsid w:val="00584301"/>
    <w:rsid w:val="0058654F"/>
    <w:rsid w:val="00593027"/>
    <w:rsid w:val="005936F1"/>
    <w:rsid w:val="005A3D2D"/>
    <w:rsid w:val="005A4B27"/>
    <w:rsid w:val="005A4CA5"/>
    <w:rsid w:val="005B0AC0"/>
    <w:rsid w:val="005B4766"/>
    <w:rsid w:val="005B48FF"/>
    <w:rsid w:val="005B73D2"/>
    <w:rsid w:val="005C32B7"/>
    <w:rsid w:val="005C3E7C"/>
    <w:rsid w:val="005C4477"/>
    <w:rsid w:val="005C4D95"/>
    <w:rsid w:val="005D1FDD"/>
    <w:rsid w:val="005D5335"/>
    <w:rsid w:val="005E1436"/>
    <w:rsid w:val="005E1A58"/>
    <w:rsid w:val="005E33B1"/>
    <w:rsid w:val="005E38DF"/>
    <w:rsid w:val="005E529E"/>
    <w:rsid w:val="005E61C6"/>
    <w:rsid w:val="005E7BFA"/>
    <w:rsid w:val="005F045E"/>
    <w:rsid w:val="005F0EC2"/>
    <w:rsid w:val="005F36E0"/>
    <w:rsid w:val="005F4C17"/>
    <w:rsid w:val="005F6C5C"/>
    <w:rsid w:val="006008CB"/>
    <w:rsid w:val="00601B54"/>
    <w:rsid w:val="0061113C"/>
    <w:rsid w:val="00615E40"/>
    <w:rsid w:val="006208DD"/>
    <w:rsid w:val="006210A0"/>
    <w:rsid w:val="006211E5"/>
    <w:rsid w:val="00624F00"/>
    <w:rsid w:val="0062665F"/>
    <w:rsid w:val="00630910"/>
    <w:rsid w:val="00632426"/>
    <w:rsid w:val="00633E8E"/>
    <w:rsid w:val="006346F9"/>
    <w:rsid w:val="0064056B"/>
    <w:rsid w:val="00641266"/>
    <w:rsid w:val="00642437"/>
    <w:rsid w:val="00645566"/>
    <w:rsid w:val="00646B04"/>
    <w:rsid w:val="006523E7"/>
    <w:rsid w:val="00655353"/>
    <w:rsid w:val="0065637A"/>
    <w:rsid w:val="0066515D"/>
    <w:rsid w:val="006666D2"/>
    <w:rsid w:val="00666C2B"/>
    <w:rsid w:val="00667D01"/>
    <w:rsid w:val="00672675"/>
    <w:rsid w:val="00675BFB"/>
    <w:rsid w:val="0068291E"/>
    <w:rsid w:val="00683D21"/>
    <w:rsid w:val="00694026"/>
    <w:rsid w:val="00696420"/>
    <w:rsid w:val="006A020D"/>
    <w:rsid w:val="006A157B"/>
    <w:rsid w:val="006A46EA"/>
    <w:rsid w:val="006A4CDA"/>
    <w:rsid w:val="006A5C69"/>
    <w:rsid w:val="006A7A89"/>
    <w:rsid w:val="006B3DD2"/>
    <w:rsid w:val="006B5E80"/>
    <w:rsid w:val="006B761D"/>
    <w:rsid w:val="006C022D"/>
    <w:rsid w:val="006C73E4"/>
    <w:rsid w:val="006F0FDF"/>
    <w:rsid w:val="006F28D9"/>
    <w:rsid w:val="006F5E92"/>
    <w:rsid w:val="00711678"/>
    <w:rsid w:val="00711B81"/>
    <w:rsid w:val="0071279C"/>
    <w:rsid w:val="00721469"/>
    <w:rsid w:val="0072363D"/>
    <w:rsid w:val="00727C91"/>
    <w:rsid w:val="00736898"/>
    <w:rsid w:val="00741964"/>
    <w:rsid w:val="007439FE"/>
    <w:rsid w:val="007460D1"/>
    <w:rsid w:val="00747705"/>
    <w:rsid w:val="00752F75"/>
    <w:rsid w:val="00753EB2"/>
    <w:rsid w:val="00754241"/>
    <w:rsid w:val="007546F8"/>
    <w:rsid w:val="007564EF"/>
    <w:rsid w:val="0076043D"/>
    <w:rsid w:val="0076130E"/>
    <w:rsid w:val="0076230C"/>
    <w:rsid w:val="00764A77"/>
    <w:rsid w:val="00764D6F"/>
    <w:rsid w:val="007669F5"/>
    <w:rsid w:val="00781BED"/>
    <w:rsid w:val="00783E5D"/>
    <w:rsid w:val="0078588B"/>
    <w:rsid w:val="00791D18"/>
    <w:rsid w:val="0079208E"/>
    <w:rsid w:val="007925D9"/>
    <w:rsid w:val="00793277"/>
    <w:rsid w:val="00793C93"/>
    <w:rsid w:val="0079473B"/>
    <w:rsid w:val="007961A6"/>
    <w:rsid w:val="0079631C"/>
    <w:rsid w:val="0079632E"/>
    <w:rsid w:val="007A0A3F"/>
    <w:rsid w:val="007A4532"/>
    <w:rsid w:val="007A6C25"/>
    <w:rsid w:val="007A6FBF"/>
    <w:rsid w:val="007A74CE"/>
    <w:rsid w:val="007A76AB"/>
    <w:rsid w:val="007B2155"/>
    <w:rsid w:val="007B268C"/>
    <w:rsid w:val="007B277C"/>
    <w:rsid w:val="007C7939"/>
    <w:rsid w:val="007C7F2E"/>
    <w:rsid w:val="007D2C6B"/>
    <w:rsid w:val="007D30A0"/>
    <w:rsid w:val="007D520E"/>
    <w:rsid w:val="007D746A"/>
    <w:rsid w:val="007E19D4"/>
    <w:rsid w:val="007E570B"/>
    <w:rsid w:val="007E6F58"/>
    <w:rsid w:val="007E7A7B"/>
    <w:rsid w:val="007F3137"/>
    <w:rsid w:val="007F424B"/>
    <w:rsid w:val="007F459E"/>
    <w:rsid w:val="00812C2E"/>
    <w:rsid w:val="00814ACF"/>
    <w:rsid w:val="0081547F"/>
    <w:rsid w:val="008156F0"/>
    <w:rsid w:val="008179A1"/>
    <w:rsid w:val="00827B8B"/>
    <w:rsid w:val="00831663"/>
    <w:rsid w:val="0083600D"/>
    <w:rsid w:val="008410FE"/>
    <w:rsid w:val="0084194C"/>
    <w:rsid w:val="00843341"/>
    <w:rsid w:val="00846B31"/>
    <w:rsid w:val="00853B55"/>
    <w:rsid w:val="0085514E"/>
    <w:rsid w:val="008615C1"/>
    <w:rsid w:val="0086293A"/>
    <w:rsid w:val="00862F03"/>
    <w:rsid w:val="0087432B"/>
    <w:rsid w:val="00875446"/>
    <w:rsid w:val="008804A8"/>
    <w:rsid w:val="00880BA8"/>
    <w:rsid w:val="00881410"/>
    <w:rsid w:val="00882E05"/>
    <w:rsid w:val="00885C6D"/>
    <w:rsid w:val="00890A37"/>
    <w:rsid w:val="008910F9"/>
    <w:rsid w:val="0089482D"/>
    <w:rsid w:val="00895030"/>
    <w:rsid w:val="0089568C"/>
    <w:rsid w:val="008A2242"/>
    <w:rsid w:val="008A50F6"/>
    <w:rsid w:val="008B0BD7"/>
    <w:rsid w:val="008B36D1"/>
    <w:rsid w:val="008B3E75"/>
    <w:rsid w:val="008B6CF3"/>
    <w:rsid w:val="008C05E9"/>
    <w:rsid w:val="008C1127"/>
    <w:rsid w:val="008C2486"/>
    <w:rsid w:val="008D116B"/>
    <w:rsid w:val="008D3BAC"/>
    <w:rsid w:val="008E2CB2"/>
    <w:rsid w:val="008E35E3"/>
    <w:rsid w:val="00905C21"/>
    <w:rsid w:val="00906E1C"/>
    <w:rsid w:val="0091457A"/>
    <w:rsid w:val="00921422"/>
    <w:rsid w:val="00921EC8"/>
    <w:rsid w:val="00925E93"/>
    <w:rsid w:val="009306B4"/>
    <w:rsid w:val="00933D94"/>
    <w:rsid w:val="0093422F"/>
    <w:rsid w:val="00940F43"/>
    <w:rsid w:val="009428CB"/>
    <w:rsid w:val="0094347C"/>
    <w:rsid w:val="00943A94"/>
    <w:rsid w:val="00951730"/>
    <w:rsid w:val="009549BE"/>
    <w:rsid w:val="00955177"/>
    <w:rsid w:val="009556B3"/>
    <w:rsid w:val="00956EFE"/>
    <w:rsid w:val="009643B7"/>
    <w:rsid w:val="00965639"/>
    <w:rsid w:val="00971290"/>
    <w:rsid w:val="0097189E"/>
    <w:rsid w:val="009723D0"/>
    <w:rsid w:val="00972A87"/>
    <w:rsid w:val="00975023"/>
    <w:rsid w:val="00976B31"/>
    <w:rsid w:val="00983642"/>
    <w:rsid w:val="00985357"/>
    <w:rsid w:val="00987BD7"/>
    <w:rsid w:val="009912B1"/>
    <w:rsid w:val="00994A15"/>
    <w:rsid w:val="00995FCE"/>
    <w:rsid w:val="009A0A9D"/>
    <w:rsid w:val="009A67C8"/>
    <w:rsid w:val="009A6EDB"/>
    <w:rsid w:val="009B0705"/>
    <w:rsid w:val="009B6872"/>
    <w:rsid w:val="009C33E8"/>
    <w:rsid w:val="009C4483"/>
    <w:rsid w:val="009C5EC5"/>
    <w:rsid w:val="009C6DA8"/>
    <w:rsid w:val="009D015E"/>
    <w:rsid w:val="009D3396"/>
    <w:rsid w:val="009D41B6"/>
    <w:rsid w:val="009E2D92"/>
    <w:rsid w:val="009E7260"/>
    <w:rsid w:val="009F3964"/>
    <w:rsid w:val="00A11312"/>
    <w:rsid w:val="00A143F1"/>
    <w:rsid w:val="00A21C0C"/>
    <w:rsid w:val="00A250BF"/>
    <w:rsid w:val="00A304EB"/>
    <w:rsid w:val="00A32A27"/>
    <w:rsid w:val="00A3357C"/>
    <w:rsid w:val="00A35D1B"/>
    <w:rsid w:val="00A36404"/>
    <w:rsid w:val="00A369C9"/>
    <w:rsid w:val="00A4219F"/>
    <w:rsid w:val="00A47A1A"/>
    <w:rsid w:val="00A54897"/>
    <w:rsid w:val="00A56072"/>
    <w:rsid w:val="00A56B91"/>
    <w:rsid w:val="00A67525"/>
    <w:rsid w:val="00A70884"/>
    <w:rsid w:val="00A738DC"/>
    <w:rsid w:val="00A84B04"/>
    <w:rsid w:val="00A86EA6"/>
    <w:rsid w:val="00A900FF"/>
    <w:rsid w:val="00A93866"/>
    <w:rsid w:val="00A94017"/>
    <w:rsid w:val="00A97DC2"/>
    <w:rsid w:val="00AA35A1"/>
    <w:rsid w:val="00AA3626"/>
    <w:rsid w:val="00AA7FAF"/>
    <w:rsid w:val="00AB1DEB"/>
    <w:rsid w:val="00AB525F"/>
    <w:rsid w:val="00AB5C7C"/>
    <w:rsid w:val="00AC339C"/>
    <w:rsid w:val="00AC363F"/>
    <w:rsid w:val="00AC7C77"/>
    <w:rsid w:val="00AD14BC"/>
    <w:rsid w:val="00AD3594"/>
    <w:rsid w:val="00AD3D63"/>
    <w:rsid w:val="00AD4450"/>
    <w:rsid w:val="00AD793E"/>
    <w:rsid w:val="00AE3625"/>
    <w:rsid w:val="00AE5174"/>
    <w:rsid w:val="00AE707B"/>
    <w:rsid w:val="00AF56F5"/>
    <w:rsid w:val="00AF7228"/>
    <w:rsid w:val="00B23453"/>
    <w:rsid w:val="00B23E63"/>
    <w:rsid w:val="00B27D50"/>
    <w:rsid w:val="00B3294C"/>
    <w:rsid w:val="00B3442E"/>
    <w:rsid w:val="00B3611F"/>
    <w:rsid w:val="00B442CA"/>
    <w:rsid w:val="00B44EF2"/>
    <w:rsid w:val="00B46C13"/>
    <w:rsid w:val="00B46C71"/>
    <w:rsid w:val="00B475AA"/>
    <w:rsid w:val="00B47721"/>
    <w:rsid w:val="00B51A2C"/>
    <w:rsid w:val="00B52919"/>
    <w:rsid w:val="00B60302"/>
    <w:rsid w:val="00B6181E"/>
    <w:rsid w:val="00B62467"/>
    <w:rsid w:val="00B62E75"/>
    <w:rsid w:val="00B70D29"/>
    <w:rsid w:val="00B74128"/>
    <w:rsid w:val="00B76D18"/>
    <w:rsid w:val="00B77951"/>
    <w:rsid w:val="00B80455"/>
    <w:rsid w:val="00B83816"/>
    <w:rsid w:val="00B855E6"/>
    <w:rsid w:val="00B96116"/>
    <w:rsid w:val="00B97795"/>
    <w:rsid w:val="00BA0294"/>
    <w:rsid w:val="00BA7AAC"/>
    <w:rsid w:val="00BB135B"/>
    <w:rsid w:val="00BB41CA"/>
    <w:rsid w:val="00BB542E"/>
    <w:rsid w:val="00BC304E"/>
    <w:rsid w:val="00BC4803"/>
    <w:rsid w:val="00BC5FF3"/>
    <w:rsid w:val="00BD300C"/>
    <w:rsid w:val="00BD74E2"/>
    <w:rsid w:val="00BE2067"/>
    <w:rsid w:val="00BE2ABC"/>
    <w:rsid w:val="00BF06D5"/>
    <w:rsid w:val="00BF73AC"/>
    <w:rsid w:val="00C00A3C"/>
    <w:rsid w:val="00C03FA9"/>
    <w:rsid w:val="00C04BED"/>
    <w:rsid w:val="00C05D05"/>
    <w:rsid w:val="00C078DD"/>
    <w:rsid w:val="00C115B5"/>
    <w:rsid w:val="00C1221D"/>
    <w:rsid w:val="00C21BB3"/>
    <w:rsid w:val="00C21FDF"/>
    <w:rsid w:val="00C23F37"/>
    <w:rsid w:val="00C27F80"/>
    <w:rsid w:val="00C4021C"/>
    <w:rsid w:val="00C40D5F"/>
    <w:rsid w:val="00C47E86"/>
    <w:rsid w:val="00C56683"/>
    <w:rsid w:val="00C602BE"/>
    <w:rsid w:val="00C611B3"/>
    <w:rsid w:val="00C64C2B"/>
    <w:rsid w:val="00C7115C"/>
    <w:rsid w:val="00C72980"/>
    <w:rsid w:val="00C73282"/>
    <w:rsid w:val="00C85153"/>
    <w:rsid w:val="00C86147"/>
    <w:rsid w:val="00C92D16"/>
    <w:rsid w:val="00C951F9"/>
    <w:rsid w:val="00CA2333"/>
    <w:rsid w:val="00CA36D1"/>
    <w:rsid w:val="00CA3BDB"/>
    <w:rsid w:val="00CB09A0"/>
    <w:rsid w:val="00CB45A2"/>
    <w:rsid w:val="00CC2C93"/>
    <w:rsid w:val="00CC30D5"/>
    <w:rsid w:val="00CC3C70"/>
    <w:rsid w:val="00CC4566"/>
    <w:rsid w:val="00CC6DB5"/>
    <w:rsid w:val="00CD55B3"/>
    <w:rsid w:val="00CD5D60"/>
    <w:rsid w:val="00CD7716"/>
    <w:rsid w:val="00CE2FE7"/>
    <w:rsid w:val="00CE3C87"/>
    <w:rsid w:val="00CF0FE8"/>
    <w:rsid w:val="00CF14A8"/>
    <w:rsid w:val="00CF2AC4"/>
    <w:rsid w:val="00CF30CB"/>
    <w:rsid w:val="00D00BBD"/>
    <w:rsid w:val="00D1035F"/>
    <w:rsid w:val="00D11DE0"/>
    <w:rsid w:val="00D1200F"/>
    <w:rsid w:val="00D163CF"/>
    <w:rsid w:val="00D16E1A"/>
    <w:rsid w:val="00D20B2A"/>
    <w:rsid w:val="00D21B99"/>
    <w:rsid w:val="00D22178"/>
    <w:rsid w:val="00D30473"/>
    <w:rsid w:val="00D315D4"/>
    <w:rsid w:val="00D349A5"/>
    <w:rsid w:val="00D35B8B"/>
    <w:rsid w:val="00D37F6E"/>
    <w:rsid w:val="00D4704A"/>
    <w:rsid w:val="00D47231"/>
    <w:rsid w:val="00D50B70"/>
    <w:rsid w:val="00D62485"/>
    <w:rsid w:val="00D6398B"/>
    <w:rsid w:val="00D66AE8"/>
    <w:rsid w:val="00D71B9D"/>
    <w:rsid w:val="00D72801"/>
    <w:rsid w:val="00D74B30"/>
    <w:rsid w:val="00D7656B"/>
    <w:rsid w:val="00D77582"/>
    <w:rsid w:val="00D849BB"/>
    <w:rsid w:val="00D84F77"/>
    <w:rsid w:val="00D900B1"/>
    <w:rsid w:val="00D92C88"/>
    <w:rsid w:val="00D93E9F"/>
    <w:rsid w:val="00DA1A52"/>
    <w:rsid w:val="00DA2204"/>
    <w:rsid w:val="00DA3496"/>
    <w:rsid w:val="00DA7386"/>
    <w:rsid w:val="00DB5E67"/>
    <w:rsid w:val="00DB6324"/>
    <w:rsid w:val="00DC26BD"/>
    <w:rsid w:val="00DC338C"/>
    <w:rsid w:val="00DC6E49"/>
    <w:rsid w:val="00DD4B32"/>
    <w:rsid w:val="00DD6CB6"/>
    <w:rsid w:val="00DE0587"/>
    <w:rsid w:val="00DE1FFB"/>
    <w:rsid w:val="00DE252E"/>
    <w:rsid w:val="00DE3186"/>
    <w:rsid w:val="00DE5211"/>
    <w:rsid w:val="00DE66F9"/>
    <w:rsid w:val="00DF020D"/>
    <w:rsid w:val="00DF1517"/>
    <w:rsid w:val="00DF7D6D"/>
    <w:rsid w:val="00E02F47"/>
    <w:rsid w:val="00E031BF"/>
    <w:rsid w:val="00E051A1"/>
    <w:rsid w:val="00E12D8E"/>
    <w:rsid w:val="00E14261"/>
    <w:rsid w:val="00E17E60"/>
    <w:rsid w:val="00E21EC0"/>
    <w:rsid w:val="00E22824"/>
    <w:rsid w:val="00E22DAF"/>
    <w:rsid w:val="00E2616F"/>
    <w:rsid w:val="00E378D8"/>
    <w:rsid w:val="00E37D85"/>
    <w:rsid w:val="00E4378D"/>
    <w:rsid w:val="00E460D8"/>
    <w:rsid w:val="00E46676"/>
    <w:rsid w:val="00E57C18"/>
    <w:rsid w:val="00E64244"/>
    <w:rsid w:val="00E6583E"/>
    <w:rsid w:val="00E66F99"/>
    <w:rsid w:val="00E70BFC"/>
    <w:rsid w:val="00E76065"/>
    <w:rsid w:val="00E76DCA"/>
    <w:rsid w:val="00E828ED"/>
    <w:rsid w:val="00E83928"/>
    <w:rsid w:val="00E8665D"/>
    <w:rsid w:val="00E873E4"/>
    <w:rsid w:val="00E875D4"/>
    <w:rsid w:val="00E90605"/>
    <w:rsid w:val="00E938CA"/>
    <w:rsid w:val="00E9610A"/>
    <w:rsid w:val="00EA0885"/>
    <w:rsid w:val="00EB180B"/>
    <w:rsid w:val="00EB1BD8"/>
    <w:rsid w:val="00EB42C7"/>
    <w:rsid w:val="00EB5383"/>
    <w:rsid w:val="00EB67D8"/>
    <w:rsid w:val="00EC1815"/>
    <w:rsid w:val="00EC300B"/>
    <w:rsid w:val="00EC46D8"/>
    <w:rsid w:val="00EC7910"/>
    <w:rsid w:val="00ED22B7"/>
    <w:rsid w:val="00ED2E5D"/>
    <w:rsid w:val="00ED585E"/>
    <w:rsid w:val="00EE7105"/>
    <w:rsid w:val="00EE7554"/>
    <w:rsid w:val="00EE7E71"/>
    <w:rsid w:val="00EF4CE5"/>
    <w:rsid w:val="00F00092"/>
    <w:rsid w:val="00F03D5B"/>
    <w:rsid w:val="00F057FC"/>
    <w:rsid w:val="00F07D0D"/>
    <w:rsid w:val="00F14AC3"/>
    <w:rsid w:val="00F1501C"/>
    <w:rsid w:val="00F20BB8"/>
    <w:rsid w:val="00F22DC9"/>
    <w:rsid w:val="00F23E23"/>
    <w:rsid w:val="00F35950"/>
    <w:rsid w:val="00F43279"/>
    <w:rsid w:val="00F4437B"/>
    <w:rsid w:val="00F530AD"/>
    <w:rsid w:val="00F565FC"/>
    <w:rsid w:val="00F605B6"/>
    <w:rsid w:val="00F63433"/>
    <w:rsid w:val="00F708A3"/>
    <w:rsid w:val="00F73806"/>
    <w:rsid w:val="00F75BF1"/>
    <w:rsid w:val="00F822F6"/>
    <w:rsid w:val="00F85AA4"/>
    <w:rsid w:val="00F92602"/>
    <w:rsid w:val="00F945BA"/>
    <w:rsid w:val="00FA6993"/>
    <w:rsid w:val="00FB1621"/>
    <w:rsid w:val="00FC0A33"/>
    <w:rsid w:val="00FC0D43"/>
    <w:rsid w:val="00FC0FB2"/>
    <w:rsid w:val="00FC75A4"/>
    <w:rsid w:val="00FD3CC4"/>
    <w:rsid w:val="00FD4294"/>
    <w:rsid w:val="00FD6179"/>
    <w:rsid w:val="00FD74FD"/>
    <w:rsid w:val="00FD7646"/>
    <w:rsid w:val="00FE2FC8"/>
    <w:rsid w:val="00FE4641"/>
    <w:rsid w:val="00FE4B20"/>
    <w:rsid w:val="00FE517E"/>
    <w:rsid w:val="00FF77A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DB96"/>
  <w15:docId w15:val="{73A91A03-A0FB-48E3-8FDC-E973176E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6B"/>
  </w:style>
  <w:style w:type="paragraph" w:styleId="Heading1">
    <w:name w:val="heading 1"/>
    <w:basedOn w:val="Normal"/>
    <w:next w:val="Normal"/>
    <w:link w:val="Heading1Char"/>
    <w:qFormat/>
    <w:rsid w:val="00E460D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E460D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nhideWhenUsed/>
    <w:qFormat/>
    <w:rsid w:val="00E460D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nhideWhenUsed/>
    <w:qFormat/>
    <w:rsid w:val="00E460D8"/>
    <w:pPr>
      <w:keepNext/>
      <w:keepLines/>
      <w:spacing w:before="80" w:after="0" w:line="288" w:lineRule="auto"/>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nhideWhenUsed/>
    <w:qFormat/>
    <w:rsid w:val="00E460D8"/>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E460D8"/>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E460D8"/>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E460D8"/>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9"/>
    <w:unhideWhenUsed/>
    <w:qFormat/>
    <w:rsid w:val="00E460D8"/>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
    <w:basedOn w:val="Normal"/>
    <w:link w:val="ListParagraphChar"/>
    <w:uiPriority w:val="34"/>
    <w:qFormat/>
    <w:rsid w:val="00933D94"/>
    <w:pPr>
      <w:ind w:left="720"/>
      <w:contextualSpacing/>
    </w:pPr>
  </w:style>
  <w:style w:type="paragraph" w:customStyle="1" w:styleId="Default">
    <w:name w:val="Default"/>
    <w:uiPriority w:val="99"/>
    <w:rsid w:val="006666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4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2B"/>
  </w:style>
  <w:style w:type="paragraph" w:styleId="Footer">
    <w:name w:val="footer"/>
    <w:basedOn w:val="Normal"/>
    <w:link w:val="FooterChar"/>
    <w:uiPriority w:val="99"/>
    <w:unhideWhenUsed/>
    <w:rsid w:val="0021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2B"/>
  </w:style>
  <w:style w:type="paragraph" w:styleId="BalloonText">
    <w:name w:val="Balloon Text"/>
    <w:basedOn w:val="Normal"/>
    <w:link w:val="BalloonTextChar"/>
    <w:uiPriority w:val="99"/>
    <w:semiHidden/>
    <w:unhideWhenUsed/>
    <w:rsid w:val="00FE4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20"/>
    <w:rPr>
      <w:rFonts w:ascii="Segoe UI" w:hAnsi="Segoe UI" w:cs="Segoe UI"/>
      <w:sz w:val="18"/>
      <w:szCs w:val="18"/>
    </w:rPr>
  </w:style>
  <w:style w:type="paragraph" w:customStyle="1" w:styleId="ColorfulList-Accent11">
    <w:name w:val="Colorful List - Accent 11"/>
    <w:basedOn w:val="Normal"/>
    <w:uiPriority w:val="34"/>
    <w:qFormat/>
    <w:rsid w:val="007A4532"/>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iPriority w:val="99"/>
    <w:unhideWhenUsed/>
    <w:rsid w:val="007A4532"/>
    <w:pPr>
      <w:spacing w:after="0" w:line="240" w:lineRule="auto"/>
    </w:pPr>
    <w:rPr>
      <w:sz w:val="20"/>
      <w:szCs w:val="20"/>
    </w:rPr>
  </w:style>
  <w:style w:type="character" w:customStyle="1" w:styleId="FootnoteTextChar">
    <w:name w:val="Footnote Text Char"/>
    <w:basedOn w:val="DefaultParagraphFont"/>
    <w:link w:val="FootnoteText"/>
    <w:uiPriority w:val="99"/>
    <w:rsid w:val="007A4532"/>
    <w:rPr>
      <w:sz w:val="20"/>
      <w:szCs w:val="20"/>
    </w:rPr>
  </w:style>
  <w:style w:type="character" w:styleId="FootnoteReference">
    <w:name w:val="footnote reference"/>
    <w:basedOn w:val="DefaultParagraphFont"/>
    <w:semiHidden/>
    <w:unhideWhenUsed/>
    <w:rsid w:val="007A4532"/>
    <w:rPr>
      <w:vertAlign w:val="superscript"/>
    </w:rPr>
  </w:style>
  <w:style w:type="character" w:styleId="Hyperlink">
    <w:name w:val="Hyperlink"/>
    <w:basedOn w:val="DefaultParagraphFont"/>
    <w:uiPriority w:val="99"/>
    <w:unhideWhenUsed/>
    <w:rsid w:val="007A4532"/>
    <w:rPr>
      <w:color w:val="0000FF"/>
      <w:u w:val="single"/>
    </w:rPr>
  </w:style>
  <w:style w:type="paragraph" w:customStyle="1" w:styleId="xmsonormal">
    <w:name w:val="x_msonormal"/>
    <w:basedOn w:val="Normal"/>
    <w:uiPriority w:val="99"/>
    <w:rsid w:val="007A453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CC3C70"/>
    <w:pPr>
      <w:spacing w:line="240" w:lineRule="auto"/>
    </w:pPr>
    <w:rPr>
      <w:sz w:val="20"/>
      <w:szCs w:val="20"/>
    </w:rPr>
  </w:style>
  <w:style w:type="character" w:customStyle="1" w:styleId="CommentTextChar">
    <w:name w:val="Comment Text Char"/>
    <w:basedOn w:val="DefaultParagraphFont"/>
    <w:link w:val="CommentText"/>
    <w:uiPriority w:val="99"/>
    <w:rsid w:val="00CC3C70"/>
    <w:rPr>
      <w:sz w:val="20"/>
      <w:szCs w:val="20"/>
    </w:rPr>
  </w:style>
  <w:style w:type="table" w:styleId="TableGrid">
    <w:name w:val="Table Grid"/>
    <w:basedOn w:val="TableNormal"/>
    <w:rsid w:val="00781B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7AA"/>
    <w:pPr>
      <w:spacing w:after="0" w:line="240" w:lineRule="auto"/>
    </w:pPr>
  </w:style>
  <w:style w:type="character" w:styleId="CommentReference">
    <w:name w:val="annotation reference"/>
    <w:basedOn w:val="DefaultParagraphFont"/>
    <w:uiPriority w:val="99"/>
    <w:unhideWhenUsed/>
    <w:rsid w:val="000D6619"/>
    <w:rPr>
      <w:sz w:val="16"/>
      <w:szCs w:val="16"/>
    </w:rPr>
  </w:style>
  <w:style w:type="paragraph" w:styleId="CommentSubject">
    <w:name w:val="annotation subject"/>
    <w:basedOn w:val="CommentText"/>
    <w:next w:val="CommentText"/>
    <w:link w:val="CommentSubjectChar"/>
    <w:uiPriority w:val="99"/>
    <w:unhideWhenUsed/>
    <w:rsid w:val="000D6619"/>
    <w:rPr>
      <w:b/>
      <w:bCs/>
    </w:rPr>
  </w:style>
  <w:style w:type="character" w:customStyle="1" w:styleId="CommentSubjectChar">
    <w:name w:val="Comment Subject Char"/>
    <w:basedOn w:val="CommentTextChar"/>
    <w:link w:val="CommentSubject"/>
    <w:uiPriority w:val="99"/>
    <w:rsid w:val="000D6619"/>
    <w:rPr>
      <w:b/>
      <w:bCs/>
      <w:sz w:val="20"/>
      <w:szCs w:val="20"/>
    </w:rPr>
  </w:style>
  <w:style w:type="numbering" w:customStyle="1" w:styleId="Style1">
    <w:name w:val="Style1"/>
    <w:uiPriority w:val="99"/>
    <w:rsid w:val="002C46E8"/>
    <w:pPr>
      <w:numPr>
        <w:numId w:val="3"/>
      </w:numPr>
    </w:pPr>
  </w:style>
  <w:style w:type="character" w:styleId="FollowedHyperlink">
    <w:name w:val="FollowedHyperlink"/>
    <w:basedOn w:val="DefaultParagraphFont"/>
    <w:uiPriority w:val="99"/>
    <w:unhideWhenUsed/>
    <w:rsid w:val="007A6FBF"/>
    <w:rPr>
      <w:color w:val="954F72" w:themeColor="followedHyperlink"/>
      <w:u w:val="single"/>
    </w:rPr>
  </w:style>
  <w:style w:type="character" w:customStyle="1" w:styleId="ListParagraphChar">
    <w:name w:val="List Paragraph Char"/>
    <w:aliases w:val="Rec para Char"/>
    <w:link w:val="ListParagraph"/>
    <w:uiPriority w:val="34"/>
    <w:locked/>
    <w:rsid w:val="00CF30CB"/>
  </w:style>
  <w:style w:type="character" w:customStyle="1" w:styleId="Heading1Char">
    <w:name w:val="Heading 1 Char"/>
    <w:basedOn w:val="DefaultParagraphFont"/>
    <w:link w:val="Heading1"/>
    <w:rsid w:val="00E460D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E460D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rsid w:val="00E460D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rsid w:val="00E460D8"/>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rsid w:val="00E460D8"/>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E460D8"/>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E460D8"/>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E460D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9"/>
    <w:rsid w:val="00E460D8"/>
    <w:rPr>
      <w:rFonts w:asciiTheme="majorHAnsi" w:eastAsiaTheme="majorEastAsia" w:hAnsiTheme="majorHAnsi" w:cstheme="majorBidi"/>
      <w:i/>
      <w:iCs/>
      <w:color w:val="70AD47" w:themeColor="accent6"/>
      <w:sz w:val="20"/>
      <w:szCs w:val="20"/>
    </w:rPr>
  </w:style>
  <w:style w:type="paragraph" w:styleId="Revision">
    <w:name w:val="Revision"/>
    <w:hidden/>
    <w:uiPriority w:val="99"/>
    <w:semiHidden/>
    <w:rsid w:val="00E460D8"/>
    <w:pPr>
      <w:spacing w:after="200" w:line="288" w:lineRule="auto"/>
    </w:pPr>
    <w:rPr>
      <w:rFonts w:ascii="Calibri" w:eastAsia="Calibri" w:hAnsi="Calibri" w:cs="Times New Roman"/>
      <w:sz w:val="21"/>
      <w:szCs w:val="21"/>
    </w:rPr>
  </w:style>
  <w:style w:type="paragraph" w:styleId="IntenseQuote">
    <w:name w:val="Intense Quote"/>
    <w:basedOn w:val="Normal"/>
    <w:next w:val="Normal"/>
    <w:link w:val="IntenseQuoteChar"/>
    <w:uiPriority w:val="30"/>
    <w:qFormat/>
    <w:rsid w:val="00E460D8"/>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460D8"/>
    <w:rPr>
      <w:rFonts w:asciiTheme="majorHAnsi" w:eastAsiaTheme="majorEastAsia" w:hAnsiTheme="majorHAnsi" w:cstheme="majorBidi"/>
      <w:i/>
      <w:iCs/>
      <w:color w:val="70AD47" w:themeColor="accent6"/>
      <w:sz w:val="32"/>
      <w:szCs w:val="32"/>
    </w:rPr>
  </w:style>
  <w:style w:type="paragraph" w:customStyle="1" w:styleId="msonormal0">
    <w:name w:val="msonormal"/>
    <w:basedOn w:val="Normal"/>
    <w:uiPriority w:val="99"/>
    <w:rsid w:val="00E460D8"/>
    <w:pPr>
      <w:spacing w:before="100" w:beforeAutospacing="1" w:after="100" w:afterAutospacing="1" w:line="288" w:lineRule="auto"/>
    </w:pPr>
    <w:rPr>
      <w:rFonts w:ascii="Times New Roman" w:eastAsia="Times New Roman" w:hAnsi="Times New Roman"/>
      <w:sz w:val="24"/>
      <w:szCs w:val="24"/>
      <w:lang w:eastAsia="en-GB"/>
    </w:rPr>
  </w:style>
  <w:style w:type="paragraph" w:styleId="BodyText">
    <w:name w:val="Body Text"/>
    <w:basedOn w:val="Normal"/>
    <w:link w:val="BodyTextChar"/>
    <w:uiPriority w:val="1"/>
    <w:unhideWhenUsed/>
    <w:qFormat/>
    <w:rsid w:val="00E460D8"/>
    <w:pPr>
      <w:widowControl w:val="0"/>
      <w:spacing w:after="200" w:line="288" w:lineRule="auto"/>
      <w:ind w:left="3" w:hanging="440"/>
    </w:pPr>
    <w:rPr>
      <w:rFonts w:eastAsiaTheme="minorEastAsia"/>
      <w:sz w:val="21"/>
      <w:szCs w:val="21"/>
    </w:rPr>
  </w:style>
  <w:style w:type="character" w:customStyle="1" w:styleId="BodyTextChar">
    <w:name w:val="Body Text Char"/>
    <w:basedOn w:val="DefaultParagraphFont"/>
    <w:link w:val="BodyText"/>
    <w:uiPriority w:val="1"/>
    <w:rsid w:val="00E460D8"/>
    <w:rPr>
      <w:rFonts w:eastAsiaTheme="minorEastAsia"/>
      <w:sz w:val="21"/>
      <w:szCs w:val="21"/>
      <w:lang w:val="es-ES"/>
    </w:rPr>
  </w:style>
  <w:style w:type="paragraph" w:customStyle="1" w:styleId="Normal1">
    <w:name w:val="Normal1"/>
    <w:uiPriority w:val="99"/>
    <w:rsid w:val="00E460D8"/>
    <w:pPr>
      <w:spacing w:after="4" w:line="249" w:lineRule="auto"/>
      <w:ind w:left="435" w:right="118" w:hanging="434"/>
    </w:pPr>
    <w:rPr>
      <w:rFonts w:ascii="Calibri" w:eastAsia="Calibri" w:hAnsi="Calibri" w:cs="Calibri"/>
      <w:sz w:val="21"/>
      <w:szCs w:val="21"/>
    </w:rPr>
  </w:style>
  <w:style w:type="character" w:styleId="SubtleEmphasis">
    <w:name w:val="Subtle Emphasis"/>
    <w:basedOn w:val="DefaultParagraphFont"/>
    <w:uiPriority w:val="19"/>
    <w:qFormat/>
    <w:rsid w:val="00E460D8"/>
    <w:rPr>
      <w:i/>
      <w:iCs/>
    </w:rPr>
  </w:style>
  <w:style w:type="character" w:styleId="IntenseReference">
    <w:name w:val="Intense Reference"/>
    <w:basedOn w:val="DefaultParagraphFont"/>
    <w:uiPriority w:val="32"/>
    <w:qFormat/>
    <w:rsid w:val="00E460D8"/>
    <w:rPr>
      <w:b/>
      <w:bCs/>
      <w:smallCaps/>
      <w:color w:val="70AD47" w:themeColor="accent6"/>
    </w:rPr>
  </w:style>
  <w:style w:type="table" w:styleId="LightList">
    <w:name w:val="Light List"/>
    <w:basedOn w:val="TableNormal"/>
    <w:uiPriority w:val="61"/>
    <w:semiHidden/>
    <w:unhideWhenUsed/>
    <w:rsid w:val="00E460D8"/>
    <w:pPr>
      <w:spacing w:after="200" w:line="288" w:lineRule="auto"/>
    </w:pPr>
    <w:rPr>
      <w:rFonts w:eastAsiaTheme="minorEastAsia"/>
      <w:sz w:val="21"/>
      <w:szCs w:val="2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E460D8"/>
    <w:pPr>
      <w:spacing w:after="200" w:line="288" w:lineRule="auto"/>
    </w:pPr>
    <w:rPr>
      <w:rFonts w:eastAsia="Times New Roman"/>
      <w:b/>
      <w:sz w:val="24"/>
      <w:szCs w:val="24"/>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60D8"/>
    <w:pPr>
      <w:outlineLvl w:val="9"/>
    </w:pPr>
  </w:style>
  <w:style w:type="paragraph" w:styleId="TOC2">
    <w:name w:val="toc 2"/>
    <w:basedOn w:val="Normal"/>
    <w:next w:val="Normal"/>
    <w:autoRedefine/>
    <w:uiPriority w:val="99"/>
    <w:unhideWhenUsed/>
    <w:rsid w:val="00E460D8"/>
    <w:pPr>
      <w:spacing w:after="100"/>
      <w:ind w:left="220"/>
    </w:pPr>
    <w:rPr>
      <w:rFonts w:eastAsiaTheme="minorEastAsia"/>
      <w:sz w:val="21"/>
      <w:szCs w:val="21"/>
    </w:rPr>
  </w:style>
  <w:style w:type="paragraph" w:styleId="TOC1">
    <w:name w:val="toc 1"/>
    <w:basedOn w:val="Normal"/>
    <w:next w:val="Normal"/>
    <w:autoRedefine/>
    <w:uiPriority w:val="99"/>
    <w:unhideWhenUsed/>
    <w:rsid w:val="00E460D8"/>
    <w:pPr>
      <w:spacing w:after="100"/>
    </w:pPr>
    <w:rPr>
      <w:rFonts w:eastAsiaTheme="minorEastAsia"/>
      <w:sz w:val="21"/>
      <w:szCs w:val="21"/>
    </w:rPr>
  </w:style>
  <w:style w:type="paragraph" w:styleId="TOC3">
    <w:name w:val="toc 3"/>
    <w:basedOn w:val="Normal"/>
    <w:next w:val="Normal"/>
    <w:autoRedefine/>
    <w:uiPriority w:val="39"/>
    <w:unhideWhenUsed/>
    <w:rsid w:val="00E460D8"/>
    <w:pPr>
      <w:spacing w:after="100"/>
      <w:ind w:left="440"/>
    </w:pPr>
    <w:rPr>
      <w:rFonts w:eastAsiaTheme="minorEastAsia"/>
      <w:sz w:val="21"/>
      <w:szCs w:val="21"/>
    </w:rPr>
  </w:style>
  <w:style w:type="paragraph" w:styleId="Caption">
    <w:name w:val="caption"/>
    <w:basedOn w:val="Normal"/>
    <w:next w:val="Normal"/>
    <w:uiPriority w:val="35"/>
    <w:semiHidden/>
    <w:unhideWhenUsed/>
    <w:qFormat/>
    <w:rsid w:val="00E460D8"/>
    <w:pPr>
      <w:spacing w:after="200" w:line="240" w:lineRule="auto"/>
    </w:pPr>
    <w:rPr>
      <w:rFonts w:eastAsiaTheme="minorEastAsia"/>
      <w:b/>
      <w:bCs/>
      <w:smallCaps/>
      <w:color w:val="595959" w:themeColor="text1" w:themeTint="A6"/>
      <w:sz w:val="21"/>
      <w:szCs w:val="21"/>
    </w:rPr>
  </w:style>
  <w:style w:type="paragraph" w:styleId="Title">
    <w:name w:val="Title"/>
    <w:basedOn w:val="Normal"/>
    <w:next w:val="Normal"/>
    <w:link w:val="TitleChar"/>
    <w:uiPriority w:val="99"/>
    <w:qFormat/>
    <w:rsid w:val="00E460D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99"/>
    <w:rsid w:val="00E460D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460D8"/>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460D8"/>
    <w:rPr>
      <w:rFonts w:asciiTheme="majorHAnsi" w:eastAsiaTheme="majorEastAsia" w:hAnsiTheme="majorHAnsi" w:cstheme="majorBidi"/>
      <w:sz w:val="30"/>
      <w:szCs w:val="30"/>
    </w:rPr>
  </w:style>
  <w:style w:type="character" w:styleId="Strong">
    <w:name w:val="Strong"/>
    <w:basedOn w:val="DefaultParagraphFont"/>
    <w:uiPriority w:val="22"/>
    <w:qFormat/>
    <w:rsid w:val="00E460D8"/>
    <w:rPr>
      <w:b/>
      <w:bCs/>
    </w:rPr>
  </w:style>
  <w:style w:type="character" w:styleId="Emphasis">
    <w:name w:val="Emphasis"/>
    <w:basedOn w:val="DefaultParagraphFont"/>
    <w:qFormat/>
    <w:rsid w:val="00E460D8"/>
    <w:rPr>
      <w:i/>
      <w:iCs/>
      <w:color w:val="70AD47" w:themeColor="accent6"/>
    </w:rPr>
  </w:style>
  <w:style w:type="paragraph" w:styleId="Quote">
    <w:name w:val="Quote"/>
    <w:basedOn w:val="Normal"/>
    <w:next w:val="Normal"/>
    <w:link w:val="QuoteChar"/>
    <w:uiPriority w:val="29"/>
    <w:qFormat/>
    <w:rsid w:val="00E460D8"/>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460D8"/>
    <w:rPr>
      <w:rFonts w:eastAsiaTheme="minorEastAsia"/>
      <w:i/>
      <w:iCs/>
      <w:color w:val="262626" w:themeColor="text1" w:themeTint="D9"/>
      <w:sz w:val="21"/>
      <w:szCs w:val="21"/>
    </w:rPr>
  </w:style>
  <w:style w:type="character" w:styleId="IntenseEmphasis">
    <w:name w:val="Intense Emphasis"/>
    <w:basedOn w:val="DefaultParagraphFont"/>
    <w:uiPriority w:val="21"/>
    <w:qFormat/>
    <w:rsid w:val="00E460D8"/>
    <w:rPr>
      <w:b/>
      <w:bCs/>
      <w:i/>
      <w:iCs/>
    </w:rPr>
  </w:style>
  <w:style w:type="character" w:styleId="SubtleReference">
    <w:name w:val="Subtle Reference"/>
    <w:basedOn w:val="DefaultParagraphFont"/>
    <w:uiPriority w:val="31"/>
    <w:qFormat/>
    <w:rsid w:val="00E460D8"/>
    <w:rPr>
      <w:smallCaps/>
      <w:color w:val="595959" w:themeColor="text1" w:themeTint="A6"/>
    </w:rPr>
  </w:style>
  <w:style w:type="character" w:styleId="BookTitle">
    <w:name w:val="Book Title"/>
    <w:basedOn w:val="DefaultParagraphFont"/>
    <w:uiPriority w:val="33"/>
    <w:qFormat/>
    <w:rsid w:val="00E460D8"/>
    <w:rPr>
      <w:b/>
      <w:bCs/>
      <w:caps w:val="0"/>
      <w:smallCaps/>
      <w:spacing w:val="7"/>
      <w:sz w:val="21"/>
      <w:szCs w:val="21"/>
    </w:rPr>
  </w:style>
  <w:style w:type="paragraph" w:customStyle="1" w:styleId="actiongt">
    <w:name w:val="actiongt"/>
    <w:basedOn w:val="Normal"/>
    <w:link w:val="actiongtChar"/>
    <w:rsid w:val="003C32B7"/>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rFonts w:ascii="Garamond" w:eastAsia="Batang" w:hAnsi="Garamond" w:cs="Garamond"/>
      <w:noProof/>
    </w:rPr>
  </w:style>
  <w:style w:type="character" w:customStyle="1" w:styleId="actiongtChar">
    <w:name w:val="actiongt Char"/>
    <w:link w:val="actiongt"/>
    <w:rsid w:val="003C32B7"/>
    <w:rPr>
      <w:rFonts w:ascii="Garamond" w:eastAsia="Batang" w:hAnsi="Garamond" w:cs="Garamond"/>
      <w:noProof/>
      <w:shd w:val="clear" w:color="auto" w:fill="E6E6E6"/>
      <w:lang w:val="es-ES"/>
    </w:rPr>
  </w:style>
  <w:style w:type="paragraph" w:customStyle="1" w:styleId="actionnogt">
    <w:name w:val="actionnogt"/>
    <w:basedOn w:val="Normal"/>
    <w:link w:val="actionnogtChar"/>
    <w:rsid w:val="003C32B7"/>
    <w:pPr>
      <w:keepNext/>
      <w:keepLines/>
      <w:pBdr>
        <w:top w:val="single" w:sz="2" w:space="1" w:color="auto"/>
        <w:left w:val="single" w:sz="2" w:space="4" w:color="auto"/>
        <w:bottom w:val="single" w:sz="2" w:space="1" w:color="auto"/>
        <w:right w:val="single" w:sz="2" w:space="4" w:color="auto"/>
      </w:pBdr>
      <w:spacing w:before="120" w:after="60" w:line="240" w:lineRule="atLeast"/>
    </w:pPr>
    <w:rPr>
      <w:rFonts w:ascii="Garamond" w:eastAsia="Batang" w:hAnsi="Garamond" w:cs="Garamond"/>
      <w:noProof/>
    </w:rPr>
  </w:style>
  <w:style w:type="character" w:customStyle="1" w:styleId="actionnogtChar">
    <w:name w:val="actionnogt Char"/>
    <w:link w:val="actionnogt"/>
    <w:rsid w:val="003C32B7"/>
    <w:rPr>
      <w:rFonts w:ascii="Garamond" w:eastAsia="Batang" w:hAnsi="Garamond" w:cs="Garamond"/>
      <w:noProof/>
      <w:lang w:val="es-ES"/>
    </w:rPr>
  </w:style>
  <w:style w:type="paragraph" w:customStyle="1" w:styleId="oonoheading">
    <w:name w:val="oonoheading"/>
    <w:basedOn w:val="Normal"/>
    <w:uiPriority w:val="99"/>
    <w:rsid w:val="003C32B7"/>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Garamond" w:eastAsia="Batang" w:hAnsi="Garamond" w:cs="Garamond"/>
      <w:b/>
      <w:bCs/>
      <w:caps/>
      <w:spacing w:val="-2"/>
      <w:sz w:val="24"/>
      <w:szCs w:val="24"/>
    </w:rPr>
  </w:style>
  <w:style w:type="paragraph" w:customStyle="1" w:styleId="StyleHeading1NotAllcaps">
    <w:name w:val="Style Heading 1 + Not All caps"/>
    <w:basedOn w:val="Heading1"/>
    <w:link w:val="StyleHeading1NotAllcapsChar"/>
    <w:rsid w:val="003C32B7"/>
    <w:pPr>
      <w:keepNext w:val="0"/>
      <w:keepLines w:val="0"/>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Calibri" w:eastAsia="Batang" w:hAnsi="Calibri" w:cs="Garamond"/>
      <w:b/>
      <w:bCs/>
      <w:color w:val="10AAAA"/>
      <w:spacing w:val="-2"/>
      <w:sz w:val="32"/>
      <w:szCs w:val="24"/>
    </w:rPr>
  </w:style>
  <w:style w:type="character" w:customStyle="1" w:styleId="StyleHeading1NotAllcapsChar">
    <w:name w:val="Style Heading 1 + Not All caps Char"/>
    <w:basedOn w:val="Heading1Char"/>
    <w:link w:val="StyleHeading1NotAllcaps"/>
    <w:rsid w:val="003C32B7"/>
    <w:rPr>
      <w:rFonts w:ascii="Calibri" w:eastAsia="Batang" w:hAnsi="Calibri" w:cs="Garamond"/>
      <w:b/>
      <w:bCs/>
      <w:color w:val="10AAAA"/>
      <w:spacing w:val="-2"/>
      <w:sz w:val="32"/>
      <w:szCs w:val="24"/>
      <w:lang w:val="es-ES"/>
    </w:rPr>
  </w:style>
  <w:style w:type="paragraph" w:customStyle="1" w:styleId="StyleactiongtBold">
    <w:name w:val="Style actiongt + Bold"/>
    <w:basedOn w:val="actiongt"/>
    <w:link w:val="StyleactiongtBoldChar"/>
    <w:rsid w:val="003C32B7"/>
    <w:pPr>
      <w:keepNext w:val="0"/>
    </w:pPr>
    <w:rPr>
      <w:b/>
      <w:bCs/>
    </w:rPr>
  </w:style>
  <w:style w:type="character" w:customStyle="1" w:styleId="StyleactiongtBoldChar">
    <w:name w:val="Style actiongt + Bold Char"/>
    <w:link w:val="StyleactiongtBold"/>
    <w:rsid w:val="003C32B7"/>
    <w:rPr>
      <w:rFonts w:ascii="Garamond" w:eastAsia="Batang" w:hAnsi="Garamond" w:cs="Garamond"/>
      <w:b/>
      <w:bCs/>
      <w:noProof/>
      <w:shd w:val="clear" w:color="auto" w:fill="E6E6E6"/>
      <w:lang w:val="es-ES"/>
    </w:rPr>
  </w:style>
  <w:style w:type="paragraph" w:customStyle="1" w:styleId="StyleactionnogtBefore0ptAfter0pt">
    <w:name w:val="Style actionnogt + Before:  0 pt After:  0 pt"/>
    <w:basedOn w:val="actionnogt"/>
    <w:uiPriority w:val="99"/>
    <w:rsid w:val="003C32B7"/>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3C32B7"/>
    <w:rPr>
      <w:b/>
      <w:bCs/>
    </w:rPr>
  </w:style>
  <w:style w:type="character" w:customStyle="1" w:styleId="StyleactionnogtBoldChar">
    <w:name w:val="Style actionnogt + Bold Char"/>
    <w:link w:val="StyleactionnogtBold"/>
    <w:rsid w:val="003C32B7"/>
    <w:rPr>
      <w:rFonts w:ascii="Garamond" w:eastAsia="Batang" w:hAnsi="Garamond" w:cs="Garamond"/>
      <w:b/>
      <w:bCs/>
      <w:noProof/>
      <w:lang w:val="es-ES"/>
    </w:rPr>
  </w:style>
  <w:style w:type="paragraph" w:customStyle="1" w:styleId="StyleStyleactiongtBoldPatternClearGray-25">
    <w:name w:val="Style Style actiongt + Bold + Pattern: Clear (Gray-25%)"/>
    <w:basedOn w:val="StyleactiongtBold"/>
    <w:uiPriority w:val="99"/>
    <w:rsid w:val="003C32B7"/>
    <w:pPr>
      <w:keepLines w:val="0"/>
      <w:shd w:val="clear" w:color="auto" w:fill="C0C0C0"/>
    </w:pPr>
    <w:rPr>
      <w:rFonts w:eastAsia="Times New Roman" w:cs="Times New Roman"/>
      <w:szCs w:val="20"/>
    </w:rPr>
  </w:style>
  <w:style w:type="paragraph" w:styleId="BodyTextIndent3">
    <w:name w:val="Body Text Indent 3"/>
    <w:basedOn w:val="Normal"/>
    <w:link w:val="BodyTextIndent3Char"/>
    <w:uiPriority w:val="99"/>
    <w:rsid w:val="003C32B7"/>
    <w:pPr>
      <w:spacing w:after="0" w:line="240" w:lineRule="auto"/>
      <w:ind w:left="-851"/>
    </w:pPr>
    <w:rPr>
      <w:rFonts w:ascii="Times New Roman" w:eastAsia="Times New Roman" w:hAnsi="Times New Roman" w:cs="Times New Roman"/>
      <w:szCs w:val="20"/>
      <w:lang w:eastAsia="en-ZA"/>
    </w:rPr>
  </w:style>
  <w:style w:type="character" w:customStyle="1" w:styleId="BodyTextIndent3Char">
    <w:name w:val="Body Text Indent 3 Char"/>
    <w:basedOn w:val="DefaultParagraphFont"/>
    <w:link w:val="BodyTextIndent3"/>
    <w:uiPriority w:val="99"/>
    <w:rsid w:val="003C32B7"/>
    <w:rPr>
      <w:rFonts w:ascii="Times New Roman" w:eastAsia="Times New Roman" w:hAnsi="Times New Roman" w:cs="Times New Roman"/>
      <w:szCs w:val="20"/>
      <w:lang w:eastAsia="en-ZA"/>
    </w:rPr>
  </w:style>
  <w:style w:type="paragraph" w:styleId="BodyText3">
    <w:name w:val="Body Text 3"/>
    <w:basedOn w:val="Normal"/>
    <w:link w:val="BodyText3Char"/>
    <w:uiPriority w:val="99"/>
    <w:rsid w:val="003C32B7"/>
    <w:pPr>
      <w:spacing w:after="120" w:line="240" w:lineRule="auto"/>
    </w:pPr>
    <w:rPr>
      <w:rFonts w:ascii="Garamond" w:eastAsia="Batang" w:hAnsi="Garamond" w:cs="Garamond"/>
      <w:sz w:val="16"/>
      <w:szCs w:val="16"/>
    </w:rPr>
  </w:style>
  <w:style w:type="character" w:customStyle="1" w:styleId="BodyText3Char">
    <w:name w:val="Body Text 3 Char"/>
    <w:basedOn w:val="DefaultParagraphFont"/>
    <w:link w:val="BodyText3"/>
    <w:uiPriority w:val="99"/>
    <w:rsid w:val="003C32B7"/>
    <w:rPr>
      <w:rFonts w:ascii="Garamond" w:eastAsia="Batang" w:hAnsi="Garamond" w:cs="Garamond"/>
      <w:sz w:val="16"/>
      <w:szCs w:val="16"/>
      <w:lang w:val="es-ES"/>
    </w:rPr>
  </w:style>
  <w:style w:type="paragraph" w:styleId="TOC8">
    <w:name w:val="toc 8"/>
    <w:basedOn w:val="Normal"/>
    <w:next w:val="Normal"/>
    <w:autoRedefine/>
    <w:uiPriority w:val="99"/>
    <w:semiHidden/>
    <w:rsid w:val="003C32B7"/>
    <w:pPr>
      <w:spacing w:after="0" w:line="240" w:lineRule="auto"/>
      <w:ind w:left="1680"/>
    </w:pPr>
    <w:rPr>
      <w:rFonts w:ascii="Garamond" w:eastAsia="Batang" w:hAnsi="Garamond" w:cs="Garamond"/>
      <w:sz w:val="24"/>
      <w:szCs w:val="24"/>
    </w:rPr>
  </w:style>
  <w:style w:type="character" w:styleId="PageNumber">
    <w:name w:val="page number"/>
    <w:basedOn w:val="DefaultParagraphFont"/>
    <w:rsid w:val="003C32B7"/>
  </w:style>
  <w:style w:type="paragraph" w:customStyle="1" w:styleId="MediumGrid1-Accent21">
    <w:name w:val="Medium Grid 1 - Accent 21"/>
    <w:basedOn w:val="Normal"/>
    <w:uiPriority w:val="34"/>
    <w:qFormat/>
    <w:rsid w:val="003C32B7"/>
    <w:pPr>
      <w:spacing w:after="0" w:line="240" w:lineRule="auto"/>
      <w:ind w:left="720"/>
    </w:pPr>
    <w:rPr>
      <w:rFonts w:ascii="Garamond" w:eastAsia="Batang" w:hAnsi="Garamond" w:cs="Garamond"/>
      <w:sz w:val="24"/>
      <w:szCs w:val="24"/>
    </w:rPr>
  </w:style>
  <w:style w:type="paragraph" w:styleId="NormalWeb">
    <w:name w:val="Normal (Web)"/>
    <w:basedOn w:val="Normal"/>
    <w:uiPriority w:val="99"/>
    <w:unhideWhenUsed/>
    <w:rsid w:val="003C32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umList2-Accent21">
    <w:name w:val="Medium List 2 - Accent 21"/>
    <w:hidden/>
    <w:uiPriority w:val="99"/>
    <w:semiHidden/>
    <w:rsid w:val="003C32B7"/>
    <w:pPr>
      <w:spacing w:after="0" w:line="240" w:lineRule="auto"/>
    </w:pPr>
    <w:rPr>
      <w:rFonts w:ascii="Garamond" w:eastAsia="Batang" w:hAnsi="Garamond" w:cs="Garamond"/>
      <w:sz w:val="24"/>
      <w:szCs w:val="24"/>
    </w:rPr>
  </w:style>
  <w:style w:type="character" w:customStyle="1" w:styleId="firstTxt1">
    <w:name w:val="firstTxt1"/>
    <w:rsid w:val="003C32B7"/>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3C32B7"/>
    <w:pPr>
      <w:spacing w:after="0" w:line="240" w:lineRule="auto"/>
    </w:pPr>
    <w:rPr>
      <w:rFonts w:ascii="Garamond" w:eastAsia="Batang" w:hAnsi="Garamond" w:cs="Garamond"/>
      <w:sz w:val="24"/>
      <w:szCs w:val="24"/>
    </w:rPr>
  </w:style>
  <w:style w:type="paragraph" w:styleId="ListBullet">
    <w:name w:val="List Bullet"/>
    <w:basedOn w:val="Normal"/>
    <w:uiPriority w:val="99"/>
    <w:rsid w:val="003C32B7"/>
    <w:pPr>
      <w:numPr>
        <w:numId w:val="4"/>
      </w:numPr>
      <w:spacing w:after="0" w:line="240" w:lineRule="auto"/>
      <w:contextualSpacing/>
    </w:pPr>
    <w:rPr>
      <w:rFonts w:ascii="Garamond" w:eastAsia="Batang" w:hAnsi="Garamond" w:cs="Garamond"/>
      <w:sz w:val="24"/>
      <w:szCs w:val="24"/>
    </w:rPr>
  </w:style>
  <w:style w:type="paragraph" w:customStyle="1" w:styleId="Formsubtitle">
    <w:name w:val="Form sub title"/>
    <w:basedOn w:val="Normal"/>
    <w:link w:val="FormsubtitleChar"/>
    <w:qFormat/>
    <w:rsid w:val="003C32B7"/>
    <w:pPr>
      <w:spacing w:after="0" w:line="240" w:lineRule="auto"/>
    </w:pPr>
    <w:rPr>
      <w:rFonts w:ascii="Calibri" w:eastAsia="Batang" w:hAnsi="Calibri" w:cs="Arial"/>
      <w:b/>
      <w:bCs/>
      <w:color w:val="10AAAA"/>
    </w:rPr>
  </w:style>
  <w:style w:type="character" w:customStyle="1" w:styleId="LightGrid-Accent11">
    <w:name w:val="Light Grid - Accent 11"/>
    <w:uiPriority w:val="99"/>
    <w:semiHidden/>
    <w:rsid w:val="003C32B7"/>
    <w:rPr>
      <w:color w:val="808080"/>
    </w:rPr>
  </w:style>
  <w:style w:type="character" w:customStyle="1" w:styleId="FormsubtitleChar">
    <w:name w:val="Form sub title Char"/>
    <w:link w:val="Formsubtitle"/>
    <w:rsid w:val="003C32B7"/>
    <w:rPr>
      <w:rFonts w:ascii="Calibri" w:eastAsia="Batang" w:hAnsi="Calibri" w:cs="Arial"/>
      <w:b/>
      <w:bCs/>
      <w:color w:val="10AAAA"/>
    </w:rPr>
  </w:style>
  <w:style w:type="character" w:customStyle="1" w:styleId="IntenseEmphasis1">
    <w:name w:val="Intense Emphasis1"/>
    <w:uiPriority w:val="21"/>
    <w:qFormat/>
    <w:rsid w:val="003C32B7"/>
    <w:rPr>
      <w:b/>
      <w:bCs/>
      <w:i/>
      <w:iCs/>
      <w:color w:val="4F81BD"/>
    </w:rPr>
  </w:style>
  <w:style w:type="paragraph" w:customStyle="1" w:styleId="MediumGrid3-Accent21">
    <w:name w:val="Medium Grid 3 - Accent 21"/>
    <w:basedOn w:val="Normal"/>
    <w:next w:val="Normal"/>
    <w:link w:val="MediumGrid3-Accent2Char"/>
    <w:uiPriority w:val="30"/>
    <w:qFormat/>
    <w:rsid w:val="003C32B7"/>
    <w:pPr>
      <w:pBdr>
        <w:left w:val="single" w:sz="18" w:space="4" w:color="10AAAA"/>
      </w:pBdr>
      <w:spacing w:before="200" w:after="280" w:line="240" w:lineRule="auto"/>
      <w:ind w:left="936" w:right="936"/>
    </w:pPr>
    <w:rPr>
      <w:rFonts w:ascii="Calibri" w:eastAsia="Batang" w:hAnsi="Calibri" w:cs="Garamond"/>
      <w:b/>
      <w:bCs/>
      <w:i/>
      <w:iCs/>
      <w:sz w:val="24"/>
      <w:szCs w:val="24"/>
    </w:rPr>
  </w:style>
  <w:style w:type="character" w:customStyle="1" w:styleId="MediumGrid3-Accent2Char">
    <w:name w:val="Medium Grid 3 - Accent 2 Char"/>
    <w:link w:val="MediumGrid3-Accent21"/>
    <w:uiPriority w:val="30"/>
    <w:rsid w:val="003C32B7"/>
    <w:rPr>
      <w:rFonts w:ascii="Calibri" w:eastAsia="Batang" w:hAnsi="Calibri" w:cs="Garamond"/>
      <w:b/>
      <w:bCs/>
      <w:i/>
      <w:iCs/>
      <w:sz w:val="24"/>
      <w:szCs w:val="24"/>
      <w:lang w:val="es-ES"/>
    </w:rPr>
  </w:style>
  <w:style w:type="paragraph" w:customStyle="1" w:styleId="Emphasisblock">
    <w:name w:val="Emphasis block"/>
    <w:basedOn w:val="Normal"/>
    <w:next w:val="Normal"/>
    <w:link w:val="EmphasisblockChar"/>
    <w:qFormat/>
    <w:rsid w:val="003C32B7"/>
    <w:pPr>
      <w:pBdr>
        <w:left w:val="single" w:sz="18" w:space="4" w:color="10AAAA"/>
      </w:pBdr>
      <w:spacing w:after="0" w:line="240" w:lineRule="auto"/>
    </w:pPr>
    <w:rPr>
      <w:rFonts w:ascii="Calibri" w:eastAsia="Batang" w:hAnsi="Calibri" w:cs="Garamond"/>
      <w:b/>
      <w:i/>
      <w:sz w:val="24"/>
      <w:szCs w:val="24"/>
    </w:rPr>
  </w:style>
  <w:style w:type="paragraph" w:customStyle="1" w:styleId="Greencell">
    <w:name w:val="Green cell"/>
    <w:basedOn w:val="Normal"/>
    <w:link w:val="GreencellChar"/>
    <w:rsid w:val="003C32B7"/>
    <w:pPr>
      <w:keepNext/>
      <w:spacing w:after="0" w:line="240" w:lineRule="auto"/>
    </w:pPr>
    <w:rPr>
      <w:rFonts w:ascii="Calibri" w:eastAsia="Batang" w:hAnsi="Calibri" w:cs="Arial"/>
      <w:noProof/>
    </w:rPr>
  </w:style>
  <w:style w:type="character" w:customStyle="1" w:styleId="MediumShading1-Accent1Char">
    <w:name w:val="Medium Shading 1 - Accent 1 Char"/>
    <w:link w:val="MediumShading1-Accent11"/>
    <w:uiPriority w:val="1"/>
    <w:rsid w:val="003C32B7"/>
    <w:rPr>
      <w:rFonts w:ascii="Garamond" w:eastAsia="Batang" w:hAnsi="Garamond" w:cs="Garamond"/>
      <w:sz w:val="24"/>
      <w:szCs w:val="24"/>
      <w:lang w:val="es-ES"/>
    </w:rPr>
  </w:style>
  <w:style w:type="character" w:customStyle="1" w:styleId="EmphasisblockChar">
    <w:name w:val="Emphasis block Char"/>
    <w:link w:val="Emphasisblock"/>
    <w:rsid w:val="003C32B7"/>
    <w:rPr>
      <w:rFonts w:ascii="Calibri" w:eastAsia="Batang" w:hAnsi="Calibri" w:cs="Garamond"/>
      <w:b/>
      <w:i/>
      <w:sz w:val="24"/>
      <w:szCs w:val="24"/>
      <w:lang w:val="es-ES"/>
    </w:rPr>
  </w:style>
  <w:style w:type="character" w:customStyle="1" w:styleId="GreencellChar">
    <w:name w:val="Green cell Char"/>
    <w:link w:val="Greencell"/>
    <w:rsid w:val="003C32B7"/>
    <w:rPr>
      <w:rFonts w:ascii="Calibri" w:eastAsia="Batang" w:hAnsi="Calibri" w:cs="Arial"/>
      <w:noProof/>
    </w:rPr>
  </w:style>
  <w:style w:type="paragraph" w:customStyle="1" w:styleId="AnswerLegend">
    <w:name w:val="Answer Legend"/>
    <w:basedOn w:val="Normal"/>
    <w:link w:val="AnswerLegendChar"/>
    <w:qFormat/>
    <w:rsid w:val="003C32B7"/>
    <w:pPr>
      <w:spacing w:after="0" w:line="240" w:lineRule="auto"/>
      <w:jc w:val="center"/>
    </w:pPr>
    <w:rPr>
      <w:rFonts w:ascii="Calibri" w:eastAsia="Batang" w:hAnsi="Calibri" w:cs="Garamond"/>
    </w:rPr>
  </w:style>
  <w:style w:type="paragraph" w:customStyle="1" w:styleId="ColorfulShading-Accent11">
    <w:name w:val="Colorful Shading - Accent 11"/>
    <w:hidden/>
    <w:uiPriority w:val="71"/>
    <w:rsid w:val="003C32B7"/>
    <w:pPr>
      <w:spacing w:after="0" w:line="240" w:lineRule="auto"/>
    </w:pPr>
    <w:rPr>
      <w:rFonts w:ascii="Garamond" w:eastAsia="Batang" w:hAnsi="Garamond" w:cs="Garamond"/>
      <w:sz w:val="24"/>
      <w:szCs w:val="24"/>
    </w:rPr>
  </w:style>
  <w:style w:type="character" w:customStyle="1" w:styleId="AnswerLegendChar">
    <w:name w:val="Answer Legend Char"/>
    <w:link w:val="AnswerLegend"/>
    <w:rsid w:val="003C32B7"/>
    <w:rPr>
      <w:rFonts w:ascii="Calibri" w:eastAsia="Batang" w:hAnsi="Calibri" w:cs="Garamond"/>
    </w:rPr>
  </w:style>
  <w:style w:type="paragraph" w:customStyle="1" w:styleId="NRFTitle1">
    <w:name w:val="NRF Title1"/>
    <w:next w:val="Normal"/>
    <w:uiPriority w:val="99"/>
    <w:rsid w:val="003C32B7"/>
    <w:pPr>
      <w:numPr>
        <w:numId w:val="5"/>
      </w:numPr>
      <w:tabs>
        <w:tab w:val="left" w:pos="567"/>
      </w:tabs>
      <w:spacing w:before="120" w:after="80" w:line="240" w:lineRule="auto"/>
      <w:ind w:left="357" w:hanging="357"/>
    </w:pPr>
    <w:rPr>
      <w:rFonts w:ascii="Garamond" w:eastAsia="Times New Roman" w:hAnsi="Garamond" w:cs="Times New Roman"/>
      <w:b/>
      <w:color w:val="000000"/>
      <w:sz w:val="28"/>
      <w:szCs w:val="28"/>
    </w:rPr>
  </w:style>
  <w:style w:type="paragraph" w:customStyle="1" w:styleId="NRFTitle2">
    <w:name w:val="NRF Title2"/>
    <w:basedOn w:val="Normal"/>
    <w:next w:val="Normal"/>
    <w:uiPriority w:val="99"/>
    <w:rsid w:val="003C32B7"/>
    <w:pPr>
      <w:numPr>
        <w:ilvl w:val="1"/>
        <w:numId w:val="5"/>
      </w:numPr>
      <w:tabs>
        <w:tab w:val="left" w:pos="567"/>
      </w:tabs>
      <w:spacing w:before="120" w:after="80" w:line="240" w:lineRule="auto"/>
    </w:pPr>
    <w:rPr>
      <w:rFonts w:ascii="Garamond" w:eastAsia="Times New Roman" w:hAnsi="Garamond" w:cs="Times New Roman"/>
      <w:b/>
      <w:snapToGrid w:val="0"/>
      <w:color w:val="000000"/>
      <w:sz w:val="24"/>
      <w:szCs w:val="24"/>
    </w:rPr>
  </w:style>
  <w:style w:type="paragraph" w:customStyle="1" w:styleId="NRFTitle3">
    <w:name w:val="NRF Title3"/>
    <w:basedOn w:val="Normal"/>
    <w:next w:val="Normal"/>
    <w:uiPriority w:val="99"/>
    <w:rsid w:val="003C32B7"/>
    <w:pPr>
      <w:numPr>
        <w:ilvl w:val="2"/>
        <w:numId w:val="5"/>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508">
      <w:bodyDiv w:val="1"/>
      <w:marLeft w:val="0"/>
      <w:marRight w:val="0"/>
      <w:marTop w:val="0"/>
      <w:marBottom w:val="0"/>
      <w:divBdr>
        <w:top w:val="none" w:sz="0" w:space="0" w:color="auto"/>
        <w:left w:val="none" w:sz="0" w:space="0" w:color="auto"/>
        <w:bottom w:val="none" w:sz="0" w:space="0" w:color="auto"/>
        <w:right w:val="none" w:sz="0" w:space="0" w:color="auto"/>
      </w:divBdr>
    </w:div>
    <w:div w:id="124592286">
      <w:bodyDiv w:val="1"/>
      <w:marLeft w:val="0"/>
      <w:marRight w:val="0"/>
      <w:marTop w:val="0"/>
      <w:marBottom w:val="0"/>
      <w:divBdr>
        <w:top w:val="none" w:sz="0" w:space="0" w:color="auto"/>
        <w:left w:val="none" w:sz="0" w:space="0" w:color="auto"/>
        <w:bottom w:val="none" w:sz="0" w:space="0" w:color="auto"/>
        <w:right w:val="none" w:sz="0" w:space="0" w:color="auto"/>
      </w:divBdr>
    </w:div>
    <w:div w:id="373432518">
      <w:bodyDiv w:val="1"/>
      <w:marLeft w:val="0"/>
      <w:marRight w:val="0"/>
      <w:marTop w:val="0"/>
      <w:marBottom w:val="0"/>
      <w:divBdr>
        <w:top w:val="none" w:sz="0" w:space="0" w:color="auto"/>
        <w:left w:val="none" w:sz="0" w:space="0" w:color="auto"/>
        <w:bottom w:val="none" w:sz="0" w:space="0" w:color="auto"/>
        <w:right w:val="none" w:sz="0" w:space="0" w:color="auto"/>
      </w:divBdr>
    </w:div>
    <w:div w:id="409743148">
      <w:bodyDiv w:val="1"/>
      <w:marLeft w:val="0"/>
      <w:marRight w:val="0"/>
      <w:marTop w:val="0"/>
      <w:marBottom w:val="0"/>
      <w:divBdr>
        <w:top w:val="none" w:sz="0" w:space="0" w:color="auto"/>
        <w:left w:val="none" w:sz="0" w:space="0" w:color="auto"/>
        <w:bottom w:val="none" w:sz="0" w:space="0" w:color="auto"/>
        <w:right w:val="none" w:sz="0" w:space="0" w:color="auto"/>
      </w:divBdr>
    </w:div>
    <w:div w:id="527566479">
      <w:bodyDiv w:val="1"/>
      <w:marLeft w:val="0"/>
      <w:marRight w:val="0"/>
      <w:marTop w:val="0"/>
      <w:marBottom w:val="0"/>
      <w:divBdr>
        <w:top w:val="none" w:sz="0" w:space="0" w:color="auto"/>
        <w:left w:val="none" w:sz="0" w:space="0" w:color="auto"/>
        <w:bottom w:val="none" w:sz="0" w:space="0" w:color="auto"/>
        <w:right w:val="none" w:sz="0" w:space="0" w:color="auto"/>
      </w:divBdr>
    </w:div>
    <w:div w:id="565411543">
      <w:bodyDiv w:val="1"/>
      <w:marLeft w:val="0"/>
      <w:marRight w:val="0"/>
      <w:marTop w:val="0"/>
      <w:marBottom w:val="0"/>
      <w:divBdr>
        <w:top w:val="none" w:sz="0" w:space="0" w:color="auto"/>
        <w:left w:val="none" w:sz="0" w:space="0" w:color="auto"/>
        <w:bottom w:val="none" w:sz="0" w:space="0" w:color="auto"/>
        <w:right w:val="none" w:sz="0" w:space="0" w:color="auto"/>
      </w:divBdr>
    </w:div>
    <w:div w:id="623459889">
      <w:bodyDiv w:val="1"/>
      <w:marLeft w:val="0"/>
      <w:marRight w:val="0"/>
      <w:marTop w:val="0"/>
      <w:marBottom w:val="0"/>
      <w:divBdr>
        <w:top w:val="none" w:sz="0" w:space="0" w:color="auto"/>
        <w:left w:val="none" w:sz="0" w:space="0" w:color="auto"/>
        <w:bottom w:val="none" w:sz="0" w:space="0" w:color="auto"/>
        <w:right w:val="none" w:sz="0" w:space="0" w:color="auto"/>
      </w:divBdr>
    </w:div>
    <w:div w:id="650064342">
      <w:bodyDiv w:val="1"/>
      <w:marLeft w:val="0"/>
      <w:marRight w:val="0"/>
      <w:marTop w:val="0"/>
      <w:marBottom w:val="0"/>
      <w:divBdr>
        <w:top w:val="none" w:sz="0" w:space="0" w:color="auto"/>
        <w:left w:val="none" w:sz="0" w:space="0" w:color="auto"/>
        <w:bottom w:val="none" w:sz="0" w:space="0" w:color="auto"/>
        <w:right w:val="none" w:sz="0" w:space="0" w:color="auto"/>
      </w:divBdr>
    </w:div>
    <w:div w:id="755785679">
      <w:bodyDiv w:val="1"/>
      <w:marLeft w:val="0"/>
      <w:marRight w:val="0"/>
      <w:marTop w:val="0"/>
      <w:marBottom w:val="0"/>
      <w:divBdr>
        <w:top w:val="none" w:sz="0" w:space="0" w:color="auto"/>
        <w:left w:val="none" w:sz="0" w:space="0" w:color="auto"/>
        <w:bottom w:val="none" w:sz="0" w:space="0" w:color="auto"/>
        <w:right w:val="none" w:sz="0" w:space="0" w:color="auto"/>
      </w:divBdr>
    </w:div>
    <w:div w:id="812068080">
      <w:bodyDiv w:val="1"/>
      <w:marLeft w:val="0"/>
      <w:marRight w:val="0"/>
      <w:marTop w:val="0"/>
      <w:marBottom w:val="0"/>
      <w:divBdr>
        <w:top w:val="none" w:sz="0" w:space="0" w:color="auto"/>
        <w:left w:val="none" w:sz="0" w:space="0" w:color="auto"/>
        <w:bottom w:val="none" w:sz="0" w:space="0" w:color="auto"/>
        <w:right w:val="none" w:sz="0" w:space="0" w:color="auto"/>
      </w:divBdr>
    </w:div>
    <w:div w:id="949699146">
      <w:bodyDiv w:val="1"/>
      <w:marLeft w:val="0"/>
      <w:marRight w:val="0"/>
      <w:marTop w:val="0"/>
      <w:marBottom w:val="0"/>
      <w:divBdr>
        <w:top w:val="none" w:sz="0" w:space="0" w:color="auto"/>
        <w:left w:val="none" w:sz="0" w:space="0" w:color="auto"/>
        <w:bottom w:val="none" w:sz="0" w:space="0" w:color="auto"/>
        <w:right w:val="none" w:sz="0" w:space="0" w:color="auto"/>
      </w:divBdr>
    </w:div>
    <w:div w:id="972061287">
      <w:bodyDiv w:val="1"/>
      <w:marLeft w:val="0"/>
      <w:marRight w:val="0"/>
      <w:marTop w:val="0"/>
      <w:marBottom w:val="0"/>
      <w:divBdr>
        <w:top w:val="none" w:sz="0" w:space="0" w:color="auto"/>
        <w:left w:val="none" w:sz="0" w:space="0" w:color="auto"/>
        <w:bottom w:val="none" w:sz="0" w:space="0" w:color="auto"/>
        <w:right w:val="none" w:sz="0" w:space="0" w:color="auto"/>
      </w:divBdr>
    </w:div>
    <w:div w:id="1012954191">
      <w:bodyDiv w:val="1"/>
      <w:marLeft w:val="0"/>
      <w:marRight w:val="0"/>
      <w:marTop w:val="0"/>
      <w:marBottom w:val="0"/>
      <w:divBdr>
        <w:top w:val="none" w:sz="0" w:space="0" w:color="auto"/>
        <w:left w:val="none" w:sz="0" w:space="0" w:color="auto"/>
        <w:bottom w:val="none" w:sz="0" w:space="0" w:color="auto"/>
        <w:right w:val="none" w:sz="0" w:space="0" w:color="auto"/>
      </w:divBdr>
    </w:div>
    <w:div w:id="1263536976">
      <w:bodyDiv w:val="1"/>
      <w:marLeft w:val="0"/>
      <w:marRight w:val="0"/>
      <w:marTop w:val="0"/>
      <w:marBottom w:val="0"/>
      <w:divBdr>
        <w:top w:val="none" w:sz="0" w:space="0" w:color="auto"/>
        <w:left w:val="none" w:sz="0" w:space="0" w:color="auto"/>
        <w:bottom w:val="none" w:sz="0" w:space="0" w:color="auto"/>
        <w:right w:val="none" w:sz="0" w:space="0" w:color="auto"/>
      </w:divBdr>
    </w:div>
    <w:div w:id="1290479585">
      <w:bodyDiv w:val="1"/>
      <w:marLeft w:val="0"/>
      <w:marRight w:val="0"/>
      <w:marTop w:val="0"/>
      <w:marBottom w:val="0"/>
      <w:divBdr>
        <w:top w:val="none" w:sz="0" w:space="0" w:color="auto"/>
        <w:left w:val="none" w:sz="0" w:space="0" w:color="auto"/>
        <w:bottom w:val="none" w:sz="0" w:space="0" w:color="auto"/>
        <w:right w:val="none" w:sz="0" w:space="0" w:color="auto"/>
      </w:divBdr>
    </w:div>
    <w:div w:id="1390572499">
      <w:bodyDiv w:val="1"/>
      <w:marLeft w:val="0"/>
      <w:marRight w:val="0"/>
      <w:marTop w:val="0"/>
      <w:marBottom w:val="0"/>
      <w:divBdr>
        <w:top w:val="none" w:sz="0" w:space="0" w:color="auto"/>
        <w:left w:val="none" w:sz="0" w:space="0" w:color="auto"/>
        <w:bottom w:val="none" w:sz="0" w:space="0" w:color="auto"/>
        <w:right w:val="none" w:sz="0" w:space="0" w:color="auto"/>
      </w:divBdr>
    </w:div>
    <w:div w:id="1626306868">
      <w:bodyDiv w:val="1"/>
      <w:marLeft w:val="0"/>
      <w:marRight w:val="0"/>
      <w:marTop w:val="0"/>
      <w:marBottom w:val="0"/>
      <w:divBdr>
        <w:top w:val="none" w:sz="0" w:space="0" w:color="auto"/>
        <w:left w:val="none" w:sz="0" w:space="0" w:color="auto"/>
        <w:bottom w:val="none" w:sz="0" w:space="0" w:color="auto"/>
        <w:right w:val="none" w:sz="0" w:space="0" w:color="auto"/>
      </w:divBdr>
    </w:div>
    <w:div w:id="1787460219">
      <w:bodyDiv w:val="1"/>
      <w:marLeft w:val="0"/>
      <w:marRight w:val="0"/>
      <w:marTop w:val="0"/>
      <w:marBottom w:val="0"/>
      <w:divBdr>
        <w:top w:val="none" w:sz="0" w:space="0" w:color="auto"/>
        <w:left w:val="none" w:sz="0" w:space="0" w:color="auto"/>
        <w:bottom w:val="none" w:sz="0" w:space="0" w:color="auto"/>
        <w:right w:val="none" w:sz="0" w:space="0" w:color="auto"/>
      </w:divBdr>
    </w:div>
    <w:div w:id="1876230428">
      <w:bodyDiv w:val="1"/>
      <w:marLeft w:val="0"/>
      <w:marRight w:val="0"/>
      <w:marTop w:val="0"/>
      <w:marBottom w:val="0"/>
      <w:divBdr>
        <w:top w:val="none" w:sz="0" w:space="0" w:color="auto"/>
        <w:left w:val="none" w:sz="0" w:space="0" w:color="auto"/>
        <w:bottom w:val="none" w:sz="0" w:space="0" w:color="auto"/>
        <w:right w:val="none" w:sz="0" w:space="0" w:color="auto"/>
      </w:divBdr>
    </w:div>
    <w:div w:id="1883520721">
      <w:bodyDiv w:val="1"/>
      <w:marLeft w:val="0"/>
      <w:marRight w:val="0"/>
      <w:marTop w:val="0"/>
      <w:marBottom w:val="0"/>
      <w:divBdr>
        <w:top w:val="none" w:sz="0" w:space="0" w:color="auto"/>
        <w:left w:val="none" w:sz="0" w:space="0" w:color="auto"/>
        <w:bottom w:val="none" w:sz="0" w:space="0" w:color="auto"/>
        <w:right w:val="none" w:sz="0" w:space="0" w:color="auto"/>
      </w:divBdr>
    </w:div>
    <w:div w:id="1915428991">
      <w:bodyDiv w:val="1"/>
      <w:marLeft w:val="0"/>
      <w:marRight w:val="0"/>
      <w:marTop w:val="0"/>
      <w:marBottom w:val="0"/>
      <w:divBdr>
        <w:top w:val="none" w:sz="0" w:space="0" w:color="auto"/>
        <w:left w:val="none" w:sz="0" w:space="0" w:color="auto"/>
        <w:bottom w:val="none" w:sz="0" w:space="0" w:color="auto"/>
        <w:right w:val="none" w:sz="0" w:space="0" w:color="auto"/>
      </w:divBdr>
    </w:div>
    <w:div w:id="1993560988">
      <w:bodyDiv w:val="1"/>
      <w:marLeft w:val="0"/>
      <w:marRight w:val="0"/>
      <w:marTop w:val="0"/>
      <w:marBottom w:val="0"/>
      <w:divBdr>
        <w:top w:val="none" w:sz="0" w:space="0" w:color="auto"/>
        <w:left w:val="none" w:sz="0" w:space="0" w:color="auto"/>
        <w:bottom w:val="none" w:sz="0" w:space="0" w:color="auto"/>
        <w:right w:val="none" w:sz="0" w:space="0" w:color="auto"/>
      </w:divBdr>
    </w:div>
    <w:div w:id="2011909406">
      <w:bodyDiv w:val="1"/>
      <w:marLeft w:val="0"/>
      <w:marRight w:val="0"/>
      <w:marTop w:val="0"/>
      <w:marBottom w:val="0"/>
      <w:divBdr>
        <w:top w:val="none" w:sz="0" w:space="0" w:color="auto"/>
        <w:left w:val="none" w:sz="0" w:space="0" w:color="auto"/>
        <w:bottom w:val="none" w:sz="0" w:space="0" w:color="auto"/>
        <w:right w:val="none" w:sz="0" w:space="0" w:color="auto"/>
      </w:divBdr>
    </w:div>
    <w:div w:id="2020084949">
      <w:bodyDiv w:val="1"/>
      <w:marLeft w:val="0"/>
      <w:marRight w:val="0"/>
      <w:marTop w:val="0"/>
      <w:marBottom w:val="0"/>
      <w:divBdr>
        <w:top w:val="none" w:sz="0" w:space="0" w:color="auto"/>
        <w:left w:val="none" w:sz="0" w:space="0" w:color="auto"/>
        <w:bottom w:val="none" w:sz="0" w:space="0" w:color="auto"/>
        <w:right w:val="none" w:sz="0" w:space="0" w:color="auto"/>
      </w:divBdr>
    </w:div>
    <w:div w:id="20448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document/list-standing-committee-decisions-which-have-been-implemented-are-no-longer-effec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Props1.xml><?xml version="1.0" encoding="utf-8"?>
<ds:datastoreItem xmlns:ds="http://schemas.openxmlformats.org/officeDocument/2006/customXml" ds:itemID="{7FA0C747-9030-4539-8D8B-A3DCB2201297}">
  <ds:schemaRefs>
    <ds:schemaRef ds:uri="http://schemas.openxmlformats.org/officeDocument/2006/bibliography"/>
  </ds:schemaRefs>
</ds:datastoreItem>
</file>

<file path=customXml/itemProps2.xml><?xml version="1.0" encoding="utf-8"?>
<ds:datastoreItem xmlns:ds="http://schemas.openxmlformats.org/officeDocument/2006/customXml" ds:itemID="{61A5250C-9B27-4ABB-ADC8-5417FD867022}">
  <ds:schemaRefs>
    <ds:schemaRef ds:uri="http://schemas.microsoft.com/sharepoint/v3/contenttype/forms"/>
  </ds:schemaRefs>
</ds:datastoreItem>
</file>

<file path=customXml/itemProps3.xml><?xml version="1.0" encoding="utf-8"?>
<ds:datastoreItem xmlns:ds="http://schemas.openxmlformats.org/officeDocument/2006/customXml" ds:itemID="{45B8FC6A-9ACD-4395-A38B-A5BD9F35C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6B1341-9A43-4D56-A22D-27730D8BDC44}">
  <ds:schemaRefs>
    <ds:schemaRef ds:uri="http://purl.org/dc/elements/1.1/"/>
    <ds:schemaRef ds:uri="http://www.w3.org/XML/1998/namespac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schemas.microsoft.com/office/2006/documentManagement/types"/>
    <ds:schemaRef ds:uri="aedd258d-19a7-41ba-8260-b0918f25313d"/>
    <ds:schemaRef ds:uri="8c0b6b05-eb82-4bda-97e8-cd82d0d6b45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2887</Words>
  <Characters>16459</Characters>
  <Application>Microsoft Office Word</Application>
  <DocSecurity>0</DocSecurity>
  <Lines>137</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19308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2</cp:revision>
  <cp:lastPrinted>2024-06-25T12:44:00Z</cp:lastPrinted>
  <dcterms:created xsi:type="dcterms:W3CDTF">2024-10-10T13:50:00Z</dcterms:created>
  <dcterms:modified xsi:type="dcterms:W3CDTF">2024-10-10T13:50:00Z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