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334C" w14:textId="6FFF567E" w:rsidR="00AA3C94" w:rsidRDefault="006D4330" w:rsidP="006D433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  <w:lang w:val="fr-FR"/>
        </w:rPr>
      </w:pPr>
      <w:r w:rsidRPr="006D4330">
        <w:rPr>
          <w:bCs/>
          <w:lang w:val="fr-FR"/>
        </w:rPr>
        <w:t>CONVENTION SUR LES ZONES HUMIDES</w:t>
      </w:r>
    </w:p>
    <w:p w14:paraId="444EF5F4" w14:textId="0E0277BC" w:rsidR="006D4330" w:rsidRPr="006D4330" w:rsidRDefault="006D4330" w:rsidP="006D433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  <w:lang w:val="fr-FR"/>
        </w:rPr>
      </w:pPr>
      <w:r w:rsidRPr="006D4330">
        <w:rPr>
          <w:bCs/>
          <w:lang w:val="fr-FR"/>
        </w:rPr>
        <w:t>64</w:t>
      </w:r>
      <w:r w:rsidR="00EC7AF2" w:rsidRPr="00EC7AF2">
        <w:rPr>
          <w:bCs/>
          <w:vertAlign w:val="superscript"/>
          <w:lang w:val="fr-FR"/>
        </w:rPr>
        <w:t>e</w:t>
      </w:r>
      <w:r w:rsidRPr="006D4330">
        <w:rPr>
          <w:bCs/>
          <w:lang w:val="fr-FR"/>
        </w:rPr>
        <w:t xml:space="preserve"> réunion du Comité permanent</w:t>
      </w:r>
    </w:p>
    <w:p w14:paraId="4BD81A92" w14:textId="243E7CF1" w:rsidR="006D4330" w:rsidRPr="006D4330" w:rsidRDefault="006D4330" w:rsidP="006D433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4490"/>
        <w:rPr>
          <w:bCs/>
          <w:lang w:val="fr-FR"/>
        </w:rPr>
      </w:pPr>
      <w:r w:rsidRPr="006D4330">
        <w:rPr>
          <w:bCs/>
          <w:lang w:val="fr-FR"/>
        </w:rPr>
        <w:t>Gland, Suisse, 20 au 24 janvier 2025</w:t>
      </w:r>
    </w:p>
    <w:p w14:paraId="4A4FE547" w14:textId="77777777" w:rsidR="00D044E5" w:rsidRDefault="00D044E5" w:rsidP="00AA3C94">
      <w:pPr>
        <w:tabs>
          <w:tab w:val="left" w:pos="10650"/>
          <w:tab w:val="right" w:pos="13958"/>
        </w:tabs>
        <w:jc w:val="right"/>
        <w:rPr>
          <w:rFonts w:cs="Arial"/>
          <w:b/>
          <w:sz w:val="28"/>
          <w:szCs w:val="28"/>
          <w:lang w:val="fr-FR"/>
        </w:rPr>
      </w:pPr>
    </w:p>
    <w:p w14:paraId="25029CBD" w14:textId="619C7561" w:rsidR="000944EB" w:rsidRPr="00CB55E1" w:rsidRDefault="00AA3C94" w:rsidP="00AA3C94">
      <w:pPr>
        <w:tabs>
          <w:tab w:val="left" w:pos="10650"/>
          <w:tab w:val="right" w:pos="13958"/>
        </w:tabs>
        <w:jc w:val="right"/>
        <w:rPr>
          <w:rFonts w:asciiTheme="minorHAnsi" w:hAnsiTheme="minorHAnsi" w:cstheme="minorHAnsi"/>
          <w:sz w:val="28"/>
          <w:szCs w:val="28"/>
          <w:lang w:val="fr-FR"/>
        </w:rPr>
      </w:pPr>
      <w:r w:rsidRPr="00CB55E1">
        <w:rPr>
          <w:rFonts w:cs="Arial"/>
          <w:b/>
          <w:sz w:val="28"/>
          <w:szCs w:val="28"/>
          <w:lang w:val="fr-FR"/>
        </w:rPr>
        <w:t>SC6</w:t>
      </w:r>
      <w:r w:rsidR="001C3035" w:rsidRPr="00CB55E1">
        <w:rPr>
          <w:rFonts w:cs="Arial"/>
          <w:b/>
          <w:sz w:val="28"/>
          <w:szCs w:val="28"/>
          <w:lang w:val="fr-FR"/>
        </w:rPr>
        <w:t>4</w:t>
      </w:r>
      <w:r w:rsidRPr="00CB55E1">
        <w:rPr>
          <w:rFonts w:cs="Arial"/>
          <w:b/>
          <w:sz w:val="28"/>
          <w:szCs w:val="28"/>
          <w:lang w:val="fr-FR"/>
        </w:rPr>
        <w:t xml:space="preserve"> Doc.</w:t>
      </w:r>
      <w:r w:rsidR="00843405" w:rsidRPr="00CB55E1">
        <w:rPr>
          <w:rFonts w:asciiTheme="minorHAnsi" w:hAnsiTheme="minorHAnsi" w:cstheme="minorHAnsi"/>
          <w:b/>
          <w:sz w:val="28"/>
          <w:szCs w:val="28"/>
          <w:lang w:val="fr-FR"/>
        </w:rPr>
        <w:t>10</w:t>
      </w:r>
    </w:p>
    <w:p w14:paraId="7043C5FD" w14:textId="77777777" w:rsidR="000944EB" w:rsidRPr="00CB55E1" w:rsidRDefault="000944EB" w:rsidP="000944EB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730F781D" w14:textId="29F5FF23" w:rsidR="00191207" w:rsidRPr="00E75AEF" w:rsidRDefault="00E75AEF" w:rsidP="00E75AEF">
      <w:pPr>
        <w:spacing w:before="40" w:after="4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fr-FR"/>
        </w:rPr>
        <w:t>P</w:t>
      </w:r>
      <w:r w:rsidRPr="00E75AEF">
        <w:rPr>
          <w:rFonts w:asciiTheme="minorHAnsi" w:hAnsiTheme="minorHAnsi" w:cstheme="minorHAnsi"/>
          <w:b/>
          <w:sz w:val="28"/>
          <w:szCs w:val="28"/>
          <w:lang w:val="fr-FR"/>
        </w:rPr>
        <w:t xml:space="preserve">roblèmes urgents 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relatifs à</w:t>
      </w:r>
      <w:r w:rsidRPr="00E75AEF">
        <w:rPr>
          <w:rFonts w:asciiTheme="minorHAnsi" w:hAnsiTheme="minorHAnsi" w:cstheme="minorHAnsi"/>
          <w:b/>
          <w:sz w:val="28"/>
          <w:szCs w:val="28"/>
          <w:lang w:val="fr-FR"/>
        </w:rPr>
        <w:t xml:space="preserve"> l</w:t>
      </w:r>
      <w:r w:rsidR="006F113B">
        <w:rPr>
          <w:rFonts w:asciiTheme="minorHAnsi" w:hAnsiTheme="minorHAnsi" w:cstheme="minorHAnsi"/>
          <w:b/>
          <w:sz w:val="28"/>
          <w:szCs w:val="28"/>
          <w:lang w:val="fr-FR"/>
        </w:rPr>
        <w:t>’</w:t>
      </w:r>
      <w:r w:rsidRPr="00E75AEF">
        <w:rPr>
          <w:rFonts w:asciiTheme="minorHAnsi" w:hAnsiTheme="minorHAnsi" w:cstheme="minorHAnsi"/>
          <w:b/>
          <w:sz w:val="28"/>
          <w:szCs w:val="28"/>
          <w:lang w:val="fr-FR"/>
        </w:rPr>
        <w:t>utilisation rationnelle des zones humides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 xml:space="preserve"> nécessitant</w:t>
      </w:r>
      <w:r w:rsidRPr="00E75AEF">
        <w:rPr>
          <w:rFonts w:asciiTheme="minorHAnsi" w:hAnsiTheme="minorHAnsi" w:cstheme="minorHAnsi"/>
          <w:b/>
          <w:sz w:val="28"/>
          <w:szCs w:val="28"/>
          <w:lang w:val="fr-FR"/>
        </w:rPr>
        <w:t xml:space="preserve"> une attention accrue : 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état des lieux</w:t>
      </w:r>
      <w:r w:rsidRPr="00E75AEF">
        <w:rPr>
          <w:rFonts w:asciiTheme="minorHAnsi" w:hAnsiTheme="minorHAnsi" w:cstheme="minorHAnsi"/>
          <w:b/>
          <w:sz w:val="28"/>
          <w:szCs w:val="28"/>
          <w:lang w:val="fr-FR"/>
        </w:rPr>
        <w:t xml:space="preserve"> concernant les inventaires des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  <w:r w:rsidRPr="00E75AEF">
        <w:rPr>
          <w:rFonts w:asciiTheme="minorHAnsi" w:hAnsiTheme="minorHAnsi" w:cstheme="minorHAnsi"/>
          <w:b/>
          <w:sz w:val="28"/>
          <w:szCs w:val="28"/>
          <w:lang w:val="fr-FR"/>
        </w:rPr>
        <w:t>zones humide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 xml:space="preserve">s </w:t>
      </w:r>
    </w:p>
    <w:p w14:paraId="337FDE75" w14:textId="77777777" w:rsidR="000944EB" w:rsidRPr="00CB55E1" w:rsidRDefault="000944EB" w:rsidP="000944EB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6CED0CD1" w14:textId="77777777" w:rsidR="000C2489" w:rsidRPr="00CB55E1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val="fr-FR"/>
        </w:rPr>
      </w:pPr>
      <w:r w:rsidRPr="00CB55E1">
        <w:rPr>
          <w:noProof/>
          <w:lang w:val="fr-FR" w:eastAsia="en-GB"/>
        </w:rPr>
        <mc:AlternateContent>
          <mc:Choice Requires="wps">
            <w:drawing>
              <wp:inline distT="0" distB="0" distL="0" distR="0" wp14:anchorId="39972923" wp14:editId="7641BD94">
                <wp:extent cx="5731510" cy="2164080"/>
                <wp:effectExtent l="0" t="0" r="21590" b="266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C3E2" w14:textId="39F55166" w:rsidR="000C2489" w:rsidRPr="00CB55E1" w:rsidRDefault="00E75AEF" w:rsidP="000C2489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Mesures requises </w:t>
                            </w:r>
                            <w:r w:rsidR="000C2489" w:rsidRPr="00CB55E1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61DF9A07" w14:textId="77777777" w:rsidR="000C2489" w:rsidRPr="00CB55E1" w:rsidRDefault="000C2489" w:rsidP="000C2489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5A24F215" w14:textId="12D95673" w:rsidR="00FE7B4F" w:rsidRPr="00CB55E1" w:rsidRDefault="00E75AEF" w:rsidP="00FE7B4F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Le Comité permanent est invité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à </w:t>
                            </w:r>
                            <w:r w:rsidR="00FE7B4F" w:rsidRPr="00CB55E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</w:p>
                          <w:p w14:paraId="5667ECEA" w14:textId="77777777" w:rsidR="00FE7B4F" w:rsidRPr="00CB55E1" w:rsidRDefault="00FE7B4F" w:rsidP="00FE7B4F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  <w:p w14:paraId="309B4A21" w14:textId="6E1AF0C5" w:rsidR="00E75AEF" w:rsidRDefault="00FE7B4F" w:rsidP="00FE7B4F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CB55E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i.</w:t>
                            </w:r>
                            <w:r w:rsidRPr="00CB55E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prendre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note </w:t>
                            </w:r>
                            <w:r w:rsidR="00B93BDE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d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es progrès réalisés par le Secrétariat dans la mise en place d</w:t>
                            </w:r>
                            <w:r w:rsidR="006F113B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’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un mécanisme </w:t>
                            </w:r>
                            <w:r w:rsid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visant à aider les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Parties contractantes </w:t>
                            </w:r>
                            <w:r w:rsid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à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ach</w:t>
                            </w:r>
                            <w:r w:rsidR="00A70A70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ever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leurs</w:t>
                            </w:r>
                            <w:r w:rsidR="00E75AEF" w:rsidRPr="00E75AEF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inventaires nationaux des zones humides ; et</w:t>
                            </w:r>
                          </w:p>
                          <w:p w14:paraId="3DF77B10" w14:textId="77777777" w:rsidR="00FE7B4F" w:rsidRPr="00CB55E1" w:rsidRDefault="00FE7B4F" w:rsidP="00FE7B4F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  <w:p w14:paraId="00ECC1D2" w14:textId="48D323FF" w:rsidR="005D674D" w:rsidRPr="00CB55E1" w:rsidRDefault="00FE7B4F" w:rsidP="005D674D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CB55E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ii.</w:t>
                            </w:r>
                            <w:r w:rsidRPr="00CB55E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demander au Secrétariat 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de poursuivre le renforcement du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mécanisme 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d</w:t>
                            </w:r>
                            <w:r w:rsidR="006F113B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’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appui à la réalisation des 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inventaires nationaux des zones humides, </w:t>
                            </w:r>
                            <w:r w:rsidR="00A70A70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notamment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grâce à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la mobilisation de ressources et 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la création 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de partenariats, afin d</w:t>
                            </w:r>
                            <w:r w:rsidR="006F113B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’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offrir 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une </w:t>
                            </w:r>
                            <w:r w:rsidR="005D674D" w:rsidRP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formation et </w:t>
                            </w:r>
                            <w:r w:rsidR="005D674D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une assistance technique accrues.</w:t>
                            </w:r>
                          </w:p>
                          <w:p w14:paraId="5A38F458" w14:textId="382B8AB9" w:rsidR="00FE7B4F" w:rsidRPr="00CB55E1" w:rsidRDefault="00FE7B4F" w:rsidP="00171DCB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729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">
                <v:textbox>
                  <w:txbxContent>
                    <w:p w14:paraId="47D8C3E2" w14:textId="39F55166" w:rsidR="000C2489" w:rsidRPr="00CB55E1" w:rsidRDefault="00E75AEF" w:rsidP="000C2489">
                      <w:pPr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Mesures requises </w:t>
                      </w:r>
                      <w:r w:rsidR="000C2489" w:rsidRPr="00CB55E1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61DF9A07" w14:textId="77777777" w:rsidR="000C2489" w:rsidRPr="00CB55E1" w:rsidRDefault="000C2489" w:rsidP="000C2489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5A24F215" w14:textId="12D95673" w:rsidR="00FE7B4F" w:rsidRPr="00CB55E1" w:rsidRDefault="00E75AEF" w:rsidP="00FE7B4F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Le Comité permanent est invité </w:t>
                      </w:r>
                      <w:r>
                        <w:rPr>
                          <w:rFonts w:asciiTheme="minorHAnsi" w:hAnsiTheme="minorHAnsi" w:cstheme="minorHAnsi"/>
                          <w:lang w:val="fr-FR"/>
                        </w:rPr>
                        <w:t>à </w:t>
                      </w:r>
                      <w:r w:rsidR="00FE7B4F" w:rsidRPr="00CB55E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</w:p>
                    <w:p w14:paraId="5667ECEA" w14:textId="77777777" w:rsidR="00FE7B4F" w:rsidRPr="00CB55E1" w:rsidRDefault="00FE7B4F" w:rsidP="00FE7B4F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  <w:p w14:paraId="309B4A21" w14:textId="6E1AF0C5" w:rsidR="00E75AEF" w:rsidRDefault="00FE7B4F" w:rsidP="00FE7B4F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CB55E1">
                        <w:rPr>
                          <w:rFonts w:asciiTheme="minorHAnsi" w:hAnsiTheme="minorHAnsi" w:cstheme="minorHAnsi"/>
                          <w:lang w:val="fr-FR"/>
                        </w:rPr>
                        <w:t>i.</w:t>
                      </w:r>
                      <w:r w:rsidRPr="00CB55E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75AEF">
                        <w:rPr>
                          <w:rFonts w:asciiTheme="minorHAnsi" w:hAnsiTheme="minorHAnsi" w:cstheme="minorHAnsi"/>
                          <w:lang w:val="fr-FR"/>
                        </w:rPr>
                        <w:t>prendre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note </w:t>
                      </w:r>
                      <w:r w:rsidR="00B93BDE">
                        <w:rPr>
                          <w:rFonts w:asciiTheme="minorHAnsi" w:hAnsiTheme="minorHAnsi" w:cstheme="minorHAnsi"/>
                          <w:lang w:val="fr-FR"/>
                        </w:rPr>
                        <w:t>d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>es progrès réalisés par le Secrétariat dans la mise en place d</w:t>
                      </w:r>
                      <w:r w:rsidR="006F113B">
                        <w:rPr>
                          <w:rFonts w:asciiTheme="minorHAnsi" w:hAnsiTheme="minorHAnsi" w:cstheme="minorHAnsi"/>
                          <w:lang w:val="fr-FR"/>
                        </w:rPr>
                        <w:t>’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un mécanisme </w:t>
                      </w:r>
                      <w:r w:rsidR="00E75AEF">
                        <w:rPr>
                          <w:rFonts w:asciiTheme="minorHAnsi" w:hAnsiTheme="minorHAnsi" w:cstheme="minorHAnsi"/>
                          <w:lang w:val="fr-FR"/>
                        </w:rPr>
                        <w:t>visant à aider les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Parties contractantes </w:t>
                      </w:r>
                      <w:r w:rsidR="00E75AEF">
                        <w:rPr>
                          <w:rFonts w:asciiTheme="minorHAnsi" w:hAnsiTheme="minorHAnsi" w:cstheme="minorHAnsi"/>
                          <w:lang w:val="fr-FR"/>
                        </w:rPr>
                        <w:t>à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ach</w:t>
                      </w:r>
                      <w:r w:rsidR="00A70A70">
                        <w:rPr>
                          <w:rFonts w:asciiTheme="minorHAnsi" w:hAnsiTheme="minorHAnsi" w:cstheme="minorHAnsi"/>
                          <w:lang w:val="fr-FR"/>
                        </w:rPr>
                        <w:t>ever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E75AEF">
                        <w:rPr>
                          <w:rFonts w:asciiTheme="minorHAnsi" w:hAnsiTheme="minorHAnsi" w:cstheme="minorHAnsi"/>
                          <w:lang w:val="fr-FR"/>
                        </w:rPr>
                        <w:t>leurs</w:t>
                      </w:r>
                      <w:r w:rsidR="00E75AEF" w:rsidRPr="00E75AEF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inventaires nationaux des zones humides ; et</w:t>
                      </w:r>
                    </w:p>
                    <w:p w14:paraId="3DF77B10" w14:textId="77777777" w:rsidR="00FE7B4F" w:rsidRPr="00CB55E1" w:rsidRDefault="00FE7B4F" w:rsidP="00FE7B4F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  <w:p w14:paraId="00ECC1D2" w14:textId="48D323FF" w:rsidR="005D674D" w:rsidRPr="00CB55E1" w:rsidRDefault="00FE7B4F" w:rsidP="005D674D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CB55E1">
                        <w:rPr>
                          <w:rFonts w:asciiTheme="minorHAnsi" w:hAnsiTheme="minorHAnsi" w:cstheme="minorHAnsi"/>
                          <w:lang w:val="fr-FR"/>
                        </w:rPr>
                        <w:t>ii.</w:t>
                      </w:r>
                      <w:r w:rsidRPr="00CB55E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demander au Secrétariat 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>de poursuivre le renforcement du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mécanisme 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>d</w:t>
                      </w:r>
                      <w:r w:rsidR="006F113B">
                        <w:rPr>
                          <w:rFonts w:asciiTheme="minorHAnsi" w:hAnsiTheme="minorHAnsi" w:cstheme="minorHAnsi"/>
                          <w:lang w:val="fr-FR"/>
                        </w:rPr>
                        <w:t>’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appui à la réalisation des 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inventaires nationaux des zones humides, </w:t>
                      </w:r>
                      <w:r w:rsidR="00A70A70">
                        <w:rPr>
                          <w:rFonts w:asciiTheme="minorHAnsi" w:hAnsiTheme="minorHAnsi" w:cstheme="minorHAnsi"/>
                          <w:lang w:val="fr-FR"/>
                        </w:rPr>
                        <w:t>notamment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>grâce à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la mobilisation de ressources et 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la création 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>de partenariats, afin d</w:t>
                      </w:r>
                      <w:r w:rsidR="006F113B">
                        <w:rPr>
                          <w:rFonts w:asciiTheme="minorHAnsi" w:hAnsiTheme="minorHAnsi" w:cstheme="minorHAnsi"/>
                          <w:lang w:val="fr-FR"/>
                        </w:rPr>
                        <w:t>’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offrir 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une </w:t>
                      </w:r>
                      <w:r w:rsidR="005D674D" w:rsidRPr="005D674D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formation et </w:t>
                      </w:r>
                      <w:r w:rsidR="005D674D">
                        <w:rPr>
                          <w:rFonts w:asciiTheme="minorHAnsi" w:hAnsiTheme="minorHAnsi" w:cstheme="minorHAnsi"/>
                          <w:lang w:val="fr-FR"/>
                        </w:rPr>
                        <w:t>une assistance technique accrues.</w:t>
                      </w:r>
                    </w:p>
                    <w:p w14:paraId="5A38F458" w14:textId="382B8AB9" w:rsidR="00FE7B4F" w:rsidRPr="00CB55E1" w:rsidRDefault="00FE7B4F" w:rsidP="00171DCB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118FB5" w14:textId="77777777" w:rsidR="009E0AE8" w:rsidRPr="00CB55E1" w:rsidRDefault="009E0AE8" w:rsidP="00014168">
      <w:pPr>
        <w:rPr>
          <w:rFonts w:cs="Arial"/>
          <w:b/>
          <w:lang w:val="fr-FR"/>
        </w:rPr>
      </w:pPr>
    </w:p>
    <w:p w14:paraId="05C2EE3F" w14:textId="77777777" w:rsidR="009E0AE8" w:rsidRPr="00CB55E1" w:rsidRDefault="009E0AE8" w:rsidP="00014168">
      <w:pPr>
        <w:rPr>
          <w:rFonts w:cs="Arial"/>
          <w:b/>
          <w:lang w:val="fr-FR"/>
        </w:rPr>
      </w:pPr>
    </w:p>
    <w:p w14:paraId="223A920C" w14:textId="3A9E755E" w:rsidR="007B5F8E" w:rsidRPr="00CB55E1" w:rsidRDefault="00A70A70" w:rsidP="007F2722">
      <w:pPr>
        <w:ind w:left="0" w:firstLine="0"/>
        <w:rPr>
          <w:b/>
          <w:bCs/>
          <w:lang w:val="fr-FR"/>
        </w:rPr>
      </w:pPr>
      <w:r w:rsidRPr="00A70A70">
        <w:rPr>
          <w:b/>
          <w:bCs/>
          <w:lang w:val="fr-FR"/>
        </w:rPr>
        <w:t xml:space="preserve">Progrès </w:t>
      </w:r>
      <w:r>
        <w:rPr>
          <w:b/>
          <w:bCs/>
          <w:lang w:val="fr-FR"/>
        </w:rPr>
        <w:t xml:space="preserve">réalisés dans la mise en place </w:t>
      </w:r>
      <w:r w:rsidRPr="00A70A70">
        <w:rPr>
          <w:b/>
          <w:bCs/>
          <w:lang w:val="fr-FR"/>
        </w:rPr>
        <w:t>du mécanisme visant à aider les Parties contractantes à achever leurs inventaires nationaux des zones humides</w:t>
      </w:r>
    </w:p>
    <w:p w14:paraId="3C01A1D0" w14:textId="77777777" w:rsidR="007B5F8E" w:rsidRPr="00CB55E1" w:rsidRDefault="007B5F8E" w:rsidP="007B5F8E">
      <w:pPr>
        <w:rPr>
          <w:b/>
          <w:lang w:val="fr-FR"/>
        </w:rPr>
      </w:pPr>
    </w:p>
    <w:p w14:paraId="6A40A5A8" w14:textId="34F0951A" w:rsidR="00F50922" w:rsidRPr="006F113B" w:rsidRDefault="006F113B" w:rsidP="006F113B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6F113B">
        <w:rPr>
          <w:rFonts w:asciiTheme="minorHAnsi" w:hAnsiTheme="minorHAnsi" w:cstheme="minorBidi"/>
          <w:lang w:val="fr-FR"/>
        </w:rPr>
        <w:t>1.</w:t>
      </w:r>
      <w:r>
        <w:rPr>
          <w:lang w:val="fr-FR"/>
        </w:rPr>
        <w:tab/>
      </w:r>
      <w:r w:rsidR="005F6A73" w:rsidRPr="006F113B">
        <w:rPr>
          <w:lang w:val="fr-FR"/>
        </w:rPr>
        <w:t xml:space="preserve">Conformément aux Plans stratégiques successifs de la Convention, dresser </w:t>
      </w:r>
      <w:proofErr w:type="gramStart"/>
      <w:r w:rsidR="005F6A73" w:rsidRPr="006F113B">
        <w:rPr>
          <w:lang w:val="fr-FR"/>
        </w:rPr>
        <w:t>une inventaire</w:t>
      </w:r>
      <w:proofErr w:type="gramEnd"/>
      <w:r w:rsidR="005F6A73" w:rsidRPr="006F113B">
        <w:rPr>
          <w:lang w:val="fr-FR"/>
        </w:rPr>
        <w:t xml:space="preserve"> de toutes les zones humides demeure un domaine d</w:t>
      </w:r>
      <w:r>
        <w:rPr>
          <w:lang w:val="fr-FR"/>
        </w:rPr>
        <w:t>’</w:t>
      </w:r>
      <w:r w:rsidR="005F6A73" w:rsidRPr="006F113B">
        <w:rPr>
          <w:lang w:val="fr-FR"/>
        </w:rPr>
        <w:t xml:space="preserve">action prioritaire pour les Parties contractantes. Néanmoins, dans toutes les régions, </w:t>
      </w:r>
      <w:r w:rsidR="00EC7AF2" w:rsidRPr="006F113B">
        <w:rPr>
          <w:lang w:val="fr-FR"/>
        </w:rPr>
        <w:t>les Parties contractantes</w:t>
      </w:r>
      <w:r w:rsidR="005F6A73" w:rsidRPr="006F113B">
        <w:rPr>
          <w:lang w:val="fr-FR"/>
        </w:rPr>
        <w:t xml:space="preserve"> sont confrontées à toutes sortes de difficultés dans la réalisation d</w:t>
      </w:r>
      <w:r>
        <w:rPr>
          <w:lang w:val="fr-FR"/>
        </w:rPr>
        <w:t>’</w:t>
      </w:r>
      <w:r w:rsidR="005F6A73" w:rsidRPr="006F113B">
        <w:rPr>
          <w:lang w:val="fr-FR"/>
        </w:rPr>
        <w:t xml:space="preserve">inventaires nationaux des zones humides </w:t>
      </w:r>
      <w:r w:rsidR="00C554E2" w:rsidRPr="006F113B">
        <w:rPr>
          <w:lang w:val="fr-FR"/>
        </w:rPr>
        <w:t xml:space="preserve">(INZH) </w:t>
      </w:r>
      <w:r w:rsidR="00EC7AF2" w:rsidRPr="006F113B">
        <w:rPr>
          <w:lang w:val="fr-FR"/>
        </w:rPr>
        <w:t xml:space="preserve">reposant sur de solides bases </w:t>
      </w:r>
      <w:r w:rsidR="005F6A73" w:rsidRPr="006F113B">
        <w:rPr>
          <w:lang w:val="fr-FR"/>
        </w:rPr>
        <w:t>scientifiques.</w:t>
      </w:r>
      <w:r w:rsidR="00EC7AF2" w:rsidRPr="00CB55E1">
        <w:rPr>
          <w:rStyle w:val="FootnoteReference"/>
          <w:rFonts w:asciiTheme="minorHAnsi" w:hAnsiTheme="minorHAnsi" w:cstheme="minorBidi"/>
          <w:lang w:val="fr-FR"/>
        </w:rPr>
        <w:footnoteReference w:id="2"/>
      </w:r>
      <w:r w:rsidR="00EC7AF2" w:rsidRPr="006F113B">
        <w:rPr>
          <w:rFonts w:asciiTheme="minorHAnsi" w:hAnsiTheme="minorHAnsi" w:cstheme="minorBidi"/>
          <w:lang w:val="fr-FR"/>
        </w:rPr>
        <w:t xml:space="preserve"> </w:t>
      </w:r>
      <w:r w:rsidR="00EC7AF2" w:rsidRPr="006F113B">
        <w:rPr>
          <w:lang w:val="fr-FR"/>
        </w:rPr>
        <w:t>En application de</w:t>
      </w:r>
      <w:r w:rsidR="005F6A73" w:rsidRPr="006F113B">
        <w:rPr>
          <w:lang w:val="fr-FR"/>
        </w:rPr>
        <w:t xml:space="preserve"> la </w:t>
      </w:r>
      <w:r w:rsidR="00EC7AF2" w:rsidRPr="006F113B">
        <w:rPr>
          <w:lang w:val="fr-FR"/>
        </w:rPr>
        <w:t>D</w:t>
      </w:r>
      <w:r w:rsidR="005F6A73" w:rsidRPr="006F113B">
        <w:rPr>
          <w:lang w:val="fr-FR"/>
        </w:rPr>
        <w:t>écision</w:t>
      </w:r>
      <w:r w:rsidR="00B93BDE" w:rsidRPr="006F113B">
        <w:rPr>
          <w:lang w:val="fr-FR"/>
        </w:rPr>
        <w:t> </w:t>
      </w:r>
      <w:r w:rsidR="005F6A73" w:rsidRPr="006F113B">
        <w:rPr>
          <w:lang w:val="fr-FR"/>
        </w:rPr>
        <w:t>SC62-34 du Comité permanent, le Secrétariat a présenté à la 63</w:t>
      </w:r>
      <w:r w:rsidR="00EC7AF2" w:rsidRPr="006F113B">
        <w:rPr>
          <w:vertAlign w:val="superscript"/>
          <w:lang w:val="fr-FR"/>
        </w:rPr>
        <w:t>e</w:t>
      </w:r>
      <w:r w:rsidR="00EC7AF2" w:rsidRPr="006F113B">
        <w:rPr>
          <w:lang w:val="fr-FR"/>
        </w:rPr>
        <w:t xml:space="preserve"> </w:t>
      </w:r>
      <w:r w:rsidR="005F6A73" w:rsidRPr="006F113B">
        <w:rPr>
          <w:lang w:val="fr-FR"/>
        </w:rPr>
        <w:t xml:space="preserve">réunion du Comité </w:t>
      </w:r>
      <w:r w:rsidR="00EC7AF2" w:rsidRPr="006F113B">
        <w:rPr>
          <w:lang w:val="fr-FR"/>
        </w:rPr>
        <w:t xml:space="preserve">permanent </w:t>
      </w:r>
      <w:r w:rsidR="005F6A73" w:rsidRPr="006F113B">
        <w:rPr>
          <w:lang w:val="fr-FR"/>
        </w:rPr>
        <w:t xml:space="preserve">(SC63) </w:t>
      </w:r>
      <w:r w:rsidR="00EC7AF2" w:rsidRPr="006F113B">
        <w:rPr>
          <w:lang w:val="fr-FR"/>
        </w:rPr>
        <w:t>l</w:t>
      </w:r>
      <w:r w:rsidR="005F6A73" w:rsidRPr="006F113B">
        <w:rPr>
          <w:lang w:val="fr-FR"/>
        </w:rPr>
        <w:t xml:space="preserve">es progrès </w:t>
      </w:r>
      <w:r w:rsidR="00C554E2" w:rsidRPr="006F113B">
        <w:rPr>
          <w:lang w:val="fr-FR"/>
        </w:rPr>
        <w:t>qu</w:t>
      </w:r>
      <w:r>
        <w:rPr>
          <w:lang w:val="fr-FR"/>
        </w:rPr>
        <w:t>’</w:t>
      </w:r>
      <w:r w:rsidR="00C554E2" w:rsidRPr="006F113B">
        <w:rPr>
          <w:lang w:val="fr-FR"/>
        </w:rPr>
        <w:t xml:space="preserve">il avait </w:t>
      </w:r>
      <w:r w:rsidR="00EC7AF2" w:rsidRPr="006F113B">
        <w:rPr>
          <w:lang w:val="fr-FR"/>
        </w:rPr>
        <w:t xml:space="preserve">réalisés </w:t>
      </w:r>
      <w:r w:rsidR="005F6A73" w:rsidRPr="006F113B">
        <w:rPr>
          <w:lang w:val="fr-FR"/>
        </w:rPr>
        <w:t xml:space="preserve">dans </w:t>
      </w:r>
      <w:r w:rsidR="00EC7AF2" w:rsidRPr="006F113B">
        <w:rPr>
          <w:lang w:val="fr-FR"/>
        </w:rPr>
        <w:t xml:space="preserve">la mise en place </w:t>
      </w:r>
      <w:r w:rsidR="005F6A73" w:rsidRPr="006F113B">
        <w:rPr>
          <w:lang w:val="fr-FR"/>
        </w:rPr>
        <w:t>d</w:t>
      </w:r>
      <w:r>
        <w:rPr>
          <w:lang w:val="fr-FR"/>
        </w:rPr>
        <w:t>’</w:t>
      </w:r>
      <w:r w:rsidR="005F6A73" w:rsidRPr="006F113B">
        <w:rPr>
          <w:lang w:val="fr-FR"/>
        </w:rPr>
        <w:t xml:space="preserve">un mécanisme </w:t>
      </w:r>
      <w:r w:rsidR="00EC7AF2" w:rsidRPr="006F113B">
        <w:rPr>
          <w:lang w:val="fr-FR"/>
        </w:rPr>
        <w:t>visant à aider les Parties contractantes à achever leurs inventaires nationaux des zones humides</w:t>
      </w:r>
      <w:r w:rsidR="00C554E2" w:rsidRPr="006F113B">
        <w:rPr>
          <w:lang w:val="fr-FR"/>
        </w:rPr>
        <w:t xml:space="preserve">. Celui-ci prévoyait </w:t>
      </w:r>
      <w:r w:rsidR="00B93BDE" w:rsidRPr="006F113B">
        <w:rPr>
          <w:lang w:val="fr-FR"/>
        </w:rPr>
        <w:t>des</w:t>
      </w:r>
      <w:r w:rsidR="00C554E2" w:rsidRPr="006F113B">
        <w:rPr>
          <w:lang w:val="fr-FR"/>
        </w:rPr>
        <w:t xml:space="preserve"> activités </w:t>
      </w:r>
      <w:r w:rsidRPr="006F113B">
        <w:rPr>
          <w:lang w:val="fr-FR"/>
        </w:rPr>
        <w:t>s</w:t>
      </w:r>
      <w:r>
        <w:rPr>
          <w:lang w:val="fr-FR"/>
        </w:rPr>
        <w:t>’</w:t>
      </w:r>
      <w:r w:rsidRPr="006F113B">
        <w:rPr>
          <w:lang w:val="fr-FR"/>
        </w:rPr>
        <w:t xml:space="preserve">articulant autour de </w:t>
      </w:r>
      <w:r w:rsidR="00C554E2" w:rsidRPr="006F113B">
        <w:rPr>
          <w:lang w:val="fr-FR"/>
        </w:rPr>
        <w:t>cinq grands axes de travail</w:t>
      </w:r>
      <w:r w:rsidR="00EC7AF2" w:rsidRPr="00CB55E1">
        <w:rPr>
          <w:rStyle w:val="FootnoteReference"/>
          <w:rFonts w:asciiTheme="minorHAnsi" w:hAnsiTheme="minorHAnsi" w:cstheme="minorBidi"/>
          <w:lang w:val="fr-FR"/>
        </w:rPr>
        <w:footnoteReference w:id="3"/>
      </w:r>
      <w:r w:rsidRPr="006F113B">
        <w:rPr>
          <w:lang w:val="fr-FR"/>
        </w:rPr>
        <w:t> </w:t>
      </w:r>
      <w:r w:rsidR="00EC7AF2" w:rsidRPr="006F113B">
        <w:rPr>
          <w:rFonts w:asciiTheme="minorHAnsi" w:hAnsiTheme="minorHAnsi" w:cstheme="minorBidi"/>
          <w:lang w:val="fr-FR"/>
        </w:rPr>
        <w:t>:</w:t>
      </w:r>
    </w:p>
    <w:p w14:paraId="51EE00D6" w14:textId="77777777" w:rsidR="006F113B" w:rsidRPr="006F113B" w:rsidRDefault="006F113B" w:rsidP="006F113B">
      <w:pPr>
        <w:ind w:left="426" w:hanging="426"/>
        <w:rPr>
          <w:rFonts w:asciiTheme="minorHAnsi" w:hAnsiTheme="minorHAnsi" w:cstheme="minorBidi"/>
          <w:lang w:val="fr-FR"/>
        </w:rPr>
      </w:pPr>
    </w:p>
    <w:p w14:paraId="7218E2D0" w14:textId="47337945" w:rsidR="00C554E2" w:rsidRPr="00C554E2" w:rsidRDefault="00C554E2" w:rsidP="00C554E2">
      <w:pPr>
        <w:ind w:left="850"/>
        <w:rPr>
          <w:rFonts w:cs="Arial"/>
          <w:lang w:val="fr-FR"/>
        </w:rPr>
      </w:pPr>
      <w:r w:rsidRPr="00C554E2">
        <w:rPr>
          <w:rFonts w:cs="Arial"/>
          <w:lang w:val="fr-FR"/>
        </w:rPr>
        <w:t>a.</w:t>
      </w:r>
      <w:r w:rsidRPr="00C554E2">
        <w:rPr>
          <w:rFonts w:cs="Arial"/>
          <w:lang w:val="fr-FR"/>
        </w:rPr>
        <w:tab/>
        <w:t>un recensement plus précis des besoins spécifiques ou des principales entraves auxquelles se heurtent les Parties contractantes s</w:t>
      </w:r>
      <w:r w:rsidR="006F113B">
        <w:rPr>
          <w:rFonts w:cs="Arial"/>
          <w:lang w:val="fr-FR"/>
        </w:rPr>
        <w:t>’</w:t>
      </w:r>
      <w:r w:rsidRPr="00C554E2">
        <w:rPr>
          <w:rFonts w:cs="Arial"/>
          <w:lang w:val="fr-FR"/>
        </w:rPr>
        <w:t>agissant des inventaires des zones humides ;</w:t>
      </w:r>
    </w:p>
    <w:p w14:paraId="3FC2344F" w14:textId="100B4305" w:rsidR="00C554E2" w:rsidRPr="00C554E2" w:rsidRDefault="00C554E2" w:rsidP="00C554E2">
      <w:pPr>
        <w:ind w:left="850"/>
        <w:rPr>
          <w:rFonts w:cs="Arial"/>
          <w:lang w:val="fr-FR"/>
        </w:rPr>
      </w:pPr>
      <w:r w:rsidRPr="00C554E2">
        <w:rPr>
          <w:rFonts w:cs="Arial"/>
          <w:lang w:val="fr-FR"/>
        </w:rPr>
        <w:t>b.</w:t>
      </w:r>
      <w:r w:rsidRPr="00C554E2">
        <w:rPr>
          <w:rFonts w:cs="Arial"/>
          <w:lang w:val="fr-FR"/>
        </w:rPr>
        <w:tab/>
      </w:r>
      <w:r w:rsidR="006F113B">
        <w:rPr>
          <w:rFonts w:cs="Arial"/>
          <w:lang w:val="fr-FR"/>
        </w:rPr>
        <w:t>l’él</w:t>
      </w:r>
      <w:r w:rsidR="006F113B" w:rsidRPr="006F113B">
        <w:rPr>
          <w:rFonts w:cs="Arial"/>
          <w:lang w:val="fr-FR"/>
        </w:rPr>
        <w:t>aboration de nouvelles orientations</w:t>
      </w:r>
      <w:r w:rsidR="006F113B">
        <w:rPr>
          <w:rFonts w:cs="Arial"/>
          <w:lang w:val="fr-FR"/>
        </w:rPr>
        <w:t> ;</w:t>
      </w:r>
    </w:p>
    <w:p w14:paraId="185D8029" w14:textId="0D78E57C" w:rsidR="00C554E2" w:rsidRPr="00C554E2" w:rsidRDefault="00C554E2" w:rsidP="00C554E2">
      <w:pPr>
        <w:ind w:left="850"/>
        <w:rPr>
          <w:rFonts w:cs="Arial"/>
          <w:lang w:val="fr-FR"/>
        </w:rPr>
      </w:pPr>
      <w:r w:rsidRPr="00C554E2">
        <w:rPr>
          <w:rFonts w:cs="Arial"/>
          <w:lang w:val="fr-FR"/>
        </w:rPr>
        <w:lastRenderedPageBreak/>
        <w:t>c.</w:t>
      </w:r>
      <w:r w:rsidRPr="00C554E2">
        <w:rPr>
          <w:rFonts w:cs="Arial"/>
          <w:lang w:val="fr-FR"/>
        </w:rPr>
        <w:tab/>
        <w:t>un renforcement des capacités</w:t>
      </w:r>
      <w:r w:rsidR="006F113B">
        <w:rPr>
          <w:rFonts w:cs="Arial"/>
          <w:lang w:val="fr-FR"/>
        </w:rPr>
        <w:t xml:space="preserve"> </w:t>
      </w:r>
      <w:r w:rsidRPr="00C554E2">
        <w:rPr>
          <w:rFonts w:cs="Arial"/>
          <w:lang w:val="fr-FR"/>
        </w:rPr>
        <w:t>au moyen de formations et de supports pédagogiques ;</w:t>
      </w:r>
    </w:p>
    <w:p w14:paraId="560A66FB" w14:textId="77777777" w:rsidR="00C554E2" w:rsidRPr="00C554E2" w:rsidRDefault="00C554E2" w:rsidP="00C554E2">
      <w:pPr>
        <w:ind w:left="850"/>
        <w:rPr>
          <w:rFonts w:cs="Arial"/>
          <w:lang w:val="fr-FR"/>
        </w:rPr>
      </w:pPr>
      <w:r w:rsidRPr="00C554E2">
        <w:rPr>
          <w:rFonts w:cs="Arial"/>
          <w:lang w:val="fr-FR"/>
        </w:rPr>
        <w:t>d.</w:t>
      </w:r>
      <w:r w:rsidRPr="00C554E2">
        <w:rPr>
          <w:rFonts w:cs="Arial"/>
          <w:lang w:val="fr-FR"/>
        </w:rPr>
        <w:tab/>
        <w:t>un appui à la mise en œuvre, notamment des partenariats institutionnels ; et</w:t>
      </w:r>
    </w:p>
    <w:p w14:paraId="7FC1BB72" w14:textId="37BC6E00" w:rsidR="005328AD" w:rsidRPr="00CB55E1" w:rsidRDefault="00C554E2" w:rsidP="00C554E2">
      <w:pPr>
        <w:ind w:left="850"/>
        <w:rPr>
          <w:rFonts w:cs="Arial"/>
          <w:lang w:val="fr-FR"/>
        </w:rPr>
      </w:pPr>
      <w:r w:rsidRPr="00C554E2">
        <w:rPr>
          <w:rFonts w:cs="Arial"/>
          <w:lang w:val="fr-FR"/>
        </w:rPr>
        <w:t>e.</w:t>
      </w:r>
      <w:r w:rsidRPr="00C554E2">
        <w:rPr>
          <w:rFonts w:cs="Arial"/>
          <w:lang w:val="fr-FR"/>
        </w:rPr>
        <w:tab/>
        <w:t>la mobilisation des ressources</w:t>
      </w:r>
      <w:r w:rsidR="0005144E" w:rsidRPr="00CB55E1">
        <w:rPr>
          <w:rFonts w:cs="Arial"/>
          <w:lang w:val="fr-FR"/>
        </w:rPr>
        <w:t>.</w:t>
      </w:r>
    </w:p>
    <w:p w14:paraId="5951AF22" w14:textId="77777777" w:rsidR="00442CF9" w:rsidRPr="00CB55E1" w:rsidRDefault="00442CF9" w:rsidP="00CD6968">
      <w:pPr>
        <w:ind w:left="0" w:firstLine="0"/>
        <w:rPr>
          <w:bCs/>
          <w:u w:val="single"/>
          <w:lang w:val="fr-FR"/>
        </w:rPr>
      </w:pPr>
    </w:p>
    <w:p w14:paraId="5E908F5A" w14:textId="201A43F2" w:rsidR="00C554E2" w:rsidRDefault="00F50922" w:rsidP="00C554E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2.</w:t>
      </w:r>
      <w:r w:rsidRPr="00CB55E1">
        <w:rPr>
          <w:rFonts w:asciiTheme="minorHAnsi" w:hAnsiTheme="minorHAnsi" w:cstheme="minorBidi"/>
          <w:lang w:val="fr-FR"/>
        </w:rPr>
        <w:tab/>
      </w:r>
      <w:r w:rsidR="00C554E2" w:rsidRPr="00C554E2">
        <w:rPr>
          <w:rFonts w:asciiTheme="minorHAnsi" w:hAnsiTheme="minorHAnsi" w:cstheme="minorBidi"/>
          <w:lang w:val="fr-FR"/>
        </w:rPr>
        <w:t xml:space="preserve">Dans sa </w:t>
      </w:r>
      <w:r w:rsidR="00C554E2">
        <w:rPr>
          <w:rFonts w:asciiTheme="minorHAnsi" w:hAnsiTheme="minorHAnsi" w:cstheme="minorBidi"/>
          <w:lang w:val="fr-FR"/>
        </w:rPr>
        <w:t>D</w:t>
      </w:r>
      <w:r w:rsidR="00C554E2" w:rsidRPr="00C554E2">
        <w:rPr>
          <w:rFonts w:asciiTheme="minorHAnsi" w:hAnsiTheme="minorHAnsi" w:cstheme="minorBidi"/>
          <w:lang w:val="fr-FR"/>
        </w:rPr>
        <w:t>écision</w:t>
      </w:r>
      <w:r w:rsidR="00C554E2">
        <w:rPr>
          <w:rFonts w:asciiTheme="minorHAnsi" w:hAnsiTheme="minorHAnsi" w:cstheme="minorBidi"/>
          <w:lang w:val="fr-FR"/>
        </w:rPr>
        <w:t> </w:t>
      </w:r>
      <w:r w:rsidR="00C554E2" w:rsidRPr="00C554E2">
        <w:rPr>
          <w:rFonts w:asciiTheme="minorHAnsi" w:hAnsiTheme="minorHAnsi" w:cstheme="minorBidi"/>
          <w:lang w:val="fr-FR"/>
        </w:rPr>
        <w:t xml:space="preserve">SC63-27, </w:t>
      </w:r>
      <w:r w:rsidR="00C554E2">
        <w:rPr>
          <w:rFonts w:asciiTheme="minorHAnsi" w:hAnsiTheme="minorHAnsi" w:cstheme="minorBidi"/>
          <w:lang w:val="fr-FR"/>
        </w:rPr>
        <w:t>le Comité p</w:t>
      </w:r>
      <w:r w:rsidR="00C554E2" w:rsidRPr="00C554E2">
        <w:rPr>
          <w:rFonts w:asciiTheme="minorHAnsi" w:hAnsiTheme="minorHAnsi" w:cstheme="minorBidi"/>
          <w:lang w:val="fr-FR"/>
        </w:rPr>
        <w:t>e</w:t>
      </w:r>
      <w:r w:rsidR="00C554E2">
        <w:rPr>
          <w:rFonts w:asciiTheme="minorHAnsi" w:hAnsiTheme="minorHAnsi" w:cstheme="minorBidi"/>
          <w:lang w:val="fr-FR"/>
        </w:rPr>
        <w:t>rmanent a pris note de</w:t>
      </w:r>
      <w:r w:rsidR="00C554E2" w:rsidRPr="00C554E2">
        <w:rPr>
          <w:rFonts w:asciiTheme="minorHAnsi" w:hAnsiTheme="minorHAnsi" w:cstheme="minorBidi"/>
          <w:lang w:val="fr-FR"/>
        </w:rPr>
        <w:t xml:space="preserve"> l</w:t>
      </w:r>
      <w:r w:rsidR="006F113B">
        <w:rPr>
          <w:rFonts w:asciiTheme="minorHAnsi" w:hAnsiTheme="minorHAnsi" w:cstheme="minorBidi"/>
          <w:lang w:val="fr-FR"/>
        </w:rPr>
        <w:t>’</w:t>
      </w:r>
      <w:r w:rsidR="00C554E2" w:rsidRPr="00C554E2">
        <w:rPr>
          <w:rFonts w:asciiTheme="minorHAnsi" w:hAnsiTheme="minorHAnsi" w:cstheme="minorBidi"/>
          <w:lang w:val="fr-FR"/>
        </w:rPr>
        <w:t>état d</w:t>
      </w:r>
      <w:r w:rsidR="006F113B">
        <w:rPr>
          <w:rFonts w:asciiTheme="minorHAnsi" w:hAnsiTheme="minorHAnsi" w:cstheme="minorBidi"/>
          <w:lang w:val="fr-FR"/>
        </w:rPr>
        <w:t>’</w:t>
      </w:r>
      <w:r w:rsidR="00C554E2" w:rsidRPr="00C554E2">
        <w:rPr>
          <w:rFonts w:asciiTheme="minorHAnsi" w:hAnsiTheme="minorHAnsi" w:cstheme="minorBidi"/>
          <w:lang w:val="fr-FR"/>
        </w:rPr>
        <w:t>avancement des travaux du</w:t>
      </w:r>
      <w:r w:rsidR="00C554E2">
        <w:rPr>
          <w:rFonts w:asciiTheme="minorHAnsi" w:hAnsiTheme="minorHAnsi" w:cstheme="minorBidi"/>
          <w:lang w:val="fr-FR"/>
        </w:rPr>
        <w:t xml:space="preserve"> </w:t>
      </w:r>
      <w:r w:rsidR="00C554E2" w:rsidRPr="00C554E2">
        <w:rPr>
          <w:rFonts w:asciiTheme="minorHAnsi" w:hAnsiTheme="minorHAnsi" w:cstheme="minorBidi"/>
          <w:lang w:val="fr-FR"/>
        </w:rPr>
        <w:t>Secrétariat visant à proposer un mécanisme d</w:t>
      </w:r>
      <w:r w:rsidR="006F113B">
        <w:rPr>
          <w:rFonts w:asciiTheme="minorHAnsi" w:hAnsiTheme="minorHAnsi" w:cstheme="minorBidi"/>
          <w:lang w:val="fr-FR"/>
        </w:rPr>
        <w:t>’</w:t>
      </w:r>
      <w:r w:rsidR="00C554E2" w:rsidRPr="00C554E2">
        <w:rPr>
          <w:rFonts w:asciiTheme="minorHAnsi" w:hAnsiTheme="minorHAnsi" w:cstheme="minorBidi"/>
          <w:lang w:val="fr-FR"/>
        </w:rPr>
        <w:t>appui aux Parties contractantes pour la réalisatio</w:t>
      </w:r>
      <w:r w:rsidR="00C554E2">
        <w:rPr>
          <w:rFonts w:asciiTheme="minorHAnsi" w:hAnsiTheme="minorHAnsi" w:cstheme="minorBidi"/>
          <w:lang w:val="fr-FR"/>
        </w:rPr>
        <w:t xml:space="preserve">n </w:t>
      </w:r>
      <w:r w:rsidR="00C554E2" w:rsidRPr="00C554E2">
        <w:rPr>
          <w:rFonts w:asciiTheme="minorHAnsi" w:hAnsiTheme="minorHAnsi" w:cstheme="minorBidi"/>
          <w:lang w:val="fr-FR"/>
        </w:rPr>
        <w:t xml:space="preserve">de leurs inventaires nationaux des zones humides et </w:t>
      </w:r>
      <w:r w:rsidR="00C554E2">
        <w:rPr>
          <w:rFonts w:asciiTheme="minorHAnsi" w:hAnsiTheme="minorHAnsi" w:cstheme="minorBidi"/>
          <w:lang w:val="fr-FR"/>
        </w:rPr>
        <w:t xml:space="preserve">a </w:t>
      </w:r>
      <w:r w:rsidR="00C554E2" w:rsidRPr="00C554E2">
        <w:rPr>
          <w:rFonts w:asciiTheme="minorHAnsi" w:hAnsiTheme="minorHAnsi" w:cstheme="minorBidi"/>
          <w:lang w:val="fr-FR"/>
        </w:rPr>
        <w:t>demand</w:t>
      </w:r>
      <w:r w:rsidR="00C554E2">
        <w:rPr>
          <w:rFonts w:asciiTheme="minorHAnsi" w:hAnsiTheme="minorHAnsi" w:cstheme="minorBidi"/>
          <w:lang w:val="fr-FR"/>
        </w:rPr>
        <w:t>é</w:t>
      </w:r>
      <w:r w:rsidR="00C554E2" w:rsidRPr="00C554E2">
        <w:rPr>
          <w:rFonts w:asciiTheme="minorHAnsi" w:hAnsiTheme="minorHAnsi" w:cstheme="minorBidi"/>
          <w:lang w:val="fr-FR"/>
        </w:rPr>
        <w:t xml:space="preserve"> au Secrétariat de mener des</w:t>
      </w:r>
      <w:r w:rsidR="00C554E2">
        <w:rPr>
          <w:rFonts w:asciiTheme="minorHAnsi" w:hAnsiTheme="minorHAnsi" w:cstheme="minorBidi"/>
          <w:lang w:val="fr-FR"/>
        </w:rPr>
        <w:t xml:space="preserve"> </w:t>
      </w:r>
      <w:r w:rsidR="00C554E2" w:rsidRPr="00C554E2">
        <w:rPr>
          <w:rFonts w:asciiTheme="minorHAnsi" w:hAnsiTheme="minorHAnsi" w:cstheme="minorBidi"/>
          <w:lang w:val="fr-FR"/>
        </w:rPr>
        <w:t>activités de collecte de fonds pour amplifier le développement du mécanisme d</w:t>
      </w:r>
      <w:r w:rsidR="006F113B">
        <w:rPr>
          <w:rFonts w:asciiTheme="minorHAnsi" w:hAnsiTheme="minorHAnsi" w:cstheme="minorBidi"/>
          <w:lang w:val="fr-FR"/>
        </w:rPr>
        <w:t>’</w:t>
      </w:r>
      <w:r w:rsidR="00C554E2" w:rsidRPr="00C554E2">
        <w:rPr>
          <w:rFonts w:asciiTheme="minorHAnsi" w:hAnsiTheme="minorHAnsi" w:cstheme="minorBidi"/>
          <w:lang w:val="fr-FR"/>
        </w:rPr>
        <w:t>appui proposé.</w:t>
      </w:r>
    </w:p>
    <w:p w14:paraId="79B81414" w14:textId="77777777" w:rsidR="00823F32" w:rsidRPr="00CB55E1" w:rsidRDefault="00823F3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</w:p>
    <w:p w14:paraId="605E3B0F" w14:textId="57BEABD1" w:rsidR="00401252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3.</w:t>
      </w:r>
      <w:r w:rsidRPr="00CB55E1">
        <w:rPr>
          <w:rFonts w:asciiTheme="minorHAnsi" w:hAnsiTheme="minorHAnsi" w:cstheme="minorBidi"/>
          <w:lang w:val="fr-FR"/>
        </w:rPr>
        <w:tab/>
      </w:r>
      <w:r w:rsidR="00401252" w:rsidRPr="00401252">
        <w:rPr>
          <w:rFonts w:asciiTheme="minorHAnsi" w:hAnsiTheme="minorHAnsi" w:cstheme="minorBidi"/>
          <w:lang w:val="fr-FR"/>
        </w:rPr>
        <w:t xml:space="preserve">Le présent rapport fait le point sur les activités </w:t>
      </w:r>
      <w:r w:rsidR="00401252">
        <w:rPr>
          <w:rFonts w:asciiTheme="minorHAnsi" w:hAnsiTheme="minorHAnsi" w:cstheme="minorBidi"/>
          <w:lang w:val="fr-FR"/>
        </w:rPr>
        <w:t>en matière d</w:t>
      </w:r>
      <w:r w:rsidR="006F113B">
        <w:rPr>
          <w:rFonts w:asciiTheme="minorHAnsi" w:hAnsiTheme="minorHAnsi" w:cstheme="minorBidi"/>
          <w:lang w:val="fr-FR"/>
        </w:rPr>
        <w:t>’</w:t>
      </w:r>
      <w:r w:rsidR="00401252">
        <w:rPr>
          <w:rFonts w:asciiTheme="minorHAnsi" w:hAnsiTheme="minorHAnsi" w:cstheme="minorBidi"/>
          <w:lang w:val="fr-FR"/>
        </w:rPr>
        <w:t>INZH</w:t>
      </w:r>
      <w:r w:rsidR="00401252" w:rsidRPr="00401252">
        <w:rPr>
          <w:rFonts w:asciiTheme="minorHAnsi" w:hAnsiTheme="minorHAnsi" w:cstheme="minorBidi"/>
          <w:lang w:val="fr-FR"/>
        </w:rPr>
        <w:t xml:space="preserve"> qui ont été menées </w:t>
      </w:r>
      <w:r w:rsidR="00401252">
        <w:rPr>
          <w:rFonts w:asciiTheme="minorHAnsi" w:hAnsiTheme="minorHAnsi" w:cstheme="minorBidi"/>
          <w:lang w:val="fr-FR"/>
        </w:rPr>
        <w:t>à bien aux cours de la période</w:t>
      </w:r>
      <w:r w:rsidR="00401252" w:rsidRPr="00401252">
        <w:rPr>
          <w:rFonts w:asciiTheme="minorHAnsi" w:hAnsiTheme="minorHAnsi" w:cstheme="minorBidi"/>
          <w:lang w:val="fr-FR"/>
        </w:rPr>
        <w:t xml:space="preserve"> intersession</w:t>
      </w:r>
      <w:r w:rsidR="00401252">
        <w:rPr>
          <w:rFonts w:asciiTheme="minorHAnsi" w:hAnsiTheme="minorHAnsi" w:cstheme="minorBidi"/>
          <w:lang w:val="fr-FR"/>
        </w:rPr>
        <w:t xml:space="preserve">s allant </w:t>
      </w:r>
      <w:r w:rsidR="00401252" w:rsidRPr="00401252">
        <w:rPr>
          <w:rFonts w:asciiTheme="minorHAnsi" w:hAnsiTheme="minorHAnsi" w:cstheme="minorBidi"/>
          <w:lang w:val="fr-FR"/>
        </w:rPr>
        <w:t>de mars à octobre 2024.</w:t>
      </w:r>
    </w:p>
    <w:p w14:paraId="1D2B47FD" w14:textId="77777777" w:rsidR="005328AD" w:rsidRPr="00CB55E1" w:rsidRDefault="005328AD" w:rsidP="005328AD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fr-FR"/>
        </w:rPr>
      </w:pPr>
    </w:p>
    <w:p w14:paraId="4906118D" w14:textId="00198993" w:rsidR="0078469D" w:rsidRDefault="0078469D" w:rsidP="0078469D">
      <w:pPr>
        <w:ind w:left="0" w:firstLine="0"/>
        <w:rPr>
          <w:bCs/>
          <w:u w:val="single"/>
          <w:lang w:val="fr-FR"/>
        </w:rPr>
      </w:pPr>
      <w:r>
        <w:rPr>
          <w:bCs/>
          <w:u w:val="single"/>
          <w:lang w:val="fr-FR"/>
        </w:rPr>
        <w:t>R</w:t>
      </w:r>
      <w:r w:rsidRPr="00C554E2">
        <w:rPr>
          <w:bCs/>
          <w:u w:val="single"/>
          <w:lang w:val="fr-FR"/>
        </w:rPr>
        <w:t xml:space="preserve">ecensement plus précis des besoins spécifiques </w:t>
      </w:r>
      <w:r>
        <w:rPr>
          <w:bCs/>
          <w:u w:val="single"/>
          <w:lang w:val="fr-FR"/>
        </w:rPr>
        <w:t>et des principales entraves</w:t>
      </w:r>
    </w:p>
    <w:p w14:paraId="23AB96E1" w14:textId="77777777" w:rsidR="006F113B" w:rsidRPr="006F113B" w:rsidRDefault="006F113B" w:rsidP="0078469D">
      <w:pPr>
        <w:ind w:left="0" w:firstLine="0"/>
        <w:rPr>
          <w:bCs/>
          <w:lang w:val="fr-FR"/>
        </w:rPr>
      </w:pPr>
    </w:p>
    <w:p w14:paraId="3E7190B1" w14:textId="17C7BA26" w:rsidR="00A95AB2" w:rsidRPr="00CB55E1" w:rsidRDefault="00F50922" w:rsidP="00C03287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4.</w:t>
      </w:r>
      <w:r w:rsidRPr="00CB55E1">
        <w:rPr>
          <w:rFonts w:asciiTheme="minorHAnsi" w:hAnsiTheme="minorHAnsi" w:cstheme="minorBidi"/>
          <w:lang w:val="fr-FR"/>
        </w:rPr>
        <w:tab/>
      </w:r>
      <w:r w:rsidR="00A11220" w:rsidRPr="00A11220">
        <w:rPr>
          <w:rFonts w:asciiTheme="minorHAnsi" w:hAnsiTheme="minorHAnsi" w:cstheme="minorBidi"/>
          <w:lang w:val="fr-FR"/>
        </w:rPr>
        <w:t xml:space="preserve">Le Secrétariat a </w:t>
      </w:r>
      <w:r w:rsidR="00BA0368">
        <w:rPr>
          <w:rFonts w:asciiTheme="minorHAnsi" w:hAnsiTheme="minorHAnsi" w:cstheme="minorBidi"/>
          <w:lang w:val="fr-FR"/>
        </w:rPr>
        <w:t>compilé</w:t>
      </w:r>
      <w:r w:rsidR="009B77B4">
        <w:rPr>
          <w:rFonts w:asciiTheme="minorHAnsi" w:hAnsiTheme="minorHAnsi" w:cstheme="minorBidi"/>
          <w:lang w:val="fr-FR"/>
        </w:rPr>
        <w:t xml:space="preserve"> les </w:t>
      </w:r>
      <w:r w:rsidR="00BA0368">
        <w:rPr>
          <w:rFonts w:asciiTheme="minorHAnsi" w:hAnsiTheme="minorHAnsi" w:cstheme="minorBidi"/>
          <w:lang w:val="fr-FR"/>
        </w:rPr>
        <w:t xml:space="preserve">idées, les entraves et les </w:t>
      </w:r>
      <w:r w:rsidR="009B77B4">
        <w:rPr>
          <w:rFonts w:asciiTheme="minorHAnsi" w:hAnsiTheme="minorHAnsi" w:cstheme="minorBidi"/>
          <w:lang w:val="fr-FR"/>
        </w:rPr>
        <w:t>besoins</w:t>
      </w:r>
      <w:r w:rsidR="00BA0368">
        <w:rPr>
          <w:rFonts w:asciiTheme="minorHAnsi" w:hAnsiTheme="minorHAnsi" w:cstheme="minorBidi"/>
          <w:lang w:val="fr-FR"/>
        </w:rPr>
        <w:t xml:space="preserve"> exprimés</w:t>
      </w:r>
      <w:r w:rsidR="000E1AB1">
        <w:rPr>
          <w:rFonts w:asciiTheme="minorHAnsi" w:hAnsiTheme="minorHAnsi" w:cstheme="minorBidi"/>
          <w:lang w:val="fr-FR"/>
        </w:rPr>
        <w:t xml:space="preserve"> par les </w:t>
      </w:r>
      <w:r w:rsidR="000E1AB1" w:rsidRPr="00A11220">
        <w:rPr>
          <w:rFonts w:asciiTheme="minorHAnsi" w:hAnsiTheme="minorHAnsi" w:cstheme="minorBidi"/>
          <w:lang w:val="fr-FR"/>
        </w:rPr>
        <w:t xml:space="preserve">dix </w:t>
      </w:r>
      <w:r w:rsidR="000E1AB1">
        <w:rPr>
          <w:rFonts w:asciiTheme="minorHAnsi" w:hAnsiTheme="minorHAnsi" w:cstheme="minorBidi"/>
          <w:lang w:val="fr-FR"/>
        </w:rPr>
        <w:t>P</w:t>
      </w:r>
      <w:r w:rsidR="000E1AB1" w:rsidRPr="00A11220">
        <w:rPr>
          <w:rFonts w:asciiTheme="minorHAnsi" w:hAnsiTheme="minorHAnsi" w:cstheme="minorBidi"/>
          <w:lang w:val="fr-FR"/>
        </w:rPr>
        <w:t xml:space="preserve">arties contractantes </w:t>
      </w:r>
      <w:r w:rsidR="006F113B">
        <w:rPr>
          <w:rFonts w:asciiTheme="minorHAnsi" w:hAnsiTheme="minorHAnsi" w:cstheme="minorBidi"/>
          <w:lang w:val="fr-FR"/>
        </w:rPr>
        <w:t>ayant</w:t>
      </w:r>
      <w:r w:rsidR="00BA0368">
        <w:rPr>
          <w:rFonts w:asciiTheme="minorHAnsi" w:hAnsiTheme="minorHAnsi" w:cstheme="minorBidi"/>
          <w:lang w:val="fr-FR"/>
        </w:rPr>
        <w:t xml:space="preserve"> </w:t>
      </w:r>
      <w:r w:rsidR="009B77B4">
        <w:rPr>
          <w:rFonts w:asciiTheme="minorHAnsi" w:hAnsiTheme="minorHAnsi" w:cstheme="minorBidi"/>
          <w:lang w:val="fr-FR"/>
        </w:rPr>
        <w:t>suivi le Module de formation n°1</w:t>
      </w:r>
      <w:r w:rsidR="006F113B">
        <w:rPr>
          <w:rFonts w:asciiTheme="minorHAnsi" w:hAnsiTheme="minorHAnsi" w:cstheme="minorBidi"/>
          <w:lang w:val="fr-FR"/>
        </w:rPr>
        <w:t xml:space="preserve"> dispensé</w:t>
      </w:r>
      <w:r w:rsidR="009B77B4">
        <w:rPr>
          <w:rFonts w:asciiTheme="minorHAnsi" w:hAnsiTheme="minorHAnsi" w:cstheme="minorBidi"/>
          <w:lang w:val="fr-FR"/>
        </w:rPr>
        <w:t xml:space="preserve"> en </w:t>
      </w:r>
      <w:r w:rsidR="000E1AB1" w:rsidRPr="00A11220">
        <w:rPr>
          <w:rFonts w:asciiTheme="minorHAnsi" w:hAnsiTheme="minorHAnsi" w:cstheme="minorBidi"/>
          <w:lang w:val="fr-FR"/>
        </w:rPr>
        <w:t>République de Corée en septembre 2024</w:t>
      </w:r>
      <w:r w:rsidR="00BA0368" w:rsidRPr="00CB55E1">
        <w:rPr>
          <w:vertAlign w:val="superscript"/>
          <w:lang w:val="fr-FR"/>
        </w:rPr>
        <w:footnoteReference w:id="4"/>
      </w:r>
      <w:r w:rsidR="000E1AB1" w:rsidRPr="00A11220">
        <w:rPr>
          <w:rFonts w:asciiTheme="minorHAnsi" w:hAnsiTheme="minorHAnsi" w:cstheme="minorBidi"/>
          <w:lang w:val="fr-FR"/>
        </w:rPr>
        <w:t xml:space="preserve">, </w:t>
      </w:r>
      <w:r w:rsidR="00BA0368">
        <w:rPr>
          <w:rFonts w:asciiTheme="minorHAnsi" w:hAnsiTheme="minorHAnsi" w:cstheme="minorBidi"/>
          <w:lang w:val="fr-FR"/>
        </w:rPr>
        <w:t>ainsi que</w:t>
      </w:r>
      <w:r w:rsidR="009B77B4">
        <w:rPr>
          <w:rFonts w:asciiTheme="minorHAnsi" w:hAnsiTheme="minorHAnsi" w:cstheme="minorBidi"/>
          <w:lang w:val="fr-FR"/>
        </w:rPr>
        <w:t xml:space="preserve"> ceux</w:t>
      </w:r>
      <w:r w:rsidR="000E1AB1" w:rsidRPr="00A11220">
        <w:rPr>
          <w:rFonts w:asciiTheme="minorHAnsi" w:hAnsiTheme="minorHAnsi" w:cstheme="minorBidi"/>
          <w:lang w:val="fr-FR"/>
        </w:rPr>
        <w:t xml:space="preserve"> de trois autres </w:t>
      </w:r>
      <w:r w:rsidR="009B77B4">
        <w:rPr>
          <w:rFonts w:asciiTheme="minorHAnsi" w:hAnsiTheme="minorHAnsi" w:cstheme="minorBidi"/>
          <w:lang w:val="fr-FR"/>
        </w:rPr>
        <w:t>P</w:t>
      </w:r>
      <w:r w:rsidR="000E1AB1" w:rsidRPr="00A11220">
        <w:rPr>
          <w:rFonts w:asciiTheme="minorHAnsi" w:hAnsiTheme="minorHAnsi" w:cstheme="minorBidi"/>
          <w:lang w:val="fr-FR"/>
        </w:rPr>
        <w:t>arties (</w:t>
      </w:r>
      <w:r w:rsidR="009B77B4">
        <w:rPr>
          <w:rFonts w:asciiTheme="minorHAnsi" w:hAnsiTheme="minorHAnsi" w:cstheme="minorBidi"/>
          <w:lang w:val="fr-FR"/>
        </w:rPr>
        <w:t xml:space="preserve">la </w:t>
      </w:r>
      <w:r w:rsidR="000E1AB1" w:rsidRPr="00A11220">
        <w:rPr>
          <w:rFonts w:asciiTheme="minorHAnsi" w:hAnsiTheme="minorHAnsi" w:cstheme="minorBidi"/>
          <w:lang w:val="fr-FR"/>
        </w:rPr>
        <w:t xml:space="preserve">Chine, </w:t>
      </w:r>
      <w:r w:rsidR="009B77B4">
        <w:rPr>
          <w:rFonts w:asciiTheme="minorHAnsi" w:hAnsiTheme="minorHAnsi" w:cstheme="minorBidi"/>
          <w:lang w:val="fr-FR"/>
        </w:rPr>
        <w:t xml:space="preserve">le </w:t>
      </w:r>
      <w:r w:rsidR="000E1AB1" w:rsidRPr="00A11220">
        <w:rPr>
          <w:rFonts w:asciiTheme="minorHAnsi" w:hAnsiTheme="minorHAnsi" w:cstheme="minorBidi"/>
          <w:lang w:val="fr-FR"/>
        </w:rPr>
        <w:t xml:space="preserve">Costa Rica et </w:t>
      </w:r>
      <w:r w:rsidR="009B77B4">
        <w:rPr>
          <w:rFonts w:asciiTheme="minorHAnsi" w:hAnsiTheme="minorHAnsi" w:cstheme="minorBidi"/>
          <w:lang w:val="fr-FR"/>
        </w:rPr>
        <w:t xml:space="preserve">le </w:t>
      </w:r>
      <w:r w:rsidR="000E1AB1" w:rsidRPr="00A11220">
        <w:rPr>
          <w:rFonts w:asciiTheme="minorHAnsi" w:hAnsiTheme="minorHAnsi" w:cstheme="minorBidi"/>
          <w:lang w:val="fr-FR"/>
        </w:rPr>
        <w:t>Gabon) dont l</w:t>
      </w:r>
      <w:r w:rsidR="006F113B">
        <w:rPr>
          <w:rFonts w:asciiTheme="minorHAnsi" w:hAnsiTheme="minorHAnsi" w:cstheme="minorBidi"/>
          <w:lang w:val="fr-FR"/>
        </w:rPr>
        <w:t>’</w:t>
      </w:r>
      <w:r w:rsidR="000E1AB1" w:rsidRPr="00A11220">
        <w:rPr>
          <w:rFonts w:asciiTheme="minorHAnsi" w:hAnsiTheme="minorHAnsi" w:cstheme="minorBidi"/>
          <w:lang w:val="fr-FR"/>
        </w:rPr>
        <w:t xml:space="preserve">expérience </w:t>
      </w:r>
      <w:r w:rsidR="00BA0368">
        <w:rPr>
          <w:rFonts w:asciiTheme="minorHAnsi" w:hAnsiTheme="minorHAnsi" w:cstheme="minorBidi"/>
          <w:lang w:val="fr-FR"/>
        </w:rPr>
        <w:t>a</w:t>
      </w:r>
      <w:r w:rsidR="000E1AB1" w:rsidRPr="00A11220">
        <w:rPr>
          <w:rFonts w:asciiTheme="minorHAnsi" w:hAnsiTheme="minorHAnsi" w:cstheme="minorBidi"/>
          <w:lang w:val="fr-FR"/>
        </w:rPr>
        <w:t xml:space="preserve"> été partagée</w:t>
      </w:r>
      <w:r w:rsidR="00BA0368">
        <w:rPr>
          <w:rFonts w:asciiTheme="minorHAnsi" w:hAnsiTheme="minorHAnsi" w:cstheme="minorBidi"/>
          <w:lang w:val="fr-FR"/>
        </w:rPr>
        <w:t xml:space="preserve"> au cours de cette formation.</w:t>
      </w:r>
      <w:r w:rsidR="000E1AB1" w:rsidRPr="00A11220">
        <w:rPr>
          <w:rFonts w:asciiTheme="minorHAnsi" w:hAnsiTheme="minorHAnsi" w:cstheme="minorBidi"/>
          <w:lang w:val="fr-FR"/>
        </w:rPr>
        <w:t xml:space="preserve"> </w:t>
      </w:r>
      <w:r w:rsidR="00BA0368">
        <w:rPr>
          <w:rFonts w:asciiTheme="minorHAnsi" w:hAnsiTheme="minorHAnsi" w:cstheme="minorBidi"/>
          <w:lang w:val="fr-FR"/>
        </w:rPr>
        <w:t>Les discussions qui ont eu lieu lors de cette formation avaient pour objectif d</w:t>
      </w:r>
      <w:r w:rsidR="006F113B">
        <w:rPr>
          <w:rFonts w:asciiTheme="minorHAnsi" w:hAnsiTheme="minorHAnsi" w:cstheme="minorBidi"/>
          <w:lang w:val="fr-FR"/>
        </w:rPr>
        <w:t>’</w:t>
      </w:r>
      <w:r w:rsidR="00BA0368">
        <w:rPr>
          <w:rFonts w:asciiTheme="minorHAnsi" w:hAnsiTheme="minorHAnsi" w:cstheme="minorBidi"/>
          <w:lang w:val="fr-FR"/>
        </w:rPr>
        <w:t xml:space="preserve">aider à mieux cerner les difficultés et les entraves </w:t>
      </w:r>
      <w:r w:rsidR="00A11220" w:rsidRPr="00A11220">
        <w:rPr>
          <w:rFonts w:asciiTheme="minorHAnsi" w:hAnsiTheme="minorHAnsi" w:cstheme="minorBidi"/>
          <w:lang w:val="fr-FR"/>
        </w:rPr>
        <w:t>auxquel</w:t>
      </w:r>
      <w:r w:rsidR="00BA0368">
        <w:rPr>
          <w:rFonts w:asciiTheme="minorHAnsi" w:hAnsiTheme="minorHAnsi" w:cstheme="minorBidi"/>
          <w:lang w:val="fr-FR"/>
        </w:rPr>
        <w:t>le</w:t>
      </w:r>
      <w:r w:rsidR="00A11220" w:rsidRPr="00A11220">
        <w:rPr>
          <w:rFonts w:asciiTheme="minorHAnsi" w:hAnsiTheme="minorHAnsi" w:cstheme="minorBidi"/>
          <w:lang w:val="fr-FR"/>
        </w:rPr>
        <w:t>s s</w:t>
      </w:r>
      <w:r w:rsidR="00BA0368">
        <w:rPr>
          <w:rFonts w:asciiTheme="minorHAnsi" w:hAnsiTheme="minorHAnsi" w:cstheme="minorBidi"/>
          <w:lang w:val="fr-FR"/>
        </w:rPr>
        <w:t>e heurtent l</w:t>
      </w:r>
      <w:r w:rsidR="00A11220" w:rsidRPr="00A11220">
        <w:rPr>
          <w:rFonts w:asciiTheme="minorHAnsi" w:hAnsiTheme="minorHAnsi" w:cstheme="minorBidi"/>
          <w:lang w:val="fr-FR"/>
        </w:rPr>
        <w:t xml:space="preserve">es autorités nationales. Les </w:t>
      </w:r>
      <w:r w:rsidR="00BA0368">
        <w:rPr>
          <w:rFonts w:asciiTheme="minorHAnsi" w:hAnsiTheme="minorHAnsi" w:cstheme="minorBidi"/>
          <w:lang w:val="fr-FR"/>
        </w:rPr>
        <w:t>informations recueillies</w:t>
      </w:r>
      <w:r w:rsidR="00A11220" w:rsidRPr="00A11220">
        <w:rPr>
          <w:rFonts w:asciiTheme="minorHAnsi" w:hAnsiTheme="minorHAnsi" w:cstheme="minorBidi"/>
          <w:lang w:val="fr-FR"/>
        </w:rPr>
        <w:t xml:space="preserve"> </w:t>
      </w:r>
      <w:r w:rsidR="00BA0368">
        <w:rPr>
          <w:rFonts w:asciiTheme="minorHAnsi" w:hAnsiTheme="minorHAnsi" w:cstheme="minorBidi"/>
          <w:lang w:val="fr-FR"/>
        </w:rPr>
        <w:t>serviront à adapter</w:t>
      </w:r>
      <w:r w:rsidR="00A11220" w:rsidRPr="00A11220">
        <w:rPr>
          <w:rFonts w:asciiTheme="minorHAnsi" w:hAnsiTheme="minorHAnsi" w:cstheme="minorBidi"/>
          <w:lang w:val="fr-FR"/>
        </w:rPr>
        <w:t xml:space="preserve"> les documents d</w:t>
      </w:r>
      <w:r w:rsidR="006F113B">
        <w:rPr>
          <w:rFonts w:asciiTheme="minorHAnsi" w:hAnsiTheme="minorHAnsi" w:cstheme="minorBidi"/>
          <w:lang w:val="fr-FR"/>
        </w:rPr>
        <w:t>’</w:t>
      </w:r>
      <w:r w:rsidR="00A11220" w:rsidRPr="00A11220">
        <w:rPr>
          <w:rFonts w:asciiTheme="minorHAnsi" w:hAnsiTheme="minorHAnsi" w:cstheme="minorBidi"/>
          <w:lang w:val="fr-FR"/>
        </w:rPr>
        <w:t xml:space="preserve">orientation et les </w:t>
      </w:r>
      <w:r w:rsidR="0028427D">
        <w:rPr>
          <w:rFonts w:asciiTheme="minorHAnsi" w:hAnsiTheme="minorHAnsi" w:cstheme="minorBidi"/>
          <w:lang w:val="fr-FR"/>
        </w:rPr>
        <w:t xml:space="preserve">supports pédagogiques </w:t>
      </w:r>
      <w:r w:rsidR="00A11220" w:rsidRPr="00A11220">
        <w:rPr>
          <w:rFonts w:asciiTheme="minorHAnsi" w:hAnsiTheme="minorHAnsi" w:cstheme="minorBidi"/>
          <w:lang w:val="fr-FR"/>
        </w:rPr>
        <w:t>en cours d</w:t>
      </w:r>
      <w:r w:rsidR="006F113B">
        <w:rPr>
          <w:rFonts w:asciiTheme="minorHAnsi" w:hAnsiTheme="minorHAnsi" w:cstheme="minorBidi"/>
          <w:lang w:val="fr-FR"/>
        </w:rPr>
        <w:t>’</w:t>
      </w:r>
      <w:r w:rsidR="00A11220" w:rsidRPr="00A11220">
        <w:rPr>
          <w:rFonts w:asciiTheme="minorHAnsi" w:hAnsiTheme="minorHAnsi" w:cstheme="minorBidi"/>
          <w:lang w:val="fr-FR"/>
        </w:rPr>
        <w:t xml:space="preserve">élaboration </w:t>
      </w:r>
      <w:r w:rsidR="0028427D">
        <w:rPr>
          <w:rFonts w:asciiTheme="minorHAnsi" w:hAnsiTheme="minorHAnsi" w:cstheme="minorBidi"/>
          <w:lang w:val="fr-FR"/>
        </w:rPr>
        <w:t>afin d</w:t>
      </w:r>
      <w:r w:rsidR="006F113B">
        <w:rPr>
          <w:rFonts w:asciiTheme="minorHAnsi" w:hAnsiTheme="minorHAnsi" w:cstheme="minorBidi"/>
          <w:lang w:val="fr-FR"/>
        </w:rPr>
        <w:t>’</w:t>
      </w:r>
      <w:r w:rsidR="0028427D">
        <w:rPr>
          <w:rFonts w:asciiTheme="minorHAnsi" w:hAnsiTheme="minorHAnsi" w:cstheme="minorBidi"/>
          <w:lang w:val="fr-FR"/>
        </w:rPr>
        <w:t>aider à la réalisation des</w:t>
      </w:r>
      <w:r w:rsidR="00A11220" w:rsidRPr="00A11220">
        <w:rPr>
          <w:rFonts w:asciiTheme="minorHAnsi" w:hAnsiTheme="minorHAnsi" w:cstheme="minorBidi"/>
          <w:lang w:val="fr-FR"/>
        </w:rPr>
        <w:t xml:space="preserve"> IN</w:t>
      </w:r>
      <w:r w:rsidR="0028427D">
        <w:rPr>
          <w:rFonts w:asciiTheme="minorHAnsi" w:hAnsiTheme="minorHAnsi" w:cstheme="minorBidi"/>
          <w:lang w:val="fr-FR"/>
        </w:rPr>
        <w:t>ZH ; elles permettront également d</w:t>
      </w:r>
      <w:r w:rsidR="006F113B">
        <w:rPr>
          <w:rFonts w:asciiTheme="minorHAnsi" w:hAnsiTheme="minorHAnsi" w:cstheme="minorBidi"/>
          <w:lang w:val="fr-FR"/>
        </w:rPr>
        <w:t>’</w:t>
      </w:r>
      <w:r w:rsidR="0028427D">
        <w:rPr>
          <w:rFonts w:asciiTheme="minorHAnsi" w:hAnsiTheme="minorHAnsi" w:cstheme="minorBidi"/>
          <w:lang w:val="fr-FR"/>
        </w:rPr>
        <w:t xml:space="preserve">intégrer des </w:t>
      </w:r>
      <w:r w:rsidR="00A11220" w:rsidRPr="00A11220">
        <w:rPr>
          <w:rFonts w:asciiTheme="minorHAnsi" w:hAnsiTheme="minorHAnsi" w:cstheme="minorBidi"/>
          <w:lang w:val="fr-FR"/>
        </w:rPr>
        <w:t xml:space="preserve">études de cas. Le Secrétariat exprime </w:t>
      </w:r>
      <w:r w:rsidR="0028427D">
        <w:rPr>
          <w:rFonts w:asciiTheme="minorHAnsi" w:hAnsiTheme="minorHAnsi" w:cstheme="minorBidi"/>
          <w:lang w:val="fr-FR"/>
        </w:rPr>
        <w:t>toute sa reconnaissance</w:t>
      </w:r>
      <w:r w:rsidR="00A11220" w:rsidRPr="00A11220">
        <w:rPr>
          <w:rFonts w:asciiTheme="minorHAnsi" w:hAnsiTheme="minorHAnsi" w:cstheme="minorBidi"/>
          <w:lang w:val="fr-FR"/>
        </w:rPr>
        <w:t xml:space="preserve"> aux experts nationaux </w:t>
      </w:r>
      <w:r w:rsidR="0028427D">
        <w:rPr>
          <w:rFonts w:asciiTheme="minorHAnsi" w:hAnsiTheme="minorHAnsi" w:cstheme="minorBidi"/>
          <w:lang w:val="fr-FR"/>
        </w:rPr>
        <w:t>pour le</w:t>
      </w:r>
      <w:r w:rsidR="00A11220" w:rsidRPr="00A11220">
        <w:rPr>
          <w:rFonts w:asciiTheme="minorHAnsi" w:hAnsiTheme="minorHAnsi" w:cstheme="minorBidi"/>
          <w:lang w:val="fr-FR"/>
        </w:rPr>
        <w:t xml:space="preserve"> temps et </w:t>
      </w:r>
      <w:r w:rsidR="00C03287">
        <w:rPr>
          <w:rFonts w:asciiTheme="minorHAnsi" w:hAnsiTheme="minorHAnsi" w:cstheme="minorBidi"/>
          <w:lang w:val="fr-FR"/>
        </w:rPr>
        <w:t>l</w:t>
      </w:r>
      <w:r w:rsidR="006F113B">
        <w:rPr>
          <w:rFonts w:asciiTheme="minorHAnsi" w:hAnsiTheme="minorHAnsi" w:cstheme="minorBidi"/>
          <w:lang w:val="fr-FR"/>
        </w:rPr>
        <w:t>’</w:t>
      </w:r>
      <w:r w:rsidR="00C03287">
        <w:rPr>
          <w:rFonts w:asciiTheme="minorHAnsi" w:hAnsiTheme="minorHAnsi" w:cstheme="minorBidi"/>
          <w:lang w:val="fr-FR"/>
        </w:rPr>
        <w:t>aide accordés en la matière.</w:t>
      </w:r>
    </w:p>
    <w:p w14:paraId="25C8AFFE" w14:textId="77777777" w:rsidR="00A95AB2" w:rsidRPr="00CB55E1" w:rsidRDefault="00A95AB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</w:p>
    <w:p w14:paraId="2148E981" w14:textId="08C7CE86" w:rsidR="007B5F8E" w:rsidRPr="00CB55E1" w:rsidRDefault="00F50922" w:rsidP="00515D6A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5.</w:t>
      </w:r>
      <w:r w:rsidRPr="00CB55E1">
        <w:rPr>
          <w:rFonts w:asciiTheme="minorHAnsi" w:hAnsiTheme="minorHAnsi" w:cstheme="minorBidi"/>
          <w:lang w:val="fr-FR"/>
        </w:rPr>
        <w:tab/>
      </w:r>
      <w:r w:rsidR="00C03287" w:rsidRPr="00C03287">
        <w:rPr>
          <w:rFonts w:asciiTheme="minorHAnsi" w:hAnsiTheme="minorHAnsi" w:cstheme="minorBidi"/>
          <w:lang w:val="fr-FR"/>
        </w:rPr>
        <w:t xml:space="preserve">Les réponses des Parties contractantes aux six questions relatives à la </w:t>
      </w:r>
      <w:r w:rsidR="00C03287">
        <w:rPr>
          <w:rFonts w:asciiTheme="minorHAnsi" w:hAnsiTheme="minorHAnsi" w:cstheme="minorBidi"/>
          <w:lang w:val="fr-FR"/>
        </w:rPr>
        <w:t>réalisation</w:t>
      </w:r>
      <w:r w:rsidR="00C03287" w:rsidRPr="00C03287">
        <w:rPr>
          <w:rFonts w:asciiTheme="minorHAnsi" w:hAnsiTheme="minorHAnsi" w:cstheme="minorBidi"/>
          <w:lang w:val="fr-FR"/>
        </w:rPr>
        <w:t xml:space="preserve"> des </w:t>
      </w:r>
      <w:r w:rsidR="00C03287">
        <w:rPr>
          <w:rFonts w:asciiTheme="minorHAnsi" w:hAnsiTheme="minorHAnsi" w:cstheme="minorBidi"/>
          <w:lang w:val="fr-FR"/>
        </w:rPr>
        <w:t>INZH</w:t>
      </w:r>
      <w:r w:rsidR="00C03287" w:rsidRPr="00C03287">
        <w:rPr>
          <w:rFonts w:asciiTheme="minorHAnsi" w:hAnsiTheme="minorHAnsi" w:cstheme="minorBidi"/>
          <w:lang w:val="fr-FR"/>
        </w:rPr>
        <w:t xml:space="preserve"> </w:t>
      </w:r>
      <w:r w:rsidR="00C03287">
        <w:rPr>
          <w:rFonts w:asciiTheme="minorHAnsi" w:hAnsiTheme="minorHAnsi" w:cstheme="minorBidi"/>
          <w:lang w:val="fr-FR"/>
        </w:rPr>
        <w:t xml:space="preserve">qui figurent </w:t>
      </w:r>
      <w:r w:rsidR="00C03287" w:rsidRPr="00C03287">
        <w:rPr>
          <w:rFonts w:asciiTheme="minorHAnsi" w:hAnsiTheme="minorHAnsi" w:cstheme="minorBidi"/>
          <w:lang w:val="fr-FR"/>
        </w:rPr>
        <w:t xml:space="preserve">dans le formulaire de </w:t>
      </w:r>
      <w:r w:rsidR="00C03287">
        <w:rPr>
          <w:rFonts w:asciiTheme="minorHAnsi" w:hAnsiTheme="minorHAnsi" w:cstheme="minorBidi"/>
          <w:lang w:val="fr-FR"/>
        </w:rPr>
        <w:t>R</w:t>
      </w:r>
      <w:r w:rsidR="00C03287" w:rsidRPr="00C03287">
        <w:rPr>
          <w:rFonts w:asciiTheme="minorHAnsi" w:hAnsiTheme="minorHAnsi" w:cstheme="minorBidi"/>
          <w:lang w:val="fr-FR"/>
        </w:rPr>
        <w:t>apport national</w:t>
      </w:r>
      <w:r w:rsidR="00C03287" w:rsidRPr="00CB55E1">
        <w:rPr>
          <w:rFonts w:cstheme="minorBidi"/>
          <w:vertAlign w:val="superscript"/>
          <w:lang w:val="fr-FR"/>
        </w:rPr>
        <w:footnoteReference w:id="5"/>
      </w:r>
      <w:r w:rsidR="00C03287" w:rsidRPr="00C03287">
        <w:rPr>
          <w:rFonts w:asciiTheme="minorHAnsi" w:hAnsiTheme="minorHAnsi" w:cstheme="minorBidi"/>
          <w:lang w:val="fr-FR"/>
        </w:rPr>
        <w:t xml:space="preserve"> </w:t>
      </w:r>
      <w:r w:rsidR="00C03287">
        <w:rPr>
          <w:rFonts w:asciiTheme="minorHAnsi" w:hAnsiTheme="minorHAnsi" w:cstheme="minorBidi"/>
          <w:lang w:val="fr-FR"/>
        </w:rPr>
        <w:t>donneront au</w:t>
      </w:r>
      <w:r w:rsidR="00C03287" w:rsidRPr="00C03287">
        <w:rPr>
          <w:rFonts w:asciiTheme="minorHAnsi" w:hAnsiTheme="minorHAnsi" w:cstheme="minorBidi"/>
          <w:lang w:val="fr-FR"/>
        </w:rPr>
        <w:t xml:space="preserve"> Secrétariat </w:t>
      </w:r>
      <w:r w:rsidR="00C03287">
        <w:rPr>
          <w:rFonts w:asciiTheme="minorHAnsi" w:hAnsiTheme="minorHAnsi" w:cstheme="minorBidi"/>
          <w:lang w:val="fr-FR"/>
        </w:rPr>
        <w:t>des indications sur</w:t>
      </w:r>
      <w:r w:rsidR="00C03287" w:rsidRPr="00C03287">
        <w:rPr>
          <w:rFonts w:asciiTheme="minorHAnsi" w:hAnsiTheme="minorHAnsi" w:cstheme="minorBidi"/>
          <w:lang w:val="fr-FR"/>
        </w:rPr>
        <w:t xml:space="preserve"> l</w:t>
      </w:r>
      <w:r w:rsidR="006F113B">
        <w:rPr>
          <w:rFonts w:asciiTheme="minorHAnsi" w:hAnsiTheme="minorHAnsi" w:cstheme="minorBidi"/>
          <w:lang w:val="fr-FR"/>
        </w:rPr>
        <w:t>’</w:t>
      </w:r>
      <w:r w:rsidR="00C03287" w:rsidRPr="00C03287">
        <w:rPr>
          <w:rFonts w:asciiTheme="minorHAnsi" w:hAnsiTheme="minorHAnsi" w:cstheme="minorBidi"/>
          <w:lang w:val="fr-FR"/>
        </w:rPr>
        <w:t xml:space="preserve">état </w:t>
      </w:r>
      <w:r w:rsidR="00C03287">
        <w:rPr>
          <w:rFonts w:asciiTheme="minorHAnsi" w:hAnsiTheme="minorHAnsi" w:cstheme="minorBidi"/>
          <w:lang w:val="fr-FR"/>
        </w:rPr>
        <w:t>d</w:t>
      </w:r>
      <w:r w:rsidR="006F113B">
        <w:rPr>
          <w:rFonts w:asciiTheme="minorHAnsi" w:hAnsiTheme="minorHAnsi" w:cstheme="minorBidi"/>
          <w:lang w:val="fr-FR"/>
        </w:rPr>
        <w:t>’</w:t>
      </w:r>
      <w:r w:rsidR="00C03287">
        <w:rPr>
          <w:rFonts w:asciiTheme="minorHAnsi" w:hAnsiTheme="minorHAnsi" w:cstheme="minorBidi"/>
          <w:lang w:val="fr-FR"/>
        </w:rPr>
        <w:t>avancement d</w:t>
      </w:r>
      <w:r w:rsidR="00C03287" w:rsidRPr="00C03287">
        <w:rPr>
          <w:rFonts w:asciiTheme="minorHAnsi" w:hAnsiTheme="minorHAnsi" w:cstheme="minorBidi"/>
          <w:lang w:val="fr-FR"/>
        </w:rPr>
        <w:t xml:space="preserve">es </w:t>
      </w:r>
      <w:r w:rsidR="00C03287">
        <w:rPr>
          <w:rFonts w:asciiTheme="minorHAnsi" w:hAnsiTheme="minorHAnsi" w:cstheme="minorBidi"/>
          <w:lang w:val="fr-FR"/>
        </w:rPr>
        <w:t>INZH</w:t>
      </w:r>
      <w:r w:rsidR="00C03287" w:rsidRPr="00C03287">
        <w:rPr>
          <w:rFonts w:asciiTheme="minorHAnsi" w:hAnsiTheme="minorHAnsi" w:cstheme="minorBidi"/>
          <w:lang w:val="fr-FR"/>
        </w:rPr>
        <w:t xml:space="preserve"> dans les différentes régions et fourniront des </w:t>
      </w:r>
      <w:r w:rsidR="00C03287">
        <w:rPr>
          <w:rFonts w:asciiTheme="minorHAnsi" w:hAnsiTheme="minorHAnsi" w:cstheme="minorBidi"/>
          <w:lang w:val="fr-FR"/>
        </w:rPr>
        <w:t xml:space="preserve">données chiffrées </w:t>
      </w:r>
      <w:r w:rsidR="00C03287" w:rsidRPr="00C03287">
        <w:rPr>
          <w:rFonts w:asciiTheme="minorHAnsi" w:hAnsiTheme="minorHAnsi" w:cstheme="minorBidi"/>
          <w:lang w:val="fr-FR"/>
        </w:rPr>
        <w:t>sur l</w:t>
      </w:r>
      <w:r w:rsidR="006F113B">
        <w:rPr>
          <w:rFonts w:asciiTheme="minorHAnsi" w:hAnsiTheme="minorHAnsi" w:cstheme="minorBidi"/>
          <w:lang w:val="fr-FR"/>
        </w:rPr>
        <w:t>’</w:t>
      </w:r>
      <w:r w:rsidR="00C03287" w:rsidRPr="00C03287">
        <w:rPr>
          <w:rFonts w:asciiTheme="minorHAnsi" w:hAnsiTheme="minorHAnsi" w:cstheme="minorBidi"/>
          <w:lang w:val="fr-FR"/>
        </w:rPr>
        <w:t xml:space="preserve">étendue des zones humides </w:t>
      </w:r>
      <w:r w:rsidR="00C03287">
        <w:rPr>
          <w:rFonts w:asciiTheme="minorHAnsi" w:hAnsiTheme="minorHAnsi" w:cstheme="minorBidi"/>
          <w:lang w:val="fr-FR"/>
        </w:rPr>
        <w:t>par pays</w:t>
      </w:r>
      <w:r w:rsidR="00C03287" w:rsidRPr="00C03287">
        <w:rPr>
          <w:rFonts w:asciiTheme="minorHAnsi" w:hAnsiTheme="minorHAnsi" w:cstheme="minorBidi"/>
          <w:lang w:val="fr-FR"/>
        </w:rPr>
        <w:t>, selon les trois catégories suivantes : zones humides intérieures, zones humides côtières</w:t>
      </w:r>
      <w:r w:rsidR="00C03287">
        <w:rPr>
          <w:rFonts w:asciiTheme="minorHAnsi" w:hAnsiTheme="minorHAnsi" w:cstheme="minorBidi"/>
          <w:lang w:val="fr-FR"/>
        </w:rPr>
        <w:t xml:space="preserve"> et</w:t>
      </w:r>
      <w:r w:rsidR="00C03287" w:rsidRPr="00C03287">
        <w:rPr>
          <w:rFonts w:asciiTheme="minorHAnsi" w:hAnsiTheme="minorHAnsi" w:cstheme="minorBidi"/>
          <w:lang w:val="fr-FR"/>
        </w:rPr>
        <w:t xml:space="preserve"> zones humides artificielles</w:t>
      </w:r>
      <w:r w:rsidR="00C03287" w:rsidRPr="00CB55E1">
        <w:rPr>
          <w:vertAlign w:val="superscript"/>
          <w:lang w:val="fr-FR"/>
        </w:rPr>
        <w:footnoteReference w:id="6"/>
      </w:r>
      <w:r w:rsidR="00C03287" w:rsidRPr="00C03287">
        <w:rPr>
          <w:rFonts w:asciiTheme="minorHAnsi" w:hAnsiTheme="minorHAnsi" w:cstheme="minorBidi"/>
          <w:lang w:val="fr-FR"/>
        </w:rPr>
        <w:t xml:space="preserve">. </w:t>
      </w:r>
      <w:r w:rsidR="00C03287">
        <w:rPr>
          <w:rFonts w:asciiTheme="minorHAnsi" w:hAnsiTheme="minorHAnsi" w:cstheme="minorBidi"/>
          <w:lang w:val="fr-FR"/>
        </w:rPr>
        <w:t>C</w:t>
      </w:r>
      <w:r w:rsidR="00C03287" w:rsidRPr="00C03287">
        <w:rPr>
          <w:rFonts w:asciiTheme="minorHAnsi" w:hAnsiTheme="minorHAnsi" w:cstheme="minorBidi"/>
          <w:lang w:val="fr-FR"/>
        </w:rPr>
        <w:t xml:space="preserve">es rapports fourniront également des informations </w:t>
      </w:r>
      <w:r w:rsidR="006F113B">
        <w:rPr>
          <w:rFonts w:asciiTheme="minorHAnsi" w:hAnsiTheme="minorHAnsi" w:cstheme="minorBidi"/>
          <w:lang w:val="fr-FR"/>
        </w:rPr>
        <w:t>com</w:t>
      </w:r>
      <w:r w:rsidR="00C03287" w:rsidRPr="00C03287">
        <w:rPr>
          <w:rFonts w:asciiTheme="minorHAnsi" w:hAnsiTheme="minorHAnsi" w:cstheme="minorBidi"/>
          <w:lang w:val="fr-FR"/>
        </w:rPr>
        <w:t xml:space="preserve">plémentaires sur les progrès </w:t>
      </w:r>
      <w:r w:rsidR="00515D6A">
        <w:rPr>
          <w:rFonts w:asciiTheme="minorHAnsi" w:hAnsiTheme="minorHAnsi" w:cstheme="minorBidi"/>
          <w:lang w:val="fr-FR"/>
        </w:rPr>
        <w:t xml:space="preserve">accomplis </w:t>
      </w:r>
      <w:r w:rsidR="00515D6A" w:rsidRPr="00C03287">
        <w:rPr>
          <w:rFonts w:asciiTheme="minorHAnsi" w:hAnsiTheme="minorHAnsi" w:cstheme="minorBidi"/>
          <w:lang w:val="fr-FR"/>
        </w:rPr>
        <w:t xml:space="preserve">par les </w:t>
      </w:r>
      <w:r w:rsidR="006F113B">
        <w:rPr>
          <w:rFonts w:asciiTheme="minorHAnsi" w:hAnsiTheme="minorHAnsi" w:cstheme="minorBidi"/>
          <w:lang w:val="fr-FR"/>
        </w:rPr>
        <w:t>P</w:t>
      </w:r>
      <w:r w:rsidR="00515D6A" w:rsidRPr="00C03287">
        <w:rPr>
          <w:rFonts w:asciiTheme="minorHAnsi" w:hAnsiTheme="minorHAnsi" w:cstheme="minorBidi"/>
          <w:lang w:val="fr-FR"/>
        </w:rPr>
        <w:t xml:space="preserve">arties contractantes </w:t>
      </w:r>
      <w:r w:rsidR="00C03287" w:rsidRPr="00C03287">
        <w:rPr>
          <w:rFonts w:asciiTheme="minorHAnsi" w:hAnsiTheme="minorHAnsi" w:cstheme="minorBidi"/>
          <w:lang w:val="fr-FR"/>
        </w:rPr>
        <w:t xml:space="preserve">et les lacunes </w:t>
      </w:r>
      <w:r w:rsidR="00515D6A">
        <w:rPr>
          <w:rFonts w:asciiTheme="minorHAnsi" w:hAnsiTheme="minorHAnsi" w:cstheme="minorBidi"/>
          <w:lang w:val="fr-FR"/>
        </w:rPr>
        <w:t>qu</w:t>
      </w:r>
      <w:r w:rsidR="006F113B">
        <w:rPr>
          <w:rFonts w:asciiTheme="minorHAnsi" w:hAnsiTheme="minorHAnsi" w:cstheme="minorBidi"/>
          <w:lang w:val="fr-FR"/>
        </w:rPr>
        <w:t>’</w:t>
      </w:r>
      <w:r w:rsidR="00515D6A">
        <w:rPr>
          <w:rFonts w:asciiTheme="minorHAnsi" w:hAnsiTheme="minorHAnsi" w:cstheme="minorBidi"/>
          <w:lang w:val="fr-FR"/>
        </w:rPr>
        <w:t>il reste à combler</w:t>
      </w:r>
      <w:r w:rsidR="00C03287" w:rsidRPr="00C03287">
        <w:rPr>
          <w:rFonts w:asciiTheme="minorHAnsi" w:hAnsiTheme="minorHAnsi" w:cstheme="minorBidi"/>
          <w:lang w:val="fr-FR"/>
        </w:rPr>
        <w:t>. L</w:t>
      </w:r>
      <w:r w:rsidR="006F113B">
        <w:rPr>
          <w:rFonts w:asciiTheme="minorHAnsi" w:hAnsiTheme="minorHAnsi" w:cstheme="minorBidi"/>
          <w:lang w:val="fr-FR"/>
        </w:rPr>
        <w:t>’</w:t>
      </w:r>
      <w:r w:rsidR="00C03287" w:rsidRPr="00C03287">
        <w:rPr>
          <w:rFonts w:asciiTheme="minorHAnsi" w:hAnsiTheme="minorHAnsi" w:cstheme="minorBidi"/>
          <w:lang w:val="fr-FR"/>
        </w:rPr>
        <w:t>analyse des réponses sera communiquée à la 15</w:t>
      </w:r>
      <w:r w:rsidR="00515D6A" w:rsidRPr="00515D6A">
        <w:rPr>
          <w:rFonts w:asciiTheme="minorHAnsi" w:hAnsiTheme="minorHAnsi" w:cstheme="minorBidi"/>
          <w:vertAlign w:val="superscript"/>
          <w:lang w:val="fr-FR"/>
        </w:rPr>
        <w:t>e</w:t>
      </w:r>
      <w:r w:rsidR="00515D6A">
        <w:rPr>
          <w:rFonts w:asciiTheme="minorHAnsi" w:hAnsiTheme="minorHAnsi" w:cstheme="minorBidi"/>
          <w:lang w:val="fr-FR"/>
        </w:rPr>
        <w:t xml:space="preserve"> </w:t>
      </w:r>
      <w:r w:rsidR="00C03287" w:rsidRPr="00C03287">
        <w:rPr>
          <w:rFonts w:asciiTheme="minorHAnsi" w:hAnsiTheme="minorHAnsi" w:cstheme="minorBidi"/>
          <w:lang w:val="fr-FR"/>
        </w:rPr>
        <w:t xml:space="preserve">session de la Conférence des </w:t>
      </w:r>
      <w:r w:rsidR="00515D6A">
        <w:rPr>
          <w:rFonts w:asciiTheme="minorHAnsi" w:hAnsiTheme="minorHAnsi" w:cstheme="minorBidi"/>
          <w:lang w:val="fr-FR"/>
        </w:rPr>
        <w:t>P</w:t>
      </w:r>
      <w:r w:rsidR="00C03287" w:rsidRPr="00C03287">
        <w:rPr>
          <w:rFonts w:asciiTheme="minorHAnsi" w:hAnsiTheme="minorHAnsi" w:cstheme="minorBidi"/>
          <w:lang w:val="fr-FR"/>
        </w:rPr>
        <w:t>arties contractantes (COP15).</w:t>
      </w:r>
    </w:p>
    <w:p w14:paraId="62B77EEC" w14:textId="77777777" w:rsidR="00953816" w:rsidRPr="00CB55E1" w:rsidRDefault="00953816" w:rsidP="00024CA3">
      <w:pPr>
        <w:autoSpaceDE w:val="0"/>
        <w:autoSpaceDN w:val="0"/>
        <w:adjustRightInd w:val="0"/>
        <w:ind w:left="0" w:firstLine="0"/>
        <w:rPr>
          <w:lang w:val="fr-FR"/>
        </w:rPr>
      </w:pPr>
    </w:p>
    <w:p w14:paraId="04A0CF3D" w14:textId="1C8417A7" w:rsidR="00744E7F" w:rsidRPr="00CB55E1" w:rsidRDefault="00F97959" w:rsidP="00744E7F">
      <w:pPr>
        <w:rPr>
          <w:bCs/>
          <w:u w:val="single"/>
          <w:lang w:val="fr-FR"/>
        </w:rPr>
      </w:pPr>
      <w:r>
        <w:rPr>
          <w:bCs/>
          <w:u w:val="single"/>
          <w:lang w:val="fr-FR"/>
        </w:rPr>
        <w:t>Élaboration de nouvelles orientations</w:t>
      </w:r>
    </w:p>
    <w:p w14:paraId="283B02EC" w14:textId="77777777" w:rsidR="00744E7F" w:rsidRPr="00CB55E1" w:rsidRDefault="00744E7F" w:rsidP="00744E7F">
      <w:pPr>
        <w:rPr>
          <w:lang w:val="fr-FR"/>
        </w:rPr>
      </w:pPr>
    </w:p>
    <w:p w14:paraId="449DCBBC" w14:textId="5EBF1ED5" w:rsidR="002D74CE" w:rsidRPr="00CB55E1" w:rsidRDefault="00F50922" w:rsidP="00D43CE8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6.</w:t>
      </w:r>
      <w:r w:rsidRPr="00CB55E1">
        <w:rPr>
          <w:rFonts w:asciiTheme="minorHAnsi" w:hAnsiTheme="minorHAnsi" w:cstheme="minorBidi"/>
          <w:lang w:val="fr-FR"/>
        </w:rPr>
        <w:tab/>
      </w:r>
      <w:r w:rsidR="00C0035F">
        <w:rPr>
          <w:rFonts w:asciiTheme="minorHAnsi" w:hAnsiTheme="minorHAnsi" w:cstheme="minorBidi"/>
          <w:lang w:val="fr-FR"/>
        </w:rPr>
        <w:t>De nouvelles orientations</w:t>
      </w:r>
      <w:r w:rsidR="00C0035F" w:rsidRPr="00C0035F">
        <w:rPr>
          <w:rFonts w:asciiTheme="minorHAnsi" w:hAnsiTheme="minorHAnsi" w:cstheme="minorBidi"/>
          <w:lang w:val="fr-FR"/>
        </w:rPr>
        <w:t xml:space="preserve"> sur trois </w:t>
      </w:r>
      <w:r w:rsidR="00C0035F">
        <w:rPr>
          <w:rFonts w:asciiTheme="minorHAnsi" w:hAnsiTheme="minorHAnsi" w:cstheme="minorBidi"/>
          <w:lang w:val="fr-FR"/>
        </w:rPr>
        <w:t>thèmes</w:t>
      </w:r>
      <w:r w:rsidR="00C0035F" w:rsidRPr="00C0035F">
        <w:rPr>
          <w:rFonts w:asciiTheme="minorHAnsi" w:hAnsiTheme="minorHAnsi" w:cstheme="minorBidi"/>
          <w:lang w:val="fr-FR"/>
        </w:rPr>
        <w:t xml:space="preserve"> prioritaires </w:t>
      </w:r>
      <w:r w:rsidR="00C0035F">
        <w:rPr>
          <w:rFonts w:asciiTheme="minorHAnsi" w:hAnsiTheme="minorHAnsi" w:cstheme="minorBidi"/>
          <w:lang w:val="fr-FR"/>
        </w:rPr>
        <w:t>sont e</w:t>
      </w:r>
      <w:r w:rsidR="00C0035F" w:rsidRPr="00C0035F">
        <w:rPr>
          <w:rFonts w:asciiTheme="minorHAnsi" w:hAnsiTheme="minorHAnsi" w:cstheme="minorBidi"/>
          <w:lang w:val="fr-FR"/>
        </w:rPr>
        <w:t>n cours</w:t>
      </w:r>
      <w:r w:rsidR="00C0035F">
        <w:rPr>
          <w:rFonts w:asciiTheme="minorHAnsi" w:hAnsiTheme="minorHAnsi" w:cstheme="minorBidi"/>
          <w:lang w:val="fr-FR"/>
        </w:rPr>
        <w:t xml:space="preserve"> d</w:t>
      </w:r>
      <w:r w:rsidR="006F113B">
        <w:rPr>
          <w:rFonts w:asciiTheme="minorHAnsi" w:hAnsiTheme="minorHAnsi" w:cstheme="minorBidi"/>
          <w:lang w:val="fr-FR"/>
        </w:rPr>
        <w:t>’</w:t>
      </w:r>
      <w:r w:rsidR="00C0035F">
        <w:rPr>
          <w:rFonts w:asciiTheme="minorHAnsi" w:hAnsiTheme="minorHAnsi" w:cstheme="minorBidi"/>
          <w:lang w:val="fr-FR"/>
        </w:rPr>
        <w:t>élaboration</w:t>
      </w:r>
      <w:r w:rsidR="00C0035F" w:rsidRPr="00C0035F">
        <w:rPr>
          <w:rFonts w:asciiTheme="minorHAnsi" w:hAnsiTheme="minorHAnsi" w:cstheme="minorBidi"/>
          <w:lang w:val="fr-FR"/>
        </w:rPr>
        <w:t>, avec l</w:t>
      </w:r>
      <w:r w:rsidR="006F113B">
        <w:rPr>
          <w:rFonts w:asciiTheme="minorHAnsi" w:hAnsiTheme="minorHAnsi" w:cstheme="minorBidi"/>
          <w:lang w:val="fr-FR"/>
        </w:rPr>
        <w:t>’</w:t>
      </w:r>
      <w:r w:rsidR="00C0035F" w:rsidRPr="00C0035F">
        <w:rPr>
          <w:rFonts w:asciiTheme="minorHAnsi" w:hAnsiTheme="minorHAnsi" w:cstheme="minorBidi"/>
          <w:lang w:val="fr-FR"/>
        </w:rPr>
        <w:t xml:space="preserve">aide de consultants experts </w:t>
      </w:r>
      <w:r w:rsidR="00D43CE8">
        <w:rPr>
          <w:rFonts w:asciiTheme="minorHAnsi" w:hAnsiTheme="minorHAnsi" w:cstheme="minorBidi"/>
          <w:lang w:val="fr-FR"/>
        </w:rPr>
        <w:t>engag</w:t>
      </w:r>
      <w:r w:rsidR="00C0035F" w:rsidRPr="00C0035F">
        <w:rPr>
          <w:rFonts w:asciiTheme="minorHAnsi" w:hAnsiTheme="minorHAnsi" w:cstheme="minorBidi"/>
          <w:lang w:val="fr-FR"/>
        </w:rPr>
        <w:t>és en juin</w:t>
      </w:r>
      <w:r w:rsidR="00D43CE8">
        <w:rPr>
          <w:rFonts w:asciiTheme="minorHAnsi" w:hAnsiTheme="minorHAnsi" w:cstheme="minorBidi"/>
          <w:lang w:val="fr-FR"/>
        </w:rPr>
        <w:t> </w:t>
      </w:r>
      <w:r w:rsidR="00C0035F" w:rsidRPr="00C0035F">
        <w:rPr>
          <w:rFonts w:asciiTheme="minorHAnsi" w:hAnsiTheme="minorHAnsi" w:cstheme="minorBidi"/>
          <w:lang w:val="fr-FR"/>
        </w:rPr>
        <w:t>2022.</w:t>
      </w:r>
      <w:r w:rsidR="00D43CE8" w:rsidRPr="00CB55E1">
        <w:rPr>
          <w:vertAlign w:val="superscript"/>
          <w:lang w:val="fr-FR"/>
        </w:rPr>
        <w:footnoteReference w:id="7"/>
      </w:r>
      <w:r w:rsidR="00D43CE8" w:rsidRPr="00CB55E1">
        <w:rPr>
          <w:rFonts w:asciiTheme="minorHAnsi" w:hAnsiTheme="minorHAnsi" w:cstheme="minorBidi"/>
          <w:lang w:val="fr-FR"/>
        </w:rPr>
        <w:t xml:space="preserve"> </w:t>
      </w:r>
      <w:r w:rsidR="00C0035F" w:rsidRPr="00C0035F">
        <w:rPr>
          <w:rFonts w:asciiTheme="minorHAnsi" w:hAnsiTheme="minorHAnsi" w:cstheme="minorBidi"/>
          <w:lang w:val="fr-FR"/>
        </w:rPr>
        <w:t xml:space="preserve">Ces priorités ont été présentées </w:t>
      </w:r>
      <w:r w:rsidR="00D43CE8">
        <w:rPr>
          <w:rFonts w:asciiTheme="minorHAnsi" w:hAnsiTheme="minorHAnsi" w:cstheme="minorBidi"/>
          <w:lang w:val="fr-FR"/>
        </w:rPr>
        <w:t>à la 63</w:t>
      </w:r>
      <w:r w:rsidR="00D43CE8" w:rsidRPr="00D43CE8">
        <w:rPr>
          <w:rFonts w:asciiTheme="minorHAnsi" w:hAnsiTheme="minorHAnsi" w:cstheme="minorBidi"/>
          <w:vertAlign w:val="superscript"/>
          <w:lang w:val="fr-FR"/>
        </w:rPr>
        <w:t>e</w:t>
      </w:r>
      <w:r w:rsidR="00D43CE8">
        <w:rPr>
          <w:rFonts w:asciiTheme="minorHAnsi" w:hAnsiTheme="minorHAnsi" w:cstheme="minorBidi"/>
          <w:lang w:val="fr-FR"/>
        </w:rPr>
        <w:t xml:space="preserve"> réunion du Comité permanent </w:t>
      </w:r>
      <w:r w:rsidR="00C0035F" w:rsidRPr="00C0035F">
        <w:rPr>
          <w:rFonts w:asciiTheme="minorHAnsi" w:hAnsiTheme="minorHAnsi" w:cstheme="minorBidi"/>
          <w:lang w:val="fr-FR"/>
        </w:rPr>
        <w:t xml:space="preserve">et </w:t>
      </w:r>
      <w:r w:rsidR="00D43CE8">
        <w:rPr>
          <w:rFonts w:asciiTheme="minorHAnsi" w:hAnsiTheme="minorHAnsi" w:cstheme="minorBidi"/>
          <w:lang w:val="fr-FR"/>
        </w:rPr>
        <w:t>définies</w:t>
      </w:r>
      <w:r w:rsidR="00C0035F" w:rsidRPr="00C0035F">
        <w:rPr>
          <w:rFonts w:asciiTheme="minorHAnsi" w:hAnsiTheme="minorHAnsi" w:cstheme="minorBidi"/>
          <w:lang w:val="fr-FR"/>
        </w:rPr>
        <w:t xml:space="preserve"> sur la base d</w:t>
      </w:r>
      <w:r w:rsidR="006F113B">
        <w:rPr>
          <w:rFonts w:asciiTheme="minorHAnsi" w:hAnsiTheme="minorHAnsi" w:cstheme="minorBidi"/>
          <w:lang w:val="fr-FR"/>
        </w:rPr>
        <w:t>’</w:t>
      </w:r>
      <w:r w:rsidR="00C0035F" w:rsidRPr="00C0035F">
        <w:rPr>
          <w:rFonts w:asciiTheme="minorHAnsi" w:hAnsiTheme="minorHAnsi" w:cstheme="minorBidi"/>
          <w:lang w:val="fr-FR"/>
        </w:rPr>
        <w:t xml:space="preserve">un examen des orientations existantes </w:t>
      </w:r>
      <w:r w:rsidR="00D43CE8">
        <w:rPr>
          <w:rFonts w:asciiTheme="minorHAnsi" w:hAnsiTheme="minorHAnsi" w:cstheme="minorBidi"/>
          <w:lang w:val="fr-FR"/>
        </w:rPr>
        <w:t>en matière d</w:t>
      </w:r>
      <w:r w:rsidR="006F113B">
        <w:rPr>
          <w:rFonts w:asciiTheme="minorHAnsi" w:hAnsiTheme="minorHAnsi" w:cstheme="minorBidi"/>
          <w:lang w:val="fr-FR"/>
        </w:rPr>
        <w:t>’</w:t>
      </w:r>
      <w:r w:rsidR="00D43CE8">
        <w:rPr>
          <w:rFonts w:asciiTheme="minorHAnsi" w:hAnsiTheme="minorHAnsi" w:cstheme="minorBidi"/>
          <w:lang w:val="fr-FR"/>
        </w:rPr>
        <w:t>INZH</w:t>
      </w:r>
      <w:r w:rsidR="00C0035F" w:rsidRPr="00C0035F">
        <w:rPr>
          <w:rFonts w:asciiTheme="minorHAnsi" w:hAnsiTheme="minorHAnsi" w:cstheme="minorBidi"/>
          <w:lang w:val="fr-FR"/>
        </w:rPr>
        <w:t xml:space="preserve"> et d</w:t>
      </w:r>
      <w:r w:rsidR="006F113B">
        <w:rPr>
          <w:rFonts w:asciiTheme="minorHAnsi" w:hAnsiTheme="minorHAnsi" w:cstheme="minorBidi"/>
          <w:lang w:val="fr-FR"/>
        </w:rPr>
        <w:t>’</w:t>
      </w:r>
      <w:r w:rsidR="00C0035F" w:rsidRPr="00C0035F">
        <w:rPr>
          <w:rFonts w:asciiTheme="minorHAnsi" w:hAnsiTheme="minorHAnsi" w:cstheme="minorBidi"/>
          <w:lang w:val="fr-FR"/>
        </w:rPr>
        <w:t xml:space="preserve">entretiens avec les </w:t>
      </w:r>
      <w:r w:rsidR="00D43CE8">
        <w:rPr>
          <w:rFonts w:asciiTheme="minorHAnsi" w:hAnsiTheme="minorHAnsi" w:cstheme="minorBidi"/>
          <w:lang w:val="fr-FR"/>
        </w:rPr>
        <w:t>P</w:t>
      </w:r>
      <w:r w:rsidR="00C0035F" w:rsidRPr="00C0035F">
        <w:rPr>
          <w:rFonts w:asciiTheme="minorHAnsi" w:hAnsiTheme="minorHAnsi" w:cstheme="minorBidi"/>
          <w:lang w:val="fr-FR"/>
        </w:rPr>
        <w:t xml:space="preserve">arties contractantes </w:t>
      </w:r>
      <w:r w:rsidR="00D43CE8">
        <w:rPr>
          <w:rFonts w:asciiTheme="minorHAnsi" w:hAnsiTheme="minorHAnsi" w:cstheme="minorBidi"/>
          <w:lang w:val="fr-FR"/>
        </w:rPr>
        <w:t xml:space="preserve">réalisés </w:t>
      </w:r>
      <w:r w:rsidR="00C0035F" w:rsidRPr="00C0035F">
        <w:rPr>
          <w:rFonts w:asciiTheme="minorHAnsi" w:hAnsiTheme="minorHAnsi" w:cstheme="minorBidi"/>
          <w:lang w:val="fr-FR"/>
        </w:rPr>
        <w:t>au cours du dernier trimestre 2023</w:t>
      </w:r>
      <w:r w:rsidR="00945FD5" w:rsidRPr="00CB55E1">
        <w:rPr>
          <w:rFonts w:asciiTheme="minorHAnsi" w:hAnsiTheme="minorHAnsi" w:cstheme="minorBidi"/>
          <w:lang w:val="fr-FR"/>
        </w:rPr>
        <w:t>.</w:t>
      </w:r>
    </w:p>
    <w:p w14:paraId="64BD3495" w14:textId="77777777" w:rsidR="002D74CE" w:rsidRPr="00CB55E1" w:rsidRDefault="002D74CE" w:rsidP="002D74CE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fr-FR"/>
        </w:rPr>
      </w:pPr>
    </w:p>
    <w:p w14:paraId="5B126982" w14:textId="5786BC7D" w:rsidR="00AF19A6" w:rsidRPr="00EE44BE" w:rsidRDefault="00D03F4B" w:rsidP="00EE44BE">
      <w:pPr>
        <w:pStyle w:val="ListParagraph"/>
        <w:autoSpaceDE w:val="0"/>
        <w:autoSpaceDN w:val="0"/>
        <w:adjustRightInd w:val="0"/>
        <w:ind w:left="851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a</w:t>
      </w:r>
      <w:r w:rsidR="00156DB4" w:rsidRPr="00CB55E1">
        <w:rPr>
          <w:rFonts w:asciiTheme="minorHAnsi" w:hAnsiTheme="minorHAnsi" w:cstheme="minorBidi"/>
          <w:lang w:val="fr-FR"/>
        </w:rPr>
        <w:t>.</w:t>
      </w:r>
      <w:r w:rsidR="00156DB4" w:rsidRPr="00CB55E1">
        <w:rPr>
          <w:rFonts w:asciiTheme="minorHAnsi" w:hAnsiTheme="minorHAnsi" w:cstheme="minorBidi"/>
          <w:lang w:val="fr-FR"/>
        </w:rPr>
        <w:tab/>
      </w:r>
      <w:r w:rsidR="003E4F75" w:rsidRPr="00B8721C">
        <w:rPr>
          <w:rFonts w:asciiTheme="minorHAnsi" w:hAnsiTheme="minorHAnsi" w:cstheme="minorBidi"/>
          <w:lang w:val="fr-FR"/>
        </w:rPr>
        <w:t>Le document d</w:t>
      </w:r>
      <w:r w:rsidR="006F113B">
        <w:rPr>
          <w:rFonts w:asciiTheme="minorHAnsi" w:hAnsiTheme="minorHAnsi" w:cstheme="minorBidi"/>
          <w:lang w:val="fr-FR"/>
        </w:rPr>
        <w:t>’</w:t>
      </w:r>
      <w:r w:rsidR="003E4F75" w:rsidRPr="00B8721C">
        <w:rPr>
          <w:rFonts w:asciiTheme="minorHAnsi" w:hAnsiTheme="minorHAnsi" w:cstheme="minorBidi"/>
          <w:lang w:val="fr-FR"/>
        </w:rPr>
        <w:t xml:space="preserve">orientation sur les </w:t>
      </w:r>
      <w:r w:rsidR="003E4F75">
        <w:rPr>
          <w:rFonts w:asciiTheme="minorHAnsi" w:hAnsiTheme="minorHAnsi" w:cstheme="minorBidi"/>
          <w:lang w:val="fr-FR"/>
        </w:rPr>
        <w:t>« </w:t>
      </w:r>
      <w:r w:rsidR="003E4F75" w:rsidRPr="00B8721C">
        <w:rPr>
          <w:rFonts w:asciiTheme="minorHAnsi" w:hAnsiTheme="minorHAnsi" w:cstheme="minorBidi"/>
          <w:lang w:val="fr-FR"/>
        </w:rPr>
        <w:t xml:space="preserve">éléments communs des </w:t>
      </w:r>
      <w:r w:rsidR="003E4F75">
        <w:rPr>
          <w:rFonts w:asciiTheme="minorHAnsi" w:hAnsiTheme="minorHAnsi" w:cstheme="minorBidi"/>
          <w:lang w:val="fr-FR"/>
        </w:rPr>
        <w:t>INZH »</w:t>
      </w:r>
      <w:r w:rsidR="003E4F75" w:rsidRPr="00B8721C">
        <w:rPr>
          <w:rFonts w:asciiTheme="minorHAnsi" w:hAnsiTheme="minorHAnsi" w:cstheme="minorBidi"/>
          <w:lang w:val="fr-FR"/>
        </w:rPr>
        <w:t xml:space="preserve"> </w:t>
      </w:r>
      <w:r w:rsidR="003E4F75">
        <w:rPr>
          <w:rFonts w:asciiTheme="minorHAnsi" w:hAnsiTheme="minorHAnsi" w:cstheme="minorBidi"/>
          <w:lang w:val="fr-FR"/>
        </w:rPr>
        <w:t>définira</w:t>
      </w:r>
      <w:r w:rsidR="003E4F75" w:rsidRPr="00B8721C">
        <w:rPr>
          <w:rFonts w:asciiTheme="minorHAnsi" w:hAnsiTheme="minorHAnsi" w:cstheme="minorBidi"/>
          <w:lang w:val="fr-FR"/>
        </w:rPr>
        <w:t xml:space="preserve"> les données et indicateurs de base correspond</w:t>
      </w:r>
      <w:r w:rsidR="003E4F75">
        <w:rPr>
          <w:rFonts w:asciiTheme="minorHAnsi" w:hAnsiTheme="minorHAnsi" w:cstheme="minorBidi"/>
          <w:lang w:val="fr-FR"/>
        </w:rPr>
        <w:t>an</w:t>
      </w:r>
      <w:r w:rsidR="003E4F75" w:rsidRPr="00B8721C">
        <w:rPr>
          <w:rFonts w:asciiTheme="minorHAnsi" w:hAnsiTheme="minorHAnsi" w:cstheme="minorBidi"/>
          <w:lang w:val="fr-FR"/>
        </w:rPr>
        <w:t xml:space="preserve">t aux objectifs des INZH. </w:t>
      </w:r>
      <w:r w:rsidR="003E4F75">
        <w:rPr>
          <w:rFonts w:asciiTheme="minorHAnsi" w:hAnsiTheme="minorHAnsi" w:cstheme="minorBidi"/>
          <w:lang w:val="fr-FR"/>
        </w:rPr>
        <w:t>Il conviendra de veiller à ce qu</w:t>
      </w:r>
      <w:r w:rsidR="003E4F75" w:rsidRPr="00B8721C">
        <w:rPr>
          <w:rFonts w:asciiTheme="minorHAnsi" w:hAnsiTheme="minorHAnsi" w:cstheme="minorBidi"/>
          <w:lang w:val="fr-FR"/>
        </w:rPr>
        <w:t>e</w:t>
      </w:r>
      <w:r w:rsidR="003E4F75">
        <w:rPr>
          <w:rFonts w:asciiTheme="minorHAnsi" w:hAnsiTheme="minorHAnsi" w:cstheme="minorBidi"/>
          <w:lang w:val="fr-FR"/>
        </w:rPr>
        <w:t xml:space="preserve"> le</w:t>
      </w:r>
      <w:r w:rsidR="003E4F75" w:rsidRPr="00B8721C">
        <w:rPr>
          <w:rFonts w:asciiTheme="minorHAnsi" w:hAnsiTheme="minorHAnsi" w:cstheme="minorBidi"/>
          <w:lang w:val="fr-FR"/>
        </w:rPr>
        <w:t>s objectifs d</w:t>
      </w:r>
      <w:r w:rsidR="003E4F75">
        <w:rPr>
          <w:rFonts w:asciiTheme="minorHAnsi" w:hAnsiTheme="minorHAnsi" w:cstheme="minorBidi"/>
          <w:lang w:val="fr-FR"/>
        </w:rPr>
        <w:t xml:space="preserve">e </w:t>
      </w:r>
      <w:r w:rsidR="006F113B">
        <w:rPr>
          <w:rFonts w:asciiTheme="minorHAnsi" w:hAnsiTheme="minorHAnsi" w:cstheme="minorBidi"/>
          <w:lang w:val="fr-FR"/>
        </w:rPr>
        <w:t>chaque</w:t>
      </w:r>
      <w:r w:rsidR="003E4F75" w:rsidRPr="00B8721C">
        <w:rPr>
          <w:rFonts w:asciiTheme="minorHAnsi" w:hAnsiTheme="minorHAnsi" w:cstheme="minorBidi"/>
          <w:lang w:val="fr-FR"/>
        </w:rPr>
        <w:t xml:space="preserve"> IN</w:t>
      </w:r>
      <w:r w:rsidR="003E4F75">
        <w:rPr>
          <w:rFonts w:asciiTheme="minorHAnsi" w:hAnsiTheme="minorHAnsi" w:cstheme="minorBidi"/>
          <w:lang w:val="fr-FR"/>
        </w:rPr>
        <w:t>ZH</w:t>
      </w:r>
      <w:r w:rsidR="003E4F75" w:rsidRPr="00B8721C">
        <w:rPr>
          <w:rFonts w:asciiTheme="minorHAnsi" w:hAnsiTheme="minorHAnsi" w:cstheme="minorBidi"/>
          <w:lang w:val="fr-FR"/>
        </w:rPr>
        <w:t xml:space="preserve"> </w:t>
      </w:r>
      <w:r w:rsidR="003E4F75">
        <w:rPr>
          <w:rFonts w:asciiTheme="minorHAnsi" w:hAnsiTheme="minorHAnsi" w:cstheme="minorBidi"/>
          <w:lang w:val="fr-FR"/>
        </w:rPr>
        <w:t>s</w:t>
      </w:r>
      <w:r w:rsidR="006F113B">
        <w:rPr>
          <w:rFonts w:asciiTheme="minorHAnsi" w:hAnsiTheme="minorHAnsi" w:cstheme="minorBidi"/>
          <w:lang w:val="fr-FR"/>
        </w:rPr>
        <w:t>’</w:t>
      </w:r>
      <w:r w:rsidR="003E4F75">
        <w:rPr>
          <w:rFonts w:asciiTheme="minorHAnsi" w:hAnsiTheme="minorHAnsi" w:cstheme="minorBidi"/>
          <w:lang w:val="fr-FR"/>
        </w:rPr>
        <w:t>inscrivent dans le cadre d</w:t>
      </w:r>
      <w:r w:rsidR="006F113B">
        <w:rPr>
          <w:rFonts w:asciiTheme="minorHAnsi" w:hAnsiTheme="minorHAnsi" w:cstheme="minorBidi"/>
          <w:lang w:val="fr-FR"/>
        </w:rPr>
        <w:t>’</w:t>
      </w:r>
      <w:r w:rsidR="003E4F75">
        <w:rPr>
          <w:rFonts w:asciiTheme="minorHAnsi" w:hAnsiTheme="minorHAnsi" w:cstheme="minorBidi"/>
          <w:lang w:val="fr-FR"/>
        </w:rPr>
        <w:t>une situation nationale précise</w:t>
      </w:r>
      <w:r w:rsidR="003E4F75" w:rsidRPr="00B8721C">
        <w:rPr>
          <w:rFonts w:asciiTheme="minorHAnsi" w:hAnsiTheme="minorHAnsi" w:cstheme="minorBidi"/>
          <w:lang w:val="fr-FR"/>
        </w:rPr>
        <w:t xml:space="preserve">, tout en </w:t>
      </w:r>
      <w:r w:rsidR="003E4F75">
        <w:rPr>
          <w:rFonts w:asciiTheme="minorHAnsi" w:hAnsiTheme="minorHAnsi" w:cstheme="minorBidi"/>
          <w:lang w:val="fr-FR"/>
        </w:rPr>
        <w:t>contribuant</w:t>
      </w:r>
      <w:r w:rsidR="003E4F75" w:rsidRPr="00B8721C">
        <w:rPr>
          <w:rFonts w:asciiTheme="minorHAnsi" w:hAnsiTheme="minorHAnsi" w:cstheme="minorBidi"/>
          <w:lang w:val="fr-FR"/>
        </w:rPr>
        <w:t xml:space="preserve"> à </w:t>
      </w:r>
      <w:r w:rsidR="003E4F75">
        <w:rPr>
          <w:rFonts w:asciiTheme="minorHAnsi" w:hAnsiTheme="minorHAnsi" w:cstheme="minorBidi"/>
          <w:lang w:val="fr-FR"/>
        </w:rPr>
        <w:t xml:space="preserve">assurer le </w:t>
      </w:r>
      <w:r w:rsidR="003E4F75" w:rsidRPr="00B8721C">
        <w:rPr>
          <w:rFonts w:asciiTheme="minorHAnsi" w:hAnsiTheme="minorHAnsi" w:cstheme="minorBidi"/>
          <w:lang w:val="fr-FR"/>
        </w:rPr>
        <w:t>suiv</w:t>
      </w:r>
      <w:r w:rsidR="003E4F75">
        <w:rPr>
          <w:rFonts w:asciiTheme="minorHAnsi" w:hAnsiTheme="minorHAnsi" w:cstheme="minorBidi"/>
          <w:lang w:val="fr-FR"/>
        </w:rPr>
        <w:t>i des</w:t>
      </w:r>
      <w:r w:rsidR="003E4F75" w:rsidRPr="00B8721C">
        <w:rPr>
          <w:rFonts w:asciiTheme="minorHAnsi" w:hAnsiTheme="minorHAnsi" w:cstheme="minorBidi"/>
          <w:lang w:val="fr-FR"/>
        </w:rPr>
        <w:t xml:space="preserve"> indicateurs mondiaux </w:t>
      </w:r>
      <w:r w:rsidR="003E4F75">
        <w:rPr>
          <w:rFonts w:asciiTheme="minorHAnsi" w:hAnsiTheme="minorHAnsi" w:cstheme="minorBidi"/>
          <w:lang w:val="fr-FR"/>
        </w:rPr>
        <w:t>pertinents</w:t>
      </w:r>
      <w:r w:rsidR="003E4F75" w:rsidRPr="00B8721C">
        <w:rPr>
          <w:rFonts w:asciiTheme="minorHAnsi" w:hAnsiTheme="minorHAnsi" w:cstheme="minorBidi"/>
          <w:lang w:val="fr-FR"/>
        </w:rPr>
        <w:t xml:space="preserve">, </w:t>
      </w:r>
      <w:r w:rsidR="003E4F75">
        <w:rPr>
          <w:rFonts w:asciiTheme="minorHAnsi" w:hAnsiTheme="minorHAnsi" w:cstheme="minorBidi"/>
          <w:lang w:val="fr-FR"/>
        </w:rPr>
        <w:t>notamment</w:t>
      </w:r>
      <w:r w:rsidR="003E4F75" w:rsidRPr="00B8721C">
        <w:rPr>
          <w:rFonts w:asciiTheme="minorHAnsi" w:hAnsiTheme="minorHAnsi" w:cstheme="minorBidi"/>
          <w:lang w:val="fr-FR"/>
        </w:rPr>
        <w:t xml:space="preserve"> ceux liés aux </w:t>
      </w:r>
      <w:r w:rsidR="003E4F75">
        <w:rPr>
          <w:rFonts w:asciiTheme="minorHAnsi" w:hAnsiTheme="minorHAnsi" w:cstheme="minorBidi"/>
          <w:lang w:val="fr-FR"/>
        </w:rPr>
        <w:t>O</w:t>
      </w:r>
      <w:r w:rsidR="003E4F75" w:rsidRPr="00B8721C">
        <w:rPr>
          <w:rFonts w:asciiTheme="minorHAnsi" w:hAnsiTheme="minorHAnsi" w:cstheme="minorBidi"/>
          <w:lang w:val="fr-FR"/>
        </w:rPr>
        <w:t>bjectifs de développement durable (</w:t>
      </w:r>
      <w:r w:rsidR="003E4F75">
        <w:rPr>
          <w:rFonts w:asciiTheme="minorHAnsi" w:hAnsiTheme="minorHAnsi" w:cstheme="minorBidi"/>
          <w:lang w:val="fr-FR"/>
        </w:rPr>
        <w:t>I</w:t>
      </w:r>
      <w:r w:rsidR="003E4F75" w:rsidRPr="00B8721C">
        <w:rPr>
          <w:rFonts w:asciiTheme="minorHAnsi" w:hAnsiTheme="minorHAnsi" w:cstheme="minorBidi"/>
          <w:lang w:val="fr-FR"/>
        </w:rPr>
        <w:t>ndicateur</w:t>
      </w:r>
      <w:r w:rsidR="003E4F75">
        <w:rPr>
          <w:rFonts w:asciiTheme="minorHAnsi" w:hAnsiTheme="minorHAnsi" w:cstheme="minorBidi"/>
          <w:lang w:val="fr-FR"/>
        </w:rPr>
        <w:t xml:space="preserve"> </w:t>
      </w:r>
      <w:r w:rsidR="003E4F75" w:rsidRPr="00B8721C">
        <w:rPr>
          <w:rFonts w:asciiTheme="minorHAnsi" w:hAnsiTheme="minorHAnsi" w:cstheme="minorBidi"/>
          <w:lang w:val="fr-FR"/>
        </w:rPr>
        <w:t xml:space="preserve">6.6. 1 </w:t>
      </w:r>
      <w:r w:rsidR="003E4F75">
        <w:rPr>
          <w:rFonts w:asciiTheme="minorHAnsi" w:hAnsiTheme="minorHAnsi" w:cstheme="minorBidi"/>
          <w:lang w:val="fr-FR"/>
        </w:rPr>
        <w:t>des ODD sur</w:t>
      </w:r>
      <w:r w:rsidR="003E4F75" w:rsidRPr="00B8721C">
        <w:rPr>
          <w:rFonts w:asciiTheme="minorHAnsi" w:hAnsiTheme="minorHAnsi" w:cstheme="minorBidi"/>
          <w:lang w:val="fr-FR"/>
        </w:rPr>
        <w:t xml:space="preserve"> l</w:t>
      </w:r>
      <w:r w:rsidR="006F113B">
        <w:rPr>
          <w:rFonts w:asciiTheme="minorHAnsi" w:hAnsiTheme="minorHAnsi" w:cstheme="minorBidi"/>
          <w:lang w:val="fr-FR"/>
        </w:rPr>
        <w:t>’</w:t>
      </w:r>
      <w:r w:rsidR="003E4F75" w:rsidRPr="00B8721C">
        <w:rPr>
          <w:rFonts w:asciiTheme="minorHAnsi" w:hAnsiTheme="minorHAnsi" w:cstheme="minorBidi"/>
          <w:lang w:val="fr-FR"/>
        </w:rPr>
        <w:t xml:space="preserve">étendue des zones humides), </w:t>
      </w:r>
      <w:r w:rsidR="003E4F75">
        <w:rPr>
          <w:rFonts w:asciiTheme="minorHAnsi" w:hAnsiTheme="minorHAnsi" w:cstheme="minorBidi"/>
          <w:lang w:val="fr-FR"/>
        </w:rPr>
        <w:t>au</w:t>
      </w:r>
      <w:r w:rsidR="003E4F75" w:rsidRPr="00B8721C">
        <w:rPr>
          <w:rFonts w:asciiTheme="minorHAnsi" w:hAnsiTheme="minorHAnsi" w:cstheme="minorBidi"/>
          <w:lang w:val="fr-FR"/>
        </w:rPr>
        <w:t xml:space="preserve"> Cadre mondial </w:t>
      </w:r>
      <w:r w:rsidR="003E4F75">
        <w:rPr>
          <w:rFonts w:asciiTheme="minorHAnsi" w:hAnsiTheme="minorHAnsi" w:cstheme="minorBidi"/>
          <w:lang w:val="fr-FR"/>
        </w:rPr>
        <w:t>de</w:t>
      </w:r>
      <w:r w:rsidR="003E4F75" w:rsidRPr="00B8721C">
        <w:rPr>
          <w:rFonts w:asciiTheme="minorHAnsi" w:hAnsiTheme="minorHAnsi" w:cstheme="minorBidi"/>
          <w:lang w:val="fr-FR"/>
        </w:rPr>
        <w:t xml:space="preserve"> la biodiversité de Kunming</w:t>
      </w:r>
      <w:r w:rsidR="003E4F75">
        <w:rPr>
          <w:rFonts w:asciiTheme="minorHAnsi" w:hAnsiTheme="minorHAnsi" w:cstheme="minorBidi"/>
          <w:lang w:val="fr-FR"/>
        </w:rPr>
        <w:t xml:space="preserve"> à </w:t>
      </w:r>
      <w:r w:rsidR="003E4F75" w:rsidRPr="00B8721C">
        <w:rPr>
          <w:rFonts w:asciiTheme="minorHAnsi" w:hAnsiTheme="minorHAnsi" w:cstheme="minorBidi"/>
          <w:lang w:val="fr-FR"/>
        </w:rPr>
        <w:t xml:space="preserve">Montréal (notamment les indicateurs liés aux </w:t>
      </w:r>
      <w:r w:rsidR="003E4F75">
        <w:rPr>
          <w:rFonts w:asciiTheme="minorHAnsi" w:hAnsiTheme="minorHAnsi" w:cstheme="minorBidi"/>
          <w:lang w:val="fr-FR"/>
        </w:rPr>
        <w:t>cibles</w:t>
      </w:r>
      <w:r w:rsidR="003E4F75" w:rsidRPr="00B8721C">
        <w:rPr>
          <w:rFonts w:asciiTheme="minorHAnsi" w:hAnsiTheme="minorHAnsi" w:cstheme="minorBidi"/>
          <w:lang w:val="fr-FR"/>
        </w:rPr>
        <w:t xml:space="preserve"> 1 à 3 qui seront adoptés lors de la 16</w:t>
      </w:r>
      <w:r w:rsidR="003E4F75" w:rsidRPr="000A47AD">
        <w:rPr>
          <w:rFonts w:asciiTheme="minorHAnsi" w:hAnsiTheme="minorHAnsi" w:cstheme="minorBidi"/>
          <w:vertAlign w:val="superscript"/>
          <w:lang w:val="fr-FR"/>
        </w:rPr>
        <w:t>e</w:t>
      </w:r>
      <w:r w:rsidR="003E4F75" w:rsidRPr="00B8721C">
        <w:rPr>
          <w:rFonts w:asciiTheme="minorHAnsi" w:hAnsiTheme="minorHAnsi" w:cstheme="minorBidi"/>
          <w:lang w:val="fr-FR"/>
        </w:rPr>
        <w:t xml:space="preserve"> </w:t>
      </w:r>
      <w:r w:rsidR="003E4F75">
        <w:rPr>
          <w:rFonts w:asciiTheme="minorHAnsi" w:hAnsiTheme="minorHAnsi" w:cstheme="minorBidi"/>
          <w:lang w:val="fr-FR"/>
        </w:rPr>
        <w:t xml:space="preserve">session de la </w:t>
      </w:r>
      <w:r w:rsidR="003E4F75" w:rsidRPr="00B8721C">
        <w:rPr>
          <w:rFonts w:asciiTheme="minorHAnsi" w:hAnsiTheme="minorHAnsi" w:cstheme="minorBidi"/>
          <w:lang w:val="fr-FR"/>
        </w:rPr>
        <w:t xml:space="preserve">Conférence des Parties à la Convention sur la diversité biologique), </w:t>
      </w:r>
      <w:r w:rsidR="003E4F75">
        <w:rPr>
          <w:rFonts w:asciiTheme="minorHAnsi" w:hAnsiTheme="minorHAnsi" w:cstheme="minorBidi"/>
          <w:lang w:val="fr-FR"/>
        </w:rPr>
        <w:t xml:space="preserve">à </w:t>
      </w:r>
      <w:r w:rsidR="003E4F75" w:rsidRPr="00B8721C">
        <w:rPr>
          <w:rFonts w:asciiTheme="minorHAnsi" w:hAnsiTheme="minorHAnsi" w:cstheme="minorBidi"/>
          <w:lang w:val="fr-FR"/>
        </w:rPr>
        <w:t>l</w:t>
      </w:r>
      <w:r w:rsidR="006F113B">
        <w:rPr>
          <w:rFonts w:asciiTheme="minorHAnsi" w:hAnsiTheme="minorHAnsi" w:cstheme="minorBidi"/>
          <w:lang w:val="fr-FR"/>
        </w:rPr>
        <w:t>’</w:t>
      </w:r>
      <w:r w:rsidR="003E4F75" w:rsidRPr="00B8721C">
        <w:rPr>
          <w:rFonts w:asciiTheme="minorHAnsi" w:hAnsiTheme="minorHAnsi" w:cstheme="minorBidi"/>
          <w:lang w:val="fr-FR"/>
        </w:rPr>
        <w:t>Accord de Paris (évaluation du stockage et de l</w:t>
      </w:r>
      <w:r w:rsidR="006F113B">
        <w:rPr>
          <w:rFonts w:asciiTheme="minorHAnsi" w:hAnsiTheme="minorHAnsi" w:cstheme="minorBidi"/>
          <w:lang w:val="fr-FR"/>
        </w:rPr>
        <w:t>’</w:t>
      </w:r>
      <w:r w:rsidR="003E4F75" w:rsidRPr="00B8721C">
        <w:rPr>
          <w:rFonts w:asciiTheme="minorHAnsi" w:hAnsiTheme="minorHAnsi" w:cstheme="minorBidi"/>
          <w:lang w:val="fr-FR"/>
        </w:rPr>
        <w:t xml:space="preserve">absorption du carbone et des émissions évitées) et </w:t>
      </w:r>
      <w:r w:rsidR="00EE44BE">
        <w:rPr>
          <w:rFonts w:asciiTheme="minorHAnsi" w:hAnsiTheme="minorHAnsi" w:cstheme="minorBidi"/>
          <w:lang w:val="fr-FR"/>
        </w:rPr>
        <w:t xml:space="preserve">aux </w:t>
      </w:r>
      <w:r w:rsidR="003E4F75" w:rsidRPr="00B8721C">
        <w:rPr>
          <w:rFonts w:asciiTheme="minorHAnsi" w:hAnsiTheme="minorHAnsi" w:cstheme="minorBidi"/>
          <w:lang w:val="fr-FR"/>
        </w:rPr>
        <w:t xml:space="preserve">objectifs de neutralité en matière de dégradation des </w:t>
      </w:r>
      <w:r w:rsidR="00EE44BE">
        <w:rPr>
          <w:rFonts w:asciiTheme="minorHAnsi" w:hAnsiTheme="minorHAnsi" w:cstheme="minorBidi"/>
          <w:lang w:val="fr-FR"/>
        </w:rPr>
        <w:t>sols</w:t>
      </w:r>
      <w:r w:rsidR="006F113B">
        <w:rPr>
          <w:rFonts w:asciiTheme="minorHAnsi" w:hAnsiTheme="minorHAnsi" w:cstheme="minorBidi"/>
          <w:lang w:val="fr-FR"/>
        </w:rPr>
        <w:t xml:space="preserve"> liés à</w:t>
      </w:r>
      <w:r w:rsidR="003E4F75" w:rsidRPr="00B8721C">
        <w:rPr>
          <w:rFonts w:asciiTheme="minorHAnsi" w:hAnsiTheme="minorHAnsi" w:cstheme="minorBidi"/>
          <w:lang w:val="fr-FR"/>
        </w:rPr>
        <w:t xml:space="preserve"> la Convention </w:t>
      </w:r>
      <w:r w:rsidR="00EE44BE">
        <w:rPr>
          <w:rFonts w:asciiTheme="minorHAnsi" w:hAnsiTheme="minorHAnsi" w:cstheme="minorBidi"/>
          <w:lang w:val="fr-FR"/>
        </w:rPr>
        <w:t xml:space="preserve">des Nations </w:t>
      </w:r>
      <w:r w:rsidR="006F113B">
        <w:rPr>
          <w:rFonts w:asciiTheme="minorHAnsi" w:hAnsiTheme="minorHAnsi" w:cstheme="minorBidi"/>
          <w:lang w:val="fr-FR"/>
        </w:rPr>
        <w:t>U</w:t>
      </w:r>
      <w:r w:rsidR="00EE44BE">
        <w:rPr>
          <w:rFonts w:asciiTheme="minorHAnsi" w:hAnsiTheme="minorHAnsi" w:cstheme="minorBidi"/>
          <w:lang w:val="fr-FR"/>
        </w:rPr>
        <w:t xml:space="preserve">nies </w:t>
      </w:r>
      <w:r w:rsidR="003E4F75" w:rsidRPr="00B8721C">
        <w:rPr>
          <w:rFonts w:asciiTheme="minorHAnsi" w:hAnsiTheme="minorHAnsi" w:cstheme="minorBidi"/>
          <w:lang w:val="fr-FR"/>
        </w:rPr>
        <w:t xml:space="preserve">sur la lutte contre la désertification. Les </w:t>
      </w:r>
      <w:r w:rsidR="006F113B">
        <w:rPr>
          <w:rFonts w:asciiTheme="minorHAnsi" w:hAnsiTheme="minorHAnsi" w:cstheme="minorBidi"/>
          <w:lang w:val="fr-FR"/>
        </w:rPr>
        <w:t>techniques</w:t>
      </w:r>
      <w:r w:rsidR="003E4F75" w:rsidRPr="00B8721C">
        <w:rPr>
          <w:rFonts w:asciiTheme="minorHAnsi" w:hAnsiTheme="minorHAnsi" w:cstheme="minorBidi"/>
          <w:lang w:val="fr-FR"/>
        </w:rPr>
        <w:t xml:space="preserve"> et les méthodes </w:t>
      </w:r>
      <w:r w:rsidR="00EE44BE">
        <w:rPr>
          <w:rFonts w:asciiTheme="minorHAnsi" w:hAnsiTheme="minorHAnsi" w:cstheme="minorBidi"/>
          <w:lang w:val="fr-FR"/>
        </w:rPr>
        <w:t>en matière d</w:t>
      </w:r>
      <w:r w:rsidR="006F113B">
        <w:rPr>
          <w:rFonts w:asciiTheme="minorHAnsi" w:hAnsiTheme="minorHAnsi" w:cstheme="minorBidi"/>
          <w:lang w:val="fr-FR"/>
        </w:rPr>
        <w:t>’</w:t>
      </w:r>
      <w:r w:rsidR="003E4F75" w:rsidRPr="00B8721C">
        <w:rPr>
          <w:rFonts w:asciiTheme="minorHAnsi" w:hAnsiTheme="minorHAnsi" w:cstheme="minorBidi"/>
          <w:lang w:val="fr-FR"/>
        </w:rPr>
        <w:t>IN</w:t>
      </w:r>
      <w:r w:rsidR="00EE44BE">
        <w:rPr>
          <w:rFonts w:asciiTheme="minorHAnsi" w:hAnsiTheme="minorHAnsi" w:cstheme="minorBidi"/>
          <w:lang w:val="fr-FR"/>
        </w:rPr>
        <w:t>ZH</w:t>
      </w:r>
      <w:r w:rsidR="003E4F75" w:rsidRPr="00B8721C">
        <w:rPr>
          <w:rFonts w:asciiTheme="minorHAnsi" w:hAnsiTheme="minorHAnsi" w:cstheme="minorBidi"/>
          <w:lang w:val="fr-FR"/>
        </w:rPr>
        <w:t xml:space="preserve"> devr</w:t>
      </w:r>
      <w:r w:rsidR="00EE44BE">
        <w:rPr>
          <w:rFonts w:asciiTheme="minorHAnsi" w:hAnsiTheme="minorHAnsi" w:cstheme="minorBidi"/>
          <w:lang w:val="fr-FR"/>
        </w:rPr>
        <w:t>o</w:t>
      </w:r>
      <w:r w:rsidR="003E4F75" w:rsidRPr="00B8721C">
        <w:rPr>
          <w:rFonts w:asciiTheme="minorHAnsi" w:hAnsiTheme="minorHAnsi" w:cstheme="minorBidi"/>
          <w:lang w:val="fr-FR"/>
        </w:rPr>
        <w:t xml:space="preserve">nt répondre à ces besoins </w:t>
      </w:r>
      <w:r w:rsidR="00EE44BE">
        <w:rPr>
          <w:rFonts w:asciiTheme="minorHAnsi" w:hAnsiTheme="minorHAnsi" w:cstheme="minorBidi"/>
          <w:lang w:val="fr-FR"/>
        </w:rPr>
        <w:t>en termes</w:t>
      </w:r>
      <w:r w:rsidR="003E4F75" w:rsidRPr="00B8721C">
        <w:rPr>
          <w:rFonts w:asciiTheme="minorHAnsi" w:hAnsiTheme="minorHAnsi" w:cstheme="minorBidi"/>
          <w:lang w:val="fr-FR"/>
        </w:rPr>
        <w:t xml:space="preserve"> de données et </w:t>
      </w:r>
      <w:r w:rsidR="00EE44BE">
        <w:rPr>
          <w:rFonts w:asciiTheme="minorHAnsi" w:hAnsiTheme="minorHAnsi" w:cstheme="minorBidi"/>
          <w:lang w:val="fr-FR"/>
        </w:rPr>
        <w:t xml:space="preserve">veiller à la fiabilité et à </w:t>
      </w:r>
      <w:r w:rsidR="003E4F75" w:rsidRPr="00B8721C">
        <w:rPr>
          <w:rFonts w:asciiTheme="minorHAnsi" w:hAnsiTheme="minorHAnsi" w:cstheme="minorBidi"/>
          <w:lang w:val="fr-FR"/>
        </w:rPr>
        <w:t>l</w:t>
      </w:r>
      <w:r w:rsidR="006F113B">
        <w:rPr>
          <w:rFonts w:asciiTheme="minorHAnsi" w:hAnsiTheme="minorHAnsi" w:cstheme="minorBidi"/>
          <w:lang w:val="fr-FR"/>
        </w:rPr>
        <w:t>’</w:t>
      </w:r>
      <w:r w:rsidR="003E4F75" w:rsidRPr="00B8721C">
        <w:rPr>
          <w:rFonts w:asciiTheme="minorHAnsi" w:hAnsiTheme="minorHAnsi" w:cstheme="minorBidi"/>
          <w:lang w:val="fr-FR"/>
        </w:rPr>
        <w:t>interopérabilité des données</w:t>
      </w:r>
      <w:r w:rsidR="00AF19A6" w:rsidRPr="00EE44BE">
        <w:rPr>
          <w:rFonts w:asciiTheme="minorHAnsi" w:hAnsiTheme="minorHAnsi" w:cstheme="minorBidi"/>
          <w:lang w:val="fr-FR"/>
        </w:rPr>
        <w:t>.</w:t>
      </w:r>
    </w:p>
    <w:p w14:paraId="1F58711C" w14:textId="77777777" w:rsidR="00AF19A6" w:rsidRPr="00CB55E1" w:rsidRDefault="00AF19A6" w:rsidP="003C05DB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fr-FR"/>
        </w:rPr>
      </w:pPr>
    </w:p>
    <w:p w14:paraId="14D2C247" w14:textId="449DF306" w:rsidR="00442CF9" w:rsidRPr="0085144F" w:rsidRDefault="00AF19A6" w:rsidP="0085144F">
      <w:pPr>
        <w:pStyle w:val="ListParagraph"/>
        <w:autoSpaceDE w:val="0"/>
        <w:autoSpaceDN w:val="0"/>
        <w:adjustRightInd w:val="0"/>
        <w:ind w:left="851"/>
        <w:rPr>
          <w:lang w:val="fr-FR"/>
        </w:rPr>
      </w:pPr>
      <w:r w:rsidRPr="00CB55E1">
        <w:rPr>
          <w:rFonts w:asciiTheme="minorHAnsi" w:hAnsiTheme="minorHAnsi" w:cstheme="minorBidi"/>
          <w:lang w:val="fr-FR"/>
        </w:rPr>
        <w:t>b</w:t>
      </w:r>
      <w:r w:rsidR="005D37D0" w:rsidRPr="00CB55E1">
        <w:rPr>
          <w:rFonts w:asciiTheme="minorHAnsi" w:hAnsiTheme="minorHAnsi" w:cstheme="minorBidi"/>
          <w:lang w:val="fr-FR"/>
        </w:rPr>
        <w:t>.</w:t>
      </w:r>
      <w:r w:rsidRPr="00CB55E1">
        <w:rPr>
          <w:lang w:val="fr-FR"/>
        </w:rPr>
        <w:tab/>
      </w:r>
      <w:r w:rsidR="00FE0AFF" w:rsidRPr="0085144F">
        <w:rPr>
          <w:lang w:val="fr-FR"/>
        </w:rPr>
        <w:t>Le document d</w:t>
      </w:r>
      <w:r w:rsidR="006F113B">
        <w:rPr>
          <w:lang w:val="fr-FR"/>
        </w:rPr>
        <w:t>’</w:t>
      </w:r>
      <w:r w:rsidR="00FE0AFF" w:rsidRPr="0085144F">
        <w:rPr>
          <w:lang w:val="fr-FR"/>
        </w:rPr>
        <w:t>orientation sur le « processus structuré d</w:t>
      </w:r>
      <w:r w:rsidR="006F113B">
        <w:rPr>
          <w:lang w:val="fr-FR"/>
        </w:rPr>
        <w:t xml:space="preserve">es </w:t>
      </w:r>
      <w:r w:rsidR="00FE0AFF" w:rsidRPr="0085144F">
        <w:rPr>
          <w:lang w:val="fr-FR"/>
        </w:rPr>
        <w:t>INZH » guidera les Parties contractantes dans la planification et la mise en place d</w:t>
      </w:r>
      <w:r w:rsidR="006F113B">
        <w:rPr>
          <w:lang w:val="fr-FR"/>
        </w:rPr>
        <w:t>’</w:t>
      </w:r>
      <w:r w:rsidR="00FE0AFF" w:rsidRPr="0085144F">
        <w:rPr>
          <w:lang w:val="fr-FR"/>
        </w:rPr>
        <w:t>un processus institutionnel scientifique et durable qui portera sur la définition des objectifs de</w:t>
      </w:r>
      <w:r w:rsidR="006F113B">
        <w:rPr>
          <w:lang w:val="fr-FR"/>
        </w:rPr>
        <w:t xml:space="preserve">s </w:t>
      </w:r>
      <w:r w:rsidR="00FE0AFF" w:rsidRPr="0085144F">
        <w:rPr>
          <w:lang w:val="fr-FR"/>
        </w:rPr>
        <w:t>INZH, la collecte de données, l</w:t>
      </w:r>
      <w:r w:rsidR="006F113B">
        <w:rPr>
          <w:lang w:val="fr-FR"/>
        </w:rPr>
        <w:t>’</w:t>
      </w:r>
      <w:r w:rsidR="00FE0AFF" w:rsidRPr="0085144F">
        <w:rPr>
          <w:lang w:val="fr-FR"/>
        </w:rPr>
        <w:t xml:space="preserve">exploitation des données </w:t>
      </w:r>
      <w:r w:rsidR="0085144F" w:rsidRPr="0085144F">
        <w:rPr>
          <w:lang w:val="fr-FR"/>
        </w:rPr>
        <w:t>à des fins d</w:t>
      </w:r>
      <w:r w:rsidR="006F113B">
        <w:rPr>
          <w:lang w:val="fr-FR"/>
        </w:rPr>
        <w:t>’</w:t>
      </w:r>
      <w:r w:rsidR="0085144F" w:rsidRPr="0085144F">
        <w:rPr>
          <w:lang w:val="fr-FR"/>
        </w:rPr>
        <w:t xml:space="preserve">élaboration de mesures concrètes </w:t>
      </w:r>
      <w:r w:rsidR="00FE0AFF" w:rsidRPr="0085144F">
        <w:rPr>
          <w:lang w:val="fr-FR"/>
        </w:rPr>
        <w:t xml:space="preserve">et la mise à jour des données, </w:t>
      </w:r>
      <w:r w:rsidR="0085144F" w:rsidRPr="0085144F">
        <w:rPr>
          <w:lang w:val="fr-FR"/>
        </w:rPr>
        <w:t>tout en définissant clairement</w:t>
      </w:r>
      <w:r w:rsidR="00FE0AFF" w:rsidRPr="0085144F">
        <w:rPr>
          <w:lang w:val="fr-FR"/>
        </w:rPr>
        <w:t xml:space="preserve"> </w:t>
      </w:r>
      <w:r w:rsidR="0085144F" w:rsidRPr="0085144F">
        <w:rPr>
          <w:lang w:val="fr-FR"/>
        </w:rPr>
        <w:t>les fonctions et</w:t>
      </w:r>
      <w:r w:rsidR="00FE0AFF" w:rsidRPr="0085144F">
        <w:rPr>
          <w:lang w:val="fr-FR"/>
        </w:rPr>
        <w:t xml:space="preserve"> responsabilités </w:t>
      </w:r>
      <w:r w:rsidR="0085144F" w:rsidRPr="0085144F">
        <w:rPr>
          <w:lang w:val="fr-FR"/>
        </w:rPr>
        <w:t>des différents</w:t>
      </w:r>
      <w:r w:rsidR="00FE0AFF" w:rsidRPr="0085144F">
        <w:rPr>
          <w:lang w:val="fr-FR"/>
        </w:rPr>
        <w:t xml:space="preserve"> ministères, </w:t>
      </w:r>
      <w:r w:rsidR="0085144F" w:rsidRPr="0085144F">
        <w:rPr>
          <w:lang w:val="fr-FR"/>
        </w:rPr>
        <w:t>organismes</w:t>
      </w:r>
      <w:r w:rsidR="00FE0AFF" w:rsidRPr="0085144F">
        <w:rPr>
          <w:lang w:val="fr-FR"/>
        </w:rPr>
        <w:t xml:space="preserve"> et instituts de recherche</w:t>
      </w:r>
      <w:r w:rsidR="006F113B" w:rsidRPr="006F113B">
        <w:rPr>
          <w:lang w:val="fr-FR"/>
        </w:rPr>
        <w:t xml:space="preserve"> </w:t>
      </w:r>
      <w:r w:rsidR="006F113B" w:rsidRPr="0085144F">
        <w:rPr>
          <w:lang w:val="fr-FR"/>
        </w:rPr>
        <w:t>au niveau national ou infranational</w:t>
      </w:r>
      <w:r w:rsidR="00FE0AFF" w:rsidRPr="0085144F">
        <w:rPr>
          <w:lang w:val="fr-FR"/>
        </w:rPr>
        <w:t>.</w:t>
      </w:r>
    </w:p>
    <w:p w14:paraId="0D1ABA99" w14:textId="77777777" w:rsidR="00252A13" w:rsidRPr="00CB55E1" w:rsidRDefault="00252A13" w:rsidP="00C76C70">
      <w:pPr>
        <w:autoSpaceDE w:val="0"/>
        <w:autoSpaceDN w:val="0"/>
        <w:adjustRightInd w:val="0"/>
        <w:ind w:left="851"/>
        <w:rPr>
          <w:rFonts w:asciiTheme="minorHAnsi" w:hAnsiTheme="minorHAnsi" w:cstheme="minorBidi"/>
          <w:lang w:val="fr-FR"/>
        </w:rPr>
      </w:pPr>
    </w:p>
    <w:p w14:paraId="6DC3B89A" w14:textId="75CB6E6C" w:rsidR="0085144F" w:rsidRDefault="00AF19A6" w:rsidP="00C76C70">
      <w:pPr>
        <w:pStyle w:val="ListParagraph"/>
        <w:autoSpaceDE w:val="0"/>
        <w:autoSpaceDN w:val="0"/>
        <w:adjustRightInd w:val="0"/>
        <w:ind w:left="851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c</w:t>
      </w:r>
      <w:r w:rsidR="005D37D0" w:rsidRPr="00CB55E1">
        <w:rPr>
          <w:rFonts w:asciiTheme="minorHAnsi" w:hAnsiTheme="minorHAnsi" w:cstheme="minorBidi"/>
          <w:lang w:val="fr-FR"/>
        </w:rPr>
        <w:t>.</w:t>
      </w:r>
      <w:r w:rsidR="005D37D0" w:rsidRPr="00CB55E1">
        <w:rPr>
          <w:rFonts w:asciiTheme="minorHAnsi" w:hAnsiTheme="minorHAnsi" w:cstheme="minorBidi"/>
          <w:lang w:val="fr-FR"/>
        </w:rPr>
        <w:tab/>
      </w:r>
      <w:r w:rsidR="0085144F" w:rsidRPr="0085144F">
        <w:rPr>
          <w:rFonts w:asciiTheme="minorHAnsi" w:hAnsiTheme="minorHAnsi" w:cstheme="minorBidi"/>
          <w:lang w:val="fr-FR"/>
        </w:rPr>
        <w:t>Le troisième document d</w:t>
      </w:r>
      <w:r w:rsidR="006F113B">
        <w:rPr>
          <w:rFonts w:asciiTheme="minorHAnsi" w:hAnsiTheme="minorHAnsi" w:cstheme="minorBidi"/>
          <w:lang w:val="fr-FR"/>
        </w:rPr>
        <w:t>’</w:t>
      </w:r>
      <w:r w:rsidR="0085144F" w:rsidRPr="0085144F">
        <w:rPr>
          <w:rFonts w:asciiTheme="minorHAnsi" w:hAnsiTheme="minorHAnsi" w:cstheme="minorBidi"/>
          <w:lang w:val="fr-FR"/>
        </w:rPr>
        <w:t xml:space="preserve">orientation sur les </w:t>
      </w:r>
      <w:r w:rsidR="0085144F">
        <w:rPr>
          <w:rFonts w:asciiTheme="minorHAnsi" w:hAnsiTheme="minorHAnsi" w:cstheme="minorBidi"/>
          <w:lang w:val="fr-FR"/>
        </w:rPr>
        <w:t>« </w:t>
      </w:r>
      <w:r w:rsidR="0085144F" w:rsidRPr="0085144F">
        <w:rPr>
          <w:rFonts w:asciiTheme="minorHAnsi" w:hAnsiTheme="minorHAnsi" w:cstheme="minorBidi"/>
          <w:lang w:val="fr-FR"/>
        </w:rPr>
        <w:t xml:space="preserve">protocoles de gestion des données </w:t>
      </w:r>
      <w:r w:rsidR="006F113B">
        <w:rPr>
          <w:rFonts w:asciiTheme="minorHAnsi" w:hAnsiTheme="minorHAnsi" w:cstheme="minorBidi"/>
          <w:lang w:val="fr-FR"/>
        </w:rPr>
        <w:t>relatives aux</w:t>
      </w:r>
      <w:r w:rsidR="0085144F" w:rsidRPr="0085144F">
        <w:rPr>
          <w:rFonts w:asciiTheme="minorHAnsi" w:hAnsiTheme="minorHAnsi" w:cstheme="minorBidi"/>
          <w:lang w:val="fr-FR"/>
        </w:rPr>
        <w:t xml:space="preserve"> IN</w:t>
      </w:r>
      <w:r w:rsidR="0085144F">
        <w:rPr>
          <w:rFonts w:asciiTheme="minorHAnsi" w:hAnsiTheme="minorHAnsi" w:cstheme="minorBidi"/>
          <w:lang w:val="fr-FR"/>
        </w:rPr>
        <w:t>ZH »</w:t>
      </w:r>
      <w:r w:rsidR="0085144F" w:rsidRPr="0085144F">
        <w:rPr>
          <w:rFonts w:asciiTheme="minorHAnsi" w:hAnsiTheme="minorHAnsi" w:cstheme="minorBidi"/>
          <w:lang w:val="fr-FR"/>
        </w:rPr>
        <w:t xml:space="preserve"> sera élaboré </w:t>
      </w:r>
      <w:r w:rsidR="0085144F">
        <w:rPr>
          <w:rFonts w:asciiTheme="minorHAnsi" w:hAnsiTheme="minorHAnsi" w:cstheme="minorBidi"/>
          <w:lang w:val="fr-FR"/>
        </w:rPr>
        <w:t>dès que</w:t>
      </w:r>
      <w:r w:rsidR="00564670">
        <w:rPr>
          <w:rFonts w:asciiTheme="minorHAnsi" w:hAnsiTheme="minorHAnsi" w:cstheme="minorBidi"/>
          <w:lang w:val="fr-FR"/>
        </w:rPr>
        <w:t xml:space="preserve"> toutes les pratiques et </w:t>
      </w:r>
      <w:r w:rsidR="0085144F">
        <w:rPr>
          <w:rFonts w:asciiTheme="minorHAnsi" w:hAnsiTheme="minorHAnsi" w:cstheme="minorBidi"/>
          <w:lang w:val="fr-FR"/>
        </w:rPr>
        <w:t>tous les</w:t>
      </w:r>
      <w:r w:rsidR="0085144F" w:rsidRPr="0085144F">
        <w:rPr>
          <w:rFonts w:asciiTheme="minorHAnsi" w:hAnsiTheme="minorHAnsi" w:cstheme="minorBidi"/>
          <w:lang w:val="fr-FR"/>
        </w:rPr>
        <w:t xml:space="preserve"> éléments communs </w:t>
      </w:r>
      <w:r w:rsidR="006F113B">
        <w:rPr>
          <w:rFonts w:asciiTheme="minorHAnsi" w:hAnsiTheme="minorHAnsi" w:cstheme="minorBidi"/>
          <w:lang w:val="fr-FR"/>
        </w:rPr>
        <w:t>essentiels à</w:t>
      </w:r>
      <w:r w:rsidR="006F113B" w:rsidRPr="0085144F">
        <w:rPr>
          <w:rFonts w:asciiTheme="minorHAnsi" w:hAnsiTheme="minorHAnsi" w:cstheme="minorBidi"/>
          <w:lang w:val="fr-FR"/>
        </w:rPr>
        <w:t xml:space="preserve"> </w:t>
      </w:r>
      <w:r w:rsidR="006F113B">
        <w:rPr>
          <w:rFonts w:asciiTheme="minorHAnsi" w:hAnsiTheme="minorHAnsi" w:cstheme="minorBidi"/>
          <w:lang w:val="fr-FR"/>
        </w:rPr>
        <w:t xml:space="preserve">la réalisation des </w:t>
      </w:r>
      <w:r w:rsidR="006F113B" w:rsidRPr="0085144F">
        <w:rPr>
          <w:rFonts w:asciiTheme="minorHAnsi" w:hAnsiTheme="minorHAnsi" w:cstheme="minorBidi"/>
          <w:lang w:val="fr-FR"/>
        </w:rPr>
        <w:t>IN</w:t>
      </w:r>
      <w:r w:rsidR="006F113B">
        <w:rPr>
          <w:rFonts w:asciiTheme="minorHAnsi" w:hAnsiTheme="minorHAnsi" w:cstheme="minorBidi"/>
          <w:lang w:val="fr-FR"/>
        </w:rPr>
        <w:t>ZH</w:t>
      </w:r>
      <w:r w:rsidR="006F113B" w:rsidRPr="0085144F">
        <w:rPr>
          <w:rFonts w:asciiTheme="minorHAnsi" w:hAnsiTheme="minorHAnsi" w:cstheme="minorBidi"/>
          <w:lang w:val="fr-FR"/>
        </w:rPr>
        <w:t xml:space="preserve"> </w:t>
      </w:r>
      <w:r w:rsidR="0085144F" w:rsidRPr="0085144F">
        <w:rPr>
          <w:rFonts w:asciiTheme="minorHAnsi" w:hAnsiTheme="minorHAnsi" w:cstheme="minorBidi"/>
          <w:lang w:val="fr-FR"/>
        </w:rPr>
        <w:t xml:space="preserve">auront été </w:t>
      </w:r>
      <w:r w:rsidR="0085144F">
        <w:rPr>
          <w:rFonts w:asciiTheme="minorHAnsi" w:hAnsiTheme="minorHAnsi" w:cstheme="minorBidi"/>
          <w:lang w:val="fr-FR"/>
        </w:rPr>
        <w:t>définis</w:t>
      </w:r>
      <w:r w:rsidR="0085144F" w:rsidRPr="0085144F">
        <w:rPr>
          <w:rFonts w:asciiTheme="minorHAnsi" w:hAnsiTheme="minorHAnsi" w:cstheme="minorBidi"/>
          <w:lang w:val="fr-FR"/>
        </w:rPr>
        <w:t>. Ce document d</w:t>
      </w:r>
      <w:r w:rsidR="006F113B">
        <w:rPr>
          <w:rFonts w:asciiTheme="minorHAnsi" w:hAnsiTheme="minorHAnsi" w:cstheme="minorBidi"/>
          <w:lang w:val="fr-FR"/>
        </w:rPr>
        <w:t>’</w:t>
      </w:r>
      <w:r w:rsidR="0085144F" w:rsidRPr="0085144F">
        <w:rPr>
          <w:rFonts w:asciiTheme="minorHAnsi" w:hAnsiTheme="minorHAnsi" w:cstheme="minorBidi"/>
          <w:lang w:val="fr-FR"/>
        </w:rPr>
        <w:t xml:space="preserve">orientation </w:t>
      </w:r>
      <w:r w:rsidR="00564670">
        <w:rPr>
          <w:rFonts w:asciiTheme="minorHAnsi" w:hAnsiTheme="minorHAnsi" w:cstheme="minorBidi"/>
          <w:lang w:val="fr-FR"/>
        </w:rPr>
        <w:t>portera essentiellement</w:t>
      </w:r>
      <w:r w:rsidR="0085144F" w:rsidRPr="0085144F">
        <w:rPr>
          <w:rFonts w:asciiTheme="minorHAnsi" w:hAnsiTheme="minorHAnsi" w:cstheme="minorBidi"/>
          <w:lang w:val="fr-FR"/>
        </w:rPr>
        <w:t xml:space="preserve"> sur </w:t>
      </w:r>
      <w:r w:rsidR="00564670">
        <w:rPr>
          <w:rFonts w:asciiTheme="minorHAnsi" w:hAnsiTheme="minorHAnsi" w:cstheme="minorBidi"/>
          <w:lang w:val="fr-FR"/>
        </w:rPr>
        <w:t>les moyens</w:t>
      </w:r>
      <w:r w:rsidR="0085144F" w:rsidRPr="0085144F">
        <w:rPr>
          <w:rFonts w:asciiTheme="minorHAnsi" w:hAnsiTheme="minorHAnsi" w:cstheme="minorBidi"/>
          <w:lang w:val="fr-FR"/>
        </w:rPr>
        <w:t xml:space="preserve"> de </w:t>
      </w:r>
      <w:r w:rsidR="00564670">
        <w:rPr>
          <w:rFonts w:asciiTheme="minorHAnsi" w:hAnsiTheme="minorHAnsi" w:cstheme="minorBidi"/>
          <w:lang w:val="fr-FR"/>
        </w:rPr>
        <w:t>maintenir</w:t>
      </w:r>
      <w:r w:rsidR="0085144F" w:rsidRPr="0085144F">
        <w:rPr>
          <w:rFonts w:asciiTheme="minorHAnsi" w:hAnsiTheme="minorHAnsi" w:cstheme="minorBidi"/>
          <w:lang w:val="fr-FR"/>
        </w:rPr>
        <w:t xml:space="preserve"> la qualité, la cohérence et l</w:t>
      </w:r>
      <w:r w:rsidR="006F113B">
        <w:rPr>
          <w:rFonts w:asciiTheme="minorHAnsi" w:hAnsiTheme="minorHAnsi" w:cstheme="minorBidi"/>
          <w:lang w:val="fr-FR"/>
        </w:rPr>
        <w:t>’</w:t>
      </w:r>
      <w:r w:rsidR="0085144F" w:rsidRPr="0085144F">
        <w:rPr>
          <w:rFonts w:asciiTheme="minorHAnsi" w:hAnsiTheme="minorHAnsi" w:cstheme="minorBidi"/>
          <w:lang w:val="fr-FR"/>
        </w:rPr>
        <w:t>interopérabilité des données. Il comprendra également des conseils sur l</w:t>
      </w:r>
      <w:r w:rsidR="006F113B">
        <w:rPr>
          <w:rFonts w:asciiTheme="minorHAnsi" w:hAnsiTheme="minorHAnsi" w:cstheme="minorBidi"/>
          <w:lang w:val="fr-FR"/>
        </w:rPr>
        <w:t>’</w:t>
      </w:r>
      <w:r w:rsidR="0085144F" w:rsidRPr="0085144F">
        <w:rPr>
          <w:rFonts w:asciiTheme="minorHAnsi" w:hAnsiTheme="minorHAnsi" w:cstheme="minorBidi"/>
          <w:lang w:val="fr-FR"/>
        </w:rPr>
        <w:t xml:space="preserve">utilisation appropriée des technologies et des ensembles de données existants, </w:t>
      </w:r>
      <w:r w:rsidR="00564670">
        <w:rPr>
          <w:rFonts w:asciiTheme="minorHAnsi" w:hAnsiTheme="minorHAnsi" w:cstheme="minorBidi"/>
          <w:lang w:val="fr-FR"/>
        </w:rPr>
        <w:t>à l</w:t>
      </w:r>
      <w:r w:rsidR="006F113B">
        <w:rPr>
          <w:rFonts w:asciiTheme="minorHAnsi" w:hAnsiTheme="minorHAnsi" w:cstheme="minorBidi"/>
          <w:lang w:val="fr-FR"/>
        </w:rPr>
        <w:t>’</w:t>
      </w:r>
      <w:r w:rsidR="00564670">
        <w:rPr>
          <w:rFonts w:asciiTheme="minorHAnsi" w:hAnsiTheme="minorHAnsi" w:cstheme="minorBidi"/>
          <w:lang w:val="fr-FR"/>
        </w:rPr>
        <w:t>image des techniques d</w:t>
      </w:r>
      <w:r w:rsidR="006F113B">
        <w:rPr>
          <w:rFonts w:asciiTheme="minorHAnsi" w:hAnsiTheme="minorHAnsi" w:cstheme="minorBidi"/>
          <w:lang w:val="fr-FR"/>
        </w:rPr>
        <w:t>’</w:t>
      </w:r>
      <w:r w:rsidR="0085144F" w:rsidRPr="0085144F">
        <w:rPr>
          <w:rFonts w:asciiTheme="minorHAnsi" w:hAnsiTheme="minorHAnsi" w:cstheme="minorBidi"/>
          <w:lang w:val="fr-FR"/>
        </w:rPr>
        <w:t>observation de la Terre</w:t>
      </w:r>
      <w:r w:rsidR="00564670">
        <w:rPr>
          <w:rFonts w:asciiTheme="minorHAnsi" w:hAnsiTheme="minorHAnsi" w:cstheme="minorBidi"/>
          <w:lang w:val="fr-FR"/>
        </w:rPr>
        <w:t>,</w:t>
      </w:r>
      <w:r w:rsidR="0085144F" w:rsidRPr="0085144F">
        <w:rPr>
          <w:rFonts w:asciiTheme="minorHAnsi" w:hAnsiTheme="minorHAnsi" w:cstheme="minorBidi"/>
          <w:lang w:val="fr-FR"/>
        </w:rPr>
        <w:t xml:space="preserve"> </w:t>
      </w:r>
      <w:r w:rsidR="006F113B">
        <w:rPr>
          <w:rFonts w:asciiTheme="minorHAnsi" w:hAnsiTheme="minorHAnsi" w:cstheme="minorBidi"/>
          <w:lang w:val="fr-FR"/>
        </w:rPr>
        <w:t>pour</w:t>
      </w:r>
      <w:r w:rsidR="00564670">
        <w:rPr>
          <w:rFonts w:asciiTheme="minorHAnsi" w:hAnsiTheme="minorHAnsi" w:cstheme="minorBidi"/>
          <w:lang w:val="fr-FR"/>
        </w:rPr>
        <w:t xml:space="preserve"> réalis</w:t>
      </w:r>
      <w:r w:rsidR="006F113B">
        <w:rPr>
          <w:rFonts w:asciiTheme="minorHAnsi" w:hAnsiTheme="minorHAnsi" w:cstheme="minorBidi"/>
          <w:lang w:val="fr-FR"/>
        </w:rPr>
        <w:t>er</w:t>
      </w:r>
      <w:r w:rsidR="00564670">
        <w:rPr>
          <w:rFonts w:asciiTheme="minorHAnsi" w:hAnsiTheme="minorHAnsi" w:cstheme="minorBidi"/>
          <w:lang w:val="fr-FR"/>
        </w:rPr>
        <w:t xml:space="preserve"> </w:t>
      </w:r>
      <w:r w:rsidR="006F113B">
        <w:rPr>
          <w:rFonts w:asciiTheme="minorHAnsi" w:hAnsiTheme="minorHAnsi" w:cstheme="minorBidi"/>
          <w:lang w:val="fr-FR"/>
        </w:rPr>
        <w:t>l</w:t>
      </w:r>
      <w:r w:rsidR="00564670">
        <w:rPr>
          <w:rFonts w:asciiTheme="minorHAnsi" w:hAnsiTheme="minorHAnsi" w:cstheme="minorBidi"/>
          <w:lang w:val="fr-FR"/>
        </w:rPr>
        <w:t xml:space="preserve">es </w:t>
      </w:r>
      <w:r w:rsidR="0085144F" w:rsidRPr="0085144F">
        <w:rPr>
          <w:rFonts w:asciiTheme="minorHAnsi" w:hAnsiTheme="minorHAnsi" w:cstheme="minorBidi"/>
          <w:lang w:val="fr-FR"/>
        </w:rPr>
        <w:t>IN</w:t>
      </w:r>
      <w:r w:rsidR="00564670">
        <w:rPr>
          <w:rFonts w:asciiTheme="minorHAnsi" w:hAnsiTheme="minorHAnsi" w:cstheme="minorBidi"/>
          <w:lang w:val="fr-FR"/>
        </w:rPr>
        <w:t>ZH</w:t>
      </w:r>
      <w:r w:rsidR="0085144F" w:rsidRPr="0085144F">
        <w:rPr>
          <w:rFonts w:asciiTheme="minorHAnsi" w:hAnsiTheme="minorHAnsi" w:cstheme="minorBidi"/>
          <w:lang w:val="fr-FR"/>
        </w:rPr>
        <w:t>.</w:t>
      </w:r>
    </w:p>
    <w:p w14:paraId="0C084093" w14:textId="77777777" w:rsidR="00252A13" w:rsidRPr="00CB55E1" w:rsidRDefault="00252A13" w:rsidP="00564670">
      <w:pPr>
        <w:autoSpaceDE w:val="0"/>
        <w:autoSpaceDN w:val="0"/>
        <w:adjustRightInd w:val="0"/>
        <w:ind w:left="0" w:firstLine="0"/>
        <w:rPr>
          <w:rFonts w:asciiTheme="minorHAnsi" w:hAnsiTheme="minorHAnsi" w:cstheme="minorBidi"/>
          <w:b/>
          <w:bCs/>
          <w:lang w:val="fr-FR"/>
        </w:rPr>
      </w:pPr>
    </w:p>
    <w:p w14:paraId="7473DCBB" w14:textId="07BC1A67" w:rsidR="00956139" w:rsidRPr="00CB55E1" w:rsidRDefault="00F50922" w:rsidP="00DD4AC4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7.</w:t>
      </w:r>
      <w:r w:rsidRPr="00CB55E1">
        <w:rPr>
          <w:rFonts w:asciiTheme="minorHAnsi" w:hAnsiTheme="minorHAnsi" w:cstheme="minorBidi"/>
          <w:lang w:val="fr-FR"/>
        </w:rPr>
        <w:tab/>
      </w:r>
      <w:r w:rsidR="008440AA" w:rsidRPr="008440AA">
        <w:rPr>
          <w:rFonts w:asciiTheme="minorHAnsi" w:hAnsiTheme="minorHAnsi" w:cstheme="minorBidi"/>
          <w:lang w:val="fr-FR"/>
        </w:rPr>
        <w:t xml:space="preserve">Le </w:t>
      </w:r>
      <w:r w:rsidR="008440AA">
        <w:rPr>
          <w:rFonts w:asciiTheme="minorHAnsi" w:hAnsiTheme="minorHAnsi" w:cstheme="minorBidi"/>
          <w:lang w:val="fr-FR"/>
        </w:rPr>
        <w:t>S</w:t>
      </w:r>
      <w:r w:rsidR="008440AA" w:rsidRPr="008440AA">
        <w:rPr>
          <w:rFonts w:asciiTheme="minorHAnsi" w:hAnsiTheme="minorHAnsi" w:cstheme="minorBidi"/>
          <w:lang w:val="fr-FR"/>
        </w:rPr>
        <w:t>ecrétariat dirige ce</w:t>
      </w:r>
      <w:r w:rsidR="008440AA">
        <w:rPr>
          <w:rFonts w:asciiTheme="minorHAnsi" w:hAnsiTheme="minorHAnsi" w:cstheme="minorBidi"/>
          <w:lang w:val="fr-FR"/>
        </w:rPr>
        <w:t>s</w:t>
      </w:r>
      <w:r w:rsidR="008440AA" w:rsidRPr="008440AA">
        <w:rPr>
          <w:rFonts w:asciiTheme="minorHAnsi" w:hAnsiTheme="minorHAnsi" w:cstheme="minorBidi"/>
          <w:lang w:val="fr-FR"/>
        </w:rPr>
        <w:t xml:space="preserve"> trava</w:t>
      </w:r>
      <w:r w:rsidR="008440AA">
        <w:rPr>
          <w:rFonts w:asciiTheme="minorHAnsi" w:hAnsiTheme="minorHAnsi" w:cstheme="minorBidi"/>
          <w:lang w:val="fr-FR"/>
        </w:rPr>
        <w:t xml:space="preserve">ux </w:t>
      </w:r>
      <w:r w:rsidR="008440AA" w:rsidRPr="008440AA">
        <w:rPr>
          <w:rFonts w:asciiTheme="minorHAnsi" w:hAnsiTheme="minorHAnsi" w:cstheme="minorBidi"/>
          <w:lang w:val="fr-FR"/>
        </w:rPr>
        <w:t>en</w:t>
      </w:r>
      <w:r w:rsidR="008440AA">
        <w:rPr>
          <w:rFonts w:asciiTheme="minorHAnsi" w:hAnsiTheme="minorHAnsi" w:cstheme="minorBidi"/>
          <w:lang w:val="fr-FR"/>
        </w:rPr>
        <w:t xml:space="preserve"> concertation</w:t>
      </w:r>
      <w:r w:rsidR="008440AA" w:rsidRPr="008440AA">
        <w:rPr>
          <w:rFonts w:asciiTheme="minorHAnsi" w:hAnsiTheme="minorHAnsi" w:cstheme="minorBidi"/>
          <w:lang w:val="fr-FR"/>
        </w:rPr>
        <w:t xml:space="preserve"> étroite</w:t>
      </w:r>
      <w:r w:rsidR="008440AA">
        <w:rPr>
          <w:rFonts w:asciiTheme="minorHAnsi" w:hAnsiTheme="minorHAnsi" w:cstheme="minorBidi"/>
          <w:lang w:val="fr-FR"/>
        </w:rPr>
        <w:t xml:space="preserve"> </w:t>
      </w:r>
      <w:r w:rsidR="008440AA" w:rsidRPr="008440AA">
        <w:rPr>
          <w:rFonts w:asciiTheme="minorHAnsi" w:hAnsiTheme="minorHAnsi" w:cstheme="minorBidi"/>
          <w:lang w:val="fr-FR"/>
        </w:rPr>
        <w:t>avec le</w:t>
      </w:r>
      <w:r w:rsidR="008440AA">
        <w:rPr>
          <w:rFonts w:asciiTheme="minorHAnsi" w:hAnsiTheme="minorHAnsi" w:cstheme="minorBidi"/>
          <w:lang w:val="fr-FR"/>
        </w:rPr>
        <w:t xml:space="preserve"> G</w:t>
      </w:r>
      <w:r w:rsidR="008440AA" w:rsidRPr="008440AA">
        <w:rPr>
          <w:rFonts w:asciiTheme="minorHAnsi" w:hAnsiTheme="minorHAnsi" w:cstheme="minorBidi"/>
          <w:lang w:val="fr-FR"/>
        </w:rPr>
        <w:t>roupe d</w:t>
      </w:r>
      <w:r w:rsidR="006F113B">
        <w:rPr>
          <w:rFonts w:asciiTheme="minorHAnsi" w:hAnsiTheme="minorHAnsi" w:cstheme="minorBidi"/>
          <w:lang w:val="fr-FR"/>
        </w:rPr>
        <w:t>’</w:t>
      </w:r>
      <w:r w:rsidR="008440AA" w:rsidRPr="008440AA">
        <w:rPr>
          <w:rFonts w:asciiTheme="minorHAnsi" w:hAnsiTheme="minorHAnsi" w:cstheme="minorBidi"/>
          <w:lang w:val="fr-FR"/>
        </w:rPr>
        <w:t xml:space="preserve">évaluation scientifique et technique (GEST) et consulte les </w:t>
      </w:r>
      <w:r w:rsidR="008440AA">
        <w:rPr>
          <w:rFonts w:asciiTheme="minorHAnsi" w:hAnsiTheme="minorHAnsi" w:cstheme="minorBidi"/>
          <w:lang w:val="fr-FR"/>
        </w:rPr>
        <w:t>O</w:t>
      </w:r>
      <w:r w:rsidR="008440AA" w:rsidRPr="008440AA">
        <w:rPr>
          <w:rFonts w:asciiTheme="minorHAnsi" w:hAnsiTheme="minorHAnsi" w:cstheme="minorBidi"/>
          <w:lang w:val="fr-FR"/>
        </w:rPr>
        <w:t>rganisations internationales partenaires (OIP), les autres partenaires et les donateurs. Ce</w:t>
      </w:r>
      <w:r w:rsidR="006F113B">
        <w:rPr>
          <w:rFonts w:asciiTheme="minorHAnsi" w:hAnsiTheme="minorHAnsi" w:cstheme="minorBidi"/>
          <w:lang w:val="fr-FR"/>
        </w:rPr>
        <w:t xml:space="preserve"> processus de</w:t>
      </w:r>
      <w:r w:rsidR="008440AA" w:rsidRPr="008440AA">
        <w:rPr>
          <w:rFonts w:asciiTheme="minorHAnsi" w:hAnsiTheme="minorHAnsi" w:cstheme="minorBidi"/>
          <w:lang w:val="fr-FR"/>
        </w:rPr>
        <w:t xml:space="preserve"> consultation permet de tirer parti d</w:t>
      </w:r>
      <w:r w:rsidR="006F113B">
        <w:rPr>
          <w:rFonts w:asciiTheme="minorHAnsi" w:hAnsiTheme="minorHAnsi" w:cstheme="minorBidi"/>
          <w:lang w:val="fr-FR"/>
        </w:rPr>
        <w:t>’</w:t>
      </w:r>
      <w:r w:rsidR="008440AA" w:rsidRPr="008440AA">
        <w:rPr>
          <w:rFonts w:asciiTheme="minorHAnsi" w:hAnsiTheme="minorHAnsi" w:cstheme="minorBidi"/>
          <w:lang w:val="fr-FR"/>
        </w:rPr>
        <w:t xml:space="preserve">une expertise technique supplémentaire et de rassembler des études de cas. </w:t>
      </w:r>
      <w:r w:rsidR="00DD4AC4">
        <w:rPr>
          <w:rFonts w:asciiTheme="minorHAnsi" w:hAnsiTheme="minorHAnsi" w:cstheme="minorBidi"/>
          <w:lang w:val="fr-FR"/>
        </w:rPr>
        <w:t>L</w:t>
      </w:r>
      <w:r w:rsidR="006F113B">
        <w:rPr>
          <w:rFonts w:asciiTheme="minorHAnsi" w:hAnsiTheme="minorHAnsi" w:cstheme="minorBidi"/>
          <w:lang w:val="fr-FR"/>
        </w:rPr>
        <w:t>’</w:t>
      </w:r>
      <w:r w:rsidR="00DD4AC4">
        <w:rPr>
          <w:rFonts w:asciiTheme="minorHAnsi" w:hAnsiTheme="minorHAnsi" w:cstheme="minorBidi"/>
          <w:lang w:val="fr-FR"/>
        </w:rPr>
        <w:t>expérience de pays ayant mis en place avec succès un processus d</w:t>
      </w:r>
      <w:r w:rsidR="006F113B">
        <w:rPr>
          <w:rFonts w:asciiTheme="minorHAnsi" w:hAnsiTheme="minorHAnsi" w:cstheme="minorBidi"/>
          <w:lang w:val="fr-FR"/>
        </w:rPr>
        <w:t>’</w:t>
      </w:r>
      <w:r w:rsidR="00DD4AC4">
        <w:rPr>
          <w:rFonts w:asciiTheme="minorHAnsi" w:hAnsiTheme="minorHAnsi" w:cstheme="minorBidi"/>
          <w:lang w:val="fr-FR"/>
        </w:rPr>
        <w:t xml:space="preserve">INZH vient également </w:t>
      </w:r>
      <w:r w:rsidR="008440AA" w:rsidRPr="008440AA">
        <w:rPr>
          <w:rFonts w:asciiTheme="minorHAnsi" w:hAnsiTheme="minorHAnsi" w:cstheme="minorBidi"/>
          <w:lang w:val="fr-FR"/>
        </w:rPr>
        <w:t>enrichi</w:t>
      </w:r>
      <w:r w:rsidR="00DD4AC4">
        <w:rPr>
          <w:rFonts w:asciiTheme="minorHAnsi" w:hAnsiTheme="minorHAnsi" w:cstheme="minorBidi"/>
          <w:lang w:val="fr-FR"/>
        </w:rPr>
        <w:t>r ces travaux.</w:t>
      </w:r>
    </w:p>
    <w:p w14:paraId="1BE7E1F4" w14:textId="77777777" w:rsidR="00982729" w:rsidRPr="00CB55E1" w:rsidRDefault="00982729" w:rsidP="00CD6968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Bidi"/>
          <w:lang w:val="fr-FR"/>
        </w:rPr>
      </w:pPr>
    </w:p>
    <w:p w14:paraId="486C08D7" w14:textId="247D7B7D" w:rsidR="00935D97" w:rsidRPr="00CB55E1" w:rsidRDefault="00B8721C" w:rsidP="00DA36E1">
      <w:pPr>
        <w:keepNext/>
        <w:rPr>
          <w:bCs/>
          <w:u w:val="single"/>
          <w:lang w:val="fr-FR"/>
        </w:rPr>
      </w:pPr>
      <w:r>
        <w:rPr>
          <w:bCs/>
          <w:u w:val="single"/>
          <w:lang w:val="fr-FR"/>
        </w:rPr>
        <w:t>R</w:t>
      </w:r>
      <w:r w:rsidRPr="00B8721C">
        <w:rPr>
          <w:bCs/>
          <w:u w:val="single"/>
          <w:lang w:val="fr-FR"/>
        </w:rPr>
        <w:t>enforcement des capacités</w:t>
      </w:r>
    </w:p>
    <w:p w14:paraId="739C0C60" w14:textId="77777777" w:rsidR="00935D97" w:rsidRPr="00CB55E1" w:rsidRDefault="00935D97" w:rsidP="00DA36E1">
      <w:pPr>
        <w:pStyle w:val="ListParagraph"/>
        <w:keepNext/>
        <w:autoSpaceDE w:val="0"/>
        <w:autoSpaceDN w:val="0"/>
        <w:adjustRightInd w:val="0"/>
        <w:ind w:left="426" w:firstLine="0"/>
        <w:rPr>
          <w:b/>
          <w:lang w:val="fr-FR"/>
        </w:rPr>
      </w:pPr>
    </w:p>
    <w:p w14:paraId="57AD4886" w14:textId="1345ACD7" w:rsidR="00833634" w:rsidRPr="00CB55E1" w:rsidRDefault="00F50922" w:rsidP="005B3467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8.</w:t>
      </w:r>
      <w:r w:rsidRPr="00CB55E1">
        <w:rPr>
          <w:rFonts w:asciiTheme="minorHAnsi" w:hAnsiTheme="minorHAnsi" w:cstheme="minorHAnsi"/>
          <w:lang w:val="fr-FR"/>
        </w:rPr>
        <w:tab/>
      </w:r>
      <w:r w:rsidR="005B3467" w:rsidRPr="005B3467">
        <w:rPr>
          <w:rFonts w:asciiTheme="minorHAnsi" w:hAnsiTheme="minorHAnsi" w:cstheme="minorHAnsi"/>
          <w:lang w:val="fr-FR"/>
        </w:rPr>
        <w:t>Le programme de formation sur les IN</w:t>
      </w:r>
      <w:r w:rsidR="005B3467">
        <w:rPr>
          <w:rFonts w:asciiTheme="minorHAnsi" w:hAnsiTheme="minorHAnsi" w:cstheme="minorHAnsi"/>
          <w:lang w:val="fr-FR"/>
        </w:rPr>
        <w:t>ZH</w:t>
      </w:r>
      <w:r w:rsidR="005B3467" w:rsidRPr="005B3467">
        <w:rPr>
          <w:rFonts w:asciiTheme="minorHAnsi" w:hAnsiTheme="minorHAnsi" w:cstheme="minorHAnsi"/>
          <w:lang w:val="fr-FR"/>
        </w:rPr>
        <w:t xml:space="preserve"> vise à aider les </w:t>
      </w:r>
      <w:r w:rsidR="005B3467">
        <w:rPr>
          <w:rFonts w:asciiTheme="minorHAnsi" w:hAnsiTheme="minorHAnsi" w:cstheme="minorHAnsi"/>
          <w:lang w:val="fr-FR"/>
        </w:rPr>
        <w:t>P</w:t>
      </w:r>
      <w:r w:rsidR="005B3467" w:rsidRPr="005B3467">
        <w:rPr>
          <w:rFonts w:asciiTheme="minorHAnsi" w:hAnsiTheme="minorHAnsi" w:cstheme="minorHAnsi"/>
          <w:lang w:val="fr-FR"/>
        </w:rPr>
        <w:t xml:space="preserve">arties contractantes à acquérir des connaissances et un savoir-faire sur la manière </w:t>
      </w:r>
      <w:r w:rsidR="005B3467">
        <w:rPr>
          <w:rFonts w:asciiTheme="minorHAnsi" w:hAnsiTheme="minorHAnsi" w:cstheme="minorHAnsi"/>
          <w:lang w:val="fr-FR"/>
        </w:rPr>
        <w:t>de réaliser un INZH</w:t>
      </w:r>
      <w:r w:rsidR="005B3467" w:rsidRPr="005B3467">
        <w:rPr>
          <w:rFonts w:asciiTheme="minorHAnsi" w:hAnsiTheme="minorHAnsi" w:cstheme="minorHAnsi"/>
          <w:lang w:val="fr-FR"/>
        </w:rPr>
        <w:t xml:space="preserve"> dans un cadre politique, scientifique et </w:t>
      </w:r>
      <w:proofErr w:type="gramStart"/>
      <w:r w:rsidR="005B3467" w:rsidRPr="005B3467">
        <w:rPr>
          <w:rFonts w:asciiTheme="minorHAnsi" w:hAnsiTheme="minorHAnsi" w:cstheme="minorHAnsi"/>
          <w:lang w:val="fr-FR"/>
        </w:rPr>
        <w:t>technique approprié</w:t>
      </w:r>
      <w:proofErr w:type="gramEnd"/>
      <w:r w:rsidR="005B3467" w:rsidRPr="005B3467">
        <w:rPr>
          <w:rFonts w:asciiTheme="minorHAnsi" w:hAnsiTheme="minorHAnsi" w:cstheme="minorHAnsi"/>
          <w:lang w:val="fr-FR"/>
        </w:rPr>
        <w:t xml:space="preserve">. </w:t>
      </w:r>
      <w:r w:rsidR="005B3467">
        <w:rPr>
          <w:rFonts w:asciiTheme="minorHAnsi" w:hAnsiTheme="minorHAnsi" w:cstheme="minorHAnsi"/>
          <w:lang w:val="fr-FR"/>
        </w:rPr>
        <w:t>Cette formation</w:t>
      </w:r>
      <w:r w:rsidR="005B3467" w:rsidRPr="005B3467">
        <w:rPr>
          <w:rFonts w:asciiTheme="minorHAnsi" w:hAnsiTheme="minorHAnsi" w:cstheme="minorHAnsi"/>
          <w:lang w:val="fr-FR"/>
        </w:rPr>
        <w:t xml:space="preserve"> est dispensé</w:t>
      </w:r>
      <w:r w:rsidR="005B3467">
        <w:rPr>
          <w:rFonts w:asciiTheme="minorHAnsi" w:hAnsiTheme="minorHAnsi" w:cstheme="minorHAnsi"/>
          <w:lang w:val="fr-FR"/>
        </w:rPr>
        <w:t>e</w:t>
      </w:r>
      <w:r w:rsidR="005B3467" w:rsidRPr="005B3467">
        <w:rPr>
          <w:rFonts w:asciiTheme="minorHAnsi" w:hAnsiTheme="minorHAnsi" w:cstheme="minorHAnsi"/>
          <w:lang w:val="fr-FR"/>
        </w:rPr>
        <w:t xml:space="preserve"> dans chacune des trois langues officielles de la </w:t>
      </w:r>
      <w:r w:rsidR="005B3467">
        <w:rPr>
          <w:rFonts w:asciiTheme="minorHAnsi" w:hAnsiTheme="minorHAnsi" w:cstheme="minorHAnsi"/>
          <w:lang w:val="fr-FR"/>
        </w:rPr>
        <w:t>C</w:t>
      </w:r>
      <w:r w:rsidR="005B3467" w:rsidRPr="005B3467">
        <w:rPr>
          <w:rFonts w:asciiTheme="minorHAnsi" w:hAnsiTheme="minorHAnsi" w:cstheme="minorHAnsi"/>
          <w:lang w:val="fr-FR"/>
        </w:rPr>
        <w:t xml:space="preserve">onvention et, pour chaque langue, consiste en trois sessions de formation en </w:t>
      </w:r>
      <w:r w:rsidR="005B3467">
        <w:rPr>
          <w:rFonts w:asciiTheme="minorHAnsi" w:hAnsiTheme="minorHAnsi" w:cstheme="minorHAnsi"/>
          <w:lang w:val="fr-FR"/>
        </w:rPr>
        <w:t>présentiel</w:t>
      </w:r>
      <w:r w:rsidR="005B3467" w:rsidRPr="005B3467">
        <w:rPr>
          <w:rFonts w:asciiTheme="minorHAnsi" w:hAnsiTheme="minorHAnsi" w:cstheme="minorHAnsi"/>
          <w:lang w:val="fr-FR"/>
        </w:rPr>
        <w:t xml:space="preserve"> organisées </w:t>
      </w:r>
      <w:r w:rsidR="005B3467">
        <w:rPr>
          <w:rFonts w:asciiTheme="minorHAnsi" w:hAnsiTheme="minorHAnsi" w:cstheme="minorHAnsi"/>
          <w:lang w:val="fr-FR"/>
        </w:rPr>
        <w:t xml:space="preserve">sur trois </w:t>
      </w:r>
      <w:r w:rsidR="005B3467" w:rsidRPr="005B3467">
        <w:rPr>
          <w:rFonts w:asciiTheme="minorHAnsi" w:hAnsiTheme="minorHAnsi" w:cstheme="minorHAnsi"/>
          <w:lang w:val="fr-FR"/>
        </w:rPr>
        <w:t xml:space="preserve">années </w:t>
      </w:r>
      <w:r w:rsidR="006F113B">
        <w:rPr>
          <w:rFonts w:asciiTheme="minorHAnsi" w:hAnsiTheme="minorHAnsi" w:cstheme="minorHAnsi"/>
          <w:lang w:val="fr-FR"/>
        </w:rPr>
        <w:t>consécut</w:t>
      </w:r>
      <w:r w:rsidR="005B3467" w:rsidRPr="005B3467">
        <w:rPr>
          <w:rFonts w:asciiTheme="minorHAnsi" w:hAnsiTheme="minorHAnsi" w:cstheme="minorHAnsi"/>
          <w:lang w:val="fr-FR"/>
        </w:rPr>
        <w:t xml:space="preserve">ives, </w:t>
      </w:r>
      <w:r w:rsidR="005B3467">
        <w:rPr>
          <w:rFonts w:asciiTheme="minorHAnsi" w:hAnsiTheme="minorHAnsi" w:cstheme="minorHAnsi"/>
          <w:lang w:val="fr-FR"/>
        </w:rPr>
        <w:t>tout en maintenant un</w:t>
      </w:r>
      <w:r w:rsidR="005B3467" w:rsidRPr="005B3467">
        <w:rPr>
          <w:rFonts w:asciiTheme="minorHAnsi" w:hAnsiTheme="minorHAnsi" w:cstheme="minorHAnsi"/>
          <w:lang w:val="fr-FR"/>
        </w:rPr>
        <w:t xml:space="preserve"> dialogue</w:t>
      </w:r>
      <w:r w:rsidR="005B3467">
        <w:rPr>
          <w:rFonts w:asciiTheme="minorHAnsi" w:hAnsiTheme="minorHAnsi" w:cstheme="minorHAnsi"/>
          <w:lang w:val="fr-FR"/>
        </w:rPr>
        <w:t xml:space="preserve"> constant </w:t>
      </w:r>
      <w:r w:rsidR="005B3467" w:rsidRPr="005B3467">
        <w:rPr>
          <w:rFonts w:asciiTheme="minorHAnsi" w:hAnsiTheme="minorHAnsi" w:cstheme="minorHAnsi"/>
          <w:lang w:val="fr-FR"/>
        </w:rPr>
        <w:t xml:space="preserve">avec les participants </w:t>
      </w:r>
      <w:r w:rsidR="005B3467">
        <w:rPr>
          <w:rFonts w:asciiTheme="minorHAnsi" w:hAnsiTheme="minorHAnsi" w:cstheme="minorHAnsi"/>
          <w:lang w:val="fr-FR"/>
        </w:rPr>
        <w:t xml:space="preserve">sur </w:t>
      </w:r>
      <w:r w:rsidR="006F113B">
        <w:rPr>
          <w:rFonts w:asciiTheme="minorHAnsi" w:hAnsiTheme="minorHAnsi" w:cstheme="minorHAnsi"/>
          <w:lang w:val="fr-FR"/>
        </w:rPr>
        <w:t>l’ensemble de la</w:t>
      </w:r>
      <w:r w:rsidR="005B3467">
        <w:rPr>
          <w:rFonts w:asciiTheme="minorHAnsi" w:hAnsiTheme="minorHAnsi" w:cstheme="minorHAnsi"/>
          <w:lang w:val="fr-FR"/>
        </w:rPr>
        <w:t xml:space="preserve"> période</w:t>
      </w:r>
      <w:r w:rsidR="005B3467" w:rsidRPr="005B3467">
        <w:rPr>
          <w:rFonts w:asciiTheme="minorHAnsi" w:hAnsiTheme="minorHAnsi" w:cstheme="minorHAnsi"/>
          <w:lang w:val="fr-FR"/>
        </w:rPr>
        <w:t>.</w:t>
      </w:r>
    </w:p>
    <w:p w14:paraId="430E2D28" w14:textId="77777777" w:rsidR="00FB4E3B" w:rsidRPr="00CB55E1" w:rsidRDefault="00FB4E3B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086758E5" w14:textId="7F762B3B" w:rsidR="00972F34" w:rsidRPr="002F6000" w:rsidRDefault="00F50922" w:rsidP="002F6000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Bidi"/>
          <w:lang w:val="fr-FR"/>
        </w:rPr>
        <w:t>9.</w:t>
      </w:r>
      <w:r w:rsidRPr="00CB55E1">
        <w:rPr>
          <w:rFonts w:asciiTheme="minorHAnsi" w:hAnsiTheme="minorHAnsi" w:cstheme="minorBidi"/>
          <w:lang w:val="fr-FR"/>
        </w:rPr>
        <w:tab/>
      </w:r>
      <w:r w:rsidR="005B3467" w:rsidRPr="005B3467">
        <w:rPr>
          <w:rFonts w:asciiTheme="minorHAnsi" w:hAnsiTheme="minorHAnsi" w:cstheme="minorBidi"/>
          <w:lang w:val="fr-FR"/>
        </w:rPr>
        <w:t xml:space="preserve">Un appel à candidatures pour </w:t>
      </w:r>
      <w:r w:rsidR="005B3467">
        <w:rPr>
          <w:rFonts w:asciiTheme="minorHAnsi" w:hAnsiTheme="minorHAnsi" w:cstheme="minorBidi"/>
          <w:lang w:val="fr-FR"/>
        </w:rPr>
        <w:t>assister aux</w:t>
      </w:r>
      <w:r w:rsidR="005B3467" w:rsidRPr="005B3467">
        <w:rPr>
          <w:rFonts w:asciiTheme="minorHAnsi" w:hAnsiTheme="minorHAnsi" w:cstheme="minorBidi"/>
          <w:lang w:val="fr-FR"/>
        </w:rPr>
        <w:t xml:space="preserve"> cours </w:t>
      </w:r>
      <w:r w:rsidR="005B3467">
        <w:rPr>
          <w:rFonts w:asciiTheme="minorHAnsi" w:hAnsiTheme="minorHAnsi" w:cstheme="minorBidi"/>
          <w:lang w:val="fr-FR"/>
        </w:rPr>
        <w:t xml:space="preserve">en </w:t>
      </w:r>
      <w:r w:rsidR="005B3467" w:rsidRPr="005B3467">
        <w:rPr>
          <w:rFonts w:asciiTheme="minorHAnsi" w:hAnsiTheme="minorHAnsi" w:cstheme="minorBidi"/>
          <w:lang w:val="fr-FR"/>
        </w:rPr>
        <w:t xml:space="preserve">anglais, français </w:t>
      </w:r>
      <w:r w:rsidR="000241BA">
        <w:rPr>
          <w:rFonts w:asciiTheme="minorHAnsi" w:hAnsiTheme="minorHAnsi" w:cstheme="minorBidi"/>
          <w:lang w:val="fr-FR"/>
        </w:rPr>
        <w:t>ou</w:t>
      </w:r>
      <w:r w:rsidR="005B3467" w:rsidRPr="005B3467">
        <w:rPr>
          <w:rFonts w:asciiTheme="minorHAnsi" w:hAnsiTheme="minorHAnsi" w:cstheme="minorBidi"/>
          <w:lang w:val="fr-FR"/>
        </w:rPr>
        <w:t xml:space="preserve"> espagnol a été envoyé aux </w:t>
      </w:r>
      <w:r w:rsidR="005B3467">
        <w:rPr>
          <w:rFonts w:asciiTheme="minorHAnsi" w:hAnsiTheme="minorHAnsi" w:cstheme="minorBidi"/>
          <w:lang w:val="fr-FR"/>
        </w:rPr>
        <w:t>P</w:t>
      </w:r>
      <w:r w:rsidR="005B3467" w:rsidRPr="005B3467">
        <w:rPr>
          <w:rFonts w:asciiTheme="minorHAnsi" w:hAnsiTheme="minorHAnsi" w:cstheme="minorBidi"/>
          <w:lang w:val="fr-FR"/>
        </w:rPr>
        <w:t xml:space="preserve">arties contractantes </w:t>
      </w:r>
      <w:r w:rsidR="000241BA">
        <w:rPr>
          <w:rFonts w:asciiTheme="minorHAnsi" w:hAnsiTheme="minorHAnsi" w:cstheme="minorBidi"/>
          <w:lang w:val="fr-FR"/>
        </w:rPr>
        <w:t>admissibles</w:t>
      </w:r>
      <w:r w:rsidR="005B3467" w:rsidRPr="005B3467">
        <w:rPr>
          <w:rFonts w:asciiTheme="minorHAnsi" w:hAnsiTheme="minorHAnsi" w:cstheme="minorBidi"/>
          <w:lang w:val="fr-FR"/>
        </w:rPr>
        <w:t xml:space="preserve"> le 8</w:t>
      </w:r>
      <w:r w:rsidR="005B3467">
        <w:rPr>
          <w:rFonts w:asciiTheme="minorHAnsi" w:hAnsiTheme="minorHAnsi" w:cstheme="minorBidi"/>
          <w:lang w:val="fr-FR"/>
        </w:rPr>
        <w:t> </w:t>
      </w:r>
      <w:r w:rsidR="005B3467" w:rsidRPr="005B3467">
        <w:rPr>
          <w:rFonts w:asciiTheme="minorHAnsi" w:hAnsiTheme="minorHAnsi" w:cstheme="minorBidi"/>
          <w:lang w:val="fr-FR"/>
        </w:rPr>
        <w:t>avril</w:t>
      </w:r>
      <w:r w:rsidR="005B3467">
        <w:rPr>
          <w:rFonts w:asciiTheme="minorHAnsi" w:hAnsiTheme="minorHAnsi" w:cstheme="minorBidi"/>
          <w:lang w:val="fr-FR"/>
        </w:rPr>
        <w:t> </w:t>
      </w:r>
      <w:r w:rsidR="005B3467" w:rsidRPr="005B3467">
        <w:rPr>
          <w:rFonts w:asciiTheme="minorHAnsi" w:hAnsiTheme="minorHAnsi" w:cstheme="minorBidi"/>
          <w:lang w:val="fr-FR"/>
        </w:rPr>
        <w:t>2024</w:t>
      </w:r>
      <w:r w:rsidR="000241BA">
        <w:rPr>
          <w:rFonts w:asciiTheme="minorHAnsi" w:hAnsiTheme="minorHAnsi" w:cstheme="minorBidi"/>
          <w:lang w:val="fr-FR"/>
        </w:rPr>
        <w:t>,</w:t>
      </w:r>
      <w:r w:rsidR="005B3467" w:rsidRPr="005B3467">
        <w:rPr>
          <w:rFonts w:asciiTheme="minorHAnsi" w:hAnsiTheme="minorHAnsi" w:cstheme="minorBidi"/>
          <w:lang w:val="fr-FR"/>
        </w:rPr>
        <w:t xml:space="preserve"> avec une date limite de</w:t>
      </w:r>
      <w:r w:rsidR="000241BA">
        <w:rPr>
          <w:rFonts w:asciiTheme="minorHAnsi" w:hAnsiTheme="minorHAnsi" w:cstheme="minorBidi"/>
          <w:lang w:val="fr-FR"/>
        </w:rPr>
        <w:t xml:space="preserve"> dépôt </w:t>
      </w:r>
      <w:proofErr w:type="gramStart"/>
      <w:r w:rsidR="000241BA">
        <w:rPr>
          <w:rFonts w:asciiTheme="minorHAnsi" w:hAnsiTheme="minorHAnsi" w:cstheme="minorBidi"/>
          <w:lang w:val="fr-FR"/>
        </w:rPr>
        <w:t>des</w:t>
      </w:r>
      <w:r w:rsidR="005B3467" w:rsidRPr="005B3467">
        <w:rPr>
          <w:rFonts w:asciiTheme="minorHAnsi" w:hAnsiTheme="minorHAnsi" w:cstheme="minorBidi"/>
          <w:lang w:val="fr-FR"/>
        </w:rPr>
        <w:t xml:space="preserve"> candidature</w:t>
      </w:r>
      <w:proofErr w:type="gramEnd"/>
      <w:r w:rsidR="005B3467" w:rsidRPr="005B3467">
        <w:rPr>
          <w:rFonts w:asciiTheme="minorHAnsi" w:hAnsiTheme="minorHAnsi" w:cstheme="minorBidi"/>
          <w:lang w:val="fr-FR"/>
        </w:rPr>
        <w:t xml:space="preserve"> fixée au 31</w:t>
      </w:r>
      <w:r w:rsidR="000241BA">
        <w:rPr>
          <w:rFonts w:asciiTheme="minorHAnsi" w:hAnsiTheme="minorHAnsi" w:cstheme="minorBidi"/>
          <w:lang w:val="fr-FR"/>
        </w:rPr>
        <w:t> </w:t>
      </w:r>
      <w:r w:rsidR="005B3467" w:rsidRPr="005B3467">
        <w:rPr>
          <w:rFonts w:asciiTheme="minorHAnsi" w:hAnsiTheme="minorHAnsi" w:cstheme="minorBidi"/>
          <w:lang w:val="fr-FR"/>
        </w:rPr>
        <w:t>mai</w:t>
      </w:r>
      <w:r w:rsidR="000241BA">
        <w:rPr>
          <w:rFonts w:asciiTheme="minorHAnsi" w:hAnsiTheme="minorHAnsi" w:cstheme="minorBidi"/>
          <w:lang w:val="fr-FR"/>
        </w:rPr>
        <w:t> </w:t>
      </w:r>
      <w:r w:rsidR="005B3467" w:rsidRPr="005B3467">
        <w:rPr>
          <w:rFonts w:asciiTheme="minorHAnsi" w:hAnsiTheme="minorHAnsi" w:cstheme="minorBidi"/>
          <w:lang w:val="fr-FR"/>
        </w:rPr>
        <w:t>2024.</w:t>
      </w:r>
      <w:r w:rsidR="000241BA" w:rsidRPr="00CB55E1">
        <w:rPr>
          <w:rStyle w:val="FootnoteReference"/>
          <w:rFonts w:asciiTheme="minorHAnsi" w:hAnsiTheme="minorHAnsi" w:cstheme="minorBidi"/>
          <w:lang w:val="fr-FR"/>
        </w:rPr>
        <w:footnoteReference w:id="8"/>
      </w:r>
      <w:r w:rsidR="000241BA">
        <w:rPr>
          <w:rFonts w:asciiTheme="minorHAnsi" w:hAnsiTheme="minorHAnsi" w:cstheme="minorBidi"/>
          <w:lang w:val="fr-FR"/>
        </w:rPr>
        <w:t xml:space="preserve"> </w:t>
      </w:r>
      <w:r w:rsidR="005B3467" w:rsidRPr="005B3467">
        <w:rPr>
          <w:rFonts w:asciiTheme="minorHAnsi" w:hAnsiTheme="minorHAnsi" w:cstheme="minorBidi"/>
          <w:lang w:val="fr-FR"/>
        </w:rPr>
        <w:t xml:space="preserve">Les participants étaient </w:t>
      </w:r>
      <w:r w:rsidR="000241BA">
        <w:rPr>
          <w:rFonts w:asciiTheme="minorHAnsi" w:hAnsiTheme="minorHAnsi" w:cstheme="minorBidi"/>
          <w:lang w:val="fr-FR"/>
        </w:rPr>
        <w:t>tenus de</w:t>
      </w:r>
      <w:r w:rsidR="005B3467" w:rsidRPr="005B3467">
        <w:rPr>
          <w:rFonts w:asciiTheme="minorHAnsi" w:hAnsiTheme="minorHAnsi" w:cstheme="minorBidi"/>
          <w:lang w:val="fr-FR"/>
        </w:rPr>
        <w:t xml:space="preserve"> s</w:t>
      </w:r>
      <w:r w:rsidR="006F113B">
        <w:rPr>
          <w:rFonts w:asciiTheme="minorHAnsi" w:hAnsiTheme="minorHAnsi" w:cstheme="minorBidi"/>
          <w:lang w:val="fr-FR"/>
        </w:rPr>
        <w:t>’</w:t>
      </w:r>
      <w:r w:rsidR="005B3467" w:rsidRPr="005B3467">
        <w:rPr>
          <w:rFonts w:asciiTheme="minorHAnsi" w:hAnsiTheme="minorHAnsi" w:cstheme="minorBidi"/>
          <w:lang w:val="fr-FR"/>
        </w:rPr>
        <w:t xml:space="preserve">inscrire aux trois modules </w:t>
      </w:r>
      <w:r w:rsidR="005B3467" w:rsidRPr="005B3467">
        <w:rPr>
          <w:rFonts w:asciiTheme="minorHAnsi" w:hAnsiTheme="minorHAnsi" w:cstheme="minorBidi"/>
          <w:lang w:val="fr-FR"/>
        </w:rPr>
        <w:lastRenderedPageBreak/>
        <w:t>de formation</w:t>
      </w:r>
      <w:r w:rsidR="00526593">
        <w:rPr>
          <w:rFonts w:asciiTheme="minorHAnsi" w:hAnsiTheme="minorHAnsi" w:cstheme="minorBidi"/>
          <w:lang w:val="fr-FR"/>
        </w:rPr>
        <w:t xml:space="preserve">, </w:t>
      </w:r>
      <w:r w:rsidR="005B3467" w:rsidRPr="005B3467">
        <w:rPr>
          <w:rFonts w:asciiTheme="minorHAnsi" w:hAnsiTheme="minorHAnsi" w:cstheme="minorBidi"/>
          <w:lang w:val="fr-FR"/>
        </w:rPr>
        <w:t>d</w:t>
      </w:r>
      <w:r w:rsidR="006B15D8">
        <w:rPr>
          <w:rFonts w:asciiTheme="minorHAnsi" w:hAnsiTheme="minorHAnsi" w:cstheme="minorBidi"/>
          <w:lang w:val="fr-FR"/>
        </w:rPr>
        <w:t xml:space="preserve">e témoigner de </w:t>
      </w:r>
      <w:r w:rsidR="000241BA">
        <w:rPr>
          <w:rFonts w:asciiTheme="minorHAnsi" w:hAnsiTheme="minorHAnsi" w:cstheme="minorBidi"/>
          <w:lang w:val="fr-FR"/>
        </w:rPr>
        <w:t>leur assiduité</w:t>
      </w:r>
      <w:r w:rsidR="005B3467" w:rsidRPr="005B3467">
        <w:rPr>
          <w:rFonts w:asciiTheme="minorHAnsi" w:hAnsiTheme="minorHAnsi" w:cstheme="minorBidi"/>
          <w:lang w:val="fr-FR"/>
        </w:rPr>
        <w:t xml:space="preserve"> </w:t>
      </w:r>
      <w:r w:rsidR="006B15D8">
        <w:rPr>
          <w:rFonts w:asciiTheme="minorHAnsi" w:hAnsiTheme="minorHAnsi" w:cstheme="minorBidi"/>
          <w:lang w:val="fr-FR"/>
        </w:rPr>
        <w:t>au moyen</w:t>
      </w:r>
      <w:r w:rsidR="005B3467" w:rsidRPr="005B3467">
        <w:rPr>
          <w:rFonts w:asciiTheme="minorHAnsi" w:hAnsiTheme="minorHAnsi" w:cstheme="minorBidi"/>
          <w:lang w:val="fr-FR"/>
        </w:rPr>
        <w:t xml:space="preserve"> de </w:t>
      </w:r>
      <w:r w:rsidR="00526593">
        <w:rPr>
          <w:rFonts w:asciiTheme="minorHAnsi" w:hAnsiTheme="minorHAnsi" w:cstheme="minorBidi"/>
          <w:lang w:val="fr-FR"/>
        </w:rPr>
        <w:t>tâches</w:t>
      </w:r>
      <w:r w:rsidR="005B3467" w:rsidRPr="005B3467">
        <w:rPr>
          <w:rFonts w:asciiTheme="minorHAnsi" w:hAnsiTheme="minorHAnsi" w:cstheme="minorBidi"/>
          <w:lang w:val="fr-FR"/>
        </w:rPr>
        <w:t xml:space="preserve"> à </w:t>
      </w:r>
      <w:r w:rsidR="00526593">
        <w:rPr>
          <w:rFonts w:asciiTheme="minorHAnsi" w:hAnsiTheme="minorHAnsi" w:cstheme="minorBidi"/>
          <w:lang w:val="fr-FR"/>
        </w:rPr>
        <w:t>mener à bien</w:t>
      </w:r>
      <w:r w:rsidR="005B3467" w:rsidRPr="005B3467">
        <w:rPr>
          <w:rFonts w:asciiTheme="minorHAnsi" w:hAnsiTheme="minorHAnsi" w:cstheme="minorBidi"/>
          <w:lang w:val="fr-FR"/>
        </w:rPr>
        <w:t xml:space="preserve"> entre les </w:t>
      </w:r>
      <w:r w:rsidR="00526593">
        <w:rPr>
          <w:rFonts w:asciiTheme="minorHAnsi" w:hAnsiTheme="minorHAnsi" w:cstheme="minorBidi"/>
          <w:lang w:val="fr-FR"/>
        </w:rPr>
        <w:t>séances</w:t>
      </w:r>
      <w:r w:rsidR="005B3467" w:rsidRPr="005B3467">
        <w:rPr>
          <w:rFonts w:asciiTheme="minorHAnsi" w:hAnsiTheme="minorHAnsi" w:cstheme="minorBidi"/>
          <w:lang w:val="fr-FR"/>
        </w:rPr>
        <w:t xml:space="preserve"> sur site, et </w:t>
      </w:r>
      <w:r w:rsidR="00B0542A">
        <w:rPr>
          <w:rFonts w:asciiTheme="minorHAnsi" w:hAnsiTheme="minorHAnsi" w:cstheme="minorBidi"/>
          <w:lang w:val="fr-FR"/>
        </w:rPr>
        <w:t>de</w:t>
      </w:r>
      <w:r w:rsidR="005B3467" w:rsidRPr="005B3467">
        <w:rPr>
          <w:rFonts w:asciiTheme="minorHAnsi" w:hAnsiTheme="minorHAnsi" w:cstheme="minorBidi"/>
          <w:lang w:val="fr-FR"/>
        </w:rPr>
        <w:t xml:space="preserve"> particip</w:t>
      </w:r>
      <w:r w:rsidR="00B0542A">
        <w:rPr>
          <w:rFonts w:asciiTheme="minorHAnsi" w:hAnsiTheme="minorHAnsi" w:cstheme="minorBidi"/>
          <w:lang w:val="fr-FR"/>
        </w:rPr>
        <w:t>er</w:t>
      </w:r>
      <w:r w:rsidR="005B3467" w:rsidRPr="005B3467">
        <w:rPr>
          <w:rFonts w:asciiTheme="minorHAnsi" w:hAnsiTheme="minorHAnsi" w:cstheme="minorBidi"/>
          <w:lang w:val="fr-FR"/>
        </w:rPr>
        <w:t xml:space="preserve"> à des discussions en ligne</w:t>
      </w:r>
      <w:r w:rsidR="00B0542A">
        <w:rPr>
          <w:rFonts w:asciiTheme="minorHAnsi" w:hAnsiTheme="minorHAnsi" w:cstheme="minorBidi"/>
          <w:lang w:val="fr-FR"/>
        </w:rPr>
        <w:t xml:space="preserve"> tous les trimestres</w:t>
      </w:r>
      <w:r w:rsidR="003E0519" w:rsidRPr="00CB55E1">
        <w:rPr>
          <w:rFonts w:asciiTheme="minorHAnsi" w:hAnsiTheme="minorHAnsi" w:cstheme="minorBidi"/>
          <w:lang w:val="fr-FR"/>
        </w:rPr>
        <w:t>.</w:t>
      </w:r>
    </w:p>
    <w:p w14:paraId="037057FA" w14:textId="77777777" w:rsidR="00972F34" w:rsidRPr="00CB55E1" w:rsidRDefault="00972F34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63FF3FD5" w14:textId="2111AE08" w:rsidR="00FB4E3B" w:rsidRPr="00CB55E1" w:rsidRDefault="00F50922" w:rsidP="00B830FB">
      <w:pPr>
        <w:autoSpaceDE w:val="0"/>
        <w:autoSpaceDN w:val="0"/>
        <w:adjustRightInd w:val="0"/>
        <w:ind w:left="426" w:hanging="426"/>
        <w:rPr>
          <w:lang w:val="fr-FR"/>
        </w:rPr>
      </w:pPr>
      <w:r w:rsidRPr="00CB55E1">
        <w:rPr>
          <w:rFonts w:asciiTheme="minorHAnsi" w:hAnsiTheme="minorHAnsi" w:cstheme="minorBidi"/>
          <w:lang w:val="fr-FR"/>
        </w:rPr>
        <w:t>10.</w:t>
      </w:r>
      <w:r w:rsidRPr="00CB55E1">
        <w:rPr>
          <w:rFonts w:asciiTheme="minorHAnsi" w:hAnsiTheme="minorHAnsi" w:cstheme="minorBidi"/>
          <w:lang w:val="fr-FR"/>
        </w:rPr>
        <w:tab/>
      </w:r>
      <w:r w:rsidR="00050DA6" w:rsidRPr="00050DA6">
        <w:rPr>
          <w:rFonts w:asciiTheme="minorHAnsi" w:hAnsiTheme="minorHAnsi" w:cstheme="minorBidi"/>
          <w:lang w:val="fr-FR"/>
        </w:rPr>
        <w:t xml:space="preserve">Quarante-deux candidatures ont été reçues, dont 25 pour le cours </w:t>
      </w:r>
      <w:r w:rsidR="00050DA6">
        <w:rPr>
          <w:rFonts w:asciiTheme="minorHAnsi" w:hAnsiTheme="minorHAnsi" w:cstheme="minorBidi"/>
          <w:lang w:val="fr-FR"/>
        </w:rPr>
        <w:t xml:space="preserve">en </w:t>
      </w:r>
      <w:r w:rsidR="00050DA6" w:rsidRPr="00050DA6">
        <w:rPr>
          <w:rFonts w:asciiTheme="minorHAnsi" w:hAnsiTheme="minorHAnsi" w:cstheme="minorBidi"/>
          <w:lang w:val="fr-FR"/>
        </w:rPr>
        <w:t>angl</w:t>
      </w:r>
      <w:r w:rsidR="00050DA6">
        <w:rPr>
          <w:rFonts w:asciiTheme="minorHAnsi" w:hAnsiTheme="minorHAnsi" w:cstheme="minorBidi"/>
          <w:lang w:val="fr-FR"/>
        </w:rPr>
        <w:t>ais</w:t>
      </w:r>
      <w:r w:rsidR="00050DA6" w:rsidRPr="00050DA6">
        <w:rPr>
          <w:rFonts w:asciiTheme="minorHAnsi" w:hAnsiTheme="minorHAnsi" w:cstheme="minorBidi"/>
          <w:lang w:val="fr-FR"/>
        </w:rPr>
        <w:t>, 11 pour le cours</w:t>
      </w:r>
      <w:r w:rsidR="00050DA6">
        <w:rPr>
          <w:rFonts w:asciiTheme="minorHAnsi" w:hAnsiTheme="minorHAnsi" w:cstheme="minorBidi"/>
          <w:lang w:val="fr-FR"/>
        </w:rPr>
        <w:t xml:space="preserve"> en français</w:t>
      </w:r>
      <w:r w:rsidR="00050DA6" w:rsidRPr="00050DA6">
        <w:rPr>
          <w:rFonts w:asciiTheme="minorHAnsi" w:hAnsiTheme="minorHAnsi" w:cstheme="minorBidi"/>
          <w:lang w:val="fr-FR"/>
        </w:rPr>
        <w:t xml:space="preserve"> et 6 pour le cours </w:t>
      </w:r>
      <w:r w:rsidR="00050DA6">
        <w:rPr>
          <w:rFonts w:asciiTheme="minorHAnsi" w:hAnsiTheme="minorHAnsi" w:cstheme="minorBidi"/>
          <w:lang w:val="fr-FR"/>
        </w:rPr>
        <w:t>en espagnol</w:t>
      </w:r>
      <w:r w:rsidR="00050DA6" w:rsidRPr="00050DA6">
        <w:rPr>
          <w:rFonts w:asciiTheme="minorHAnsi" w:hAnsiTheme="minorHAnsi" w:cstheme="minorBidi"/>
          <w:lang w:val="fr-FR"/>
        </w:rPr>
        <w:t xml:space="preserve">. </w:t>
      </w:r>
      <w:r w:rsidR="00050DA6">
        <w:rPr>
          <w:rFonts w:asciiTheme="minorHAnsi" w:hAnsiTheme="minorHAnsi" w:cstheme="minorBidi"/>
          <w:lang w:val="fr-FR"/>
        </w:rPr>
        <w:t xml:space="preserve">Seules 10 Parties contractantes pouvant participer à une session de </w:t>
      </w:r>
      <w:r w:rsidR="00050DA6" w:rsidRPr="00050DA6">
        <w:rPr>
          <w:rFonts w:asciiTheme="minorHAnsi" w:hAnsiTheme="minorHAnsi" w:cstheme="minorBidi"/>
          <w:lang w:val="fr-FR"/>
        </w:rPr>
        <w:t>formation</w:t>
      </w:r>
      <w:r w:rsidR="00B830FB">
        <w:rPr>
          <w:rFonts w:asciiTheme="minorHAnsi" w:hAnsiTheme="minorHAnsi" w:cstheme="minorBidi"/>
          <w:lang w:val="fr-FR"/>
        </w:rPr>
        <w:t xml:space="preserve"> donnée</w:t>
      </w:r>
      <w:r w:rsidR="00050DA6" w:rsidRPr="00050DA6">
        <w:rPr>
          <w:rFonts w:asciiTheme="minorHAnsi" w:hAnsiTheme="minorHAnsi" w:cstheme="minorBidi"/>
          <w:lang w:val="fr-FR"/>
        </w:rPr>
        <w:t xml:space="preserve"> (soit 20 participants), les participants anglophones ont été sélectionnés par le Secrétariat en consultation avec le Bureau des Nations </w:t>
      </w:r>
      <w:r w:rsidR="00050DA6">
        <w:rPr>
          <w:rFonts w:asciiTheme="minorHAnsi" w:hAnsiTheme="minorHAnsi" w:cstheme="minorBidi"/>
          <w:lang w:val="fr-FR"/>
        </w:rPr>
        <w:t>U</w:t>
      </w:r>
      <w:r w:rsidR="00050DA6" w:rsidRPr="00050DA6">
        <w:rPr>
          <w:rFonts w:asciiTheme="minorHAnsi" w:hAnsiTheme="minorHAnsi" w:cstheme="minorBidi"/>
          <w:lang w:val="fr-FR"/>
        </w:rPr>
        <w:t>nies pour le développement durable (UNOSD) sur la base de l</w:t>
      </w:r>
      <w:r w:rsidR="00050DA6">
        <w:rPr>
          <w:rFonts w:asciiTheme="minorHAnsi" w:hAnsiTheme="minorHAnsi" w:cstheme="minorBidi"/>
          <w:lang w:val="fr-FR"/>
        </w:rPr>
        <w:t xml:space="preserve">eur admissibilité </w:t>
      </w:r>
      <w:r w:rsidR="00050DA6" w:rsidRPr="00050DA6">
        <w:rPr>
          <w:rFonts w:asciiTheme="minorHAnsi" w:hAnsiTheme="minorHAnsi" w:cstheme="minorBidi"/>
          <w:lang w:val="fr-FR"/>
        </w:rPr>
        <w:t xml:space="preserve">à </w:t>
      </w:r>
      <w:r w:rsidR="00474045">
        <w:rPr>
          <w:rFonts w:asciiTheme="minorHAnsi" w:hAnsiTheme="minorHAnsi" w:cstheme="minorBidi"/>
          <w:lang w:val="fr-FR"/>
        </w:rPr>
        <w:t>une prise en charge des frais de déplacement</w:t>
      </w:r>
      <w:r w:rsidR="00050DA6" w:rsidRPr="00050DA6">
        <w:rPr>
          <w:rFonts w:asciiTheme="minorHAnsi" w:hAnsiTheme="minorHAnsi" w:cstheme="minorBidi"/>
          <w:lang w:val="fr-FR"/>
        </w:rPr>
        <w:t xml:space="preserve">, de la pertinence </w:t>
      </w:r>
      <w:r w:rsidR="00474045">
        <w:rPr>
          <w:rFonts w:asciiTheme="minorHAnsi" w:hAnsiTheme="minorHAnsi" w:cstheme="minorBidi"/>
          <w:lang w:val="fr-FR"/>
        </w:rPr>
        <w:t>de l</w:t>
      </w:r>
      <w:r w:rsidR="00B830FB">
        <w:rPr>
          <w:rFonts w:asciiTheme="minorHAnsi" w:hAnsiTheme="minorHAnsi" w:cstheme="minorBidi"/>
          <w:lang w:val="fr-FR"/>
        </w:rPr>
        <w:t>eur</w:t>
      </w:r>
      <w:r w:rsidR="00474045">
        <w:rPr>
          <w:rFonts w:asciiTheme="minorHAnsi" w:hAnsiTheme="minorHAnsi" w:cstheme="minorBidi"/>
          <w:lang w:val="fr-FR"/>
        </w:rPr>
        <w:t xml:space="preserve"> demande</w:t>
      </w:r>
      <w:r w:rsidR="00050DA6" w:rsidRPr="00050DA6">
        <w:rPr>
          <w:rFonts w:asciiTheme="minorHAnsi" w:hAnsiTheme="minorHAnsi" w:cstheme="minorBidi"/>
          <w:lang w:val="fr-FR"/>
        </w:rPr>
        <w:t xml:space="preserve"> et </w:t>
      </w:r>
      <w:r w:rsidR="00474045">
        <w:rPr>
          <w:rFonts w:asciiTheme="minorHAnsi" w:hAnsiTheme="minorHAnsi" w:cstheme="minorBidi"/>
          <w:lang w:val="fr-FR"/>
        </w:rPr>
        <w:t>de la situation</w:t>
      </w:r>
      <w:r w:rsidR="00050DA6" w:rsidRPr="00050DA6">
        <w:rPr>
          <w:rFonts w:asciiTheme="minorHAnsi" w:hAnsiTheme="minorHAnsi" w:cstheme="minorBidi"/>
          <w:lang w:val="fr-FR"/>
        </w:rPr>
        <w:t xml:space="preserve"> du pays </w:t>
      </w:r>
      <w:r w:rsidR="00474045">
        <w:rPr>
          <w:rFonts w:asciiTheme="minorHAnsi" w:hAnsiTheme="minorHAnsi" w:cstheme="minorBidi"/>
          <w:lang w:val="fr-FR"/>
        </w:rPr>
        <w:t>en matière d</w:t>
      </w:r>
      <w:r w:rsidR="006F113B">
        <w:rPr>
          <w:rFonts w:asciiTheme="minorHAnsi" w:hAnsiTheme="minorHAnsi" w:cstheme="minorBidi"/>
          <w:lang w:val="fr-FR"/>
        </w:rPr>
        <w:t>’</w:t>
      </w:r>
      <w:r w:rsidR="00474045">
        <w:rPr>
          <w:rFonts w:asciiTheme="minorHAnsi" w:hAnsiTheme="minorHAnsi" w:cstheme="minorBidi"/>
          <w:lang w:val="fr-FR"/>
        </w:rPr>
        <w:t>INZH</w:t>
      </w:r>
      <w:r w:rsidR="00050DA6" w:rsidRPr="00050DA6">
        <w:rPr>
          <w:rFonts w:asciiTheme="minorHAnsi" w:hAnsiTheme="minorHAnsi" w:cstheme="minorBidi"/>
          <w:lang w:val="fr-FR"/>
        </w:rPr>
        <w:t xml:space="preserve">. </w:t>
      </w:r>
      <w:r w:rsidR="00474045">
        <w:rPr>
          <w:rFonts w:asciiTheme="minorHAnsi" w:hAnsiTheme="minorHAnsi" w:cstheme="minorBidi"/>
          <w:lang w:val="fr-FR"/>
        </w:rPr>
        <w:t xml:space="preserve">La </w:t>
      </w:r>
      <w:r w:rsidR="00050DA6" w:rsidRPr="00050DA6">
        <w:rPr>
          <w:rFonts w:asciiTheme="minorHAnsi" w:hAnsiTheme="minorHAnsi" w:cstheme="minorBidi"/>
          <w:lang w:val="fr-FR"/>
        </w:rPr>
        <w:t xml:space="preserve">demande </w:t>
      </w:r>
      <w:r w:rsidR="00474045">
        <w:rPr>
          <w:rFonts w:asciiTheme="minorHAnsi" w:hAnsiTheme="minorHAnsi" w:cstheme="minorBidi"/>
          <w:lang w:val="fr-FR"/>
        </w:rPr>
        <w:t xml:space="preserve">en matière </w:t>
      </w:r>
      <w:r w:rsidR="00050DA6" w:rsidRPr="00050DA6">
        <w:rPr>
          <w:rFonts w:asciiTheme="minorHAnsi" w:hAnsiTheme="minorHAnsi" w:cstheme="minorBidi"/>
          <w:lang w:val="fr-FR"/>
        </w:rPr>
        <w:t xml:space="preserve">de formation </w:t>
      </w:r>
      <w:r w:rsidR="00474045">
        <w:rPr>
          <w:rFonts w:asciiTheme="minorHAnsi" w:hAnsiTheme="minorHAnsi" w:cstheme="minorBidi"/>
          <w:lang w:val="fr-FR"/>
        </w:rPr>
        <w:t>à la réalisation d</w:t>
      </w:r>
      <w:r w:rsidR="006F113B">
        <w:rPr>
          <w:rFonts w:asciiTheme="minorHAnsi" w:hAnsiTheme="minorHAnsi" w:cstheme="minorBidi"/>
          <w:lang w:val="fr-FR"/>
        </w:rPr>
        <w:t>’</w:t>
      </w:r>
      <w:r w:rsidR="00474045">
        <w:rPr>
          <w:rFonts w:asciiTheme="minorHAnsi" w:hAnsiTheme="minorHAnsi" w:cstheme="minorBidi"/>
          <w:lang w:val="fr-FR"/>
        </w:rPr>
        <w:t xml:space="preserve">INZH </w:t>
      </w:r>
      <w:r w:rsidR="00B830FB">
        <w:rPr>
          <w:rFonts w:asciiTheme="minorHAnsi" w:hAnsiTheme="minorHAnsi" w:cstheme="minorBidi"/>
          <w:lang w:val="fr-FR"/>
        </w:rPr>
        <w:t>étant supérieure</w:t>
      </w:r>
      <w:r w:rsidR="00050DA6" w:rsidRPr="00050DA6">
        <w:rPr>
          <w:rFonts w:asciiTheme="minorHAnsi" w:hAnsiTheme="minorHAnsi" w:cstheme="minorBidi"/>
          <w:lang w:val="fr-FR"/>
        </w:rPr>
        <w:t xml:space="preserve"> </w:t>
      </w:r>
      <w:r w:rsidR="00B830FB">
        <w:rPr>
          <w:rFonts w:asciiTheme="minorHAnsi" w:hAnsiTheme="minorHAnsi" w:cstheme="minorBidi"/>
          <w:lang w:val="fr-FR"/>
        </w:rPr>
        <w:t>aux</w:t>
      </w:r>
      <w:r w:rsidR="00050DA6" w:rsidRPr="00050DA6">
        <w:rPr>
          <w:rFonts w:asciiTheme="minorHAnsi" w:hAnsiTheme="minorHAnsi" w:cstheme="minorBidi"/>
          <w:lang w:val="fr-FR"/>
        </w:rPr>
        <w:t xml:space="preserve"> capacité</w:t>
      </w:r>
      <w:r w:rsidR="00B830FB">
        <w:rPr>
          <w:rFonts w:asciiTheme="minorHAnsi" w:hAnsiTheme="minorHAnsi" w:cstheme="minorBidi"/>
          <w:lang w:val="fr-FR"/>
        </w:rPr>
        <w:t>s</w:t>
      </w:r>
      <w:r w:rsidR="00050DA6" w:rsidRPr="00050DA6">
        <w:rPr>
          <w:rFonts w:asciiTheme="minorHAnsi" w:hAnsiTheme="minorHAnsi" w:cstheme="minorBidi"/>
          <w:lang w:val="fr-FR"/>
        </w:rPr>
        <w:t xml:space="preserve"> </w:t>
      </w:r>
      <w:r w:rsidR="00B830FB">
        <w:rPr>
          <w:rFonts w:asciiTheme="minorHAnsi" w:hAnsiTheme="minorHAnsi" w:cstheme="minorBidi"/>
          <w:lang w:val="fr-FR"/>
        </w:rPr>
        <w:t>actuellement disponibles</w:t>
      </w:r>
      <w:r w:rsidR="00050DA6" w:rsidRPr="00050DA6">
        <w:rPr>
          <w:rFonts w:asciiTheme="minorHAnsi" w:hAnsiTheme="minorHAnsi" w:cstheme="minorBidi"/>
          <w:lang w:val="fr-FR"/>
        </w:rPr>
        <w:t>, le Secrétariat continue d</w:t>
      </w:r>
      <w:r w:rsidR="006F113B">
        <w:rPr>
          <w:rFonts w:asciiTheme="minorHAnsi" w:hAnsiTheme="minorHAnsi" w:cstheme="minorBidi"/>
          <w:lang w:val="fr-FR"/>
        </w:rPr>
        <w:t>’</w:t>
      </w:r>
      <w:r w:rsidR="00050DA6" w:rsidRPr="00050DA6">
        <w:rPr>
          <w:rFonts w:asciiTheme="minorHAnsi" w:hAnsiTheme="minorHAnsi" w:cstheme="minorBidi"/>
          <w:lang w:val="fr-FR"/>
        </w:rPr>
        <w:t xml:space="preserve">étudier </w:t>
      </w:r>
      <w:r w:rsidR="00B830FB">
        <w:rPr>
          <w:rFonts w:asciiTheme="minorHAnsi" w:hAnsiTheme="minorHAnsi" w:cstheme="minorBidi"/>
          <w:lang w:val="fr-FR"/>
        </w:rPr>
        <w:t xml:space="preserve">différentes solutions pour </w:t>
      </w:r>
      <w:r w:rsidR="00050DA6" w:rsidRPr="00050DA6">
        <w:rPr>
          <w:rFonts w:asciiTheme="minorHAnsi" w:hAnsiTheme="minorHAnsi" w:cstheme="minorBidi"/>
          <w:lang w:val="fr-FR"/>
        </w:rPr>
        <w:t xml:space="preserve">offrir aux </w:t>
      </w:r>
      <w:r w:rsidR="00B830FB">
        <w:rPr>
          <w:rFonts w:asciiTheme="minorHAnsi" w:hAnsiTheme="minorHAnsi" w:cstheme="minorBidi"/>
          <w:lang w:val="fr-FR"/>
        </w:rPr>
        <w:t>P</w:t>
      </w:r>
      <w:r w:rsidR="00050DA6" w:rsidRPr="00050DA6">
        <w:rPr>
          <w:rFonts w:asciiTheme="minorHAnsi" w:hAnsiTheme="minorHAnsi" w:cstheme="minorBidi"/>
          <w:lang w:val="fr-FR"/>
        </w:rPr>
        <w:t>arties contractantes d</w:t>
      </w:r>
      <w:r w:rsidR="006F113B">
        <w:rPr>
          <w:rFonts w:asciiTheme="minorHAnsi" w:hAnsiTheme="minorHAnsi" w:cstheme="minorBidi"/>
          <w:lang w:val="fr-FR"/>
        </w:rPr>
        <w:t>’</w:t>
      </w:r>
      <w:r w:rsidR="00050DA6" w:rsidRPr="00050DA6">
        <w:rPr>
          <w:rFonts w:asciiTheme="minorHAnsi" w:hAnsiTheme="minorHAnsi" w:cstheme="minorBidi"/>
          <w:lang w:val="fr-FR"/>
        </w:rPr>
        <w:t xml:space="preserve">autres </w:t>
      </w:r>
      <w:r w:rsidR="006B15D8">
        <w:rPr>
          <w:rFonts w:asciiTheme="minorHAnsi" w:hAnsiTheme="minorHAnsi" w:cstheme="minorBidi"/>
          <w:lang w:val="fr-FR"/>
        </w:rPr>
        <w:t>possibilités</w:t>
      </w:r>
      <w:r w:rsidR="00050DA6" w:rsidRPr="00050DA6">
        <w:rPr>
          <w:rFonts w:asciiTheme="minorHAnsi" w:hAnsiTheme="minorHAnsi" w:cstheme="minorBidi"/>
          <w:lang w:val="fr-FR"/>
        </w:rPr>
        <w:t xml:space="preserve"> de particip</w:t>
      </w:r>
      <w:r w:rsidR="006B15D8">
        <w:rPr>
          <w:rFonts w:asciiTheme="minorHAnsi" w:hAnsiTheme="minorHAnsi" w:cstheme="minorBidi"/>
          <w:lang w:val="fr-FR"/>
        </w:rPr>
        <w:t>ation</w:t>
      </w:r>
      <w:r w:rsidR="00050DA6" w:rsidRPr="00050DA6">
        <w:rPr>
          <w:rFonts w:asciiTheme="minorHAnsi" w:hAnsiTheme="minorHAnsi" w:cstheme="minorBidi"/>
          <w:lang w:val="fr-FR"/>
        </w:rPr>
        <w:t xml:space="preserve"> </w:t>
      </w:r>
      <w:r w:rsidR="00B830FB">
        <w:rPr>
          <w:rFonts w:asciiTheme="minorHAnsi" w:hAnsiTheme="minorHAnsi" w:cstheme="minorBidi"/>
          <w:lang w:val="fr-FR"/>
        </w:rPr>
        <w:t>aux formations</w:t>
      </w:r>
      <w:r w:rsidR="00050DA6" w:rsidRPr="00050DA6">
        <w:rPr>
          <w:rFonts w:asciiTheme="minorHAnsi" w:hAnsiTheme="minorHAnsi" w:cstheme="minorBidi"/>
          <w:lang w:val="fr-FR"/>
        </w:rPr>
        <w:t xml:space="preserve">. Certaines </w:t>
      </w:r>
      <w:r w:rsidR="00B830FB">
        <w:rPr>
          <w:rFonts w:asciiTheme="minorHAnsi" w:hAnsiTheme="minorHAnsi" w:cstheme="minorBidi"/>
          <w:lang w:val="fr-FR"/>
        </w:rPr>
        <w:t>P</w:t>
      </w:r>
      <w:r w:rsidR="00050DA6" w:rsidRPr="00050DA6">
        <w:rPr>
          <w:rFonts w:asciiTheme="minorHAnsi" w:hAnsiTheme="minorHAnsi" w:cstheme="minorBidi"/>
          <w:lang w:val="fr-FR"/>
        </w:rPr>
        <w:t xml:space="preserve">arties ont exprimé des besoins spécifiques </w:t>
      </w:r>
      <w:r w:rsidR="00B830FB">
        <w:rPr>
          <w:rFonts w:asciiTheme="minorHAnsi" w:hAnsiTheme="minorHAnsi" w:cstheme="minorBidi"/>
          <w:lang w:val="fr-FR"/>
        </w:rPr>
        <w:t>concernant</w:t>
      </w:r>
      <w:r w:rsidR="00050DA6" w:rsidRPr="00050DA6">
        <w:rPr>
          <w:rFonts w:asciiTheme="minorHAnsi" w:hAnsiTheme="minorHAnsi" w:cstheme="minorBidi"/>
          <w:lang w:val="fr-FR"/>
        </w:rPr>
        <w:t xml:space="preserve"> l</w:t>
      </w:r>
      <w:r w:rsidR="006B15D8">
        <w:rPr>
          <w:rFonts w:asciiTheme="minorHAnsi" w:hAnsiTheme="minorHAnsi" w:cstheme="minorBidi"/>
          <w:lang w:val="fr-FR"/>
        </w:rPr>
        <w:t xml:space="preserve">’actualisation </w:t>
      </w:r>
      <w:r w:rsidR="00B830FB">
        <w:rPr>
          <w:rFonts w:asciiTheme="minorHAnsi" w:hAnsiTheme="minorHAnsi" w:cstheme="minorBidi"/>
          <w:lang w:val="fr-FR"/>
        </w:rPr>
        <w:t>des premières versions de leurs INZH,</w:t>
      </w:r>
      <w:r w:rsidR="006B15D8">
        <w:rPr>
          <w:rFonts w:asciiTheme="minorHAnsi" w:hAnsiTheme="minorHAnsi" w:cstheme="minorBidi"/>
          <w:lang w:val="fr-FR"/>
        </w:rPr>
        <w:t xml:space="preserve"> et</w:t>
      </w:r>
      <w:r w:rsidR="00050DA6" w:rsidRPr="00050DA6">
        <w:rPr>
          <w:rFonts w:asciiTheme="minorHAnsi" w:hAnsiTheme="minorHAnsi" w:cstheme="minorBidi"/>
          <w:lang w:val="fr-FR"/>
        </w:rPr>
        <w:t xml:space="preserve"> le Secrétariat </w:t>
      </w:r>
      <w:r w:rsidR="00B830FB">
        <w:rPr>
          <w:rFonts w:asciiTheme="minorHAnsi" w:hAnsiTheme="minorHAnsi" w:cstheme="minorBidi"/>
          <w:lang w:val="fr-FR"/>
        </w:rPr>
        <w:t xml:space="preserve">entend y répondre en cas de mise à disposition de </w:t>
      </w:r>
      <w:r w:rsidR="00050DA6" w:rsidRPr="00050DA6">
        <w:rPr>
          <w:rFonts w:asciiTheme="minorHAnsi" w:hAnsiTheme="minorHAnsi" w:cstheme="minorBidi"/>
          <w:lang w:val="fr-FR"/>
        </w:rPr>
        <w:t>nouveaux financements</w:t>
      </w:r>
      <w:r w:rsidR="00B830FB">
        <w:rPr>
          <w:rFonts w:asciiTheme="minorHAnsi" w:hAnsiTheme="minorHAnsi" w:cstheme="minorBidi"/>
          <w:lang w:val="fr-FR"/>
        </w:rPr>
        <w:t>.</w:t>
      </w:r>
    </w:p>
    <w:p w14:paraId="3C40D54A" w14:textId="77777777" w:rsidR="002663EE" w:rsidRPr="00CB55E1" w:rsidRDefault="002663EE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46B40D2F" w14:textId="2E57E9B1" w:rsidR="004817C7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11.</w:t>
      </w:r>
      <w:r w:rsidRPr="00CB55E1">
        <w:rPr>
          <w:rFonts w:asciiTheme="minorHAnsi" w:hAnsiTheme="minorHAnsi" w:cstheme="minorHAnsi"/>
          <w:lang w:val="fr-FR"/>
        </w:rPr>
        <w:tab/>
      </w:r>
      <w:r w:rsidR="004817C7">
        <w:rPr>
          <w:rFonts w:asciiTheme="minorHAnsi" w:hAnsiTheme="minorHAnsi" w:cstheme="minorHAnsi"/>
          <w:lang w:val="fr-FR"/>
        </w:rPr>
        <w:t>La première</w:t>
      </w:r>
      <w:r w:rsidR="004817C7" w:rsidRPr="004817C7">
        <w:rPr>
          <w:rFonts w:asciiTheme="minorHAnsi" w:hAnsiTheme="minorHAnsi" w:cstheme="minorHAnsi"/>
          <w:lang w:val="fr-FR"/>
        </w:rPr>
        <w:t xml:space="preserve"> formation en anglais </w:t>
      </w:r>
      <w:r w:rsidR="004817C7">
        <w:rPr>
          <w:rFonts w:asciiTheme="minorHAnsi" w:hAnsiTheme="minorHAnsi" w:cstheme="minorHAnsi"/>
          <w:lang w:val="fr-FR"/>
        </w:rPr>
        <w:t>s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>
        <w:rPr>
          <w:rFonts w:asciiTheme="minorHAnsi" w:hAnsiTheme="minorHAnsi" w:cstheme="minorHAnsi"/>
          <w:lang w:val="fr-FR"/>
        </w:rPr>
        <w:t>est tenue</w:t>
      </w:r>
      <w:r w:rsidR="004817C7" w:rsidRPr="004817C7">
        <w:rPr>
          <w:rFonts w:asciiTheme="minorHAnsi" w:hAnsiTheme="minorHAnsi" w:cstheme="minorHAnsi"/>
          <w:lang w:val="fr-FR"/>
        </w:rPr>
        <w:t xml:space="preserve"> en République de Corée, avec le soutien et en partenariat avec l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 xml:space="preserve">UNOSD. Le </w:t>
      </w:r>
      <w:r w:rsidR="004817C7">
        <w:rPr>
          <w:rFonts w:asciiTheme="minorHAnsi" w:hAnsiTheme="minorHAnsi" w:cstheme="minorHAnsi"/>
          <w:lang w:val="fr-FR"/>
        </w:rPr>
        <w:t>M</w:t>
      </w:r>
      <w:r w:rsidR="004817C7" w:rsidRPr="004817C7">
        <w:rPr>
          <w:rFonts w:asciiTheme="minorHAnsi" w:hAnsiTheme="minorHAnsi" w:cstheme="minorHAnsi"/>
          <w:lang w:val="fr-FR"/>
        </w:rPr>
        <w:t xml:space="preserve">odule 1 </w:t>
      </w:r>
      <w:r w:rsidR="004817C7">
        <w:rPr>
          <w:rFonts w:asciiTheme="minorHAnsi" w:hAnsiTheme="minorHAnsi" w:cstheme="minorHAnsi"/>
          <w:lang w:val="fr-FR"/>
        </w:rPr>
        <w:t>a été dispensé</w:t>
      </w:r>
      <w:r w:rsidR="004817C7" w:rsidRPr="004817C7">
        <w:rPr>
          <w:rFonts w:asciiTheme="minorHAnsi" w:hAnsiTheme="minorHAnsi" w:cstheme="minorHAnsi"/>
          <w:lang w:val="fr-FR"/>
        </w:rPr>
        <w:t xml:space="preserve"> du 9 au 13</w:t>
      </w:r>
      <w:r w:rsidR="004E23DE">
        <w:rPr>
          <w:rFonts w:asciiTheme="minorHAnsi" w:hAnsiTheme="minorHAnsi" w:cstheme="minorHAnsi"/>
          <w:lang w:val="fr-FR"/>
        </w:rPr>
        <w:t> </w:t>
      </w:r>
      <w:r w:rsidR="004817C7" w:rsidRPr="004817C7">
        <w:rPr>
          <w:rFonts w:asciiTheme="minorHAnsi" w:hAnsiTheme="minorHAnsi" w:cstheme="minorHAnsi"/>
          <w:lang w:val="fr-FR"/>
        </w:rPr>
        <w:t>septembre</w:t>
      </w:r>
      <w:r w:rsidR="004E23DE">
        <w:rPr>
          <w:rFonts w:asciiTheme="minorHAnsi" w:hAnsiTheme="minorHAnsi" w:cstheme="minorHAnsi"/>
          <w:lang w:val="fr-FR"/>
        </w:rPr>
        <w:t> </w:t>
      </w:r>
      <w:r w:rsidR="004817C7" w:rsidRPr="004817C7">
        <w:rPr>
          <w:rFonts w:asciiTheme="minorHAnsi" w:hAnsiTheme="minorHAnsi" w:cstheme="minorHAnsi"/>
          <w:lang w:val="fr-FR"/>
        </w:rPr>
        <w:t>2024</w:t>
      </w:r>
      <w:r w:rsidR="004817C7">
        <w:rPr>
          <w:rFonts w:asciiTheme="minorHAnsi" w:hAnsiTheme="minorHAnsi" w:cstheme="minorHAnsi"/>
          <w:lang w:val="fr-FR"/>
        </w:rPr>
        <w:t xml:space="preserve"> à</w:t>
      </w:r>
      <w:r w:rsidR="004817C7" w:rsidRPr="004817C7">
        <w:rPr>
          <w:rFonts w:asciiTheme="minorHAnsi" w:hAnsiTheme="minorHAnsi" w:cstheme="minorHAnsi"/>
          <w:lang w:val="fr-FR"/>
        </w:rPr>
        <w:t xml:space="preserve"> l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>Institut national d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 xml:space="preserve">écologie </w:t>
      </w:r>
      <w:r w:rsidR="004817C7">
        <w:rPr>
          <w:rFonts w:asciiTheme="minorHAnsi" w:hAnsiTheme="minorHAnsi" w:cstheme="minorHAnsi"/>
          <w:lang w:val="fr-FR"/>
        </w:rPr>
        <w:t>de</w:t>
      </w:r>
      <w:r w:rsidR="004817C7" w:rsidRPr="004817C7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17C7" w:rsidRPr="004817C7">
        <w:rPr>
          <w:rFonts w:asciiTheme="minorHAnsi" w:hAnsiTheme="minorHAnsi" w:cstheme="minorHAnsi"/>
          <w:lang w:val="fr-FR"/>
        </w:rPr>
        <w:t>Seocheon</w:t>
      </w:r>
      <w:proofErr w:type="spellEnd"/>
      <w:r w:rsidR="004817C7" w:rsidRPr="004817C7">
        <w:rPr>
          <w:rFonts w:asciiTheme="minorHAnsi" w:hAnsiTheme="minorHAnsi" w:cstheme="minorHAnsi"/>
          <w:lang w:val="fr-FR"/>
        </w:rPr>
        <w:t xml:space="preserve">. </w:t>
      </w:r>
      <w:r w:rsidR="004817C7">
        <w:rPr>
          <w:rFonts w:asciiTheme="minorHAnsi" w:hAnsiTheme="minorHAnsi" w:cstheme="minorHAnsi"/>
          <w:lang w:val="fr-FR"/>
        </w:rPr>
        <w:t xml:space="preserve">Dix-neuf </w:t>
      </w:r>
      <w:r w:rsidR="004817C7" w:rsidRPr="004817C7">
        <w:rPr>
          <w:rFonts w:asciiTheme="minorHAnsi" w:hAnsiTheme="minorHAnsi" w:cstheme="minorHAnsi"/>
          <w:lang w:val="fr-FR"/>
        </w:rPr>
        <w:t>participants représentant dix Parties contractantes, ainsi qu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>une équipe de formateurs comprenant des représentants de l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>Institut international de gestion de l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>eau, de l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>Observatoire des zones humides méditerranéennes (Tour du Valat) et des représentants de certaines Parties contractantes. L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>Institut national d</w:t>
      </w:r>
      <w:r w:rsidR="006F113B">
        <w:rPr>
          <w:rFonts w:asciiTheme="minorHAnsi" w:hAnsiTheme="minorHAnsi" w:cstheme="minorHAnsi"/>
          <w:lang w:val="fr-FR"/>
        </w:rPr>
        <w:t>’</w:t>
      </w:r>
      <w:r w:rsidR="004817C7" w:rsidRPr="004817C7">
        <w:rPr>
          <w:rFonts w:asciiTheme="minorHAnsi" w:hAnsiTheme="minorHAnsi" w:cstheme="minorHAnsi"/>
          <w:lang w:val="fr-FR"/>
        </w:rPr>
        <w:t xml:space="preserve">écologie de la République de Corée a </w:t>
      </w:r>
      <w:r w:rsidR="004E23DE">
        <w:rPr>
          <w:rFonts w:asciiTheme="minorHAnsi" w:hAnsiTheme="minorHAnsi" w:cstheme="minorHAnsi"/>
          <w:lang w:val="fr-FR"/>
        </w:rPr>
        <w:t>apporté ses connaissances</w:t>
      </w:r>
      <w:r w:rsidR="004817C7" w:rsidRPr="004817C7">
        <w:rPr>
          <w:rFonts w:asciiTheme="minorHAnsi" w:hAnsiTheme="minorHAnsi" w:cstheme="minorHAnsi"/>
          <w:lang w:val="fr-FR"/>
        </w:rPr>
        <w:t xml:space="preserve"> technique</w:t>
      </w:r>
      <w:r w:rsidR="004E23DE">
        <w:rPr>
          <w:rFonts w:asciiTheme="minorHAnsi" w:hAnsiTheme="minorHAnsi" w:cstheme="minorHAnsi"/>
          <w:lang w:val="fr-FR"/>
        </w:rPr>
        <w:t>s</w:t>
      </w:r>
      <w:r w:rsidR="004817C7" w:rsidRPr="004817C7">
        <w:rPr>
          <w:rFonts w:asciiTheme="minorHAnsi" w:hAnsiTheme="minorHAnsi" w:cstheme="minorHAnsi"/>
          <w:lang w:val="fr-FR"/>
        </w:rPr>
        <w:t xml:space="preserve"> et organisé des visites guidées dans des zones humides intérieures et côtières </w:t>
      </w:r>
      <w:r w:rsidR="004E23DE">
        <w:rPr>
          <w:rFonts w:asciiTheme="minorHAnsi" w:hAnsiTheme="minorHAnsi" w:cstheme="minorHAnsi"/>
          <w:lang w:val="fr-FR"/>
        </w:rPr>
        <w:t>à l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>
        <w:rPr>
          <w:rFonts w:asciiTheme="minorHAnsi" w:hAnsiTheme="minorHAnsi" w:cstheme="minorHAnsi"/>
          <w:lang w:val="fr-FR"/>
        </w:rPr>
        <w:t>intention</w:t>
      </w:r>
      <w:r w:rsidR="004817C7" w:rsidRPr="004817C7">
        <w:rPr>
          <w:rFonts w:asciiTheme="minorHAnsi" w:hAnsiTheme="minorHAnsi" w:cstheme="minorHAnsi"/>
          <w:lang w:val="fr-FR"/>
        </w:rPr>
        <w:t xml:space="preserve"> </w:t>
      </w:r>
      <w:r w:rsidR="004E23DE">
        <w:rPr>
          <w:rFonts w:asciiTheme="minorHAnsi" w:hAnsiTheme="minorHAnsi" w:cstheme="minorHAnsi"/>
          <w:lang w:val="fr-FR"/>
        </w:rPr>
        <w:t>d</w:t>
      </w:r>
      <w:r w:rsidR="004817C7" w:rsidRPr="004817C7">
        <w:rPr>
          <w:rFonts w:asciiTheme="minorHAnsi" w:hAnsiTheme="minorHAnsi" w:cstheme="minorHAnsi"/>
          <w:lang w:val="fr-FR"/>
        </w:rPr>
        <w:t xml:space="preserve">es participants. Les </w:t>
      </w:r>
      <w:r w:rsidR="004E23DE">
        <w:rPr>
          <w:rFonts w:asciiTheme="minorHAnsi" w:hAnsiTheme="minorHAnsi" w:cstheme="minorHAnsi"/>
          <w:lang w:val="fr-FR"/>
        </w:rPr>
        <w:t>M</w:t>
      </w:r>
      <w:r w:rsidR="004817C7" w:rsidRPr="004817C7">
        <w:rPr>
          <w:rFonts w:asciiTheme="minorHAnsi" w:hAnsiTheme="minorHAnsi" w:cstheme="minorHAnsi"/>
          <w:lang w:val="fr-FR"/>
        </w:rPr>
        <w:t xml:space="preserve">odules 2 et 3 </w:t>
      </w:r>
      <w:r w:rsidR="004E23DE">
        <w:rPr>
          <w:rFonts w:asciiTheme="minorHAnsi" w:hAnsiTheme="minorHAnsi" w:cstheme="minorHAnsi"/>
          <w:lang w:val="fr-FR"/>
        </w:rPr>
        <w:t>de la formation</w:t>
      </w:r>
      <w:r w:rsidR="004817C7" w:rsidRPr="004817C7">
        <w:rPr>
          <w:rFonts w:asciiTheme="minorHAnsi" w:hAnsiTheme="minorHAnsi" w:cstheme="minorHAnsi"/>
          <w:lang w:val="fr-FR"/>
        </w:rPr>
        <w:t xml:space="preserve"> </w:t>
      </w:r>
      <w:r w:rsidR="004E23DE">
        <w:rPr>
          <w:rFonts w:asciiTheme="minorHAnsi" w:hAnsiTheme="minorHAnsi" w:cstheme="minorHAnsi"/>
          <w:lang w:val="fr-FR"/>
        </w:rPr>
        <w:t xml:space="preserve">en </w:t>
      </w:r>
      <w:r w:rsidR="004817C7" w:rsidRPr="004817C7">
        <w:rPr>
          <w:rFonts w:asciiTheme="minorHAnsi" w:hAnsiTheme="minorHAnsi" w:cstheme="minorHAnsi"/>
          <w:lang w:val="fr-FR"/>
        </w:rPr>
        <w:t xml:space="preserve">anglais seront </w:t>
      </w:r>
      <w:r w:rsidR="004E23DE">
        <w:rPr>
          <w:rFonts w:asciiTheme="minorHAnsi" w:hAnsiTheme="minorHAnsi" w:cstheme="minorHAnsi"/>
          <w:lang w:val="fr-FR"/>
        </w:rPr>
        <w:t>dispensés</w:t>
      </w:r>
      <w:r w:rsidR="004817C7" w:rsidRPr="004817C7">
        <w:rPr>
          <w:rFonts w:asciiTheme="minorHAnsi" w:hAnsiTheme="minorHAnsi" w:cstheme="minorHAnsi"/>
          <w:lang w:val="fr-FR"/>
        </w:rPr>
        <w:t xml:space="preserve"> en République de Corée en septembre 2025 et 2026</w:t>
      </w:r>
      <w:r w:rsidR="004E23DE">
        <w:rPr>
          <w:rFonts w:asciiTheme="minorHAnsi" w:hAnsiTheme="minorHAnsi" w:cstheme="minorHAnsi"/>
          <w:lang w:val="fr-FR"/>
        </w:rPr>
        <w:t>,</w:t>
      </w:r>
      <w:r w:rsidR="004817C7" w:rsidRPr="004817C7">
        <w:rPr>
          <w:rFonts w:asciiTheme="minorHAnsi" w:hAnsiTheme="minorHAnsi" w:cstheme="minorHAnsi"/>
          <w:lang w:val="fr-FR"/>
        </w:rPr>
        <w:t xml:space="preserve"> respectivement.</w:t>
      </w:r>
    </w:p>
    <w:p w14:paraId="397248E3" w14:textId="77777777" w:rsidR="007D033E" w:rsidRPr="00CB55E1" w:rsidRDefault="007D033E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68E8CE19" w14:textId="44AC632A" w:rsidR="004E23DE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12.</w:t>
      </w:r>
      <w:r w:rsidRPr="00CB55E1">
        <w:rPr>
          <w:rFonts w:asciiTheme="minorHAnsi" w:hAnsiTheme="minorHAnsi" w:cstheme="minorHAnsi"/>
          <w:lang w:val="fr-FR"/>
        </w:rPr>
        <w:tab/>
      </w:r>
      <w:r w:rsidR="004E23DE" w:rsidRPr="004E23DE">
        <w:rPr>
          <w:rFonts w:asciiTheme="minorHAnsi" w:hAnsiTheme="minorHAnsi" w:cstheme="minorHAnsi"/>
          <w:lang w:val="fr-FR"/>
        </w:rPr>
        <w:t xml:space="preserve">Le </w:t>
      </w:r>
      <w:r w:rsidR="004E23DE">
        <w:rPr>
          <w:rFonts w:asciiTheme="minorHAnsi" w:hAnsiTheme="minorHAnsi" w:cstheme="minorHAnsi"/>
          <w:lang w:val="fr-FR"/>
        </w:rPr>
        <w:t>M</w:t>
      </w:r>
      <w:r w:rsidR="004E23DE" w:rsidRPr="004E23DE">
        <w:rPr>
          <w:rFonts w:asciiTheme="minorHAnsi" w:hAnsiTheme="minorHAnsi" w:cstheme="minorHAnsi"/>
          <w:lang w:val="fr-FR"/>
        </w:rPr>
        <w:t xml:space="preserve">odule 1 de la formation </w:t>
      </w:r>
      <w:r w:rsidR="004E23DE">
        <w:rPr>
          <w:rFonts w:asciiTheme="minorHAnsi" w:hAnsiTheme="minorHAnsi" w:cstheme="minorHAnsi"/>
          <w:lang w:val="fr-FR"/>
        </w:rPr>
        <w:t xml:space="preserve">en </w:t>
      </w:r>
      <w:r w:rsidR="004E23DE" w:rsidRPr="004E23DE">
        <w:rPr>
          <w:rFonts w:asciiTheme="minorHAnsi" w:hAnsiTheme="minorHAnsi" w:cstheme="minorHAnsi"/>
          <w:lang w:val="fr-FR"/>
        </w:rPr>
        <w:t>français se</w:t>
      </w:r>
      <w:r w:rsidR="004E23DE">
        <w:rPr>
          <w:rFonts w:asciiTheme="minorHAnsi" w:hAnsiTheme="minorHAnsi" w:cstheme="minorHAnsi"/>
          <w:lang w:val="fr-FR"/>
        </w:rPr>
        <w:t>ra dispensé d</w:t>
      </w:r>
      <w:r w:rsidR="004E23DE" w:rsidRPr="004E23DE">
        <w:rPr>
          <w:rFonts w:asciiTheme="minorHAnsi" w:hAnsiTheme="minorHAnsi" w:cstheme="minorHAnsi"/>
          <w:lang w:val="fr-FR"/>
        </w:rPr>
        <w:t>u 10 au 14</w:t>
      </w:r>
      <w:r w:rsidR="004E23DE">
        <w:rPr>
          <w:rFonts w:asciiTheme="minorHAnsi" w:hAnsiTheme="minorHAnsi" w:cstheme="minorHAnsi"/>
          <w:lang w:val="fr-FR"/>
        </w:rPr>
        <w:t> </w:t>
      </w:r>
      <w:r w:rsidR="004E23DE" w:rsidRPr="004E23DE">
        <w:rPr>
          <w:rFonts w:asciiTheme="minorHAnsi" w:hAnsiTheme="minorHAnsi" w:cstheme="minorHAnsi"/>
          <w:lang w:val="fr-FR"/>
        </w:rPr>
        <w:t>février</w:t>
      </w:r>
      <w:r w:rsidR="004E23DE">
        <w:rPr>
          <w:rFonts w:asciiTheme="minorHAnsi" w:hAnsiTheme="minorHAnsi" w:cstheme="minorHAnsi"/>
          <w:lang w:val="fr-FR"/>
        </w:rPr>
        <w:t> </w:t>
      </w:r>
      <w:r w:rsidR="004E23DE" w:rsidRPr="004E23DE">
        <w:rPr>
          <w:rFonts w:asciiTheme="minorHAnsi" w:hAnsiTheme="minorHAnsi" w:cstheme="minorHAnsi"/>
          <w:lang w:val="fr-FR"/>
        </w:rPr>
        <w:t>2025 à Arles, en France, à l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 xml:space="preserve">invitation de la Tour du Valat, et le </w:t>
      </w:r>
      <w:r w:rsidR="004E23DE">
        <w:rPr>
          <w:rFonts w:asciiTheme="minorHAnsi" w:hAnsiTheme="minorHAnsi" w:cstheme="minorHAnsi"/>
          <w:lang w:val="fr-FR"/>
        </w:rPr>
        <w:t>M</w:t>
      </w:r>
      <w:r w:rsidR="004E23DE" w:rsidRPr="004E23DE">
        <w:rPr>
          <w:rFonts w:asciiTheme="minorHAnsi" w:hAnsiTheme="minorHAnsi" w:cstheme="minorHAnsi"/>
          <w:lang w:val="fr-FR"/>
        </w:rPr>
        <w:t xml:space="preserve">odule 1 de la formation </w:t>
      </w:r>
      <w:r w:rsidR="004E23DE">
        <w:rPr>
          <w:rFonts w:asciiTheme="minorHAnsi" w:hAnsiTheme="minorHAnsi" w:cstheme="minorHAnsi"/>
          <w:lang w:val="fr-FR"/>
        </w:rPr>
        <w:t xml:space="preserve">en </w:t>
      </w:r>
      <w:r w:rsidR="004E23DE" w:rsidRPr="004E23DE">
        <w:rPr>
          <w:rFonts w:asciiTheme="minorHAnsi" w:hAnsiTheme="minorHAnsi" w:cstheme="minorHAnsi"/>
          <w:lang w:val="fr-FR"/>
        </w:rPr>
        <w:t xml:space="preserve">espagnol </w:t>
      </w:r>
      <w:r w:rsidR="004E23DE">
        <w:rPr>
          <w:rFonts w:asciiTheme="minorHAnsi" w:hAnsiTheme="minorHAnsi" w:cstheme="minorHAnsi"/>
          <w:lang w:val="fr-FR"/>
        </w:rPr>
        <w:t>sera dispensé</w:t>
      </w:r>
      <w:r w:rsidR="004E23DE" w:rsidRPr="004E23DE">
        <w:rPr>
          <w:rFonts w:asciiTheme="minorHAnsi" w:hAnsiTheme="minorHAnsi" w:cstheme="minorHAnsi"/>
          <w:lang w:val="fr-FR"/>
        </w:rPr>
        <w:t xml:space="preserve"> en Colombie, à l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>invitation d</w:t>
      </w:r>
      <w:r w:rsidR="004E23DE">
        <w:rPr>
          <w:rFonts w:asciiTheme="minorHAnsi" w:hAnsiTheme="minorHAnsi" w:cstheme="minorHAnsi"/>
          <w:lang w:val="fr-FR"/>
        </w:rPr>
        <w:t>u</w:t>
      </w:r>
      <w:r w:rsidR="004E23DE" w:rsidRPr="004E23DE">
        <w:rPr>
          <w:rFonts w:asciiTheme="minorHAnsi" w:hAnsiTheme="minorHAnsi" w:cstheme="minorHAnsi"/>
          <w:lang w:val="fr-FR"/>
        </w:rPr>
        <w:t xml:space="preserve"> Humboldt</w:t>
      </w:r>
      <w:r w:rsidR="004E23DE">
        <w:rPr>
          <w:rFonts w:asciiTheme="minorHAnsi" w:hAnsiTheme="minorHAnsi" w:cstheme="minorHAnsi"/>
          <w:lang w:val="fr-FR"/>
        </w:rPr>
        <w:t>-</w:t>
      </w:r>
      <w:r w:rsidR="004E23DE" w:rsidRPr="004E23DE">
        <w:rPr>
          <w:rFonts w:asciiTheme="minorHAnsi" w:hAnsiTheme="minorHAnsi" w:cstheme="minorHAnsi"/>
          <w:lang w:val="fr-FR"/>
        </w:rPr>
        <w:t xml:space="preserve">Institut. Ces deux institutions ont accepté de fournir un soutien en nature </w:t>
      </w:r>
      <w:r w:rsidR="004E23DE">
        <w:rPr>
          <w:rFonts w:asciiTheme="minorHAnsi" w:hAnsiTheme="minorHAnsi" w:cstheme="minorHAnsi"/>
          <w:lang w:val="fr-FR"/>
        </w:rPr>
        <w:t>sous forme</w:t>
      </w:r>
      <w:r w:rsidR="004E23DE" w:rsidRPr="004E23DE">
        <w:rPr>
          <w:rFonts w:asciiTheme="minorHAnsi" w:hAnsiTheme="minorHAnsi" w:cstheme="minorHAnsi"/>
          <w:lang w:val="fr-FR"/>
        </w:rPr>
        <w:t xml:space="preserve"> </w:t>
      </w:r>
      <w:r w:rsidR="004E23DE">
        <w:rPr>
          <w:rFonts w:asciiTheme="minorHAnsi" w:hAnsiTheme="minorHAnsi" w:cstheme="minorHAnsi"/>
          <w:lang w:val="fr-FR"/>
        </w:rPr>
        <w:t xml:space="preserve">de facilités </w:t>
      </w:r>
      <w:r w:rsidR="004E23DE" w:rsidRPr="004E23DE">
        <w:rPr>
          <w:rFonts w:asciiTheme="minorHAnsi" w:hAnsiTheme="minorHAnsi" w:cstheme="minorHAnsi"/>
          <w:lang w:val="fr-FR"/>
        </w:rPr>
        <w:t>d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>hébergement, de participation d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>experts et d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>organisation de visites sur le terrain.</w:t>
      </w:r>
    </w:p>
    <w:p w14:paraId="3267166B" w14:textId="10C23F8A" w:rsidR="000B1966" w:rsidRPr="00CB55E1" w:rsidRDefault="000B1966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4038A3B8" w14:textId="02C426CF" w:rsidR="00DA2269" w:rsidRPr="00CB55E1" w:rsidRDefault="00F50922" w:rsidP="00224729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13.</w:t>
      </w:r>
      <w:r w:rsidRPr="00CB55E1">
        <w:rPr>
          <w:rFonts w:asciiTheme="minorHAnsi" w:hAnsiTheme="minorHAnsi" w:cstheme="minorHAnsi"/>
          <w:lang w:val="fr-FR"/>
        </w:rPr>
        <w:tab/>
      </w:r>
      <w:r w:rsidR="004E23DE" w:rsidRPr="004E23DE">
        <w:rPr>
          <w:rFonts w:asciiTheme="minorHAnsi" w:hAnsiTheme="minorHAnsi" w:cstheme="minorHAnsi"/>
          <w:lang w:val="fr-FR"/>
        </w:rPr>
        <w:t xml:space="preserve">Les supports </w:t>
      </w:r>
      <w:r w:rsidR="004E23DE">
        <w:rPr>
          <w:rFonts w:asciiTheme="minorHAnsi" w:hAnsiTheme="minorHAnsi" w:cstheme="minorHAnsi"/>
          <w:lang w:val="fr-FR"/>
        </w:rPr>
        <w:t>pédagogiques</w:t>
      </w:r>
      <w:r w:rsidR="004E23DE" w:rsidRPr="004E23DE">
        <w:rPr>
          <w:rFonts w:asciiTheme="minorHAnsi" w:hAnsiTheme="minorHAnsi" w:cstheme="minorHAnsi"/>
          <w:lang w:val="fr-FR"/>
        </w:rPr>
        <w:t xml:space="preserve"> en ligne associés</w:t>
      </w:r>
      <w:r w:rsidR="004E23DE">
        <w:rPr>
          <w:rFonts w:asciiTheme="minorHAnsi" w:hAnsiTheme="minorHAnsi" w:cstheme="minorHAnsi"/>
          <w:lang w:val="fr-FR"/>
        </w:rPr>
        <w:t xml:space="preserve"> à ces formations</w:t>
      </w:r>
      <w:r w:rsidR="004E23DE" w:rsidRPr="004E23DE">
        <w:rPr>
          <w:rFonts w:asciiTheme="minorHAnsi" w:hAnsiTheme="minorHAnsi" w:cstheme="minorHAnsi"/>
          <w:lang w:val="fr-FR"/>
        </w:rPr>
        <w:t xml:space="preserve"> seront </w:t>
      </w:r>
      <w:r w:rsidR="004E23DE">
        <w:rPr>
          <w:rFonts w:asciiTheme="minorHAnsi" w:hAnsiTheme="minorHAnsi" w:cstheme="minorHAnsi"/>
          <w:lang w:val="fr-FR"/>
        </w:rPr>
        <w:t>mis à disposition</w:t>
      </w:r>
      <w:r w:rsidR="004E23DE" w:rsidRPr="004E23DE">
        <w:rPr>
          <w:rFonts w:asciiTheme="minorHAnsi" w:hAnsiTheme="minorHAnsi" w:cstheme="minorHAnsi"/>
          <w:lang w:val="fr-FR"/>
        </w:rPr>
        <w:t xml:space="preserve"> sur le site web de la </w:t>
      </w:r>
      <w:r w:rsidR="004E23DE">
        <w:rPr>
          <w:rFonts w:asciiTheme="minorHAnsi" w:hAnsiTheme="minorHAnsi" w:cstheme="minorHAnsi"/>
          <w:lang w:val="fr-FR"/>
        </w:rPr>
        <w:t>C</w:t>
      </w:r>
      <w:r w:rsidR="004E23DE" w:rsidRPr="004E23DE">
        <w:rPr>
          <w:rFonts w:asciiTheme="minorHAnsi" w:hAnsiTheme="minorHAnsi" w:cstheme="minorHAnsi"/>
          <w:lang w:val="fr-FR"/>
        </w:rPr>
        <w:t>onvention, dans les trois langues officielles, avec le soutien de la plateforme de formation du portail d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 xml:space="preserve">information des Nations </w:t>
      </w:r>
      <w:r w:rsidR="00224729">
        <w:rPr>
          <w:rFonts w:asciiTheme="minorHAnsi" w:hAnsiTheme="minorHAnsi" w:cstheme="minorHAnsi"/>
          <w:lang w:val="fr-FR"/>
        </w:rPr>
        <w:t>U</w:t>
      </w:r>
      <w:r w:rsidR="004E23DE" w:rsidRPr="004E23DE">
        <w:rPr>
          <w:rFonts w:asciiTheme="minorHAnsi" w:hAnsiTheme="minorHAnsi" w:cstheme="minorHAnsi"/>
          <w:lang w:val="fr-FR"/>
        </w:rPr>
        <w:t xml:space="preserve">nies sur les accords multilatéraux </w:t>
      </w:r>
      <w:r w:rsidR="00224729">
        <w:rPr>
          <w:rFonts w:asciiTheme="minorHAnsi" w:hAnsiTheme="minorHAnsi" w:cstheme="minorHAnsi"/>
          <w:lang w:val="fr-FR"/>
        </w:rPr>
        <w:t>relatifs à</w:t>
      </w:r>
      <w:r w:rsidR="004E23DE" w:rsidRPr="004E23DE">
        <w:rPr>
          <w:rFonts w:asciiTheme="minorHAnsi" w:hAnsiTheme="minorHAnsi" w:cstheme="minorHAnsi"/>
          <w:lang w:val="fr-FR"/>
        </w:rPr>
        <w:t xml:space="preserve"> </w:t>
      </w:r>
      <w:r w:rsidR="00224729">
        <w:rPr>
          <w:rFonts w:asciiTheme="minorHAnsi" w:hAnsiTheme="minorHAnsi" w:cstheme="minorHAnsi"/>
          <w:lang w:val="fr-FR"/>
        </w:rPr>
        <w:t>l</w:t>
      </w:r>
      <w:r w:rsidR="006F113B">
        <w:rPr>
          <w:rFonts w:asciiTheme="minorHAnsi" w:hAnsiTheme="minorHAnsi" w:cstheme="minorHAnsi"/>
          <w:lang w:val="fr-FR"/>
        </w:rPr>
        <w:t>’</w:t>
      </w:r>
      <w:r w:rsidR="004E23DE" w:rsidRPr="004E23DE">
        <w:rPr>
          <w:rFonts w:asciiTheme="minorHAnsi" w:hAnsiTheme="minorHAnsi" w:cstheme="minorHAnsi"/>
          <w:lang w:val="fr-FR"/>
        </w:rPr>
        <w:t>environnement (</w:t>
      </w:r>
      <w:proofErr w:type="spellStart"/>
      <w:r w:rsidR="004E23DE" w:rsidRPr="004E23DE">
        <w:rPr>
          <w:rFonts w:asciiTheme="minorHAnsi" w:hAnsiTheme="minorHAnsi" w:cstheme="minorHAnsi"/>
          <w:lang w:val="fr-FR"/>
        </w:rPr>
        <w:t>InforMEA</w:t>
      </w:r>
      <w:proofErr w:type="spellEnd"/>
      <w:r w:rsidR="004E23DE" w:rsidRPr="004E23DE">
        <w:rPr>
          <w:rFonts w:asciiTheme="minorHAnsi" w:hAnsiTheme="minorHAnsi" w:cstheme="minorHAnsi"/>
          <w:lang w:val="fr-FR"/>
        </w:rPr>
        <w:t xml:space="preserve">). Toutes les parties contractantes pourront accéder </w:t>
      </w:r>
      <w:r w:rsidR="00224729">
        <w:rPr>
          <w:rFonts w:asciiTheme="minorHAnsi" w:hAnsiTheme="minorHAnsi" w:cstheme="minorHAnsi"/>
          <w:lang w:val="fr-FR"/>
        </w:rPr>
        <w:t>gratuitement</w:t>
      </w:r>
      <w:r w:rsidR="004E23DE" w:rsidRPr="004E23DE">
        <w:rPr>
          <w:rFonts w:asciiTheme="minorHAnsi" w:hAnsiTheme="minorHAnsi" w:cstheme="minorHAnsi"/>
          <w:lang w:val="fr-FR"/>
        </w:rPr>
        <w:t xml:space="preserve"> à ces supports </w:t>
      </w:r>
      <w:r w:rsidR="00224729">
        <w:rPr>
          <w:rFonts w:asciiTheme="minorHAnsi" w:hAnsiTheme="minorHAnsi" w:cstheme="minorHAnsi"/>
          <w:lang w:val="fr-FR"/>
        </w:rPr>
        <w:t>et</w:t>
      </w:r>
      <w:r w:rsidR="004E23DE" w:rsidRPr="004E23DE">
        <w:rPr>
          <w:rFonts w:asciiTheme="minorHAnsi" w:hAnsiTheme="minorHAnsi" w:cstheme="minorHAnsi"/>
          <w:lang w:val="fr-FR"/>
        </w:rPr>
        <w:t xml:space="preserve"> un certificat en ligne </w:t>
      </w:r>
      <w:r w:rsidR="00224729">
        <w:rPr>
          <w:rFonts w:asciiTheme="minorHAnsi" w:hAnsiTheme="minorHAnsi" w:cstheme="minorHAnsi"/>
          <w:lang w:val="fr-FR"/>
        </w:rPr>
        <w:t>sera remis à l</w:t>
      </w:r>
      <w:r w:rsidR="006F113B">
        <w:rPr>
          <w:rFonts w:asciiTheme="minorHAnsi" w:hAnsiTheme="minorHAnsi" w:cstheme="minorHAnsi"/>
          <w:lang w:val="fr-FR"/>
        </w:rPr>
        <w:t>’</w:t>
      </w:r>
      <w:r w:rsidR="00224729">
        <w:rPr>
          <w:rFonts w:asciiTheme="minorHAnsi" w:hAnsiTheme="minorHAnsi" w:cstheme="minorHAnsi"/>
          <w:lang w:val="fr-FR"/>
        </w:rPr>
        <w:t>issue de</w:t>
      </w:r>
      <w:r w:rsidR="004E23DE" w:rsidRPr="004E23DE">
        <w:rPr>
          <w:rFonts w:asciiTheme="minorHAnsi" w:hAnsiTheme="minorHAnsi" w:cstheme="minorHAnsi"/>
          <w:lang w:val="fr-FR"/>
        </w:rPr>
        <w:t xml:space="preserve"> chaque module suivi. Le premier module sera </w:t>
      </w:r>
      <w:r w:rsidR="006B15D8">
        <w:rPr>
          <w:rFonts w:asciiTheme="minorHAnsi" w:hAnsiTheme="minorHAnsi" w:cstheme="minorHAnsi"/>
          <w:lang w:val="fr-FR"/>
        </w:rPr>
        <w:t xml:space="preserve">mis à </w:t>
      </w:r>
      <w:r w:rsidR="004E23DE" w:rsidRPr="004E23DE">
        <w:rPr>
          <w:rFonts w:asciiTheme="minorHAnsi" w:hAnsiTheme="minorHAnsi" w:cstheme="minorHAnsi"/>
          <w:lang w:val="fr-FR"/>
        </w:rPr>
        <w:t>dispo</w:t>
      </w:r>
      <w:r w:rsidR="006B15D8">
        <w:rPr>
          <w:rFonts w:asciiTheme="minorHAnsi" w:hAnsiTheme="minorHAnsi" w:cstheme="minorHAnsi"/>
          <w:lang w:val="fr-FR"/>
        </w:rPr>
        <w:t>sition</w:t>
      </w:r>
      <w:r w:rsidR="004E23DE" w:rsidRPr="004E23DE">
        <w:rPr>
          <w:rFonts w:asciiTheme="minorHAnsi" w:hAnsiTheme="minorHAnsi" w:cstheme="minorHAnsi"/>
          <w:lang w:val="fr-FR"/>
        </w:rPr>
        <w:t xml:space="preserve"> </w:t>
      </w:r>
      <w:r w:rsidR="00224729">
        <w:rPr>
          <w:rFonts w:asciiTheme="minorHAnsi" w:hAnsiTheme="minorHAnsi" w:cstheme="minorHAnsi"/>
          <w:lang w:val="fr-FR"/>
        </w:rPr>
        <w:t xml:space="preserve">fin </w:t>
      </w:r>
      <w:r w:rsidR="004E23DE" w:rsidRPr="004E23DE">
        <w:rPr>
          <w:rFonts w:asciiTheme="minorHAnsi" w:hAnsiTheme="minorHAnsi" w:cstheme="minorHAnsi"/>
          <w:lang w:val="fr-FR"/>
        </w:rPr>
        <w:t>2024</w:t>
      </w:r>
      <w:r w:rsidR="00DA2269" w:rsidRPr="00CB55E1">
        <w:rPr>
          <w:rFonts w:asciiTheme="minorHAnsi" w:hAnsiTheme="minorHAnsi" w:cstheme="minorHAnsi"/>
          <w:lang w:val="fr-FR"/>
        </w:rPr>
        <w:t>.</w:t>
      </w:r>
    </w:p>
    <w:p w14:paraId="0CC5CE8A" w14:textId="77777777" w:rsidR="00DA2269" w:rsidRPr="00CB55E1" w:rsidRDefault="00DA2269" w:rsidP="00F50922">
      <w:pPr>
        <w:pStyle w:val="ListParagraph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22FB0A07" w14:textId="4E40CA32" w:rsidR="00CA5DD5" w:rsidRPr="00CB55E1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14.</w:t>
      </w:r>
      <w:r w:rsidRPr="00CB55E1">
        <w:rPr>
          <w:rFonts w:asciiTheme="minorHAnsi" w:hAnsiTheme="minorHAnsi" w:cstheme="minorHAnsi"/>
          <w:lang w:val="fr-FR"/>
        </w:rPr>
        <w:tab/>
      </w:r>
      <w:r w:rsidR="00224729" w:rsidRPr="00224729">
        <w:rPr>
          <w:rFonts w:eastAsia="Times New Roman"/>
          <w:lang w:val="fr-FR"/>
        </w:rPr>
        <w:t xml:space="preserve">Ces activités </w:t>
      </w:r>
      <w:r w:rsidR="00224729">
        <w:rPr>
          <w:rFonts w:eastAsia="Times New Roman"/>
          <w:lang w:val="fr-FR"/>
        </w:rPr>
        <w:t>sont soutenues par des</w:t>
      </w:r>
      <w:r w:rsidR="00224729" w:rsidRPr="00224729">
        <w:rPr>
          <w:rFonts w:eastAsia="Times New Roman"/>
          <w:lang w:val="fr-FR"/>
        </w:rPr>
        <w:t xml:space="preserve"> contributions volontaires du </w:t>
      </w:r>
      <w:r w:rsidR="00224729">
        <w:rPr>
          <w:rFonts w:eastAsia="Times New Roman"/>
          <w:lang w:val="fr-FR"/>
        </w:rPr>
        <w:t>G</w:t>
      </w:r>
      <w:r w:rsidR="00224729" w:rsidRPr="00224729">
        <w:rPr>
          <w:rFonts w:eastAsia="Times New Roman"/>
          <w:lang w:val="fr-FR"/>
        </w:rPr>
        <w:t xml:space="preserve">ouvernement norvégien et </w:t>
      </w:r>
      <w:r w:rsidR="00224729">
        <w:rPr>
          <w:rFonts w:eastAsia="Times New Roman"/>
          <w:lang w:val="fr-FR"/>
        </w:rPr>
        <w:t>des autorités</w:t>
      </w:r>
      <w:r w:rsidR="00224729" w:rsidRPr="00224729">
        <w:rPr>
          <w:rFonts w:eastAsia="Times New Roman"/>
          <w:lang w:val="fr-FR"/>
        </w:rPr>
        <w:t xml:space="preserve"> flamande</w:t>
      </w:r>
      <w:r w:rsidR="00224729">
        <w:rPr>
          <w:rFonts w:eastAsia="Times New Roman"/>
          <w:lang w:val="fr-FR"/>
        </w:rPr>
        <w:t>s</w:t>
      </w:r>
      <w:r w:rsidR="00224729" w:rsidRPr="00224729">
        <w:rPr>
          <w:rFonts w:eastAsia="Times New Roman"/>
          <w:lang w:val="fr-FR"/>
        </w:rPr>
        <w:t xml:space="preserve"> </w:t>
      </w:r>
      <w:r w:rsidR="00224729">
        <w:rPr>
          <w:rFonts w:eastAsia="Times New Roman"/>
          <w:lang w:val="fr-FR"/>
        </w:rPr>
        <w:t>de</w:t>
      </w:r>
      <w:r w:rsidR="00224729" w:rsidRPr="00224729">
        <w:rPr>
          <w:rFonts w:eastAsia="Times New Roman"/>
          <w:lang w:val="fr-FR"/>
        </w:rPr>
        <w:t xml:space="preserve"> Belgique.</w:t>
      </w:r>
    </w:p>
    <w:p w14:paraId="01C73107" w14:textId="77777777" w:rsidR="00C90138" w:rsidRPr="00CB55E1" w:rsidRDefault="00C90138" w:rsidP="003C05DB">
      <w:pPr>
        <w:pStyle w:val="ListParagraph"/>
        <w:autoSpaceDE w:val="0"/>
        <w:autoSpaceDN w:val="0"/>
        <w:adjustRightInd w:val="0"/>
        <w:ind w:left="426" w:firstLine="0"/>
        <w:rPr>
          <w:rFonts w:asciiTheme="minorHAnsi" w:hAnsiTheme="minorHAnsi" w:cstheme="minorHAnsi"/>
          <w:lang w:val="fr-FR"/>
        </w:rPr>
      </w:pPr>
    </w:p>
    <w:p w14:paraId="265F5488" w14:textId="7BA3DDE3" w:rsidR="00863E88" w:rsidRDefault="000C58EC" w:rsidP="00D91AF6">
      <w:pPr>
        <w:autoSpaceDE w:val="0"/>
        <w:autoSpaceDN w:val="0"/>
        <w:adjustRightInd w:val="0"/>
        <w:ind w:left="0" w:firstLine="0"/>
        <w:rPr>
          <w:bCs/>
          <w:u w:val="single"/>
          <w:lang w:val="fr-FR"/>
        </w:rPr>
      </w:pPr>
      <w:r w:rsidRPr="000C58EC">
        <w:rPr>
          <w:bCs/>
          <w:u w:val="single"/>
          <w:lang w:val="fr-FR"/>
        </w:rPr>
        <w:t>Appui à la mise en œuvre</w:t>
      </w:r>
    </w:p>
    <w:p w14:paraId="643A6699" w14:textId="77777777" w:rsidR="000C58EC" w:rsidRPr="00CB55E1" w:rsidRDefault="000C58EC" w:rsidP="00D91AF6">
      <w:pPr>
        <w:autoSpaceDE w:val="0"/>
        <w:autoSpaceDN w:val="0"/>
        <w:adjustRightInd w:val="0"/>
        <w:ind w:left="0" w:firstLine="0"/>
        <w:rPr>
          <w:lang w:val="fr-FR"/>
        </w:rPr>
      </w:pPr>
    </w:p>
    <w:p w14:paraId="352C6B7D" w14:textId="5C583916" w:rsidR="00671A9D" w:rsidRDefault="00F5092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15.</w:t>
      </w:r>
      <w:r w:rsidRPr="00CB55E1">
        <w:rPr>
          <w:rFonts w:asciiTheme="minorHAnsi" w:hAnsiTheme="minorHAnsi" w:cstheme="minorHAnsi"/>
          <w:lang w:val="fr-FR"/>
        </w:rPr>
        <w:tab/>
      </w:r>
      <w:r w:rsidR="00671A9D" w:rsidRPr="00671A9D">
        <w:rPr>
          <w:rFonts w:asciiTheme="minorHAnsi" w:hAnsiTheme="minorHAnsi" w:cstheme="minorHAnsi"/>
          <w:lang w:val="fr-FR"/>
        </w:rPr>
        <w:t>Le Secrétariat continue de collaborer avec le Secrétariat du Groupe sur l</w:t>
      </w:r>
      <w:r w:rsidR="006F113B">
        <w:rPr>
          <w:rFonts w:asciiTheme="minorHAnsi" w:hAnsiTheme="minorHAnsi" w:cstheme="minorHAnsi"/>
          <w:lang w:val="fr-FR"/>
        </w:rPr>
        <w:t>’</w:t>
      </w:r>
      <w:r w:rsidR="00671A9D" w:rsidRPr="00671A9D">
        <w:rPr>
          <w:rFonts w:asciiTheme="minorHAnsi" w:hAnsiTheme="minorHAnsi" w:cstheme="minorHAnsi"/>
          <w:lang w:val="fr-FR"/>
        </w:rPr>
        <w:t>observation de la Terre (GEO) pour ce qui est de l</w:t>
      </w:r>
      <w:r w:rsidR="006F113B">
        <w:rPr>
          <w:rFonts w:asciiTheme="minorHAnsi" w:hAnsiTheme="minorHAnsi" w:cstheme="minorHAnsi"/>
          <w:lang w:val="fr-FR"/>
        </w:rPr>
        <w:t>’</w:t>
      </w:r>
      <w:r w:rsidR="00671A9D" w:rsidRPr="00671A9D">
        <w:rPr>
          <w:rFonts w:asciiTheme="minorHAnsi" w:hAnsiTheme="minorHAnsi" w:cstheme="minorHAnsi"/>
          <w:lang w:val="fr-FR"/>
        </w:rPr>
        <w:t>élaboration d</w:t>
      </w:r>
      <w:r w:rsidR="006F113B">
        <w:rPr>
          <w:rFonts w:asciiTheme="minorHAnsi" w:hAnsiTheme="minorHAnsi" w:cstheme="minorHAnsi"/>
          <w:lang w:val="fr-FR"/>
        </w:rPr>
        <w:t>’</w:t>
      </w:r>
      <w:r w:rsidR="00671A9D" w:rsidRPr="00671A9D">
        <w:rPr>
          <w:rFonts w:asciiTheme="minorHAnsi" w:hAnsiTheme="minorHAnsi" w:cstheme="minorHAnsi"/>
          <w:lang w:val="fr-FR"/>
        </w:rPr>
        <w:t>un « Atlas mondial des écosystèmes » en ligne basé sur la Typologie mondiale des écosystèmes de l</w:t>
      </w:r>
      <w:r w:rsidR="006F113B">
        <w:rPr>
          <w:rFonts w:asciiTheme="minorHAnsi" w:hAnsiTheme="minorHAnsi" w:cstheme="minorHAnsi"/>
          <w:lang w:val="fr-FR"/>
        </w:rPr>
        <w:t>’</w:t>
      </w:r>
      <w:r w:rsidR="00671A9D" w:rsidRPr="00671A9D">
        <w:rPr>
          <w:rFonts w:asciiTheme="minorHAnsi" w:hAnsiTheme="minorHAnsi" w:cstheme="minorHAnsi"/>
          <w:lang w:val="fr-FR"/>
        </w:rPr>
        <w:t>UICN</w:t>
      </w:r>
      <w:r w:rsidR="00671A9D">
        <w:rPr>
          <w:rFonts w:asciiTheme="minorHAnsi" w:hAnsiTheme="minorHAnsi" w:cstheme="minorHAnsi"/>
          <w:lang w:val="fr-FR"/>
        </w:rPr>
        <w:t>. À cet effet, il</w:t>
      </w:r>
      <w:r w:rsidR="00671A9D" w:rsidRPr="00671A9D">
        <w:rPr>
          <w:rFonts w:asciiTheme="minorHAnsi" w:hAnsiTheme="minorHAnsi" w:cstheme="minorHAnsi"/>
          <w:lang w:val="fr-FR"/>
        </w:rPr>
        <w:t xml:space="preserve"> particip</w:t>
      </w:r>
      <w:r w:rsidR="00671A9D">
        <w:rPr>
          <w:rFonts w:asciiTheme="minorHAnsi" w:hAnsiTheme="minorHAnsi" w:cstheme="minorHAnsi"/>
          <w:lang w:val="fr-FR"/>
        </w:rPr>
        <w:t xml:space="preserve">e </w:t>
      </w:r>
      <w:r w:rsidR="00B70D73">
        <w:rPr>
          <w:rFonts w:asciiTheme="minorHAnsi" w:hAnsiTheme="minorHAnsi" w:cstheme="minorHAnsi"/>
          <w:lang w:val="fr-FR"/>
        </w:rPr>
        <w:t>entre autres</w:t>
      </w:r>
      <w:r w:rsidR="00671A9D" w:rsidRPr="00671A9D">
        <w:rPr>
          <w:rFonts w:asciiTheme="minorHAnsi" w:hAnsiTheme="minorHAnsi" w:cstheme="minorHAnsi"/>
          <w:lang w:val="fr-FR"/>
        </w:rPr>
        <w:t xml:space="preserve"> au </w:t>
      </w:r>
      <w:r w:rsidR="00B70D73">
        <w:rPr>
          <w:rFonts w:asciiTheme="minorHAnsi" w:hAnsiTheme="minorHAnsi" w:cstheme="minorHAnsi"/>
          <w:lang w:val="fr-FR"/>
        </w:rPr>
        <w:t>C</w:t>
      </w:r>
      <w:r w:rsidR="00671A9D" w:rsidRPr="00671A9D">
        <w:rPr>
          <w:rFonts w:asciiTheme="minorHAnsi" w:hAnsiTheme="minorHAnsi" w:cstheme="minorHAnsi"/>
          <w:lang w:val="fr-FR"/>
        </w:rPr>
        <w:t xml:space="preserve">omité scientifique et technique ad hoc </w:t>
      </w:r>
      <w:r w:rsidR="00671A9D">
        <w:rPr>
          <w:rFonts w:asciiTheme="minorHAnsi" w:hAnsiTheme="minorHAnsi" w:cstheme="minorHAnsi"/>
          <w:lang w:val="fr-FR"/>
        </w:rPr>
        <w:t>du projet d</w:t>
      </w:r>
      <w:r w:rsidR="006F113B">
        <w:rPr>
          <w:rFonts w:asciiTheme="minorHAnsi" w:hAnsiTheme="minorHAnsi" w:cstheme="minorHAnsi"/>
          <w:lang w:val="fr-FR"/>
        </w:rPr>
        <w:t>’</w:t>
      </w:r>
      <w:r w:rsidR="00671A9D" w:rsidRPr="00671A9D">
        <w:rPr>
          <w:rFonts w:asciiTheme="minorHAnsi" w:hAnsiTheme="minorHAnsi" w:cstheme="minorHAnsi"/>
          <w:lang w:val="fr-FR"/>
        </w:rPr>
        <w:t xml:space="preserve">Atlas mondial des écosystèmes. Un </w:t>
      </w:r>
      <w:r w:rsidR="0069300B">
        <w:rPr>
          <w:rFonts w:asciiTheme="minorHAnsi" w:hAnsiTheme="minorHAnsi" w:cstheme="minorHAnsi"/>
          <w:lang w:val="fr-FR"/>
        </w:rPr>
        <w:t>avant-projet</w:t>
      </w:r>
      <w:r w:rsidR="00671A9D" w:rsidRPr="00671A9D">
        <w:rPr>
          <w:rFonts w:asciiTheme="minorHAnsi" w:hAnsiTheme="minorHAnsi" w:cstheme="minorHAnsi"/>
          <w:lang w:val="fr-FR"/>
        </w:rPr>
        <w:t xml:space="preserve"> sera présenté lors de la COP16 de la CDB qui se tiendra à Cali, en Colombie, du 21 octobre au 1</w:t>
      </w:r>
      <w:r w:rsidR="0069300B" w:rsidRPr="0069300B">
        <w:rPr>
          <w:rFonts w:asciiTheme="minorHAnsi" w:hAnsiTheme="minorHAnsi" w:cstheme="minorHAnsi"/>
          <w:vertAlign w:val="superscript"/>
          <w:lang w:val="fr-FR"/>
        </w:rPr>
        <w:t>er</w:t>
      </w:r>
      <w:r w:rsidR="0069300B">
        <w:rPr>
          <w:rFonts w:asciiTheme="minorHAnsi" w:hAnsiTheme="minorHAnsi" w:cstheme="minorHAnsi"/>
          <w:lang w:val="fr-FR"/>
        </w:rPr>
        <w:t> </w:t>
      </w:r>
      <w:r w:rsidR="00671A9D" w:rsidRPr="00671A9D">
        <w:rPr>
          <w:rFonts w:asciiTheme="minorHAnsi" w:hAnsiTheme="minorHAnsi" w:cstheme="minorHAnsi"/>
          <w:lang w:val="fr-FR"/>
        </w:rPr>
        <w:t>novembre 2024.</w:t>
      </w:r>
      <w:r w:rsidR="00671A9D">
        <w:rPr>
          <w:rFonts w:asciiTheme="minorHAnsi" w:hAnsiTheme="minorHAnsi" w:cstheme="minorHAnsi"/>
          <w:lang w:val="fr-FR"/>
        </w:rPr>
        <w:t xml:space="preserve"> </w:t>
      </w:r>
    </w:p>
    <w:p w14:paraId="794EF9BE" w14:textId="77777777" w:rsidR="00A94E12" w:rsidRDefault="00A94E12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7C8A0C8A" w14:textId="77777777" w:rsidR="00FB5D3E" w:rsidRPr="00CB55E1" w:rsidRDefault="00FB5D3E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0AE130F9" w14:textId="6A1470FD" w:rsidR="00DD3EDF" w:rsidRPr="00CB55E1" w:rsidRDefault="00F50922" w:rsidP="00FE6061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16.</w:t>
      </w:r>
      <w:r w:rsidR="00FE6061">
        <w:rPr>
          <w:rFonts w:asciiTheme="minorHAnsi" w:hAnsiTheme="minorHAnsi" w:cstheme="minorHAnsi"/>
          <w:lang w:val="fr-FR"/>
        </w:rPr>
        <w:tab/>
      </w:r>
      <w:r w:rsidR="00FB5D3E" w:rsidRPr="00FB5D3E">
        <w:rPr>
          <w:rFonts w:asciiTheme="minorHAnsi" w:hAnsiTheme="minorHAnsi" w:cstheme="minorHAnsi"/>
          <w:lang w:val="fr-FR"/>
        </w:rPr>
        <w:t xml:space="preserve">Le Secrétariat travaillera </w:t>
      </w:r>
      <w:r w:rsidR="00FB5D3E">
        <w:rPr>
          <w:rFonts w:asciiTheme="minorHAnsi" w:hAnsiTheme="minorHAnsi" w:cstheme="minorHAnsi"/>
          <w:lang w:val="fr-FR"/>
        </w:rPr>
        <w:t xml:space="preserve">en collaboration </w:t>
      </w:r>
      <w:r w:rsidR="00FB5D3E" w:rsidRPr="00FB5D3E">
        <w:rPr>
          <w:rFonts w:asciiTheme="minorHAnsi" w:hAnsiTheme="minorHAnsi" w:cstheme="minorHAnsi"/>
          <w:lang w:val="fr-FR"/>
        </w:rPr>
        <w:t xml:space="preserve">avec le GEST sur </w:t>
      </w:r>
      <w:r w:rsidR="00FB5D3E">
        <w:rPr>
          <w:rFonts w:asciiTheme="minorHAnsi" w:hAnsiTheme="minorHAnsi" w:cstheme="minorHAnsi"/>
          <w:lang w:val="fr-FR"/>
        </w:rPr>
        <w:t>le renforcement du</w:t>
      </w:r>
      <w:r w:rsidR="00FB5D3E" w:rsidRPr="00FB5D3E">
        <w:rPr>
          <w:rFonts w:asciiTheme="minorHAnsi" w:hAnsiTheme="minorHAnsi" w:cstheme="minorHAnsi"/>
          <w:lang w:val="fr-FR"/>
        </w:rPr>
        <w:t xml:space="preserve"> soutien à la mise en œuvre en </w:t>
      </w:r>
      <w:r w:rsidR="00FB5D3E">
        <w:rPr>
          <w:rFonts w:asciiTheme="minorHAnsi" w:hAnsiTheme="minorHAnsi" w:cstheme="minorHAnsi"/>
          <w:lang w:val="fr-FR"/>
        </w:rPr>
        <w:t>accordant une attention particulière à</w:t>
      </w:r>
      <w:r w:rsidR="00FB5D3E" w:rsidRPr="00FB5D3E">
        <w:rPr>
          <w:rFonts w:asciiTheme="minorHAnsi" w:hAnsiTheme="minorHAnsi" w:cstheme="minorHAnsi"/>
          <w:lang w:val="fr-FR"/>
        </w:rPr>
        <w:t xml:space="preserve"> </w:t>
      </w:r>
      <w:r w:rsidR="00FB5D3E">
        <w:rPr>
          <w:rFonts w:asciiTheme="minorHAnsi" w:hAnsiTheme="minorHAnsi" w:cstheme="minorHAnsi"/>
          <w:lang w:val="fr-FR"/>
        </w:rPr>
        <w:t>l</w:t>
      </w:r>
      <w:r w:rsidR="006F113B">
        <w:rPr>
          <w:rFonts w:asciiTheme="minorHAnsi" w:hAnsiTheme="minorHAnsi" w:cstheme="minorHAnsi"/>
          <w:lang w:val="fr-FR"/>
        </w:rPr>
        <w:t>’</w:t>
      </w:r>
      <w:r w:rsidR="00FB5D3E">
        <w:rPr>
          <w:rFonts w:asciiTheme="minorHAnsi" w:hAnsiTheme="minorHAnsi" w:cstheme="minorHAnsi"/>
          <w:lang w:val="fr-FR"/>
        </w:rPr>
        <w:t>intégration des techniques d</w:t>
      </w:r>
      <w:r w:rsidR="006F113B">
        <w:rPr>
          <w:rFonts w:asciiTheme="minorHAnsi" w:hAnsiTheme="minorHAnsi" w:cstheme="minorHAnsi"/>
          <w:lang w:val="fr-FR"/>
        </w:rPr>
        <w:t>’</w:t>
      </w:r>
      <w:r w:rsidR="00FB5D3E" w:rsidRPr="00FB5D3E">
        <w:rPr>
          <w:rFonts w:asciiTheme="minorHAnsi" w:hAnsiTheme="minorHAnsi" w:cstheme="minorHAnsi"/>
          <w:lang w:val="fr-FR"/>
        </w:rPr>
        <w:t>observation de la Terre dans les IN</w:t>
      </w:r>
      <w:r w:rsidR="00FB5D3E">
        <w:rPr>
          <w:rFonts w:asciiTheme="minorHAnsi" w:hAnsiTheme="minorHAnsi" w:cstheme="minorHAnsi"/>
          <w:lang w:val="fr-FR"/>
        </w:rPr>
        <w:t>ZH</w:t>
      </w:r>
      <w:r w:rsidR="00482D1D">
        <w:rPr>
          <w:rFonts w:asciiTheme="minorHAnsi" w:hAnsiTheme="minorHAnsi" w:cstheme="minorHAnsi"/>
          <w:lang w:val="fr-FR"/>
        </w:rPr>
        <w:t> ; il s</w:t>
      </w:r>
      <w:r w:rsidR="006F113B">
        <w:rPr>
          <w:rFonts w:asciiTheme="minorHAnsi" w:hAnsiTheme="minorHAnsi" w:cstheme="minorHAnsi"/>
          <w:lang w:val="fr-FR"/>
        </w:rPr>
        <w:t>’</w:t>
      </w:r>
      <w:r w:rsidR="00482D1D">
        <w:rPr>
          <w:rFonts w:asciiTheme="minorHAnsi" w:hAnsiTheme="minorHAnsi" w:cstheme="minorHAnsi"/>
          <w:lang w:val="fr-FR"/>
        </w:rPr>
        <w:t>appuiera pour ce faire sur les résultats des</w:t>
      </w:r>
      <w:r w:rsidR="00FB5D3E" w:rsidRPr="00FB5D3E">
        <w:rPr>
          <w:rFonts w:asciiTheme="minorHAnsi" w:hAnsiTheme="minorHAnsi" w:cstheme="minorHAnsi"/>
          <w:lang w:val="fr-FR"/>
        </w:rPr>
        <w:t xml:space="preserve"> consultation</w:t>
      </w:r>
      <w:r w:rsidR="00482D1D">
        <w:rPr>
          <w:rFonts w:asciiTheme="minorHAnsi" w:hAnsiTheme="minorHAnsi" w:cstheme="minorHAnsi"/>
          <w:lang w:val="fr-FR"/>
        </w:rPr>
        <w:t xml:space="preserve">s menées </w:t>
      </w:r>
      <w:r w:rsidR="00B70D73" w:rsidRPr="00FB5D3E">
        <w:rPr>
          <w:rFonts w:asciiTheme="minorHAnsi" w:hAnsiTheme="minorHAnsi" w:cstheme="minorHAnsi"/>
          <w:lang w:val="fr-FR"/>
        </w:rPr>
        <w:t xml:space="preserve">par le GEST </w:t>
      </w:r>
      <w:r w:rsidR="00482D1D">
        <w:rPr>
          <w:rFonts w:asciiTheme="minorHAnsi" w:hAnsiTheme="minorHAnsi" w:cstheme="minorHAnsi"/>
          <w:lang w:val="fr-FR"/>
        </w:rPr>
        <w:t xml:space="preserve">auprès des spécialistes </w:t>
      </w:r>
      <w:r w:rsidR="00FB5D3E" w:rsidRPr="00FB5D3E">
        <w:rPr>
          <w:rFonts w:asciiTheme="minorHAnsi" w:hAnsiTheme="minorHAnsi" w:cstheme="minorHAnsi"/>
          <w:lang w:val="fr-FR"/>
        </w:rPr>
        <w:t>de l</w:t>
      </w:r>
      <w:r w:rsidR="006F113B">
        <w:rPr>
          <w:rFonts w:asciiTheme="minorHAnsi" w:hAnsiTheme="minorHAnsi" w:cstheme="minorHAnsi"/>
          <w:lang w:val="fr-FR"/>
        </w:rPr>
        <w:t>’</w:t>
      </w:r>
      <w:r w:rsidR="00FB5D3E" w:rsidRPr="00FB5D3E">
        <w:rPr>
          <w:rFonts w:asciiTheme="minorHAnsi" w:hAnsiTheme="minorHAnsi" w:cstheme="minorHAnsi"/>
          <w:lang w:val="fr-FR"/>
        </w:rPr>
        <w:t xml:space="preserve">observation de la Terre </w:t>
      </w:r>
      <w:r w:rsidR="00482D1D">
        <w:rPr>
          <w:rFonts w:asciiTheme="minorHAnsi" w:hAnsiTheme="minorHAnsi" w:cstheme="minorHAnsi"/>
          <w:lang w:val="fr-FR"/>
        </w:rPr>
        <w:t>en application de</w:t>
      </w:r>
      <w:r w:rsidR="00FB5D3E" w:rsidRPr="00FB5D3E">
        <w:rPr>
          <w:rFonts w:asciiTheme="minorHAnsi" w:hAnsiTheme="minorHAnsi" w:cstheme="minorHAnsi"/>
          <w:lang w:val="fr-FR"/>
        </w:rPr>
        <w:t xml:space="preserve"> la Décision</w:t>
      </w:r>
      <w:r w:rsidR="00482D1D">
        <w:rPr>
          <w:rFonts w:asciiTheme="minorHAnsi" w:hAnsiTheme="minorHAnsi" w:cstheme="minorHAnsi"/>
          <w:lang w:val="fr-FR"/>
        </w:rPr>
        <w:t> </w:t>
      </w:r>
      <w:r w:rsidR="00FB5D3E" w:rsidRPr="00FB5D3E">
        <w:rPr>
          <w:rFonts w:asciiTheme="minorHAnsi" w:hAnsiTheme="minorHAnsi" w:cstheme="minorHAnsi"/>
          <w:lang w:val="fr-FR"/>
        </w:rPr>
        <w:t>SC63-30</w:t>
      </w:r>
      <w:r w:rsidR="00482D1D">
        <w:rPr>
          <w:rFonts w:asciiTheme="minorHAnsi" w:hAnsiTheme="minorHAnsi" w:cstheme="minorHAnsi"/>
          <w:lang w:val="fr-FR"/>
        </w:rPr>
        <w:t>, ce qui contribuera également à l</w:t>
      </w:r>
      <w:r w:rsidR="006F113B">
        <w:rPr>
          <w:rFonts w:asciiTheme="minorHAnsi" w:hAnsiTheme="minorHAnsi" w:cstheme="minorHAnsi"/>
          <w:lang w:val="fr-FR"/>
        </w:rPr>
        <w:t>’</w:t>
      </w:r>
      <w:r w:rsidR="00482D1D">
        <w:rPr>
          <w:rFonts w:asciiTheme="minorHAnsi" w:hAnsiTheme="minorHAnsi" w:cstheme="minorHAnsi"/>
          <w:lang w:val="fr-FR"/>
        </w:rPr>
        <w:t>élaboration</w:t>
      </w:r>
      <w:r w:rsidR="00FB5D3E" w:rsidRPr="00FB5D3E">
        <w:rPr>
          <w:rFonts w:asciiTheme="minorHAnsi" w:hAnsiTheme="minorHAnsi" w:cstheme="minorHAnsi"/>
          <w:lang w:val="fr-FR"/>
        </w:rPr>
        <w:t xml:space="preserve"> du </w:t>
      </w:r>
      <w:r w:rsidR="00482D1D">
        <w:rPr>
          <w:rFonts w:asciiTheme="minorHAnsi" w:hAnsiTheme="minorHAnsi" w:cstheme="minorHAnsi"/>
          <w:lang w:val="fr-FR"/>
        </w:rPr>
        <w:t>M</w:t>
      </w:r>
      <w:r w:rsidR="00FB5D3E" w:rsidRPr="00FB5D3E">
        <w:rPr>
          <w:rFonts w:asciiTheme="minorHAnsi" w:hAnsiTheme="minorHAnsi" w:cstheme="minorHAnsi"/>
          <w:lang w:val="fr-FR"/>
        </w:rPr>
        <w:t xml:space="preserve">odule </w:t>
      </w:r>
      <w:r w:rsidR="00482D1D">
        <w:rPr>
          <w:rFonts w:asciiTheme="minorHAnsi" w:hAnsiTheme="minorHAnsi" w:cstheme="minorHAnsi"/>
          <w:lang w:val="fr-FR"/>
        </w:rPr>
        <w:t>de formation n°</w:t>
      </w:r>
      <w:r w:rsidR="00FB5D3E" w:rsidRPr="00FB5D3E">
        <w:rPr>
          <w:rFonts w:asciiTheme="minorHAnsi" w:hAnsiTheme="minorHAnsi" w:cstheme="minorHAnsi"/>
          <w:lang w:val="fr-FR"/>
        </w:rPr>
        <w:t xml:space="preserve">2 qui sera consacré aux méthodes et </w:t>
      </w:r>
      <w:r w:rsidR="00482D1D">
        <w:rPr>
          <w:rFonts w:asciiTheme="minorHAnsi" w:hAnsiTheme="minorHAnsi" w:cstheme="minorHAnsi"/>
          <w:lang w:val="fr-FR"/>
        </w:rPr>
        <w:t xml:space="preserve">techniques </w:t>
      </w:r>
      <w:r w:rsidR="00FB5D3E" w:rsidRPr="00FB5D3E">
        <w:rPr>
          <w:rFonts w:asciiTheme="minorHAnsi" w:hAnsiTheme="minorHAnsi" w:cstheme="minorHAnsi"/>
          <w:lang w:val="fr-FR"/>
        </w:rPr>
        <w:t>d</w:t>
      </w:r>
      <w:r w:rsidR="006F113B">
        <w:rPr>
          <w:rFonts w:asciiTheme="minorHAnsi" w:hAnsiTheme="minorHAnsi" w:cstheme="minorHAnsi"/>
          <w:lang w:val="fr-FR"/>
        </w:rPr>
        <w:t>’</w:t>
      </w:r>
      <w:r w:rsidR="00482D1D">
        <w:rPr>
          <w:rFonts w:asciiTheme="minorHAnsi" w:hAnsiTheme="minorHAnsi" w:cstheme="minorHAnsi"/>
          <w:lang w:val="fr-FR"/>
        </w:rPr>
        <w:t xml:space="preserve">observation de la </w:t>
      </w:r>
      <w:r w:rsidR="00FB5D3E" w:rsidRPr="00FB5D3E">
        <w:rPr>
          <w:rFonts w:asciiTheme="minorHAnsi" w:hAnsiTheme="minorHAnsi" w:cstheme="minorHAnsi"/>
          <w:lang w:val="fr-FR"/>
        </w:rPr>
        <w:t>T</w:t>
      </w:r>
      <w:r w:rsidR="00482D1D">
        <w:rPr>
          <w:rFonts w:asciiTheme="minorHAnsi" w:hAnsiTheme="minorHAnsi" w:cstheme="minorHAnsi"/>
          <w:lang w:val="fr-FR"/>
        </w:rPr>
        <w:t>erre</w:t>
      </w:r>
      <w:r w:rsidR="00FB5D3E" w:rsidRPr="00FB5D3E">
        <w:rPr>
          <w:rFonts w:asciiTheme="minorHAnsi" w:hAnsiTheme="minorHAnsi" w:cstheme="minorHAnsi"/>
          <w:lang w:val="fr-FR"/>
        </w:rPr>
        <w:t xml:space="preserve"> et à l</w:t>
      </w:r>
      <w:r w:rsidR="006F113B">
        <w:rPr>
          <w:rFonts w:asciiTheme="minorHAnsi" w:hAnsiTheme="minorHAnsi" w:cstheme="minorHAnsi"/>
          <w:lang w:val="fr-FR"/>
        </w:rPr>
        <w:t>’</w:t>
      </w:r>
      <w:r w:rsidR="00FB5D3E" w:rsidRPr="00FB5D3E">
        <w:rPr>
          <w:rFonts w:asciiTheme="minorHAnsi" w:hAnsiTheme="minorHAnsi" w:cstheme="minorHAnsi"/>
          <w:lang w:val="fr-FR"/>
        </w:rPr>
        <w:t>utilisation des produits de données existants.</w:t>
      </w:r>
      <w:r w:rsidR="005E71DE" w:rsidRPr="00CB55E1">
        <w:rPr>
          <w:rFonts w:asciiTheme="minorHAnsi" w:hAnsiTheme="minorHAnsi" w:cstheme="minorHAnsi"/>
          <w:lang w:val="fr-FR"/>
        </w:rPr>
        <w:t xml:space="preserve"> </w:t>
      </w:r>
    </w:p>
    <w:p w14:paraId="03D8ABD4" w14:textId="77777777" w:rsidR="00DD3EDF" w:rsidRPr="00CB55E1" w:rsidRDefault="00DD3EDF" w:rsidP="00F50922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14:paraId="285B1F11" w14:textId="0E6FEC14" w:rsidR="009E2B6D" w:rsidRPr="00CB55E1" w:rsidRDefault="00F50922" w:rsidP="00FE6061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17.</w:t>
      </w:r>
      <w:r w:rsidRPr="00CB55E1">
        <w:rPr>
          <w:rFonts w:asciiTheme="minorHAnsi" w:hAnsiTheme="minorHAnsi" w:cstheme="minorHAnsi"/>
          <w:lang w:val="fr-FR"/>
        </w:rPr>
        <w:tab/>
      </w:r>
      <w:r w:rsidR="00FE6061" w:rsidRPr="00FE6061">
        <w:rPr>
          <w:rFonts w:asciiTheme="minorHAnsi" w:hAnsiTheme="minorHAnsi" w:cstheme="minorHAnsi"/>
          <w:lang w:val="fr-FR"/>
        </w:rPr>
        <w:t xml:space="preserve">Grâce à un financement </w:t>
      </w:r>
      <w:r w:rsidR="00FE6061">
        <w:rPr>
          <w:rFonts w:asciiTheme="minorHAnsi" w:hAnsiTheme="minorHAnsi" w:cstheme="minorHAnsi"/>
          <w:lang w:val="fr-FR"/>
        </w:rPr>
        <w:t>offert par l</w:t>
      </w:r>
      <w:r w:rsidR="00FE6061" w:rsidRPr="00FE6061">
        <w:rPr>
          <w:rFonts w:asciiTheme="minorHAnsi" w:hAnsiTheme="minorHAnsi" w:cstheme="minorHAnsi"/>
          <w:lang w:val="fr-FR"/>
        </w:rPr>
        <w:t>e</w:t>
      </w:r>
      <w:r w:rsidR="00FE6061">
        <w:rPr>
          <w:rFonts w:asciiTheme="minorHAnsi" w:hAnsiTheme="minorHAnsi" w:cstheme="minorHAnsi"/>
          <w:lang w:val="fr-FR"/>
        </w:rPr>
        <w:t>s</w:t>
      </w:r>
      <w:r w:rsidR="00FE6061" w:rsidRPr="00FE6061">
        <w:rPr>
          <w:rFonts w:asciiTheme="minorHAnsi" w:hAnsiTheme="minorHAnsi" w:cstheme="minorHAnsi"/>
          <w:lang w:val="fr-FR"/>
        </w:rPr>
        <w:t xml:space="preserve"> autorités flamandes de Belgique, le Secrétariat fournira un</w:t>
      </w:r>
      <w:r w:rsidR="00FE6061">
        <w:rPr>
          <w:rFonts w:asciiTheme="minorHAnsi" w:hAnsiTheme="minorHAnsi" w:cstheme="minorHAnsi"/>
          <w:lang w:val="fr-FR"/>
        </w:rPr>
        <w:t xml:space="preserve">e assistance </w:t>
      </w:r>
      <w:r w:rsidR="00FE6061" w:rsidRPr="00FE6061">
        <w:rPr>
          <w:rFonts w:asciiTheme="minorHAnsi" w:hAnsiTheme="minorHAnsi" w:cstheme="minorHAnsi"/>
          <w:lang w:val="fr-FR"/>
        </w:rPr>
        <w:t>technique direct</w:t>
      </w:r>
      <w:r w:rsidR="00FE6061">
        <w:rPr>
          <w:rFonts w:asciiTheme="minorHAnsi" w:hAnsiTheme="minorHAnsi" w:cstheme="minorHAnsi"/>
          <w:lang w:val="fr-FR"/>
        </w:rPr>
        <w:t>e</w:t>
      </w:r>
      <w:r w:rsidR="00FE6061" w:rsidRPr="00FE6061">
        <w:rPr>
          <w:rFonts w:asciiTheme="minorHAnsi" w:hAnsiTheme="minorHAnsi" w:cstheme="minorHAnsi"/>
          <w:lang w:val="fr-FR"/>
        </w:rPr>
        <w:t xml:space="preserve"> aux </w:t>
      </w:r>
      <w:r w:rsidR="00FE6061">
        <w:rPr>
          <w:rFonts w:asciiTheme="minorHAnsi" w:hAnsiTheme="minorHAnsi" w:cstheme="minorHAnsi"/>
          <w:lang w:val="fr-FR"/>
        </w:rPr>
        <w:t>P</w:t>
      </w:r>
      <w:r w:rsidR="00FE6061" w:rsidRPr="00FE6061">
        <w:rPr>
          <w:rFonts w:asciiTheme="minorHAnsi" w:hAnsiTheme="minorHAnsi" w:cstheme="minorHAnsi"/>
          <w:lang w:val="fr-FR"/>
        </w:rPr>
        <w:t xml:space="preserve">arties contractantes </w:t>
      </w:r>
      <w:r w:rsidR="00FE6061">
        <w:rPr>
          <w:rFonts w:asciiTheme="minorHAnsi" w:hAnsiTheme="minorHAnsi" w:cstheme="minorHAnsi"/>
          <w:lang w:val="fr-FR"/>
        </w:rPr>
        <w:t>de pays d</w:t>
      </w:r>
      <w:r w:rsidR="006F113B">
        <w:rPr>
          <w:rFonts w:asciiTheme="minorHAnsi" w:hAnsiTheme="minorHAnsi" w:cstheme="minorHAnsi"/>
          <w:lang w:val="fr-FR"/>
        </w:rPr>
        <w:t>’</w:t>
      </w:r>
      <w:r w:rsidR="00FE6061">
        <w:rPr>
          <w:rFonts w:asciiTheme="minorHAnsi" w:hAnsiTheme="minorHAnsi" w:cstheme="minorHAnsi"/>
          <w:lang w:val="fr-FR"/>
        </w:rPr>
        <w:t>A</w:t>
      </w:r>
      <w:r w:rsidR="00FE6061" w:rsidRPr="00FE6061">
        <w:rPr>
          <w:rFonts w:asciiTheme="minorHAnsi" w:hAnsiTheme="minorHAnsi" w:cstheme="minorHAnsi"/>
          <w:lang w:val="fr-FR"/>
        </w:rPr>
        <w:t>fri</w:t>
      </w:r>
      <w:r w:rsidR="00FE6061">
        <w:rPr>
          <w:rFonts w:asciiTheme="minorHAnsi" w:hAnsiTheme="minorHAnsi" w:cstheme="minorHAnsi"/>
          <w:lang w:val="fr-FR"/>
        </w:rPr>
        <w:t>que</w:t>
      </w:r>
      <w:r w:rsidR="00FE6061" w:rsidRPr="00FE6061">
        <w:rPr>
          <w:rFonts w:asciiTheme="minorHAnsi" w:hAnsiTheme="minorHAnsi" w:cstheme="minorHAnsi"/>
          <w:lang w:val="fr-FR"/>
        </w:rPr>
        <w:t xml:space="preserve"> </w:t>
      </w:r>
      <w:r w:rsidR="00FE6061">
        <w:rPr>
          <w:rFonts w:asciiTheme="minorHAnsi" w:hAnsiTheme="minorHAnsi" w:cstheme="minorHAnsi"/>
          <w:lang w:val="fr-FR"/>
        </w:rPr>
        <w:t xml:space="preserve">dans la réalisation de leurs INZH en </w:t>
      </w:r>
      <w:r w:rsidR="00FE6061" w:rsidRPr="00FE6061">
        <w:rPr>
          <w:rFonts w:asciiTheme="minorHAnsi" w:hAnsiTheme="minorHAnsi" w:cstheme="minorHAnsi"/>
          <w:lang w:val="fr-FR"/>
        </w:rPr>
        <w:t>s</w:t>
      </w:r>
      <w:r w:rsidR="006F113B">
        <w:rPr>
          <w:rFonts w:asciiTheme="minorHAnsi" w:hAnsiTheme="minorHAnsi" w:cstheme="minorHAnsi"/>
          <w:lang w:val="fr-FR"/>
        </w:rPr>
        <w:t>’</w:t>
      </w:r>
      <w:r w:rsidR="00FE6061" w:rsidRPr="00FE6061">
        <w:rPr>
          <w:rFonts w:asciiTheme="minorHAnsi" w:hAnsiTheme="minorHAnsi" w:cstheme="minorHAnsi"/>
          <w:lang w:val="fr-FR"/>
        </w:rPr>
        <w:t xml:space="preserve">appuyant sur </w:t>
      </w:r>
      <w:r w:rsidR="00FE6061">
        <w:rPr>
          <w:rFonts w:asciiTheme="minorHAnsi" w:hAnsiTheme="minorHAnsi" w:cstheme="minorHAnsi"/>
          <w:lang w:val="fr-FR"/>
        </w:rPr>
        <w:t>les supports pédagogiques</w:t>
      </w:r>
      <w:r w:rsidR="00FE6061" w:rsidRPr="00FE6061">
        <w:rPr>
          <w:rFonts w:asciiTheme="minorHAnsi" w:hAnsiTheme="minorHAnsi" w:cstheme="minorHAnsi"/>
          <w:lang w:val="fr-FR"/>
        </w:rPr>
        <w:t xml:space="preserve"> </w:t>
      </w:r>
      <w:r w:rsidR="00B70D73">
        <w:rPr>
          <w:rFonts w:asciiTheme="minorHAnsi" w:hAnsiTheme="minorHAnsi" w:cstheme="minorHAnsi"/>
          <w:lang w:val="fr-FR"/>
        </w:rPr>
        <w:t>actuels</w:t>
      </w:r>
      <w:r w:rsidR="00FE6061" w:rsidRPr="00FE6061">
        <w:rPr>
          <w:rFonts w:asciiTheme="minorHAnsi" w:hAnsiTheme="minorHAnsi" w:cstheme="minorHAnsi"/>
          <w:lang w:val="fr-FR"/>
        </w:rPr>
        <w:t xml:space="preserve"> ou en cours </w:t>
      </w:r>
      <w:r w:rsidR="00FE6061">
        <w:rPr>
          <w:rFonts w:asciiTheme="minorHAnsi" w:hAnsiTheme="minorHAnsi" w:cstheme="minorHAnsi"/>
          <w:lang w:val="fr-FR"/>
        </w:rPr>
        <w:t>d</w:t>
      </w:r>
      <w:r w:rsidR="006F113B">
        <w:rPr>
          <w:rFonts w:asciiTheme="minorHAnsi" w:hAnsiTheme="minorHAnsi" w:cstheme="minorHAnsi"/>
          <w:lang w:val="fr-FR"/>
        </w:rPr>
        <w:t>’</w:t>
      </w:r>
      <w:r w:rsidR="00FE6061">
        <w:rPr>
          <w:rFonts w:asciiTheme="minorHAnsi" w:hAnsiTheme="minorHAnsi" w:cstheme="minorHAnsi"/>
          <w:lang w:val="fr-FR"/>
        </w:rPr>
        <w:t>élaboration.</w:t>
      </w:r>
      <w:r w:rsidR="00FE6061" w:rsidRPr="00FE6061">
        <w:rPr>
          <w:rFonts w:asciiTheme="minorHAnsi" w:hAnsiTheme="minorHAnsi" w:cstheme="minorHAnsi"/>
          <w:lang w:val="fr-FR"/>
        </w:rPr>
        <w:t xml:space="preserve"> Ce projet sera mis en œuvre entre 2025 et 2027. Les besoins de financement supplémentaires pour cette activité </w:t>
      </w:r>
      <w:r w:rsidR="00B70D73">
        <w:rPr>
          <w:rFonts w:asciiTheme="minorHAnsi" w:hAnsiTheme="minorHAnsi" w:cstheme="minorHAnsi"/>
          <w:lang w:val="fr-FR"/>
        </w:rPr>
        <w:t>restent</w:t>
      </w:r>
      <w:r w:rsidR="00FE6061" w:rsidRPr="00FE6061">
        <w:rPr>
          <w:rFonts w:asciiTheme="minorHAnsi" w:hAnsiTheme="minorHAnsi" w:cstheme="minorHAnsi"/>
          <w:lang w:val="fr-FR"/>
        </w:rPr>
        <w:t xml:space="preserve"> à </w:t>
      </w:r>
      <w:r w:rsidR="00FE6061">
        <w:rPr>
          <w:rFonts w:asciiTheme="minorHAnsi" w:hAnsiTheme="minorHAnsi" w:cstheme="minorHAnsi"/>
          <w:lang w:val="fr-FR"/>
        </w:rPr>
        <w:t>définir</w:t>
      </w:r>
      <w:r w:rsidR="00B70D73">
        <w:rPr>
          <w:rFonts w:asciiTheme="minorHAnsi" w:hAnsiTheme="minorHAnsi" w:cstheme="minorHAnsi"/>
          <w:lang w:val="fr-FR"/>
        </w:rPr>
        <w:t>.</w:t>
      </w:r>
    </w:p>
    <w:p w14:paraId="4AC39CBA" w14:textId="77777777" w:rsidR="00536368" w:rsidRPr="00CB55E1" w:rsidRDefault="00536368" w:rsidP="00536368">
      <w:pPr>
        <w:pStyle w:val="ListParagraph"/>
        <w:autoSpaceDE w:val="0"/>
        <w:autoSpaceDN w:val="0"/>
        <w:adjustRightInd w:val="0"/>
        <w:ind w:left="426" w:firstLine="0"/>
        <w:rPr>
          <w:bCs/>
          <w:u w:val="single"/>
          <w:lang w:val="fr-FR"/>
        </w:rPr>
      </w:pPr>
    </w:p>
    <w:p w14:paraId="061C5EF3" w14:textId="5814E91F" w:rsidR="00892E8C" w:rsidRPr="00CB55E1" w:rsidRDefault="00FE6061" w:rsidP="00892E8C">
      <w:pPr>
        <w:rPr>
          <w:bCs/>
          <w:u w:val="single"/>
          <w:lang w:val="fr-FR"/>
        </w:rPr>
      </w:pPr>
      <w:r>
        <w:rPr>
          <w:u w:val="single"/>
          <w:lang w:val="fr-FR"/>
        </w:rPr>
        <w:t>M</w:t>
      </w:r>
      <w:r w:rsidR="00892E8C" w:rsidRPr="00CB55E1">
        <w:rPr>
          <w:u w:val="single"/>
          <w:lang w:val="fr-FR"/>
        </w:rPr>
        <w:t>obili</w:t>
      </w:r>
      <w:r>
        <w:rPr>
          <w:u w:val="single"/>
          <w:lang w:val="fr-FR"/>
        </w:rPr>
        <w:t>s</w:t>
      </w:r>
      <w:r w:rsidR="00892E8C" w:rsidRPr="00CB55E1">
        <w:rPr>
          <w:u w:val="single"/>
          <w:lang w:val="fr-FR"/>
        </w:rPr>
        <w:t>ation</w:t>
      </w:r>
      <w:r>
        <w:rPr>
          <w:u w:val="single"/>
          <w:lang w:val="fr-FR"/>
        </w:rPr>
        <w:t xml:space="preserve"> de ressources</w:t>
      </w:r>
    </w:p>
    <w:p w14:paraId="0973476E" w14:textId="77777777" w:rsidR="007259FB" w:rsidRPr="00CB55E1" w:rsidRDefault="007259FB" w:rsidP="00892E8C">
      <w:pPr>
        <w:rPr>
          <w:bCs/>
          <w:u w:val="single"/>
          <w:lang w:val="fr-FR"/>
        </w:rPr>
      </w:pPr>
    </w:p>
    <w:p w14:paraId="3BCFD40B" w14:textId="0FFE2C37" w:rsidR="00FE6061" w:rsidRPr="00CB55E1" w:rsidRDefault="00F50922" w:rsidP="00B70D73">
      <w:pPr>
        <w:autoSpaceDE w:val="0"/>
        <w:autoSpaceDN w:val="0"/>
        <w:adjustRightInd w:val="0"/>
        <w:ind w:left="426" w:hanging="426"/>
        <w:rPr>
          <w:rFonts w:asciiTheme="minorHAnsi" w:hAnsiTheme="minorHAnsi" w:cstheme="minorBidi"/>
          <w:lang w:val="fr-FR"/>
        </w:rPr>
      </w:pPr>
      <w:r w:rsidRPr="00CB55E1">
        <w:rPr>
          <w:rFonts w:asciiTheme="minorHAnsi" w:hAnsiTheme="minorHAnsi" w:cstheme="minorHAnsi"/>
          <w:lang w:val="fr-FR"/>
        </w:rPr>
        <w:t>18.</w:t>
      </w:r>
      <w:r w:rsidRPr="00CB55E1">
        <w:rPr>
          <w:rFonts w:asciiTheme="minorHAnsi" w:hAnsiTheme="minorHAnsi" w:cstheme="minorHAnsi"/>
          <w:lang w:val="fr-FR"/>
        </w:rPr>
        <w:tab/>
      </w:r>
      <w:r w:rsidR="00F00D2F" w:rsidRPr="00CB55E1">
        <w:rPr>
          <w:rFonts w:asciiTheme="minorHAnsi" w:hAnsiTheme="minorHAnsi" w:cstheme="minorBidi"/>
          <w:lang w:val="fr-FR"/>
        </w:rPr>
        <w:t xml:space="preserve"> </w:t>
      </w:r>
      <w:r w:rsidR="00F119FA">
        <w:rPr>
          <w:rFonts w:asciiTheme="minorHAnsi" w:hAnsiTheme="minorHAnsi" w:cstheme="minorBidi"/>
          <w:lang w:val="fr-FR"/>
        </w:rPr>
        <w:t>A</w:t>
      </w:r>
      <w:r w:rsidR="00F119FA" w:rsidRPr="00FE6061">
        <w:rPr>
          <w:rFonts w:asciiTheme="minorHAnsi" w:hAnsiTheme="minorHAnsi" w:cstheme="minorBidi"/>
          <w:lang w:val="fr-FR"/>
        </w:rPr>
        <w:t>u cours du deuxième trimestre 2024</w:t>
      </w:r>
      <w:r w:rsidR="00F119FA">
        <w:rPr>
          <w:rFonts w:asciiTheme="minorHAnsi" w:hAnsiTheme="minorHAnsi" w:cstheme="minorBidi"/>
          <w:lang w:val="fr-FR"/>
        </w:rPr>
        <w:t>, le</w:t>
      </w:r>
      <w:r w:rsidR="00FE6061" w:rsidRPr="00FE6061">
        <w:rPr>
          <w:rFonts w:asciiTheme="minorHAnsi" w:hAnsiTheme="minorHAnsi" w:cstheme="minorBidi"/>
          <w:lang w:val="fr-FR"/>
        </w:rPr>
        <w:t xml:space="preserve"> Secrétariat a reçu des ressources supplémentaires d</w:t>
      </w:r>
      <w:r w:rsidR="00F119FA">
        <w:rPr>
          <w:rFonts w:asciiTheme="minorHAnsi" w:hAnsiTheme="minorHAnsi" w:cstheme="minorBidi"/>
          <w:lang w:val="fr-FR"/>
        </w:rPr>
        <w:t>e la part du</w:t>
      </w:r>
      <w:r w:rsidR="00FE6061" w:rsidRPr="00FE6061">
        <w:rPr>
          <w:rFonts w:asciiTheme="minorHAnsi" w:hAnsiTheme="minorHAnsi" w:cstheme="minorBidi"/>
          <w:lang w:val="fr-FR"/>
        </w:rPr>
        <w:t xml:space="preserve"> </w:t>
      </w:r>
      <w:r w:rsidR="00F119FA">
        <w:rPr>
          <w:rFonts w:asciiTheme="minorHAnsi" w:hAnsiTheme="minorHAnsi" w:cstheme="minorBidi"/>
          <w:lang w:val="fr-FR"/>
        </w:rPr>
        <w:t>G</w:t>
      </w:r>
      <w:r w:rsidR="00FE6061" w:rsidRPr="00FE6061">
        <w:rPr>
          <w:rFonts w:asciiTheme="minorHAnsi" w:hAnsiTheme="minorHAnsi" w:cstheme="minorBidi"/>
          <w:lang w:val="fr-FR"/>
        </w:rPr>
        <w:t xml:space="preserve">ouvernement suisse, en </w:t>
      </w:r>
      <w:r w:rsidR="00F119FA">
        <w:rPr>
          <w:rFonts w:asciiTheme="minorHAnsi" w:hAnsiTheme="minorHAnsi" w:cstheme="minorBidi"/>
          <w:lang w:val="fr-FR"/>
        </w:rPr>
        <w:t>sus</w:t>
      </w:r>
      <w:r w:rsidR="00FE6061" w:rsidRPr="00FE6061">
        <w:rPr>
          <w:rFonts w:asciiTheme="minorHAnsi" w:hAnsiTheme="minorHAnsi" w:cstheme="minorBidi"/>
          <w:lang w:val="fr-FR"/>
        </w:rPr>
        <w:t xml:space="preserve"> </w:t>
      </w:r>
      <w:r w:rsidR="00F119FA">
        <w:rPr>
          <w:rFonts w:asciiTheme="minorHAnsi" w:hAnsiTheme="minorHAnsi" w:cstheme="minorBidi"/>
          <w:lang w:val="fr-FR"/>
        </w:rPr>
        <w:t>d</w:t>
      </w:r>
      <w:r w:rsidR="00FE6061" w:rsidRPr="00FE6061">
        <w:rPr>
          <w:rFonts w:asciiTheme="minorHAnsi" w:hAnsiTheme="minorHAnsi" w:cstheme="minorBidi"/>
          <w:lang w:val="fr-FR"/>
        </w:rPr>
        <w:t>es fonds déjà reçus de la Norvège et de la Belgique. Le tableau</w:t>
      </w:r>
      <w:r w:rsidR="00F119FA">
        <w:rPr>
          <w:rFonts w:asciiTheme="minorHAnsi" w:hAnsiTheme="minorHAnsi" w:cstheme="minorBidi"/>
          <w:lang w:val="fr-FR"/>
        </w:rPr>
        <w:t> </w:t>
      </w:r>
      <w:r w:rsidR="00FE6061" w:rsidRPr="00FE6061">
        <w:rPr>
          <w:rFonts w:asciiTheme="minorHAnsi" w:hAnsiTheme="minorHAnsi" w:cstheme="minorBidi"/>
          <w:lang w:val="fr-FR"/>
        </w:rPr>
        <w:t xml:space="preserve">1 ci-dessous présente </w:t>
      </w:r>
      <w:r w:rsidR="00F119FA">
        <w:rPr>
          <w:rFonts w:asciiTheme="minorHAnsi" w:hAnsiTheme="minorHAnsi" w:cstheme="minorBidi"/>
          <w:lang w:val="fr-FR"/>
        </w:rPr>
        <w:t>une synthèse des</w:t>
      </w:r>
      <w:r w:rsidR="00FE6061" w:rsidRPr="00FE6061">
        <w:rPr>
          <w:rFonts w:asciiTheme="minorHAnsi" w:hAnsiTheme="minorHAnsi" w:cstheme="minorBidi"/>
          <w:lang w:val="fr-FR"/>
        </w:rPr>
        <w:t xml:space="preserve"> financement</w:t>
      </w:r>
      <w:r w:rsidR="00F119FA">
        <w:rPr>
          <w:rFonts w:asciiTheme="minorHAnsi" w:hAnsiTheme="minorHAnsi" w:cstheme="minorBidi"/>
          <w:lang w:val="fr-FR"/>
        </w:rPr>
        <w:t>s</w:t>
      </w:r>
      <w:r w:rsidR="00FE6061" w:rsidRPr="00FE6061">
        <w:rPr>
          <w:rFonts w:asciiTheme="minorHAnsi" w:hAnsiTheme="minorHAnsi" w:cstheme="minorBidi"/>
          <w:lang w:val="fr-FR"/>
        </w:rPr>
        <w:t xml:space="preserve"> </w:t>
      </w:r>
      <w:r w:rsidR="00F119FA">
        <w:rPr>
          <w:rFonts w:asciiTheme="minorHAnsi" w:hAnsiTheme="minorHAnsi" w:cstheme="minorBidi"/>
          <w:lang w:val="fr-FR"/>
        </w:rPr>
        <w:t>garantis</w:t>
      </w:r>
      <w:r w:rsidR="00FE6061" w:rsidRPr="00FE6061">
        <w:rPr>
          <w:rFonts w:asciiTheme="minorHAnsi" w:hAnsiTheme="minorHAnsi" w:cstheme="minorBidi"/>
          <w:lang w:val="fr-FR"/>
        </w:rPr>
        <w:t xml:space="preserve"> jusqu</w:t>
      </w:r>
      <w:r w:rsidR="006F113B">
        <w:rPr>
          <w:rFonts w:asciiTheme="minorHAnsi" w:hAnsiTheme="minorHAnsi" w:cstheme="minorBidi"/>
          <w:lang w:val="fr-FR"/>
        </w:rPr>
        <w:t>’</w:t>
      </w:r>
      <w:r w:rsidR="00FE6061" w:rsidRPr="00FE6061">
        <w:rPr>
          <w:rFonts w:asciiTheme="minorHAnsi" w:hAnsiTheme="minorHAnsi" w:cstheme="minorBidi"/>
          <w:lang w:val="fr-FR"/>
        </w:rPr>
        <w:t xml:space="preserve">en 2024, tant au </w:t>
      </w:r>
      <w:r w:rsidR="00F119FA">
        <w:rPr>
          <w:rFonts w:asciiTheme="minorHAnsi" w:hAnsiTheme="minorHAnsi" w:cstheme="minorBidi"/>
          <w:lang w:val="fr-FR"/>
        </w:rPr>
        <w:t xml:space="preserve">sein du </w:t>
      </w:r>
      <w:r w:rsidR="00FE6061" w:rsidRPr="00FE6061">
        <w:rPr>
          <w:rFonts w:asciiTheme="minorHAnsi" w:hAnsiTheme="minorHAnsi" w:cstheme="minorBidi"/>
          <w:lang w:val="fr-FR"/>
        </w:rPr>
        <w:t>Secrétariat q</w:t>
      </w:r>
      <w:r w:rsidR="00F119FA">
        <w:rPr>
          <w:rFonts w:asciiTheme="minorHAnsi" w:hAnsiTheme="minorHAnsi" w:cstheme="minorBidi"/>
          <w:lang w:val="fr-FR"/>
        </w:rPr>
        <w:t>ue de</w:t>
      </w:r>
      <w:r w:rsidR="00FE6061" w:rsidRPr="00FE6061">
        <w:rPr>
          <w:rFonts w:asciiTheme="minorHAnsi" w:hAnsiTheme="minorHAnsi" w:cstheme="minorBidi"/>
          <w:lang w:val="fr-FR"/>
        </w:rPr>
        <w:t xml:space="preserve"> l</w:t>
      </w:r>
      <w:r w:rsidR="006F113B">
        <w:rPr>
          <w:rFonts w:asciiTheme="minorHAnsi" w:hAnsiTheme="minorHAnsi" w:cstheme="minorBidi"/>
          <w:lang w:val="fr-FR"/>
        </w:rPr>
        <w:t>’</w:t>
      </w:r>
      <w:r w:rsidR="00FE6061" w:rsidRPr="00FE6061">
        <w:rPr>
          <w:rFonts w:asciiTheme="minorHAnsi" w:hAnsiTheme="minorHAnsi" w:cstheme="minorBidi"/>
          <w:lang w:val="fr-FR"/>
        </w:rPr>
        <w:t>UNOSD, ainsi qu</w:t>
      </w:r>
      <w:r w:rsidR="006F113B">
        <w:rPr>
          <w:rFonts w:asciiTheme="minorHAnsi" w:hAnsiTheme="minorHAnsi" w:cstheme="minorBidi"/>
          <w:lang w:val="fr-FR"/>
        </w:rPr>
        <w:t>’</w:t>
      </w:r>
      <w:r w:rsidR="00FE6061" w:rsidRPr="00FE6061">
        <w:rPr>
          <w:rFonts w:asciiTheme="minorHAnsi" w:hAnsiTheme="minorHAnsi" w:cstheme="minorBidi"/>
          <w:lang w:val="fr-FR"/>
        </w:rPr>
        <w:t xml:space="preserve">une </w:t>
      </w:r>
      <w:r w:rsidR="00F119FA">
        <w:rPr>
          <w:rFonts w:asciiTheme="minorHAnsi" w:hAnsiTheme="minorHAnsi" w:cstheme="minorBidi"/>
          <w:lang w:val="fr-FR"/>
        </w:rPr>
        <w:t xml:space="preserve">version </w:t>
      </w:r>
      <w:r w:rsidR="00FE6061" w:rsidRPr="00FE6061">
        <w:rPr>
          <w:rFonts w:asciiTheme="minorHAnsi" w:hAnsiTheme="minorHAnsi" w:cstheme="minorBidi"/>
          <w:lang w:val="fr-FR"/>
        </w:rPr>
        <w:t>actualis</w:t>
      </w:r>
      <w:r w:rsidR="00F119FA">
        <w:rPr>
          <w:rFonts w:asciiTheme="minorHAnsi" w:hAnsiTheme="minorHAnsi" w:cstheme="minorBidi"/>
          <w:lang w:val="fr-FR"/>
        </w:rPr>
        <w:t>ée</w:t>
      </w:r>
      <w:r w:rsidR="00FE6061" w:rsidRPr="00FE6061">
        <w:rPr>
          <w:rFonts w:asciiTheme="minorHAnsi" w:hAnsiTheme="minorHAnsi" w:cstheme="minorBidi"/>
          <w:lang w:val="fr-FR"/>
        </w:rPr>
        <w:t xml:space="preserve"> des besoins de financement </w:t>
      </w:r>
      <w:r w:rsidR="00F119FA">
        <w:rPr>
          <w:rFonts w:asciiTheme="minorHAnsi" w:hAnsiTheme="minorHAnsi" w:cstheme="minorBidi"/>
          <w:lang w:val="fr-FR"/>
        </w:rPr>
        <w:t>recensés</w:t>
      </w:r>
      <w:r w:rsidR="00FE6061" w:rsidRPr="00FE6061">
        <w:rPr>
          <w:rFonts w:asciiTheme="minorHAnsi" w:hAnsiTheme="minorHAnsi" w:cstheme="minorBidi"/>
          <w:lang w:val="fr-FR"/>
        </w:rPr>
        <w:t xml:space="preserve"> à ce jour pour la période 2025-2029. Cette estimation n</w:t>
      </w:r>
      <w:r w:rsidR="006F113B">
        <w:rPr>
          <w:rFonts w:asciiTheme="minorHAnsi" w:hAnsiTheme="minorHAnsi" w:cstheme="minorBidi"/>
          <w:lang w:val="fr-FR"/>
        </w:rPr>
        <w:t>’</w:t>
      </w:r>
      <w:r w:rsidR="00FE6061" w:rsidRPr="00FE6061">
        <w:rPr>
          <w:rFonts w:asciiTheme="minorHAnsi" w:hAnsiTheme="minorHAnsi" w:cstheme="minorBidi"/>
          <w:lang w:val="fr-FR"/>
        </w:rPr>
        <w:t xml:space="preserve">englobe pas les besoins de financement </w:t>
      </w:r>
      <w:r w:rsidR="00F119FA">
        <w:rPr>
          <w:rFonts w:asciiTheme="minorHAnsi" w:hAnsiTheme="minorHAnsi" w:cstheme="minorBidi"/>
          <w:lang w:val="fr-FR"/>
        </w:rPr>
        <w:t>en vue d</w:t>
      </w:r>
      <w:r w:rsidR="006F113B">
        <w:rPr>
          <w:rFonts w:asciiTheme="minorHAnsi" w:hAnsiTheme="minorHAnsi" w:cstheme="minorBidi"/>
          <w:lang w:val="fr-FR"/>
        </w:rPr>
        <w:t>’</w:t>
      </w:r>
      <w:r w:rsidR="00F119FA">
        <w:rPr>
          <w:rFonts w:asciiTheme="minorHAnsi" w:hAnsiTheme="minorHAnsi" w:cstheme="minorBidi"/>
          <w:lang w:val="fr-FR"/>
        </w:rPr>
        <w:t>un renforcement de l</w:t>
      </w:r>
      <w:r w:rsidR="006F113B">
        <w:rPr>
          <w:rFonts w:asciiTheme="minorHAnsi" w:hAnsiTheme="minorHAnsi" w:cstheme="minorBidi"/>
          <w:lang w:val="fr-FR"/>
        </w:rPr>
        <w:t>’</w:t>
      </w:r>
      <w:r w:rsidR="00F119FA">
        <w:rPr>
          <w:rFonts w:asciiTheme="minorHAnsi" w:hAnsiTheme="minorHAnsi" w:cstheme="minorBidi"/>
          <w:lang w:val="fr-FR"/>
        </w:rPr>
        <w:t>appui à</w:t>
      </w:r>
      <w:r w:rsidR="00FE6061" w:rsidRPr="00FE6061">
        <w:rPr>
          <w:rFonts w:asciiTheme="minorHAnsi" w:hAnsiTheme="minorHAnsi" w:cstheme="minorBidi"/>
          <w:lang w:val="fr-FR"/>
        </w:rPr>
        <w:t xml:space="preserve"> </w:t>
      </w:r>
      <w:proofErr w:type="spellStart"/>
      <w:r w:rsidR="00FE6061" w:rsidRPr="00FE6061">
        <w:rPr>
          <w:rFonts w:asciiTheme="minorHAnsi" w:hAnsiTheme="minorHAnsi" w:cstheme="minorBidi"/>
          <w:lang w:val="fr-FR"/>
        </w:rPr>
        <w:t>à</w:t>
      </w:r>
      <w:proofErr w:type="spellEnd"/>
      <w:r w:rsidR="00FE6061" w:rsidRPr="00FE6061">
        <w:rPr>
          <w:rFonts w:asciiTheme="minorHAnsi" w:hAnsiTheme="minorHAnsi" w:cstheme="minorBidi"/>
          <w:lang w:val="fr-FR"/>
        </w:rPr>
        <w:t xml:space="preserve"> la mise en œuvre. D</w:t>
      </w:r>
      <w:r w:rsidR="006F113B">
        <w:rPr>
          <w:rFonts w:asciiTheme="minorHAnsi" w:hAnsiTheme="minorHAnsi" w:cstheme="minorBidi"/>
          <w:lang w:val="fr-FR"/>
        </w:rPr>
        <w:t>’</w:t>
      </w:r>
      <w:r w:rsidR="00FE6061" w:rsidRPr="00FE6061">
        <w:rPr>
          <w:rFonts w:asciiTheme="minorHAnsi" w:hAnsiTheme="minorHAnsi" w:cstheme="minorBidi"/>
          <w:lang w:val="fr-FR"/>
        </w:rPr>
        <w:t xml:space="preserve">autres besoins de financement </w:t>
      </w:r>
      <w:r w:rsidR="00F119FA">
        <w:rPr>
          <w:rFonts w:asciiTheme="minorHAnsi" w:hAnsiTheme="minorHAnsi" w:cstheme="minorBidi"/>
          <w:lang w:val="fr-FR"/>
        </w:rPr>
        <w:t xml:space="preserve">pourront </w:t>
      </w:r>
      <w:r w:rsidR="00B70D73">
        <w:rPr>
          <w:rFonts w:asciiTheme="minorHAnsi" w:hAnsiTheme="minorHAnsi" w:cstheme="minorBidi"/>
          <w:lang w:val="fr-FR"/>
        </w:rPr>
        <w:t>surgir</w:t>
      </w:r>
      <w:r w:rsidR="00FE6061" w:rsidRPr="00FE6061">
        <w:rPr>
          <w:rFonts w:asciiTheme="minorHAnsi" w:hAnsiTheme="minorHAnsi" w:cstheme="minorBidi"/>
          <w:lang w:val="fr-FR"/>
        </w:rPr>
        <w:t xml:space="preserve"> au cours des activités prévues </w:t>
      </w:r>
      <w:r w:rsidR="00F119FA">
        <w:rPr>
          <w:rFonts w:asciiTheme="minorHAnsi" w:hAnsiTheme="minorHAnsi" w:cstheme="minorBidi"/>
          <w:lang w:val="fr-FR"/>
        </w:rPr>
        <w:t>ou en lien</w:t>
      </w:r>
      <w:r w:rsidR="00FE6061" w:rsidRPr="00FE6061">
        <w:rPr>
          <w:rFonts w:asciiTheme="minorHAnsi" w:hAnsiTheme="minorHAnsi" w:cstheme="minorBidi"/>
          <w:lang w:val="fr-FR"/>
        </w:rPr>
        <w:t xml:space="preserve"> avec les travaux en cours du GEST.</w:t>
      </w:r>
    </w:p>
    <w:p w14:paraId="5D372143" w14:textId="77777777" w:rsidR="00503824" w:rsidRPr="00CB55E1" w:rsidRDefault="00503824" w:rsidP="004B77C9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val="fr-FR"/>
        </w:rPr>
      </w:pPr>
    </w:p>
    <w:p w14:paraId="180AB04F" w14:textId="1F969C80" w:rsidR="00F00D2F" w:rsidRPr="00CB55E1" w:rsidRDefault="00F00D2F" w:rsidP="00DA36E1">
      <w:pPr>
        <w:keepNext/>
        <w:ind w:left="0" w:firstLine="0"/>
        <w:rPr>
          <w:i/>
          <w:lang w:val="fr-FR"/>
        </w:rPr>
      </w:pPr>
      <w:r w:rsidRPr="00CB55E1">
        <w:rPr>
          <w:i/>
          <w:lang w:val="fr-FR"/>
        </w:rPr>
        <w:t>Table</w:t>
      </w:r>
      <w:r w:rsidR="002F6000">
        <w:rPr>
          <w:i/>
          <w:lang w:val="fr-FR"/>
        </w:rPr>
        <w:t>au </w:t>
      </w:r>
      <w:r w:rsidRPr="00CB55E1">
        <w:rPr>
          <w:i/>
          <w:lang w:val="fr-FR"/>
        </w:rPr>
        <w:t>1</w:t>
      </w:r>
      <w:r w:rsidR="002F6000">
        <w:rPr>
          <w:i/>
          <w:lang w:val="fr-FR"/>
        </w:rPr>
        <w:t xml:space="preserve"> </w:t>
      </w:r>
      <w:r w:rsidR="00AC6DAA" w:rsidRPr="00CB55E1">
        <w:rPr>
          <w:i/>
          <w:lang w:val="fr-FR"/>
        </w:rPr>
        <w:t>:</w:t>
      </w:r>
      <w:r w:rsidRPr="00CB55E1">
        <w:rPr>
          <w:i/>
          <w:lang w:val="fr-FR"/>
        </w:rPr>
        <w:t xml:space="preserve"> </w:t>
      </w:r>
      <w:r w:rsidR="002F6000">
        <w:rPr>
          <w:i/>
          <w:lang w:val="fr-FR"/>
        </w:rPr>
        <w:t>Mécanisme d</w:t>
      </w:r>
      <w:r w:rsidR="006F113B">
        <w:rPr>
          <w:i/>
          <w:lang w:val="fr-FR"/>
        </w:rPr>
        <w:t>’</w:t>
      </w:r>
      <w:r w:rsidR="002F6000">
        <w:rPr>
          <w:i/>
          <w:lang w:val="fr-FR"/>
        </w:rPr>
        <w:t xml:space="preserve">appui à la réalisation des INZH </w:t>
      </w:r>
      <w:r w:rsidR="000B10E8" w:rsidRPr="00CB55E1">
        <w:rPr>
          <w:i/>
          <w:lang w:val="fr-FR"/>
        </w:rPr>
        <w:t xml:space="preserve">– </w:t>
      </w:r>
      <w:r w:rsidR="002F6000" w:rsidRPr="002F6000">
        <w:rPr>
          <w:i/>
          <w:lang w:val="fr-FR"/>
        </w:rPr>
        <w:t>financement</w:t>
      </w:r>
      <w:r w:rsidR="002F6000">
        <w:rPr>
          <w:i/>
          <w:lang w:val="fr-FR"/>
        </w:rPr>
        <w:t>s</w:t>
      </w:r>
      <w:r w:rsidR="002F6000" w:rsidRPr="002F6000">
        <w:rPr>
          <w:i/>
          <w:lang w:val="fr-FR"/>
        </w:rPr>
        <w:t xml:space="preserve"> </w:t>
      </w:r>
      <w:r w:rsidR="002F6000">
        <w:rPr>
          <w:i/>
          <w:lang w:val="fr-FR"/>
        </w:rPr>
        <w:t>garantis</w:t>
      </w:r>
      <w:r w:rsidR="002F6000" w:rsidRPr="002F6000">
        <w:rPr>
          <w:i/>
          <w:lang w:val="fr-FR"/>
        </w:rPr>
        <w:t xml:space="preserve"> jusqu</w:t>
      </w:r>
      <w:r w:rsidR="006F113B">
        <w:rPr>
          <w:i/>
          <w:lang w:val="fr-FR"/>
        </w:rPr>
        <w:t>’</w:t>
      </w:r>
      <w:r w:rsidR="002F6000" w:rsidRPr="002F6000">
        <w:rPr>
          <w:i/>
          <w:lang w:val="fr-FR"/>
        </w:rPr>
        <w:t>en 2024 et estimation des besoins de financement pour la période 2025-2029</w:t>
      </w:r>
    </w:p>
    <w:tbl>
      <w:tblPr>
        <w:tblStyle w:val="TableGrid"/>
        <w:tblW w:w="9214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1960"/>
        <w:gridCol w:w="2103"/>
        <w:gridCol w:w="1795"/>
        <w:gridCol w:w="1796"/>
      </w:tblGrid>
      <w:tr w:rsidR="00DF3F5C" w:rsidRPr="00D044E5" w14:paraId="5F4728AA" w14:textId="77777777" w:rsidTr="008E7F19">
        <w:trPr>
          <w:tblHeader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2C943919" w14:textId="77777777" w:rsidR="00854B30" w:rsidRPr="00FF6404" w:rsidRDefault="00854B30" w:rsidP="00DA36E1">
            <w:pPr>
              <w:keepNext/>
              <w:ind w:left="0" w:firstLine="0"/>
              <w:jc w:val="center"/>
              <w:rPr>
                <w:b/>
                <w:lang w:val="fr-FR"/>
              </w:rPr>
            </w:pPr>
          </w:p>
        </w:tc>
        <w:tc>
          <w:tcPr>
            <w:tcW w:w="1960" w:type="dxa"/>
            <w:shd w:val="clear" w:color="auto" w:fill="DBE5F1" w:themeFill="accent1" w:themeFillTint="33"/>
            <w:vAlign w:val="center"/>
          </w:tcPr>
          <w:p w14:paraId="4D5F3DBC" w14:textId="5DB04188" w:rsidR="00854B30" w:rsidRPr="00FF6404" w:rsidRDefault="002F6000" w:rsidP="00DA36E1">
            <w:pPr>
              <w:keepNext/>
              <w:ind w:left="0" w:firstLine="0"/>
              <w:jc w:val="center"/>
              <w:rPr>
                <w:b/>
                <w:lang w:val="fr-FR"/>
              </w:rPr>
            </w:pPr>
            <w:r w:rsidRPr="00FF6404">
              <w:rPr>
                <w:b/>
                <w:lang w:val="fr-FR"/>
              </w:rPr>
              <w:t>Objectif</w:t>
            </w:r>
          </w:p>
        </w:tc>
        <w:tc>
          <w:tcPr>
            <w:tcW w:w="2103" w:type="dxa"/>
            <w:shd w:val="clear" w:color="auto" w:fill="DBE5F1" w:themeFill="accent1" w:themeFillTint="33"/>
            <w:vAlign w:val="center"/>
          </w:tcPr>
          <w:p w14:paraId="59D04457" w14:textId="24F2ED75" w:rsidR="00854B30" w:rsidRPr="00FF6404" w:rsidRDefault="002F6000" w:rsidP="00DA36E1">
            <w:pPr>
              <w:keepNext/>
              <w:ind w:left="0" w:firstLine="0"/>
              <w:jc w:val="center"/>
              <w:rPr>
                <w:b/>
                <w:lang w:val="fr-FR"/>
              </w:rPr>
            </w:pPr>
            <w:r w:rsidRPr="00FF6404">
              <w:rPr>
                <w:b/>
                <w:lang w:val="fr-FR"/>
              </w:rPr>
              <w:t xml:space="preserve">Résultats attendus </w:t>
            </w:r>
          </w:p>
        </w:tc>
        <w:tc>
          <w:tcPr>
            <w:tcW w:w="1795" w:type="dxa"/>
            <w:shd w:val="clear" w:color="auto" w:fill="DBE5F1" w:themeFill="accent1" w:themeFillTint="33"/>
            <w:vAlign w:val="center"/>
          </w:tcPr>
          <w:p w14:paraId="25DA9ECA" w14:textId="16CF9C82" w:rsidR="00854B30" w:rsidRPr="00FF6404" w:rsidRDefault="002F6000" w:rsidP="00DA36E1">
            <w:pPr>
              <w:keepNext/>
              <w:ind w:left="0" w:firstLine="0"/>
              <w:jc w:val="center"/>
              <w:rPr>
                <w:b/>
                <w:lang w:val="fr-FR"/>
              </w:rPr>
            </w:pPr>
            <w:r w:rsidRPr="00FF6404">
              <w:rPr>
                <w:b/>
                <w:lang w:val="fr-FR"/>
              </w:rPr>
              <w:t>Financements garantis jusqu</w:t>
            </w:r>
            <w:r w:rsidR="006F113B">
              <w:rPr>
                <w:b/>
                <w:lang w:val="fr-FR"/>
              </w:rPr>
              <w:t>’</w:t>
            </w:r>
            <w:r w:rsidRPr="00FF6404">
              <w:rPr>
                <w:b/>
                <w:lang w:val="fr-FR"/>
              </w:rPr>
              <w:t>en</w:t>
            </w:r>
            <w:r w:rsidR="008E5D9E" w:rsidRPr="00FF6404">
              <w:rPr>
                <w:b/>
                <w:lang w:val="fr-FR"/>
              </w:rPr>
              <w:t xml:space="preserve"> </w:t>
            </w:r>
            <w:r w:rsidR="009E2270" w:rsidRPr="00FF6404">
              <w:rPr>
                <w:b/>
                <w:lang w:val="fr-FR"/>
              </w:rPr>
              <w:t xml:space="preserve">2024 </w:t>
            </w:r>
            <w:r w:rsidR="00110CE3" w:rsidRPr="00FF6404">
              <w:rPr>
                <w:b/>
                <w:lang w:val="fr-FR"/>
              </w:rPr>
              <w:br/>
            </w:r>
            <w:r w:rsidR="008867BA" w:rsidRPr="00FF6404">
              <w:rPr>
                <w:b/>
                <w:lang w:val="fr-FR"/>
              </w:rPr>
              <w:t>(</w:t>
            </w:r>
            <w:r w:rsidRPr="00FF6404">
              <w:rPr>
                <w:b/>
                <w:lang w:val="fr-FR"/>
              </w:rPr>
              <w:t>e</w:t>
            </w:r>
            <w:r w:rsidR="008867BA" w:rsidRPr="00FF6404">
              <w:rPr>
                <w:b/>
                <w:lang w:val="fr-FR"/>
              </w:rPr>
              <w:t>n CHF)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</w:tcPr>
          <w:p w14:paraId="4F0A7569" w14:textId="78251C02" w:rsidR="00854B30" w:rsidRPr="00FF6404" w:rsidRDefault="002F6000" w:rsidP="00FF6404">
            <w:pPr>
              <w:keepNext/>
              <w:ind w:left="0" w:firstLine="0"/>
              <w:jc w:val="center"/>
              <w:rPr>
                <w:b/>
                <w:lang w:val="fr-FR"/>
              </w:rPr>
            </w:pPr>
            <w:r w:rsidRPr="00FF6404">
              <w:rPr>
                <w:b/>
                <w:lang w:val="fr-FR"/>
              </w:rPr>
              <w:t>Besoins de</w:t>
            </w:r>
            <w:r w:rsidR="00FF6404">
              <w:rPr>
                <w:b/>
                <w:lang w:val="fr-FR"/>
              </w:rPr>
              <w:t xml:space="preserve"> </w:t>
            </w:r>
            <w:r w:rsidRPr="00FF6404">
              <w:rPr>
                <w:b/>
                <w:lang w:val="fr-FR"/>
              </w:rPr>
              <w:t>financement</w:t>
            </w:r>
            <w:r w:rsidR="00FF6404">
              <w:rPr>
                <w:b/>
                <w:lang w:val="fr-FR"/>
              </w:rPr>
              <w:t xml:space="preserve"> </w:t>
            </w:r>
            <w:r w:rsidRPr="00FF6404">
              <w:rPr>
                <w:b/>
                <w:lang w:val="fr-FR"/>
              </w:rPr>
              <w:t xml:space="preserve">pour 2025-2029 </w:t>
            </w:r>
            <w:r w:rsidR="008867BA" w:rsidRPr="00FF6404">
              <w:rPr>
                <w:b/>
                <w:lang w:val="fr-FR"/>
              </w:rPr>
              <w:t>(</w:t>
            </w:r>
            <w:r w:rsidRPr="00FF6404">
              <w:rPr>
                <w:b/>
                <w:lang w:val="fr-FR"/>
              </w:rPr>
              <w:t xml:space="preserve">en </w:t>
            </w:r>
            <w:r w:rsidR="008867BA" w:rsidRPr="00FF6404">
              <w:rPr>
                <w:b/>
                <w:lang w:val="fr-FR"/>
              </w:rPr>
              <w:t>CHF)</w:t>
            </w:r>
          </w:p>
        </w:tc>
      </w:tr>
      <w:tr w:rsidR="00763DA6" w:rsidRPr="00FF6404" w14:paraId="747E2B4E" w14:textId="77777777" w:rsidTr="00B70D73">
        <w:tc>
          <w:tcPr>
            <w:tcW w:w="1560" w:type="dxa"/>
            <w:vMerge w:val="restart"/>
          </w:tcPr>
          <w:p w14:paraId="47EFF4B3" w14:textId="5160EB79" w:rsidR="00763DA6" w:rsidRPr="00FF6404" w:rsidRDefault="00C33234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Documents d</w:t>
            </w:r>
            <w:r w:rsidR="006F113B">
              <w:rPr>
                <w:lang w:val="fr-FR"/>
              </w:rPr>
              <w:t>’</w:t>
            </w:r>
            <w:r w:rsidRPr="00FF6404">
              <w:rPr>
                <w:lang w:val="fr-FR"/>
              </w:rPr>
              <w:t>orientation</w:t>
            </w:r>
          </w:p>
        </w:tc>
        <w:tc>
          <w:tcPr>
            <w:tcW w:w="1960" w:type="dxa"/>
          </w:tcPr>
          <w:p w14:paraId="5B8B42EE" w14:textId="50884787" w:rsidR="00763DA6" w:rsidRPr="00FF6404" w:rsidRDefault="001773B0" w:rsidP="001773B0">
            <w:pPr>
              <w:ind w:left="0" w:firstLine="0"/>
              <w:rPr>
                <w:rFonts w:asciiTheme="minorHAnsi" w:hAnsiTheme="minorHAnsi" w:cstheme="minorBidi"/>
                <w:lang w:val="fr-FR"/>
              </w:rPr>
            </w:pPr>
            <w:r w:rsidRPr="00FF6404">
              <w:rPr>
                <w:rFonts w:asciiTheme="minorHAnsi" w:hAnsiTheme="minorHAnsi" w:cstheme="minorBidi"/>
                <w:lang w:val="fr-FR"/>
              </w:rPr>
              <w:t>Accroître l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utilité du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processus d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INZH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pour l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action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publique et les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institutions</w:t>
            </w:r>
          </w:p>
        </w:tc>
        <w:tc>
          <w:tcPr>
            <w:tcW w:w="2103" w:type="dxa"/>
          </w:tcPr>
          <w:p w14:paraId="08937E61" w14:textId="36DA5F33" w:rsidR="005A2438" w:rsidRPr="00FF6404" w:rsidRDefault="001773B0" w:rsidP="001773B0">
            <w:pPr>
              <w:ind w:left="0" w:firstLine="0"/>
              <w:rPr>
                <w:rFonts w:asciiTheme="minorHAnsi" w:hAnsiTheme="minorHAnsi" w:cstheme="minorBidi"/>
                <w:lang w:val="fr-FR"/>
              </w:rPr>
            </w:pPr>
            <w:r w:rsidRPr="00FF6404">
              <w:rPr>
                <w:rFonts w:asciiTheme="minorHAnsi" w:hAnsiTheme="minorHAnsi" w:cstheme="minorBidi"/>
                <w:lang w:val="fr-FR"/>
              </w:rPr>
              <w:t>Définition des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éléments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communs des INZH, y compris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les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données</w:t>
            </w:r>
            <w:r w:rsidR="00FF6404">
              <w:rPr>
                <w:rFonts w:asciiTheme="minorHAnsi" w:hAnsiTheme="minorHAnsi" w:cstheme="minorBidi"/>
                <w:lang w:val="fr-FR"/>
              </w:rPr>
              <w:t>/</w:t>
            </w:r>
            <w:r w:rsidRPr="00FF6404">
              <w:rPr>
                <w:rFonts w:asciiTheme="minorHAnsi" w:hAnsiTheme="minorHAnsi" w:cstheme="minorBidi"/>
                <w:lang w:val="fr-FR"/>
              </w:rPr>
              <w:t>indicateurs de base</w:t>
            </w:r>
          </w:p>
        </w:tc>
        <w:tc>
          <w:tcPr>
            <w:tcW w:w="1795" w:type="dxa"/>
          </w:tcPr>
          <w:p w14:paraId="1D640185" w14:textId="077782BA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40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>000</w:t>
            </w:r>
          </w:p>
        </w:tc>
        <w:tc>
          <w:tcPr>
            <w:tcW w:w="1796" w:type="dxa"/>
          </w:tcPr>
          <w:p w14:paraId="209AFA39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</w:tr>
      <w:tr w:rsidR="00763DA6" w:rsidRPr="00FF6404" w14:paraId="610B84BF" w14:textId="77777777" w:rsidTr="00B70D73">
        <w:tc>
          <w:tcPr>
            <w:tcW w:w="1560" w:type="dxa"/>
            <w:vMerge/>
          </w:tcPr>
          <w:p w14:paraId="27503DEF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960" w:type="dxa"/>
          </w:tcPr>
          <w:p w14:paraId="4C64B132" w14:textId="168C732E" w:rsidR="00763DA6" w:rsidRPr="00FF6404" w:rsidRDefault="001773B0" w:rsidP="001773B0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Bidi"/>
                <w:lang w:val="fr-FR"/>
              </w:rPr>
            </w:pPr>
            <w:r w:rsidRPr="00FF6404">
              <w:rPr>
                <w:rFonts w:asciiTheme="minorHAnsi" w:hAnsiTheme="minorHAnsi" w:cstheme="minorBidi"/>
                <w:lang w:val="fr-FR"/>
              </w:rPr>
              <w:t>Améliorer la qualité</w:t>
            </w:r>
            <w:r w:rsidR="00FF6404">
              <w:rPr>
                <w:rFonts w:asciiTheme="minorHAnsi" w:hAnsiTheme="minorHAnsi" w:cstheme="minorBidi"/>
                <w:lang w:val="fr-FR"/>
              </w:rPr>
              <w:t>, l</w:t>
            </w:r>
            <w:r w:rsidRPr="00FF6404">
              <w:rPr>
                <w:rFonts w:asciiTheme="minorHAnsi" w:hAnsiTheme="minorHAnsi" w:cstheme="minorBidi"/>
                <w:lang w:val="fr-FR"/>
              </w:rPr>
              <w:t>a cohérence et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l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interopérabilité des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données de l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INZH</w:t>
            </w:r>
          </w:p>
        </w:tc>
        <w:tc>
          <w:tcPr>
            <w:tcW w:w="2103" w:type="dxa"/>
          </w:tcPr>
          <w:p w14:paraId="4DEEADEB" w14:textId="53C0D34B" w:rsidR="005A2438" w:rsidRPr="00FF6404" w:rsidRDefault="001773B0" w:rsidP="001773B0">
            <w:pPr>
              <w:ind w:left="0" w:firstLine="0"/>
              <w:rPr>
                <w:rFonts w:asciiTheme="minorHAnsi" w:hAnsiTheme="minorHAnsi" w:cstheme="minorBidi"/>
                <w:lang w:val="fr-FR"/>
              </w:rPr>
            </w:pPr>
            <w:r w:rsidRPr="00FF6404">
              <w:rPr>
                <w:rFonts w:asciiTheme="minorHAnsi" w:hAnsiTheme="minorHAnsi" w:cstheme="minorBidi"/>
                <w:lang w:val="fr-FR"/>
              </w:rPr>
              <w:t>Orientations sur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les protocoles de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gestion des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données de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l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INZH</w:t>
            </w:r>
          </w:p>
        </w:tc>
        <w:tc>
          <w:tcPr>
            <w:tcW w:w="1795" w:type="dxa"/>
          </w:tcPr>
          <w:p w14:paraId="5892F9A5" w14:textId="155BAC4D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40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>000</w:t>
            </w:r>
          </w:p>
        </w:tc>
        <w:tc>
          <w:tcPr>
            <w:tcW w:w="1796" w:type="dxa"/>
          </w:tcPr>
          <w:p w14:paraId="198010A7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</w:tr>
      <w:tr w:rsidR="00763DA6" w:rsidRPr="00FF6404" w14:paraId="29948AE4" w14:textId="77777777" w:rsidTr="00B70D73">
        <w:tc>
          <w:tcPr>
            <w:tcW w:w="1560" w:type="dxa"/>
            <w:vMerge/>
          </w:tcPr>
          <w:p w14:paraId="11F0886E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960" w:type="dxa"/>
          </w:tcPr>
          <w:p w14:paraId="53AE8CCC" w14:textId="104D7EBA" w:rsidR="00763DA6" w:rsidRPr="00FF6404" w:rsidRDefault="001773B0" w:rsidP="001773B0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Renforcer les rôles e</w:t>
            </w:r>
            <w:r w:rsidR="00FF6404">
              <w:rPr>
                <w:lang w:val="fr-FR"/>
              </w:rPr>
              <w:t xml:space="preserve">t </w:t>
            </w:r>
            <w:r w:rsidRPr="00FF6404">
              <w:rPr>
                <w:lang w:val="fr-FR"/>
              </w:rPr>
              <w:t>les responsabilités</w:t>
            </w:r>
            <w:r w:rsidR="00FF6404"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dans le processus</w:t>
            </w:r>
            <w:r w:rsidR="00FF6404"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d</w:t>
            </w:r>
            <w:r w:rsidR="006F113B">
              <w:rPr>
                <w:lang w:val="fr-FR"/>
              </w:rPr>
              <w:t>’</w:t>
            </w:r>
            <w:r w:rsidRPr="00FF6404">
              <w:rPr>
                <w:lang w:val="fr-FR"/>
              </w:rPr>
              <w:t>INZH</w:t>
            </w:r>
          </w:p>
        </w:tc>
        <w:tc>
          <w:tcPr>
            <w:tcW w:w="2103" w:type="dxa"/>
          </w:tcPr>
          <w:p w14:paraId="6A5C47B9" w14:textId="05BAD92C" w:rsidR="00763DA6" w:rsidRPr="00FF6404" w:rsidRDefault="001773B0" w:rsidP="001773B0">
            <w:pPr>
              <w:ind w:left="0" w:firstLine="0"/>
              <w:rPr>
                <w:rFonts w:asciiTheme="minorHAnsi" w:hAnsiTheme="minorHAnsi" w:cstheme="minorBidi"/>
                <w:lang w:val="fr-FR"/>
              </w:rPr>
            </w:pPr>
            <w:r w:rsidRPr="00FF6404">
              <w:rPr>
                <w:rFonts w:asciiTheme="minorHAnsi" w:hAnsiTheme="minorHAnsi" w:cstheme="minorBidi"/>
                <w:lang w:val="fr-FR"/>
              </w:rPr>
              <w:t>Orientations sur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le processus</w:t>
            </w:r>
            <w:r w:rsidR="00FF6404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0FF6404">
              <w:rPr>
                <w:rFonts w:asciiTheme="minorHAnsi" w:hAnsiTheme="minorHAnsi" w:cstheme="minorBidi"/>
                <w:lang w:val="fr-FR"/>
              </w:rPr>
              <w:t>structuré d</w:t>
            </w:r>
            <w:r w:rsidR="006F113B">
              <w:rPr>
                <w:rFonts w:asciiTheme="minorHAnsi" w:hAnsiTheme="minorHAnsi" w:cstheme="minorBidi"/>
                <w:lang w:val="fr-FR"/>
              </w:rPr>
              <w:t>’</w:t>
            </w:r>
            <w:r w:rsidRPr="00FF6404">
              <w:rPr>
                <w:rFonts w:asciiTheme="minorHAnsi" w:hAnsiTheme="minorHAnsi" w:cstheme="minorBidi"/>
                <w:lang w:val="fr-FR"/>
              </w:rPr>
              <w:t>INZH</w:t>
            </w:r>
          </w:p>
        </w:tc>
        <w:tc>
          <w:tcPr>
            <w:tcW w:w="1795" w:type="dxa"/>
          </w:tcPr>
          <w:p w14:paraId="71386756" w14:textId="535A9DAA" w:rsidR="00763DA6" w:rsidRPr="00FF6404" w:rsidRDefault="007D50FD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50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>000</w:t>
            </w:r>
          </w:p>
        </w:tc>
        <w:tc>
          <w:tcPr>
            <w:tcW w:w="1796" w:type="dxa"/>
          </w:tcPr>
          <w:p w14:paraId="1BE133FF" w14:textId="318F6FBF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</w:tr>
      <w:tr w:rsidR="00763DA6" w:rsidRPr="00D044E5" w14:paraId="2295C556" w14:textId="77777777" w:rsidTr="00B70D73">
        <w:tc>
          <w:tcPr>
            <w:tcW w:w="1560" w:type="dxa"/>
            <w:vMerge w:val="restart"/>
          </w:tcPr>
          <w:p w14:paraId="42A10AB8" w14:textId="126E2B36" w:rsidR="00763DA6" w:rsidRPr="00FF6404" w:rsidRDefault="00B70D73" w:rsidP="00763DA6">
            <w:pPr>
              <w:ind w:left="0" w:firstLine="0"/>
              <w:rPr>
                <w:lang w:val="fr-FR"/>
              </w:rPr>
            </w:pPr>
            <w:r>
              <w:rPr>
                <w:lang w:val="fr-FR"/>
              </w:rPr>
              <w:lastRenderedPageBreak/>
              <w:t>Renforcement des capacités</w:t>
            </w:r>
          </w:p>
        </w:tc>
        <w:tc>
          <w:tcPr>
            <w:tcW w:w="1960" w:type="dxa"/>
          </w:tcPr>
          <w:p w14:paraId="37251008" w14:textId="5FE67A67" w:rsidR="001773B0" w:rsidRPr="00FF6404" w:rsidRDefault="001773B0" w:rsidP="001773B0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Renforcer les</w:t>
            </w:r>
            <w:r w:rsidR="00FF6404"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capacités de</w:t>
            </w:r>
            <w:r w:rsidR="00FF6404"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réalisation d</w:t>
            </w:r>
            <w:r w:rsidR="006F113B">
              <w:rPr>
                <w:lang w:val="fr-FR"/>
              </w:rPr>
              <w:t>’</w:t>
            </w:r>
            <w:r w:rsidRPr="00FF6404">
              <w:rPr>
                <w:lang w:val="fr-FR"/>
              </w:rPr>
              <w:t>un</w:t>
            </w:r>
            <w:r w:rsidR="00FF6404"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processus complet</w:t>
            </w:r>
            <w:r w:rsidR="00FF6404"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d</w:t>
            </w:r>
            <w:r w:rsidR="006F113B">
              <w:rPr>
                <w:lang w:val="fr-FR"/>
              </w:rPr>
              <w:t>’</w:t>
            </w:r>
            <w:r w:rsidRPr="00FF6404">
              <w:rPr>
                <w:lang w:val="fr-FR"/>
              </w:rPr>
              <w:t>INZH</w:t>
            </w:r>
          </w:p>
        </w:tc>
        <w:tc>
          <w:tcPr>
            <w:tcW w:w="2103" w:type="dxa"/>
          </w:tcPr>
          <w:p w14:paraId="49C1527B" w14:textId="36440281" w:rsidR="00FF6404" w:rsidRPr="00FF6404" w:rsidRDefault="00763DA6" w:rsidP="00FF6404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 xml:space="preserve">Module 1 </w:t>
            </w:r>
          </w:p>
          <w:p w14:paraId="23E4DEEC" w14:textId="28DBD97F" w:rsidR="00763DA6" w:rsidRPr="00FF6404" w:rsidRDefault="00FF6404" w:rsidP="00FF6404">
            <w:pPr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Pr="00FF6404">
              <w:rPr>
                <w:lang w:val="fr-FR"/>
              </w:rPr>
              <w:t>ormation en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présentiel</w:t>
            </w:r>
          </w:p>
        </w:tc>
        <w:tc>
          <w:tcPr>
            <w:tcW w:w="1795" w:type="dxa"/>
          </w:tcPr>
          <w:p w14:paraId="1E48B94F" w14:textId="39DD457E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60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 xml:space="preserve">000 </w:t>
            </w:r>
            <w:r w:rsidR="00C33234" w:rsidRPr="00FF6404">
              <w:rPr>
                <w:lang w:val="fr-FR"/>
              </w:rPr>
              <w:t>pour la</w:t>
            </w:r>
            <w:r w:rsidRPr="00FF6404">
              <w:rPr>
                <w:lang w:val="fr-FR"/>
              </w:rPr>
              <w:t xml:space="preserve"> session</w:t>
            </w:r>
            <w:r w:rsidR="00C33234" w:rsidRPr="00FF6404">
              <w:rPr>
                <w:lang w:val="fr-FR"/>
              </w:rPr>
              <w:t xml:space="preserve"> en anglais</w:t>
            </w:r>
          </w:p>
          <w:p w14:paraId="66F9E0AA" w14:textId="26E3FC7E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120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 xml:space="preserve">000 </w:t>
            </w:r>
            <w:r w:rsidR="00C33234" w:rsidRPr="00FF6404">
              <w:rPr>
                <w:lang w:val="fr-FR"/>
              </w:rPr>
              <w:t>pour les sessions en français et en espagnol</w:t>
            </w:r>
          </w:p>
        </w:tc>
        <w:tc>
          <w:tcPr>
            <w:tcW w:w="1796" w:type="dxa"/>
          </w:tcPr>
          <w:p w14:paraId="1B2CD937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</w:tr>
      <w:tr w:rsidR="00763DA6" w:rsidRPr="00D044E5" w14:paraId="7D58BE5B" w14:textId="77777777" w:rsidTr="00B70D73">
        <w:tc>
          <w:tcPr>
            <w:tcW w:w="1560" w:type="dxa"/>
            <w:vMerge/>
          </w:tcPr>
          <w:p w14:paraId="66C02A1D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960" w:type="dxa"/>
          </w:tcPr>
          <w:p w14:paraId="751C8B60" w14:textId="67744F05" w:rsidR="00763DA6" w:rsidRPr="00FF6404" w:rsidRDefault="00FF6404" w:rsidP="00FF6404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Accroître l</w:t>
            </w:r>
            <w:r w:rsidR="006F113B">
              <w:rPr>
                <w:lang w:val="fr-FR"/>
              </w:rPr>
              <w:t>’</w:t>
            </w:r>
            <w:r w:rsidRPr="00FF6404">
              <w:rPr>
                <w:lang w:val="fr-FR"/>
              </w:rPr>
              <w:t>utilisation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adéquate des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techniques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d</w:t>
            </w:r>
            <w:r w:rsidR="006F113B">
              <w:rPr>
                <w:lang w:val="fr-FR"/>
              </w:rPr>
              <w:t>’</w:t>
            </w:r>
            <w:r w:rsidRPr="00FF6404">
              <w:rPr>
                <w:lang w:val="fr-FR"/>
              </w:rPr>
              <w:t>observation de la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Terre</w:t>
            </w:r>
          </w:p>
        </w:tc>
        <w:tc>
          <w:tcPr>
            <w:tcW w:w="2103" w:type="dxa"/>
          </w:tcPr>
          <w:p w14:paraId="3B2A1F7F" w14:textId="3D06B2A4" w:rsidR="00FF6404" w:rsidRPr="00FF6404" w:rsidRDefault="00FF6404" w:rsidP="00FF6404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Module 2</w:t>
            </w:r>
          </w:p>
          <w:p w14:paraId="631BD0D8" w14:textId="67EC1800" w:rsidR="00763DA6" w:rsidRPr="00FF6404" w:rsidRDefault="00FF6404" w:rsidP="00FF6404">
            <w:pPr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Pr="00FF6404">
              <w:rPr>
                <w:lang w:val="fr-FR"/>
              </w:rPr>
              <w:t>ormation en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présentiel</w:t>
            </w:r>
          </w:p>
        </w:tc>
        <w:tc>
          <w:tcPr>
            <w:tcW w:w="1795" w:type="dxa"/>
          </w:tcPr>
          <w:p w14:paraId="3D27C8C2" w14:textId="7BAEADC6" w:rsidR="00763DA6" w:rsidRPr="00FF6404" w:rsidRDefault="00C33234" w:rsidP="00763DA6">
            <w:pPr>
              <w:ind w:left="0" w:firstLine="0"/>
              <w:rPr>
                <w:lang w:val="fr-FR"/>
              </w:rPr>
            </w:pPr>
            <w:r w:rsidRPr="00C33234">
              <w:rPr>
                <w:lang w:val="fr-FR"/>
              </w:rPr>
              <w:t>60 000 pour la session en anglais</w:t>
            </w:r>
          </w:p>
          <w:p w14:paraId="3A4D8F99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796" w:type="dxa"/>
          </w:tcPr>
          <w:p w14:paraId="4C8AA13F" w14:textId="3B0F133C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120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 xml:space="preserve">000 </w:t>
            </w:r>
            <w:r w:rsidR="00C33234" w:rsidRPr="00FF6404">
              <w:rPr>
                <w:lang w:val="fr-FR"/>
              </w:rPr>
              <w:t>pour les sessions en français et en espagnol</w:t>
            </w:r>
          </w:p>
        </w:tc>
      </w:tr>
      <w:tr w:rsidR="00763DA6" w:rsidRPr="00D044E5" w14:paraId="74E6AD78" w14:textId="77777777" w:rsidTr="00B70D73">
        <w:tc>
          <w:tcPr>
            <w:tcW w:w="1560" w:type="dxa"/>
            <w:vMerge/>
          </w:tcPr>
          <w:p w14:paraId="508BAC68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960" w:type="dxa"/>
          </w:tcPr>
          <w:p w14:paraId="1961FBA8" w14:textId="2EB63D6F" w:rsidR="00763DA6" w:rsidRPr="00FF6404" w:rsidRDefault="00FF6404" w:rsidP="00FF6404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Améliorer les mises à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jour des INZH</w:t>
            </w:r>
          </w:p>
        </w:tc>
        <w:tc>
          <w:tcPr>
            <w:tcW w:w="2103" w:type="dxa"/>
          </w:tcPr>
          <w:p w14:paraId="200626C0" w14:textId="77777777" w:rsidR="00FF6404" w:rsidRDefault="00763DA6" w:rsidP="00FF6404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Module 3</w:t>
            </w:r>
          </w:p>
          <w:p w14:paraId="5F0028C2" w14:textId="37A705B0" w:rsidR="00763DA6" w:rsidRPr="00FF6404" w:rsidRDefault="00FF6404" w:rsidP="00FF6404">
            <w:pPr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Pr="00FF6404">
              <w:rPr>
                <w:lang w:val="fr-FR"/>
              </w:rPr>
              <w:t>ormation en</w:t>
            </w:r>
            <w:r>
              <w:rPr>
                <w:lang w:val="fr-FR"/>
              </w:rPr>
              <w:t xml:space="preserve"> </w:t>
            </w:r>
            <w:r w:rsidRPr="00FF6404">
              <w:rPr>
                <w:lang w:val="fr-FR"/>
              </w:rPr>
              <w:t>présentiel</w:t>
            </w:r>
          </w:p>
        </w:tc>
        <w:tc>
          <w:tcPr>
            <w:tcW w:w="1795" w:type="dxa"/>
          </w:tcPr>
          <w:p w14:paraId="24287451" w14:textId="252E0B30" w:rsidR="00763DA6" w:rsidRPr="00FF6404" w:rsidRDefault="00C33234" w:rsidP="00763DA6">
            <w:pPr>
              <w:ind w:left="0" w:firstLine="0"/>
              <w:rPr>
                <w:lang w:val="fr-FR"/>
              </w:rPr>
            </w:pPr>
            <w:r w:rsidRPr="00C33234">
              <w:rPr>
                <w:lang w:val="fr-FR"/>
              </w:rPr>
              <w:t>60 000 pour la session en anglais</w:t>
            </w:r>
          </w:p>
        </w:tc>
        <w:tc>
          <w:tcPr>
            <w:tcW w:w="1796" w:type="dxa"/>
          </w:tcPr>
          <w:p w14:paraId="3F031919" w14:textId="1522291C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12</w:t>
            </w:r>
            <w:r w:rsidR="00C33234" w:rsidRPr="00FF6404">
              <w:rPr>
                <w:lang w:val="fr-FR"/>
              </w:rPr>
              <w:t>0 </w:t>
            </w:r>
            <w:r w:rsidRPr="00FF6404">
              <w:rPr>
                <w:lang w:val="fr-FR"/>
              </w:rPr>
              <w:t xml:space="preserve">000 </w:t>
            </w:r>
            <w:r w:rsidR="00C33234" w:rsidRPr="00FF6404">
              <w:rPr>
                <w:lang w:val="fr-FR"/>
              </w:rPr>
              <w:t>pour les sessions en français et en espagnol</w:t>
            </w:r>
          </w:p>
        </w:tc>
      </w:tr>
      <w:tr w:rsidR="00763DA6" w:rsidRPr="00FF6404" w14:paraId="0CC9435F" w14:textId="77777777" w:rsidTr="00B70D73">
        <w:tc>
          <w:tcPr>
            <w:tcW w:w="1560" w:type="dxa"/>
            <w:vMerge/>
          </w:tcPr>
          <w:p w14:paraId="5099C92E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960" w:type="dxa"/>
          </w:tcPr>
          <w:p w14:paraId="36C7DBD4" w14:textId="023FE35B" w:rsidR="00763DA6" w:rsidRPr="00FF6404" w:rsidRDefault="00691580" w:rsidP="00691580">
            <w:pPr>
              <w:ind w:left="0" w:firstLine="0"/>
              <w:rPr>
                <w:lang w:val="fr-FR"/>
              </w:rPr>
            </w:pPr>
            <w:r w:rsidRPr="00691580">
              <w:rPr>
                <w:lang w:val="fr-FR"/>
              </w:rPr>
              <w:t>Développer de</w:t>
            </w:r>
            <w:r>
              <w:rPr>
                <w:lang w:val="fr-FR"/>
              </w:rPr>
              <w:t xml:space="preserve">s </w:t>
            </w:r>
            <w:r w:rsidRPr="00691580">
              <w:rPr>
                <w:lang w:val="fr-FR"/>
              </w:rPr>
              <w:t>connaissances sur le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processus de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réalisation d</w:t>
            </w:r>
            <w:r w:rsidR="006F113B">
              <w:rPr>
                <w:lang w:val="fr-FR"/>
              </w:rPr>
              <w:t>’</w:t>
            </w:r>
            <w:r w:rsidRPr="00691580">
              <w:rPr>
                <w:lang w:val="fr-FR"/>
              </w:rPr>
              <w:t>INZH</w:t>
            </w:r>
          </w:p>
        </w:tc>
        <w:tc>
          <w:tcPr>
            <w:tcW w:w="2103" w:type="dxa"/>
          </w:tcPr>
          <w:p w14:paraId="2C491FFF" w14:textId="501BE39F" w:rsidR="00763DA6" w:rsidRPr="00FF6404" w:rsidRDefault="00691580" w:rsidP="00691580">
            <w:pPr>
              <w:ind w:left="0" w:firstLine="0"/>
              <w:rPr>
                <w:lang w:val="fr-FR"/>
              </w:rPr>
            </w:pPr>
            <w:r w:rsidRPr="00691580">
              <w:rPr>
                <w:lang w:val="fr-FR"/>
              </w:rPr>
              <w:t>Supports d</w:t>
            </w:r>
            <w:r>
              <w:rPr>
                <w:lang w:val="fr-FR"/>
              </w:rPr>
              <w:t xml:space="preserve">e </w:t>
            </w:r>
            <w:r w:rsidRPr="00691580">
              <w:rPr>
                <w:lang w:val="fr-FR"/>
              </w:rPr>
              <w:t>formation en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ligne</w:t>
            </w:r>
          </w:p>
        </w:tc>
        <w:tc>
          <w:tcPr>
            <w:tcW w:w="1795" w:type="dxa"/>
          </w:tcPr>
          <w:p w14:paraId="0C5D3429" w14:textId="4EF69B16" w:rsidR="00763DA6" w:rsidRPr="00FF6404" w:rsidRDefault="00790671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20</w:t>
            </w:r>
            <w:r w:rsidR="00C33234" w:rsidRPr="00FF6404">
              <w:rPr>
                <w:lang w:val="fr-FR"/>
              </w:rPr>
              <w:t> </w:t>
            </w:r>
            <w:r w:rsidR="00763DA6" w:rsidRPr="00FF6404">
              <w:rPr>
                <w:lang w:val="fr-FR"/>
              </w:rPr>
              <w:t xml:space="preserve">000 </w:t>
            </w:r>
          </w:p>
        </w:tc>
        <w:tc>
          <w:tcPr>
            <w:tcW w:w="1796" w:type="dxa"/>
          </w:tcPr>
          <w:p w14:paraId="6EA6B70C" w14:textId="0A96E10E" w:rsidR="00763DA6" w:rsidRPr="00FF6404" w:rsidRDefault="00790671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2</w:t>
            </w:r>
            <w:r w:rsidR="00FF5B21" w:rsidRPr="00FF6404">
              <w:rPr>
                <w:lang w:val="fr-FR"/>
              </w:rPr>
              <w:t>0</w:t>
            </w:r>
            <w:r w:rsidR="00C33234" w:rsidRPr="00FF6404">
              <w:rPr>
                <w:lang w:val="fr-FR"/>
              </w:rPr>
              <w:t> </w:t>
            </w:r>
            <w:r w:rsidR="00763DA6" w:rsidRPr="00FF6404">
              <w:rPr>
                <w:lang w:val="fr-FR"/>
              </w:rPr>
              <w:t>000</w:t>
            </w:r>
          </w:p>
        </w:tc>
      </w:tr>
      <w:tr w:rsidR="00763DA6" w:rsidRPr="00FF6404" w14:paraId="3F4C3F91" w14:textId="77777777" w:rsidTr="00B70D73">
        <w:tc>
          <w:tcPr>
            <w:tcW w:w="1560" w:type="dxa"/>
            <w:vMerge w:val="restart"/>
          </w:tcPr>
          <w:p w14:paraId="202A384E" w14:textId="2BC60681" w:rsidR="00763DA6" w:rsidRPr="00FF6404" w:rsidRDefault="00691580" w:rsidP="00691580">
            <w:pPr>
              <w:ind w:left="0" w:firstLine="0"/>
              <w:rPr>
                <w:lang w:val="fr-FR"/>
              </w:rPr>
            </w:pPr>
            <w:r w:rsidRPr="00691580">
              <w:rPr>
                <w:lang w:val="fr-FR"/>
              </w:rPr>
              <w:t>Appui à la mise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en œuvre</w:t>
            </w:r>
          </w:p>
        </w:tc>
        <w:tc>
          <w:tcPr>
            <w:tcW w:w="1960" w:type="dxa"/>
          </w:tcPr>
          <w:p w14:paraId="0EBEC2EF" w14:textId="284DD169" w:rsidR="00763DA6" w:rsidRPr="00FF6404" w:rsidRDefault="00691580" w:rsidP="00691580">
            <w:pPr>
              <w:ind w:left="0" w:firstLine="0"/>
              <w:rPr>
                <w:lang w:val="fr-FR"/>
              </w:rPr>
            </w:pPr>
            <w:r w:rsidRPr="00691580">
              <w:rPr>
                <w:lang w:val="fr-FR"/>
              </w:rPr>
              <w:t>Aider les Parties à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collecter les données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nécessaires à l</w:t>
            </w:r>
            <w:r w:rsidR="006F113B">
              <w:rPr>
                <w:lang w:val="fr-FR"/>
              </w:rPr>
              <w:t>’</w:t>
            </w:r>
            <w:r w:rsidRPr="00691580">
              <w:rPr>
                <w:lang w:val="fr-FR"/>
              </w:rPr>
              <w:t>INZH</w:t>
            </w:r>
          </w:p>
        </w:tc>
        <w:tc>
          <w:tcPr>
            <w:tcW w:w="2103" w:type="dxa"/>
          </w:tcPr>
          <w:p w14:paraId="4748FFF3" w14:textId="5122F44E" w:rsidR="00763DA6" w:rsidRPr="00FF6404" w:rsidRDefault="00B708CE" w:rsidP="00B708CE">
            <w:pPr>
              <w:ind w:left="0" w:firstLine="0"/>
              <w:rPr>
                <w:lang w:val="fr-FR"/>
              </w:rPr>
            </w:pPr>
            <w:r w:rsidRPr="00B708CE">
              <w:rPr>
                <w:lang w:val="fr-FR"/>
              </w:rPr>
              <w:t>Étude de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faisabilité et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 xml:space="preserve">consultation </w:t>
            </w:r>
            <w:r>
              <w:rPr>
                <w:lang w:val="fr-FR"/>
              </w:rPr>
              <w:t>en vue d</w:t>
            </w:r>
            <w:r w:rsidR="006F113B">
              <w:rPr>
                <w:lang w:val="fr-FR"/>
              </w:rPr>
              <w:t>’</w:t>
            </w:r>
            <w:r>
              <w:rPr>
                <w:lang w:val="fr-FR"/>
              </w:rPr>
              <w:t>u</w:t>
            </w:r>
            <w:r w:rsidRPr="00B708CE">
              <w:rPr>
                <w:lang w:val="fr-FR"/>
              </w:rPr>
              <w:t>ne initiative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consacrée à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l</w:t>
            </w:r>
            <w:r w:rsidR="006F113B">
              <w:rPr>
                <w:lang w:val="fr-FR"/>
              </w:rPr>
              <w:t>’</w:t>
            </w:r>
            <w:r w:rsidRPr="00B708CE">
              <w:rPr>
                <w:lang w:val="fr-FR"/>
              </w:rPr>
              <w:t>appui aux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techniques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d</w:t>
            </w:r>
            <w:r w:rsidR="006F113B">
              <w:rPr>
                <w:lang w:val="fr-FR"/>
              </w:rPr>
              <w:t>’</w:t>
            </w:r>
            <w:r w:rsidRPr="00B708CE">
              <w:rPr>
                <w:lang w:val="fr-FR"/>
              </w:rPr>
              <w:t>observation de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la Terre</w:t>
            </w:r>
          </w:p>
        </w:tc>
        <w:tc>
          <w:tcPr>
            <w:tcW w:w="1795" w:type="dxa"/>
          </w:tcPr>
          <w:p w14:paraId="568FDECC" w14:textId="77777777" w:rsidR="00763DA6" w:rsidRPr="00FF6404" w:rsidRDefault="00763DA6" w:rsidP="00763DA6">
            <w:pPr>
              <w:ind w:left="0" w:firstLine="0"/>
              <w:rPr>
                <w:lang w:val="fr-FR"/>
              </w:rPr>
            </w:pPr>
          </w:p>
        </w:tc>
        <w:tc>
          <w:tcPr>
            <w:tcW w:w="1796" w:type="dxa"/>
          </w:tcPr>
          <w:p w14:paraId="686329EC" w14:textId="354CEBC3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40</w:t>
            </w:r>
            <w:r w:rsidR="00C33234" w:rsidRPr="00FF6404">
              <w:rPr>
                <w:lang w:val="fr-FR"/>
              </w:rPr>
              <w:t> </w:t>
            </w:r>
            <w:r w:rsidRPr="00FF6404">
              <w:rPr>
                <w:lang w:val="fr-FR"/>
              </w:rPr>
              <w:t>000</w:t>
            </w:r>
          </w:p>
        </w:tc>
      </w:tr>
      <w:tr w:rsidR="00763DA6" w:rsidRPr="00D044E5" w14:paraId="34B88A7A" w14:textId="77777777" w:rsidTr="00B70D73">
        <w:tc>
          <w:tcPr>
            <w:tcW w:w="1560" w:type="dxa"/>
            <w:vMerge/>
          </w:tcPr>
          <w:p w14:paraId="6B2F68AD" w14:textId="77777777" w:rsidR="00763DA6" w:rsidRPr="00FF6404" w:rsidRDefault="00763DA6" w:rsidP="00763DA6">
            <w:pPr>
              <w:ind w:left="0" w:firstLine="0"/>
              <w:rPr>
                <w:u w:val="single"/>
                <w:lang w:val="fr-FR"/>
              </w:rPr>
            </w:pPr>
          </w:p>
        </w:tc>
        <w:tc>
          <w:tcPr>
            <w:tcW w:w="1960" w:type="dxa"/>
          </w:tcPr>
          <w:p w14:paraId="14CFAE3C" w14:textId="4FE3CED2" w:rsidR="00763DA6" w:rsidRPr="00FF6404" w:rsidRDefault="00691580" w:rsidP="00691580">
            <w:pPr>
              <w:ind w:left="0" w:firstLine="0"/>
              <w:rPr>
                <w:lang w:val="fr-FR"/>
              </w:rPr>
            </w:pPr>
            <w:r w:rsidRPr="00691580">
              <w:rPr>
                <w:lang w:val="fr-FR"/>
              </w:rPr>
              <w:t>Accompagner les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 xml:space="preserve">Parties </w:t>
            </w:r>
            <w:r w:rsidR="00B708CE">
              <w:rPr>
                <w:lang w:val="fr-FR"/>
              </w:rPr>
              <w:t>qui sont des pays d</w:t>
            </w:r>
            <w:r w:rsidR="006F113B">
              <w:rPr>
                <w:lang w:val="fr-FR"/>
              </w:rPr>
              <w:t>’</w:t>
            </w:r>
            <w:r w:rsidR="00B708CE">
              <w:rPr>
                <w:lang w:val="fr-FR"/>
              </w:rPr>
              <w:t xml:space="preserve">Afrique </w:t>
            </w:r>
            <w:r w:rsidRPr="00691580">
              <w:rPr>
                <w:lang w:val="fr-FR"/>
              </w:rPr>
              <w:t>dans la conception et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la réalisation d</w:t>
            </w:r>
            <w:r w:rsidR="006F113B">
              <w:rPr>
                <w:lang w:val="fr-FR"/>
              </w:rPr>
              <w:t>’</w:t>
            </w:r>
            <w:r w:rsidRPr="00691580">
              <w:rPr>
                <w:lang w:val="fr-FR"/>
              </w:rPr>
              <w:t>un</w:t>
            </w:r>
            <w:r>
              <w:rPr>
                <w:lang w:val="fr-FR"/>
              </w:rPr>
              <w:t xml:space="preserve"> </w:t>
            </w:r>
            <w:r w:rsidRPr="00691580">
              <w:rPr>
                <w:lang w:val="fr-FR"/>
              </w:rPr>
              <w:t>processus d</w:t>
            </w:r>
            <w:r w:rsidR="006F113B">
              <w:rPr>
                <w:lang w:val="fr-FR"/>
              </w:rPr>
              <w:t>’</w:t>
            </w:r>
            <w:r w:rsidRPr="00691580">
              <w:rPr>
                <w:lang w:val="fr-FR"/>
              </w:rPr>
              <w:t>INZH</w:t>
            </w:r>
          </w:p>
        </w:tc>
        <w:tc>
          <w:tcPr>
            <w:tcW w:w="2103" w:type="dxa"/>
          </w:tcPr>
          <w:p w14:paraId="7E5BF129" w14:textId="63554BC3" w:rsidR="00763DA6" w:rsidRPr="00FF6404" w:rsidRDefault="00B708CE" w:rsidP="00B708CE">
            <w:pPr>
              <w:ind w:left="0" w:firstLine="0"/>
              <w:rPr>
                <w:lang w:val="fr-FR"/>
              </w:rPr>
            </w:pPr>
            <w:r w:rsidRPr="00B708CE">
              <w:rPr>
                <w:lang w:val="fr-FR"/>
              </w:rPr>
              <w:t>Soutien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technique au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processus d</w:t>
            </w:r>
            <w:r w:rsidR="006F113B">
              <w:rPr>
                <w:lang w:val="fr-FR"/>
              </w:rPr>
              <w:t>’</w:t>
            </w:r>
            <w:r w:rsidRPr="00B708CE">
              <w:rPr>
                <w:lang w:val="fr-FR"/>
              </w:rPr>
              <w:t>INZH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dans certains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 xml:space="preserve">pays </w:t>
            </w:r>
            <w:r>
              <w:rPr>
                <w:lang w:val="fr-FR"/>
              </w:rPr>
              <w:t>d</w:t>
            </w:r>
            <w:r w:rsidR="006F113B">
              <w:rPr>
                <w:lang w:val="fr-FR"/>
              </w:rPr>
              <w:t>’</w:t>
            </w:r>
            <w:r>
              <w:rPr>
                <w:lang w:val="fr-FR"/>
              </w:rPr>
              <w:t>A</w:t>
            </w:r>
            <w:r w:rsidRPr="00B708CE">
              <w:rPr>
                <w:lang w:val="fr-FR"/>
              </w:rPr>
              <w:t>fri</w:t>
            </w:r>
            <w:r>
              <w:rPr>
                <w:lang w:val="fr-FR"/>
              </w:rPr>
              <w:t>que</w:t>
            </w:r>
          </w:p>
        </w:tc>
        <w:tc>
          <w:tcPr>
            <w:tcW w:w="1795" w:type="dxa"/>
          </w:tcPr>
          <w:p w14:paraId="283FA908" w14:textId="42437B77" w:rsidR="00763DA6" w:rsidRPr="00FF6404" w:rsidRDefault="00763DA6" w:rsidP="00763DA6">
            <w:pPr>
              <w:ind w:left="0" w:firstLine="0"/>
              <w:rPr>
                <w:lang w:val="fr-FR"/>
              </w:rPr>
            </w:pPr>
            <w:r w:rsidRPr="00FF6404">
              <w:rPr>
                <w:lang w:val="fr-FR"/>
              </w:rPr>
              <w:t>1</w:t>
            </w:r>
            <w:r w:rsidR="00960A93" w:rsidRPr="00FF6404">
              <w:rPr>
                <w:lang w:val="fr-FR"/>
              </w:rPr>
              <w:t>3</w:t>
            </w:r>
            <w:r w:rsidR="00E7686B" w:rsidRPr="00FF6404">
              <w:rPr>
                <w:lang w:val="fr-FR"/>
              </w:rPr>
              <w:t>5</w:t>
            </w:r>
            <w:r w:rsidR="00B708CE">
              <w:rPr>
                <w:lang w:val="fr-FR"/>
              </w:rPr>
              <w:t> </w:t>
            </w:r>
            <w:r w:rsidRPr="00FF6404">
              <w:rPr>
                <w:lang w:val="fr-FR"/>
              </w:rPr>
              <w:t>000</w:t>
            </w:r>
          </w:p>
        </w:tc>
        <w:tc>
          <w:tcPr>
            <w:tcW w:w="1796" w:type="dxa"/>
          </w:tcPr>
          <w:p w14:paraId="2D446A8E" w14:textId="1DEFB2AB" w:rsidR="00763DA6" w:rsidRPr="00FF6404" w:rsidRDefault="00B708CE" w:rsidP="00B708CE">
            <w:pPr>
              <w:ind w:left="0" w:firstLine="0"/>
              <w:rPr>
                <w:lang w:val="fr-FR"/>
              </w:rPr>
            </w:pPr>
            <w:r w:rsidRPr="00B708CE">
              <w:rPr>
                <w:lang w:val="fr-FR"/>
              </w:rPr>
              <w:t xml:space="preserve">À </w:t>
            </w:r>
            <w:r w:rsidR="00B70D73">
              <w:rPr>
                <w:lang w:val="fr-FR"/>
              </w:rPr>
              <w:t>définir</w:t>
            </w:r>
            <w:r w:rsidRPr="00B708CE">
              <w:rPr>
                <w:lang w:val="fr-FR"/>
              </w:rPr>
              <w:t xml:space="preserve"> en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fonction de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nouvelles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demandes des</w:t>
            </w:r>
            <w:r>
              <w:rPr>
                <w:lang w:val="fr-FR"/>
              </w:rPr>
              <w:t xml:space="preserve"> </w:t>
            </w:r>
            <w:r w:rsidRPr="00B708CE">
              <w:rPr>
                <w:lang w:val="fr-FR"/>
              </w:rPr>
              <w:t>pays</w:t>
            </w:r>
          </w:p>
        </w:tc>
      </w:tr>
      <w:tr w:rsidR="00887EFE" w:rsidRPr="00FF6404" w14:paraId="7D5C81F8" w14:textId="77777777" w:rsidTr="00804C10">
        <w:tc>
          <w:tcPr>
            <w:tcW w:w="5623" w:type="dxa"/>
            <w:gridSpan w:val="3"/>
          </w:tcPr>
          <w:p w14:paraId="38789850" w14:textId="452C1407" w:rsidR="00887EFE" w:rsidRPr="00FF6404" w:rsidRDefault="00887EFE" w:rsidP="00763DA6">
            <w:pPr>
              <w:ind w:left="0" w:firstLine="0"/>
              <w:rPr>
                <w:b/>
                <w:bCs/>
                <w:lang w:val="fr-FR"/>
              </w:rPr>
            </w:pPr>
            <w:r w:rsidRPr="00FF6404">
              <w:rPr>
                <w:b/>
                <w:bCs/>
                <w:lang w:val="fr-FR"/>
              </w:rPr>
              <w:t>Total</w:t>
            </w:r>
            <w:r w:rsidR="6A1A85E1" w:rsidRPr="00FF6404">
              <w:rPr>
                <w:b/>
                <w:bCs/>
                <w:lang w:val="fr-FR"/>
              </w:rPr>
              <w:t xml:space="preserve"> </w:t>
            </w:r>
            <w:r w:rsidR="00B708CE">
              <w:rPr>
                <w:b/>
                <w:bCs/>
                <w:lang w:val="fr-FR"/>
              </w:rPr>
              <w:t xml:space="preserve">des financements et des besoins </w:t>
            </w:r>
            <w:r w:rsidRPr="00FF6404">
              <w:rPr>
                <w:b/>
                <w:bCs/>
                <w:lang w:val="fr-FR"/>
              </w:rPr>
              <w:t>(</w:t>
            </w:r>
            <w:r w:rsidR="00B708CE">
              <w:rPr>
                <w:b/>
                <w:bCs/>
                <w:lang w:val="fr-FR"/>
              </w:rPr>
              <w:t>e</w:t>
            </w:r>
            <w:r w:rsidRPr="00FF6404">
              <w:rPr>
                <w:b/>
                <w:bCs/>
                <w:lang w:val="fr-FR"/>
              </w:rPr>
              <w:t>n CHF)</w:t>
            </w:r>
          </w:p>
        </w:tc>
        <w:tc>
          <w:tcPr>
            <w:tcW w:w="1795" w:type="dxa"/>
          </w:tcPr>
          <w:p w14:paraId="05780371" w14:textId="1FA3999A" w:rsidR="00887EFE" w:rsidRPr="00FF6404" w:rsidRDefault="37F5EACC" w:rsidP="00763DA6">
            <w:pPr>
              <w:ind w:left="0" w:firstLine="0"/>
              <w:rPr>
                <w:b/>
                <w:bCs/>
                <w:lang w:val="fr-FR"/>
              </w:rPr>
            </w:pPr>
            <w:r w:rsidRPr="00FF6404">
              <w:rPr>
                <w:b/>
                <w:bCs/>
                <w:lang w:val="fr-FR"/>
              </w:rPr>
              <w:t>585</w:t>
            </w:r>
            <w:r w:rsidR="00B708CE">
              <w:rPr>
                <w:b/>
                <w:bCs/>
                <w:lang w:val="fr-FR"/>
              </w:rPr>
              <w:t> </w:t>
            </w:r>
            <w:r w:rsidRPr="00FF6404">
              <w:rPr>
                <w:b/>
                <w:bCs/>
                <w:lang w:val="fr-FR"/>
              </w:rPr>
              <w:t>000</w:t>
            </w:r>
          </w:p>
        </w:tc>
        <w:tc>
          <w:tcPr>
            <w:tcW w:w="1796" w:type="dxa"/>
          </w:tcPr>
          <w:p w14:paraId="6828B960" w14:textId="117DD9D3" w:rsidR="00887EFE" w:rsidRPr="00FF6404" w:rsidRDefault="0025440E" w:rsidP="00763DA6">
            <w:pPr>
              <w:ind w:left="0" w:firstLine="0"/>
              <w:rPr>
                <w:b/>
                <w:bCs/>
                <w:lang w:val="fr-FR"/>
              </w:rPr>
            </w:pPr>
            <w:r w:rsidRPr="00FF6404">
              <w:rPr>
                <w:b/>
                <w:bCs/>
                <w:lang w:val="fr-FR"/>
              </w:rPr>
              <w:t>300</w:t>
            </w:r>
            <w:r w:rsidR="00B708CE">
              <w:rPr>
                <w:b/>
                <w:bCs/>
                <w:lang w:val="fr-FR"/>
              </w:rPr>
              <w:t> </w:t>
            </w:r>
            <w:r w:rsidRPr="00FF6404">
              <w:rPr>
                <w:b/>
                <w:bCs/>
                <w:lang w:val="fr-FR"/>
              </w:rPr>
              <w:t>000</w:t>
            </w:r>
          </w:p>
        </w:tc>
      </w:tr>
    </w:tbl>
    <w:p w14:paraId="31BA6FD0" w14:textId="3FBE310A" w:rsidR="00D95133" w:rsidRPr="00FF6404" w:rsidRDefault="00D95133">
      <w:pPr>
        <w:rPr>
          <w:bCs/>
          <w:lang w:val="fr-FR"/>
        </w:rPr>
      </w:pPr>
    </w:p>
    <w:sectPr w:rsidR="00D95133" w:rsidRPr="00FF6404" w:rsidSect="00282591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366E" w14:textId="77777777" w:rsidR="00B97B83" w:rsidRPr="00ED6A4F" w:rsidRDefault="00B97B83" w:rsidP="00DF2386">
      <w:r w:rsidRPr="00ED6A4F">
        <w:separator/>
      </w:r>
    </w:p>
  </w:endnote>
  <w:endnote w:type="continuationSeparator" w:id="0">
    <w:p w14:paraId="1959C396" w14:textId="77777777" w:rsidR="00B97B83" w:rsidRPr="00ED6A4F" w:rsidRDefault="00B97B83" w:rsidP="00DF2386">
      <w:r w:rsidRPr="00ED6A4F">
        <w:continuationSeparator/>
      </w:r>
    </w:p>
  </w:endnote>
  <w:endnote w:type="continuationNotice" w:id="1">
    <w:p w14:paraId="586BF786" w14:textId="77777777" w:rsidR="00B97B83" w:rsidRDefault="00B9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D491" w14:textId="2F6FD995" w:rsidR="00F73E71" w:rsidRPr="00ED6A4F" w:rsidRDefault="00E07553" w:rsidP="002137E0">
    <w:pPr>
      <w:pStyle w:val="Header"/>
    </w:pPr>
    <w:r w:rsidRPr="00ED6A4F">
      <w:rPr>
        <w:sz w:val="20"/>
        <w:szCs w:val="20"/>
      </w:rPr>
      <w:t>SC</w:t>
    </w:r>
    <w:r w:rsidR="00AA3C94" w:rsidRPr="00ED6A4F">
      <w:rPr>
        <w:sz w:val="20"/>
        <w:szCs w:val="20"/>
      </w:rPr>
      <w:t>6</w:t>
    </w:r>
    <w:r w:rsidR="007D45B5">
      <w:rPr>
        <w:sz w:val="20"/>
        <w:szCs w:val="20"/>
      </w:rPr>
      <w:t>4</w:t>
    </w:r>
    <w:r w:rsidRPr="00ED6A4F">
      <w:rPr>
        <w:sz w:val="20"/>
        <w:szCs w:val="20"/>
      </w:rPr>
      <w:t xml:space="preserve"> Doc.</w:t>
    </w:r>
    <w:r w:rsidR="003A0964">
      <w:rPr>
        <w:sz w:val="20"/>
        <w:szCs w:val="20"/>
      </w:rPr>
      <w:t>10</w:t>
    </w:r>
    <w:r w:rsidR="00F73E71" w:rsidRPr="00ED6A4F">
      <w:tab/>
    </w:r>
    <w:r w:rsidR="00F73E71" w:rsidRPr="00ED6A4F">
      <w:tab/>
    </w:r>
    <w:sdt>
      <w:sdtPr>
        <w:id w:val="-1790969534"/>
        <w:docPartObj>
          <w:docPartGallery w:val="Page Numbers (Top of Page)"/>
          <w:docPartUnique/>
        </w:docPartObj>
      </w:sdtPr>
      <w:sdtEndPr/>
      <w:sdtContent>
        <w:r w:rsidR="00F73E71" w:rsidRPr="00ED6A4F">
          <w:rPr>
            <w:sz w:val="20"/>
            <w:szCs w:val="20"/>
          </w:rPr>
          <w:fldChar w:fldCharType="begin"/>
        </w:r>
        <w:r w:rsidR="00F73E71" w:rsidRPr="00ED6A4F">
          <w:rPr>
            <w:sz w:val="20"/>
            <w:szCs w:val="20"/>
          </w:rPr>
          <w:instrText xml:space="preserve"> PAGE   \* MERGEFORMAT </w:instrText>
        </w:r>
        <w:r w:rsidR="00F73E71" w:rsidRPr="00ED6A4F">
          <w:rPr>
            <w:sz w:val="20"/>
            <w:szCs w:val="20"/>
          </w:rPr>
          <w:fldChar w:fldCharType="separate"/>
        </w:r>
        <w:r w:rsidR="007201C7" w:rsidRPr="00ED6A4F">
          <w:rPr>
            <w:sz w:val="20"/>
            <w:szCs w:val="20"/>
          </w:rPr>
          <w:t>4</w:t>
        </w:r>
        <w:r w:rsidR="00F73E71" w:rsidRPr="00ED6A4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F434" w14:textId="77777777" w:rsidR="00B97B83" w:rsidRPr="00ED6A4F" w:rsidRDefault="00B97B83" w:rsidP="00DF2386">
      <w:r w:rsidRPr="00ED6A4F">
        <w:separator/>
      </w:r>
    </w:p>
  </w:footnote>
  <w:footnote w:type="continuationSeparator" w:id="0">
    <w:p w14:paraId="15EBB1C9" w14:textId="77777777" w:rsidR="00B97B83" w:rsidRPr="00ED6A4F" w:rsidRDefault="00B97B83" w:rsidP="00DF2386">
      <w:r w:rsidRPr="00ED6A4F">
        <w:continuationSeparator/>
      </w:r>
    </w:p>
  </w:footnote>
  <w:footnote w:type="continuationNotice" w:id="1">
    <w:p w14:paraId="1F6C3095" w14:textId="77777777" w:rsidR="00B97B83" w:rsidRDefault="00B97B83"/>
  </w:footnote>
  <w:footnote w:id="2">
    <w:p w14:paraId="7D6F811A" w14:textId="73519A53" w:rsidR="00EC7AF2" w:rsidRPr="008E7F19" w:rsidRDefault="00EC7AF2" w:rsidP="00EC7AF2">
      <w:pPr>
        <w:pStyle w:val="FootnoteText"/>
        <w:ind w:left="0" w:firstLine="0"/>
      </w:pPr>
      <w:r w:rsidRPr="008E7F19">
        <w:rPr>
          <w:rStyle w:val="FootnoteReference"/>
          <w:lang w:val="fr-FR"/>
        </w:rPr>
        <w:footnoteRef/>
      </w:r>
      <w:r w:rsidRPr="008E7F19">
        <w:t xml:space="preserve"> </w:t>
      </w:r>
      <w:proofErr w:type="spellStart"/>
      <w:r w:rsidRPr="008E7F19">
        <w:t>Voir</w:t>
      </w:r>
      <w:proofErr w:type="spellEnd"/>
      <w:r w:rsidRPr="008E7F19">
        <w:t xml:space="preserve"> le document </w:t>
      </w:r>
      <w:proofErr w:type="spellStart"/>
      <w:r w:rsidRPr="008E7F19">
        <w:t>d</w:t>
      </w:r>
      <w:r w:rsidR="006F113B" w:rsidRPr="008E7F19">
        <w:t>’</w:t>
      </w:r>
      <w:r w:rsidRPr="008E7F19">
        <w:t>information</w:t>
      </w:r>
      <w:proofErr w:type="spellEnd"/>
      <w:r w:rsidRPr="008E7F19">
        <w:t xml:space="preserve"> SC63 Inf.2 </w:t>
      </w:r>
      <w:r w:rsidRPr="008E7F19">
        <w:rPr>
          <w:i/>
          <w:iCs/>
        </w:rPr>
        <w:t>National wetland inventories: Synthesis of the 13 in-depth interviews for further identification of specific needs and key constraints for Contracting Parties</w:t>
      </w:r>
      <w:r w:rsidRPr="008E7F19">
        <w:t xml:space="preserve">, </w:t>
      </w:r>
      <w:r w:rsidR="006F113B" w:rsidRPr="008E7F19">
        <w:t xml:space="preserve">à </w:t>
      </w:r>
      <w:proofErr w:type="spellStart"/>
      <w:r w:rsidR="006F113B" w:rsidRPr="008E7F19">
        <w:t>l’adresse</w:t>
      </w:r>
      <w:proofErr w:type="spellEnd"/>
      <w:r w:rsidR="006F113B" w:rsidRPr="008E7F19">
        <w:t xml:space="preserve"> : </w:t>
      </w:r>
      <w:hyperlink r:id="rId1" w:history="1">
        <w:r w:rsidR="006F113B" w:rsidRPr="008E7F19">
          <w:rPr>
            <w:rStyle w:val="Hyperlink"/>
          </w:rPr>
          <w:t>https://www.ramsar.org/document/sc63-inf2-national-wetland-inventories-synthesis-13-depth-interviews-further</w:t>
        </w:r>
      </w:hyperlink>
      <w:r w:rsidRPr="008E7F19">
        <w:t xml:space="preserve"> (</w:t>
      </w:r>
      <w:proofErr w:type="spellStart"/>
      <w:r w:rsidRPr="008E7F19">
        <w:t>en</w:t>
      </w:r>
      <w:proofErr w:type="spellEnd"/>
      <w:r w:rsidRPr="008E7F19">
        <w:t xml:space="preserve"> </w:t>
      </w:r>
      <w:proofErr w:type="spellStart"/>
      <w:r w:rsidRPr="008E7F19">
        <w:t>anglais</w:t>
      </w:r>
      <w:proofErr w:type="spellEnd"/>
      <w:r w:rsidRPr="008E7F19">
        <w:t>)</w:t>
      </w:r>
    </w:p>
  </w:footnote>
  <w:footnote w:id="3">
    <w:p w14:paraId="31620E0D" w14:textId="622E9FCD" w:rsidR="00EC7AF2" w:rsidRPr="00765B4E" w:rsidRDefault="00EC7AF2" w:rsidP="00EC7AF2">
      <w:pPr>
        <w:ind w:left="0" w:firstLine="0"/>
        <w:rPr>
          <w:rFonts w:asciiTheme="minorHAnsi" w:hAnsiTheme="minorHAnsi" w:cstheme="minorBidi"/>
          <w:i/>
          <w:iCs/>
          <w:sz w:val="20"/>
          <w:szCs w:val="20"/>
          <w:lang w:val="fr-FR"/>
        </w:rPr>
      </w:pPr>
      <w:r w:rsidRPr="008E7F19">
        <w:rPr>
          <w:rStyle w:val="FootnoteReference"/>
          <w:sz w:val="20"/>
          <w:szCs w:val="20"/>
          <w:lang w:val="fr-FR"/>
        </w:rPr>
        <w:footnoteRef/>
      </w:r>
      <w:r w:rsidRPr="008E7F19">
        <w:rPr>
          <w:sz w:val="20"/>
          <w:szCs w:val="20"/>
          <w:lang w:val="fr-FR"/>
        </w:rPr>
        <w:t xml:space="preserve"> </w:t>
      </w:r>
      <w:r w:rsidRPr="008E7F19">
        <w:rPr>
          <w:rFonts w:asciiTheme="minorHAnsi" w:hAnsiTheme="minorHAnsi" w:cstheme="minorBidi"/>
          <w:sz w:val="20"/>
          <w:szCs w:val="20"/>
          <w:lang w:val="fr-FR"/>
        </w:rPr>
        <w:t xml:space="preserve">Voir le document SC63 Doc.10, </w:t>
      </w:r>
      <w:r w:rsidRPr="008E7F19">
        <w:rPr>
          <w:rFonts w:asciiTheme="minorHAnsi" w:hAnsiTheme="minorHAnsi" w:cstheme="minorBidi"/>
          <w:i/>
          <w:iCs/>
          <w:sz w:val="20"/>
          <w:szCs w:val="20"/>
          <w:lang w:val="fr-FR"/>
        </w:rPr>
        <w:t>Problèmes urgents concernant l</w:t>
      </w:r>
      <w:r w:rsidR="006F113B" w:rsidRPr="008E7F19">
        <w:rPr>
          <w:rFonts w:asciiTheme="minorHAnsi" w:hAnsiTheme="minorHAnsi" w:cstheme="minorBidi"/>
          <w:i/>
          <w:iCs/>
          <w:sz w:val="20"/>
          <w:szCs w:val="20"/>
          <w:lang w:val="fr-FR"/>
        </w:rPr>
        <w:t>’</w:t>
      </w:r>
      <w:r w:rsidRPr="008E7F19">
        <w:rPr>
          <w:rFonts w:asciiTheme="minorHAnsi" w:hAnsiTheme="minorHAnsi" w:cstheme="minorBidi"/>
          <w:i/>
          <w:iCs/>
          <w:sz w:val="20"/>
          <w:szCs w:val="20"/>
          <w:lang w:val="fr-FR"/>
        </w:rPr>
        <w:t>utilisation rationnelle des zones humides nécessitant une attention accrue : mise à jour concernant les inventaires des zones humides</w:t>
      </w:r>
      <w:r w:rsidRPr="008E7F19">
        <w:rPr>
          <w:rFonts w:asciiTheme="minorHAnsi" w:hAnsiTheme="minorHAnsi" w:cstheme="minorBidi"/>
          <w:sz w:val="20"/>
          <w:szCs w:val="20"/>
          <w:lang w:val="fr-FR"/>
        </w:rPr>
        <w:t>, à l</w:t>
      </w:r>
      <w:r w:rsidR="006F113B" w:rsidRPr="008E7F19">
        <w:rPr>
          <w:rFonts w:asciiTheme="minorHAnsi" w:hAnsiTheme="minorHAnsi" w:cstheme="minorBidi"/>
          <w:sz w:val="20"/>
          <w:szCs w:val="20"/>
          <w:lang w:val="fr-FR"/>
        </w:rPr>
        <w:t>’</w:t>
      </w:r>
      <w:r w:rsidRPr="008E7F19">
        <w:rPr>
          <w:rFonts w:asciiTheme="minorHAnsi" w:hAnsiTheme="minorHAnsi" w:cstheme="minorBidi"/>
          <w:sz w:val="20"/>
          <w:szCs w:val="20"/>
          <w:lang w:val="fr-FR"/>
        </w:rPr>
        <w:t xml:space="preserve">adresse : </w:t>
      </w:r>
      <w:hyperlink r:id="rId2" w:history="1">
        <w:r w:rsidRPr="008E7F19">
          <w:rPr>
            <w:rStyle w:val="Hyperlink"/>
            <w:sz w:val="20"/>
            <w:szCs w:val="20"/>
            <w:lang w:val="fr-FR"/>
          </w:rPr>
          <w:t>https://www.ramsar.org/fr/document/sc63-doc10-problemes-urgents-dutilisation-rationnelle-des-zones-humides-devant-recevoir</w:t>
        </w:r>
      </w:hyperlink>
      <w:r w:rsidRPr="008E7F19">
        <w:rPr>
          <w:rFonts w:asciiTheme="minorHAnsi" w:hAnsiTheme="minorHAnsi" w:cstheme="minorBidi"/>
          <w:sz w:val="20"/>
          <w:szCs w:val="20"/>
          <w:lang w:val="fr-FR"/>
        </w:rPr>
        <w:t>.</w:t>
      </w:r>
      <w:r w:rsidRPr="00765B4E">
        <w:rPr>
          <w:rFonts w:asciiTheme="minorHAnsi" w:hAnsiTheme="minorHAnsi" w:cstheme="minorBidi"/>
          <w:lang w:val="fr-FR"/>
        </w:rPr>
        <w:t xml:space="preserve"> </w:t>
      </w:r>
    </w:p>
  </w:footnote>
  <w:footnote w:id="4">
    <w:p w14:paraId="462DC390" w14:textId="068BD847" w:rsidR="00BA0368" w:rsidRPr="008E14B3" w:rsidRDefault="00BA0368" w:rsidP="00BA0368">
      <w:pPr>
        <w:pStyle w:val="FootnoteText"/>
        <w:ind w:left="0" w:firstLine="0"/>
        <w:rPr>
          <w:lang w:val="fr-FR"/>
        </w:rPr>
      </w:pPr>
      <w:r w:rsidRPr="008E14B3">
        <w:rPr>
          <w:rStyle w:val="FootnoteReference"/>
          <w:lang w:val="fr-FR"/>
        </w:rPr>
        <w:footnoteRef/>
      </w:r>
      <w:r w:rsidRPr="008E14B3">
        <w:rPr>
          <w:lang w:val="fr-FR"/>
        </w:rPr>
        <w:t xml:space="preserve"> </w:t>
      </w:r>
      <w:r w:rsidR="008E14B3">
        <w:rPr>
          <w:lang w:val="fr-FR"/>
        </w:rPr>
        <w:t>Voir</w:t>
      </w:r>
      <w:r w:rsidRPr="008E14B3">
        <w:rPr>
          <w:lang w:val="fr-FR"/>
        </w:rPr>
        <w:t xml:space="preserve"> </w:t>
      </w:r>
      <w:r w:rsidRPr="008E14B3">
        <w:rPr>
          <w:rFonts w:asciiTheme="minorHAnsi" w:hAnsiTheme="minorHAnsi" w:cstheme="minorBidi"/>
          <w:lang w:val="fr-FR"/>
        </w:rPr>
        <w:t>paragraph</w:t>
      </w:r>
      <w:r w:rsidR="008E14B3">
        <w:rPr>
          <w:rFonts w:asciiTheme="minorHAnsi" w:hAnsiTheme="minorHAnsi" w:cstheme="minorBidi"/>
          <w:lang w:val="fr-FR"/>
        </w:rPr>
        <w:t>e </w:t>
      </w:r>
      <w:r w:rsidRPr="008E14B3">
        <w:rPr>
          <w:rFonts w:asciiTheme="minorHAnsi" w:hAnsiTheme="minorHAnsi" w:cstheme="minorBidi"/>
          <w:lang w:val="fr-FR"/>
        </w:rPr>
        <w:t xml:space="preserve">11 </w:t>
      </w:r>
      <w:r w:rsidR="008E14B3">
        <w:rPr>
          <w:rFonts w:asciiTheme="minorHAnsi" w:hAnsiTheme="minorHAnsi" w:cstheme="minorBidi"/>
          <w:lang w:val="fr-FR"/>
        </w:rPr>
        <w:t>ci-dessous pour de plus amples informations sur cette manifestation</w:t>
      </w:r>
      <w:r w:rsidRPr="008E14B3">
        <w:rPr>
          <w:rFonts w:asciiTheme="minorHAnsi" w:hAnsiTheme="minorHAnsi" w:cstheme="minorBidi"/>
          <w:lang w:val="fr-FR"/>
        </w:rPr>
        <w:t>.</w:t>
      </w:r>
    </w:p>
  </w:footnote>
  <w:footnote w:id="5">
    <w:p w14:paraId="4979A399" w14:textId="15B902AD" w:rsidR="00C03287" w:rsidRPr="008E14B3" w:rsidRDefault="00C03287" w:rsidP="00C03287">
      <w:pPr>
        <w:pStyle w:val="FootnoteText"/>
        <w:ind w:left="0" w:firstLine="0"/>
        <w:rPr>
          <w:lang w:val="fr-FR"/>
        </w:rPr>
      </w:pPr>
      <w:r w:rsidRPr="008E14B3">
        <w:rPr>
          <w:rStyle w:val="FootnoteReference"/>
          <w:lang w:val="fr-FR"/>
        </w:rPr>
        <w:footnoteRef/>
      </w:r>
      <w:r w:rsidRPr="008E14B3">
        <w:rPr>
          <w:lang w:val="fr-FR"/>
        </w:rPr>
        <w:t xml:space="preserve"> </w:t>
      </w:r>
      <w:r w:rsidR="008E14B3">
        <w:rPr>
          <w:lang w:val="fr-FR"/>
        </w:rPr>
        <w:t>Voir</w:t>
      </w:r>
      <w:r w:rsidRPr="008E14B3">
        <w:rPr>
          <w:lang w:val="fr-FR"/>
        </w:rPr>
        <w:t xml:space="preserve"> questions 8.1 </w:t>
      </w:r>
      <w:r w:rsidR="008E14B3">
        <w:rPr>
          <w:lang w:val="fr-FR"/>
        </w:rPr>
        <w:t>à</w:t>
      </w:r>
      <w:r w:rsidRPr="008E14B3">
        <w:rPr>
          <w:lang w:val="fr-FR"/>
        </w:rPr>
        <w:t xml:space="preserve"> 8.6 </w:t>
      </w:r>
      <w:r w:rsidR="008E14B3">
        <w:rPr>
          <w:lang w:val="fr-FR"/>
        </w:rPr>
        <w:t>du projet de Rapport national à l</w:t>
      </w:r>
      <w:r w:rsidR="006F113B">
        <w:rPr>
          <w:lang w:val="fr-FR"/>
        </w:rPr>
        <w:t>’</w:t>
      </w:r>
      <w:r w:rsidR="008E14B3">
        <w:rPr>
          <w:lang w:val="fr-FR"/>
        </w:rPr>
        <w:t>adresse :</w:t>
      </w:r>
      <w:r w:rsidRPr="008E14B3">
        <w:rPr>
          <w:lang w:val="fr-FR"/>
        </w:rPr>
        <w:t xml:space="preserve"> </w:t>
      </w:r>
      <w:hyperlink r:id="rId3" w:history="1">
        <w:r w:rsidR="008E14B3">
          <w:rPr>
            <w:rStyle w:val="Hyperlink"/>
            <w:lang w:val="fr-FR"/>
          </w:rPr>
          <w:t>https://www.ramsar.org/fr/document/projet-de-rapport-national-la-cop15-de-la-convention-sur-les-zones-humides</w:t>
        </w:r>
      </w:hyperlink>
      <w:r w:rsidRPr="008E14B3">
        <w:rPr>
          <w:lang w:val="fr-FR"/>
        </w:rPr>
        <w:t>.</w:t>
      </w:r>
    </w:p>
  </w:footnote>
  <w:footnote w:id="6">
    <w:p w14:paraId="46F793B0" w14:textId="02E42B7B" w:rsidR="003465F9" w:rsidRPr="003465F9" w:rsidRDefault="00C03287" w:rsidP="00C03287">
      <w:pPr>
        <w:autoSpaceDE w:val="0"/>
        <w:autoSpaceDN w:val="0"/>
        <w:adjustRightInd w:val="0"/>
        <w:ind w:left="0" w:firstLine="0"/>
        <w:rPr>
          <w:rFonts w:asciiTheme="minorHAnsi" w:hAnsiTheme="minorHAnsi" w:cstheme="minorBidi"/>
          <w:sz w:val="20"/>
          <w:szCs w:val="20"/>
          <w:lang w:val="fr-FR"/>
        </w:rPr>
      </w:pPr>
      <w:r w:rsidRPr="008E14B3">
        <w:rPr>
          <w:rStyle w:val="FootnoteReference"/>
          <w:sz w:val="20"/>
          <w:szCs w:val="20"/>
          <w:lang w:val="fr-FR"/>
        </w:rPr>
        <w:footnoteRef/>
      </w:r>
      <w:r w:rsidRPr="008E14B3">
        <w:rPr>
          <w:sz w:val="20"/>
          <w:szCs w:val="20"/>
          <w:lang w:val="fr-FR"/>
        </w:rPr>
        <w:t xml:space="preserve"> </w:t>
      </w:r>
      <w:r w:rsidR="00836E38">
        <w:rPr>
          <w:sz w:val="20"/>
          <w:szCs w:val="20"/>
          <w:lang w:val="fr-FR"/>
        </w:rPr>
        <w:t xml:space="preserve">Ces chiffres seront pris en compte au titre de </w:t>
      </w:r>
      <w:r w:rsidR="00836E38" w:rsidRPr="00836E38">
        <w:rPr>
          <w:sz w:val="20"/>
          <w:szCs w:val="20"/>
          <w:lang w:val="fr-FR"/>
        </w:rPr>
        <w:t>l</w:t>
      </w:r>
      <w:r w:rsidR="006F113B">
        <w:rPr>
          <w:sz w:val="20"/>
          <w:szCs w:val="20"/>
          <w:lang w:val="fr-FR"/>
        </w:rPr>
        <w:t>’</w:t>
      </w:r>
      <w:r w:rsidR="00836E38" w:rsidRPr="00836E38">
        <w:rPr>
          <w:sz w:val="20"/>
          <w:szCs w:val="20"/>
          <w:lang w:val="fr-FR"/>
        </w:rPr>
        <w:t xml:space="preserve">Indicateur 6.6.1 </w:t>
      </w:r>
      <w:r w:rsidR="00836E38">
        <w:rPr>
          <w:sz w:val="20"/>
          <w:szCs w:val="20"/>
          <w:lang w:val="fr-FR"/>
        </w:rPr>
        <w:t xml:space="preserve">des ODD </w:t>
      </w:r>
      <w:r w:rsidR="00836E38" w:rsidRPr="00836E38">
        <w:rPr>
          <w:sz w:val="20"/>
          <w:szCs w:val="20"/>
          <w:lang w:val="fr-FR"/>
        </w:rPr>
        <w:t>« Variation de l</w:t>
      </w:r>
      <w:r w:rsidR="006F113B">
        <w:rPr>
          <w:sz w:val="20"/>
          <w:szCs w:val="20"/>
          <w:lang w:val="fr-FR"/>
        </w:rPr>
        <w:t>’</w:t>
      </w:r>
      <w:r w:rsidR="00836E38" w:rsidRPr="00836E38">
        <w:rPr>
          <w:sz w:val="20"/>
          <w:szCs w:val="20"/>
          <w:lang w:val="fr-FR"/>
        </w:rPr>
        <w:t>étendue des écosystèmes tributaires de l</w:t>
      </w:r>
      <w:r w:rsidR="006F113B">
        <w:rPr>
          <w:sz w:val="20"/>
          <w:szCs w:val="20"/>
          <w:lang w:val="fr-FR"/>
        </w:rPr>
        <w:t>’</w:t>
      </w:r>
      <w:r w:rsidR="00836E38" w:rsidRPr="00836E38">
        <w:rPr>
          <w:sz w:val="20"/>
          <w:szCs w:val="20"/>
          <w:lang w:val="fr-FR"/>
        </w:rPr>
        <w:t>eau »</w:t>
      </w:r>
      <w:r w:rsidRPr="008E14B3">
        <w:rPr>
          <w:sz w:val="20"/>
          <w:szCs w:val="20"/>
          <w:lang w:val="fr-FR"/>
        </w:rPr>
        <w:t xml:space="preserve">. </w:t>
      </w:r>
      <w:r w:rsidR="00836E38" w:rsidRPr="00836E38">
        <w:rPr>
          <w:sz w:val="20"/>
          <w:szCs w:val="20"/>
          <w:lang w:val="fr-FR"/>
        </w:rPr>
        <w:t>La Convention sur les zones hu</w:t>
      </w:r>
      <w:r w:rsidR="003465F9">
        <w:rPr>
          <w:sz w:val="20"/>
          <w:szCs w:val="20"/>
          <w:lang w:val="fr-FR"/>
        </w:rPr>
        <w:t>m</w:t>
      </w:r>
      <w:r w:rsidR="00836E38" w:rsidRPr="00836E38">
        <w:rPr>
          <w:sz w:val="20"/>
          <w:szCs w:val="20"/>
          <w:lang w:val="fr-FR"/>
        </w:rPr>
        <w:t xml:space="preserve">ides et le PNUE sont </w:t>
      </w:r>
      <w:proofErr w:type="spellStart"/>
      <w:r w:rsidR="00836E38" w:rsidRPr="00836E38">
        <w:rPr>
          <w:sz w:val="20"/>
          <w:szCs w:val="20"/>
          <w:lang w:val="fr-FR"/>
        </w:rPr>
        <w:t>co</w:t>
      </w:r>
      <w:proofErr w:type="spellEnd"/>
      <w:r w:rsidR="00836E38" w:rsidRPr="00836E38">
        <w:rPr>
          <w:sz w:val="20"/>
          <w:szCs w:val="20"/>
          <w:lang w:val="fr-FR"/>
        </w:rPr>
        <w:t>-</w:t>
      </w:r>
      <w:r w:rsidR="003465F9">
        <w:rPr>
          <w:sz w:val="20"/>
          <w:szCs w:val="20"/>
          <w:lang w:val="fr-FR"/>
        </w:rPr>
        <w:t>dépositaires</w:t>
      </w:r>
      <w:r w:rsidR="00836E38" w:rsidRPr="00836E38">
        <w:rPr>
          <w:sz w:val="20"/>
          <w:szCs w:val="20"/>
          <w:lang w:val="fr-FR"/>
        </w:rPr>
        <w:t xml:space="preserve"> de l</w:t>
      </w:r>
      <w:r w:rsidR="006F113B">
        <w:rPr>
          <w:sz w:val="20"/>
          <w:szCs w:val="20"/>
          <w:lang w:val="fr-FR"/>
        </w:rPr>
        <w:t>’</w:t>
      </w:r>
      <w:r w:rsidR="003465F9">
        <w:rPr>
          <w:sz w:val="20"/>
          <w:szCs w:val="20"/>
          <w:lang w:val="fr-FR"/>
        </w:rPr>
        <w:t>I</w:t>
      </w:r>
      <w:r w:rsidR="00836E38" w:rsidRPr="00836E38">
        <w:rPr>
          <w:sz w:val="20"/>
          <w:szCs w:val="20"/>
          <w:lang w:val="fr-FR"/>
        </w:rPr>
        <w:t>ndicateur 6.6.1 depuis 2017 (voir le paragraphe</w:t>
      </w:r>
      <w:r w:rsidR="00836E38">
        <w:rPr>
          <w:sz w:val="20"/>
          <w:szCs w:val="20"/>
          <w:lang w:val="fr-FR"/>
        </w:rPr>
        <w:t> </w:t>
      </w:r>
      <w:r w:rsidRPr="008E14B3">
        <w:rPr>
          <w:sz w:val="20"/>
          <w:szCs w:val="20"/>
          <w:lang w:val="fr-FR"/>
        </w:rPr>
        <w:t>2,</w:t>
      </w:r>
      <w:r w:rsidRPr="008E14B3">
        <w:rPr>
          <w:rFonts w:asciiTheme="minorHAnsi" w:hAnsiTheme="minorHAnsi" w:cstheme="minorBidi"/>
          <w:sz w:val="20"/>
          <w:szCs w:val="20"/>
          <w:lang w:val="fr-FR"/>
        </w:rPr>
        <w:t xml:space="preserve"> </w:t>
      </w:r>
      <w:hyperlink r:id="rId4" w:history="1">
        <w:r w:rsidRPr="008E14B3">
          <w:rPr>
            <w:rStyle w:val="Hyperlink"/>
            <w:rFonts w:asciiTheme="minorHAnsi" w:hAnsiTheme="minorHAnsi" w:cstheme="minorBidi"/>
            <w:sz w:val="20"/>
            <w:szCs w:val="20"/>
            <w:lang w:val="fr-FR"/>
          </w:rPr>
          <w:t>SC63 Doc.10</w:t>
        </w:r>
      </w:hyperlink>
      <w:r w:rsidRPr="008E14B3">
        <w:rPr>
          <w:rFonts w:asciiTheme="minorHAnsi" w:hAnsiTheme="minorHAnsi" w:cstheme="minorBidi"/>
          <w:sz w:val="20"/>
          <w:szCs w:val="20"/>
          <w:lang w:val="fr-FR"/>
        </w:rPr>
        <w:t>).</w:t>
      </w:r>
    </w:p>
  </w:footnote>
  <w:footnote w:id="7">
    <w:p w14:paraId="19FA9ED3" w14:textId="59C36DD0" w:rsidR="00D43CE8" w:rsidRPr="008E14B3" w:rsidRDefault="00D43CE8" w:rsidP="00D43CE8">
      <w:pPr>
        <w:pStyle w:val="FootnoteText"/>
        <w:ind w:left="0" w:firstLine="0"/>
        <w:rPr>
          <w:lang w:val="fr-FR"/>
        </w:rPr>
      </w:pPr>
      <w:r w:rsidRPr="008E14B3">
        <w:rPr>
          <w:rStyle w:val="FootnoteReference"/>
          <w:lang w:val="fr-FR"/>
        </w:rPr>
        <w:footnoteRef/>
      </w:r>
      <w:r w:rsidRPr="008E14B3">
        <w:rPr>
          <w:lang w:val="fr-FR"/>
        </w:rPr>
        <w:t xml:space="preserve"> Max</w:t>
      </w:r>
      <w:r w:rsidR="003465F9">
        <w:rPr>
          <w:lang w:val="fr-FR"/>
        </w:rPr>
        <w:t> </w:t>
      </w:r>
      <w:r w:rsidRPr="008E14B3">
        <w:rPr>
          <w:lang w:val="fr-FR"/>
        </w:rPr>
        <w:t xml:space="preserve">Finlayson, </w:t>
      </w:r>
      <w:proofErr w:type="spellStart"/>
      <w:r w:rsidRPr="008E14B3">
        <w:rPr>
          <w:lang w:val="fr-FR"/>
        </w:rPr>
        <w:t>Iryna</w:t>
      </w:r>
      <w:proofErr w:type="spellEnd"/>
      <w:r w:rsidR="003465F9">
        <w:rPr>
          <w:lang w:val="fr-FR"/>
        </w:rPr>
        <w:t> </w:t>
      </w:r>
      <w:proofErr w:type="spellStart"/>
      <w:r w:rsidRPr="008E14B3">
        <w:rPr>
          <w:lang w:val="fr-FR"/>
        </w:rPr>
        <w:t>Dronova</w:t>
      </w:r>
      <w:proofErr w:type="spellEnd"/>
      <w:r w:rsidRPr="008E14B3">
        <w:rPr>
          <w:lang w:val="fr-FR"/>
        </w:rPr>
        <w:t xml:space="preserve">, Dan </w:t>
      </w:r>
      <w:proofErr w:type="spellStart"/>
      <w:r w:rsidRPr="008E14B3">
        <w:rPr>
          <w:lang w:val="fr-FR"/>
        </w:rPr>
        <w:t>Friess</w:t>
      </w:r>
      <w:proofErr w:type="spellEnd"/>
      <w:r w:rsidR="003465F9">
        <w:rPr>
          <w:lang w:val="fr-FR"/>
        </w:rPr>
        <w:t xml:space="preserve">, experts-consultants, et </w:t>
      </w:r>
      <w:r w:rsidRPr="008E14B3">
        <w:rPr>
          <w:lang w:val="fr-FR"/>
        </w:rPr>
        <w:t>PJ</w:t>
      </w:r>
      <w:r w:rsidR="003465F9">
        <w:rPr>
          <w:lang w:val="fr-FR"/>
        </w:rPr>
        <w:t> </w:t>
      </w:r>
      <w:r w:rsidRPr="008E14B3">
        <w:rPr>
          <w:lang w:val="fr-FR"/>
        </w:rPr>
        <w:t xml:space="preserve">Stephenson </w:t>
      </w:r>
      <w:r w:rsidR="003465F9">
        <w:rPr>
          <w:lang w:val="fr-FR"/>
        </w:rPr>
        <w:t xml:space="preserve">aident le Secrétariat dans le cadre du programme de formation </w:t>
      </w:r>
      <w:r w:rsidRPr="008E14B3">
        <w:rPr>
          <w:lang w:val="fr-FR"/>
        </w:rPr>
        <w:t>(Module</w:t>
      </w:r>
      <w:r w:rsidR="003465F9">
        <w:rPr>
          <w:lang w:val="fr-FR"/>
        </w:rPr>
        <w:t>s</w:t>
      </w:r>
      <w:r w:rsidRPr="008E14B3">
        <w:rPr>
          <w:lang w:val="fr-FR"/>
        </w:rPr>
        <w:t xml:space="preserve"> 1 </w:t>
      </w:r>
      <w:r w:rsidR="003465F9">
        <w:rPr>
          <w:lang w:val="fr-FR"/>
        </w:rPr>
        <w:t>et</w:t>
      </w:r>
      <w:r w:rsidRPr="008E14B3">
        <w:rPr>
          <w:lang w:val="fr-FR"/>
        </w:rPr>
        <w:t xml:space="preserve"> 2) </w:t>
      </w:r>
      <w:r w:rsidR="003465F9">
        <w:rPr>
          <w:lang w:val="fr-FR"/>
        </w:rPr>
        <w:t>et de l</w:t>
      </w:r>
      <w:r w:rsidR="006F113B">
        <w:rPr>
          <w:lang w:val="fr-FR"/>
        </w:rPr>
        <w:t>’</w:t>
      </w:r>
      <w:r w:rsidR="003465F9">
        <w:rPr>
          <w:lang w:val="fr-FR"/>
        </w:rPr>
        <w:t>é</w:t>
      </w:r>
      <w:r w:rsidRPr="008E14B3">
        <w:rPr>
          <w:lang w:val="fr-FR"/>
        </w:rPr>
        <w:t xml:space="preserve">laboration </w:t>
      </w:r>
      <w:r w:rsidR="003465F9">
        <w:rPr>
          <w:lang w:val="fr-FR"/>
        </w:rPr>
        <w:t xml:space="preserve">des </w:t>
      </w:r>
      <w:r w:rsidRPr="008E14B3">
        <w:rPr>
          <w:lang w:val="fr-FR"/>
        </w:rPr>
        <w:t>documents</w:t>
      </w:r>
      <w:r w:rsidR="003465F9">
        <w:rPr>
          <w:lang w:val="fr-FR"/>
        </w:rPr>
        <w:t xml:space="preserve"> d</w:t>
      </w:r>
      <w:r w:rsidR="006F113B">
        <w:rPr>
          <w:lang w:val="fr-FR"/>
        </w:rPr>
        <w:t>’</w:t>
      </w:r>
      <w:r w:rsidR="003465F9">
        <w:rPr>
          <w:lang w:val="fr-FR"/>
        </w:rPr>
        <w:t>orientation</w:t>
      </w:r>
      <w:r w:rsidRPr="008E14B3">
        <w:rPr>
          <w:lang w:val="fr-FR"/>
        </w:rPr>
        <w:t>.</w:t>
      </w:r>
    </w:p>
  </w:footnote>
  <w:footnote w:id="8">
    <w:p w14:paraId="3B5BEDBA" w14:textId="44BF31CD" w:rsidR="000241BA" w:rsidRPr="008E7F19" w:rsidRDefault="000241BA" w:rsidP="000241BA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8E7F19">
        <w:rPr>
          <w:lang w:val="fr-FR"/>
        </w:rPr>
        <w:t xml:space="preserve"> </w:t>
      </w:r>
      <w:r w:rsidR="00B0542A" w:rsidRPr="002F6000">
        <w:rPr>
          <w:lang w:val="fr-FR"/>
        </w:rPr>
        <w:t xml:space="preserve">Compte tenu des ressources financières </w:t>
      </w:r>
      <w:r w:rsidR="002F6000">
        <w:rPr>
          <w:lang w:val="fr-FR"/>
        </w:rPr>
        <w:t>disponibles</w:t>
      </w:r>
      <w:r w:rsidR="00B0542A" w:rsidRPr="002F6000">
        <w:rPr>
          <w:lang w:val="fr-FR"/>
        </w:rPr>
        <w:t xml:space="preserve"> à ce jour, le Secrétariat n</w:t>
      </w:r>
      <w:r w:rsidR="006F113B">
        <w:rPr>
          <w:lang w:val="fr-FR"/>
        </w:rPr>
        <w:t>’</w:t>
      </w:r>
      <w:r w:rsidR="00B0542A" w:rsidRPr="002F6000">
        <w:rPr>
          <w:lang w:val="fr-FR"/>
        </w:rPr>
        <w:t>a pu</w:t>
      </w:r>
      <w:r w:rsidR="002F6000">
        <w:rPr>
          <w:lang w:val="fr-FR"/>
        </w:rPr>
        <w:t>,</w:t>
      </w:r>
      <w:r w:rsidR="00B0542A" w:rsidRPr="002F6000">
        <w:rPr>
          <w:lang w:val="fr-FR"/>
        </w:rPr>
        <w:t xml:space="preserve"> </w:t>
      </w:r>
      <w:r w:rsidR="002F6000" w:rsidRPr="002F6000">
        <w:rPr>
          <w:lang w:val="fr-FR"/>
        </w:rPr>
        <w:t>à ce stade</w:t>
      </w:r>
      <w:r w:rsidR="002F6000">
        <w:rPr>
          <w:lang w:val="fr-FR"/>
        </w:rPr>
        <w:t>,</w:t>
      </w:r>
      <w:r w:rsidR="002F6000" w:rsidRPr="002F6000">
        <w:rPr>
          <w:lang w:val="fr-FR"/>
        </w:rPr>
        <w:t xml:space="preserve"> </w:t>
      </w:r>
      <w:r w:rsidR="00B0542A" w:rsidRPr="002F6000">
        <w:rPr>
          <w:lang w:val="fr-FR"/>
        </w:rPr>
        <w:t>proposer la formation qu</w:t>
      </w:r>
      <w:r w:rsidR="006F113B">
        <w:rPr>
          <w:lang w:val="fr-FR"/>
        </w:rPr>
        <w:t>’</w:t>
      </w:r>
      <w:r w:rsidR="00B0542A" w:rsidRPr="002F6000">
        <w:rPr>
          <w:lang w:val="fr-FR"/>
        </w:rPr>
        <w:t>aux seuls pays éligibles à l</w:t>
      </w:r>
      <w:r w:rsidR="006F113B">
        <w:rPr>
          <w:lang w:val="fr-FR"/>
        </w:rPr>
        <w:t>’</w:t>
      </w:r>
      <w:r w:rsidR="00B0542A" w:rsidRPr="002F6000">
        <w:rPr>
          <w:lang w:val="fr-FR"/>
        </w:rPr>
        <w:t xml:space="preserve">aide publique au développement (APD)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5F93" w14:textId="77777777" w:rsidR="00F73E71" w:rsidRPr="00ED6A4F" w:rsidRDefault="00F73E71">
    <w:pPr>
      <w:pStyle w:val="Header"/>
    </w:pPr>
  </w:p>
  <w:p w14:paraId="7DAF5075" w14:textId="77777777" w:rsidR="00F73E71" w:rsidRPr="00ED6A4F" w:rsidRDefault="00F73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50C2"/>
    <w:multiLevelType w:val="hybridMultilevel"/>
    <w:tmpl w:val="E2EACEF4"/>
    <w:lvl w:ilvl="0" w:tplc="6F626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039DE"/>
    <w:multiLevelType w:val="hybridMultilevel"/>
    <w:tmpl w:val="74B23C2E"/>
    <w:lvl w:ilvl="0" w:tplc="61EE5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C768A"/>
    <w:multiLevelType w:val="hybridMultilevel"/>
    <w:tmpl w:val="D49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67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6E1EBC"/>
    <w:multiLevelType w:val="hybridMultilevel"/>
    <w:tmpl w:val="9440C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155C5"/>
    <w:multiLevelType w:val="hybridMultilevel"/>
    <w:tmpl w:val="B6F0B702"/>
    <w:lvl w:ilvl="0" w:tplc="5FD0263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20B81"/>
    <w:multiLevelType w:val="hybridMultilevel"/>
    <w:tmpl w:val="A426C190"/>
    <w:lvl w:ilvl="0" w:tplc="860E61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CB4095A"/>
    <w:multiLevelType w:val="hybridMultilevel"/>
    <w:tmpl w:val="47AE4A62"/>
    <w:lvl w:ilvl="0" w:tplc="1D689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7766B"/>
    <w:multiLevelType w:val="multilevel"/>
    <w:tmpl w:val="65BC5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159541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837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1083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128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412222">
    <w:abstractNumId w:val="17"/>
  </w:num>
  <w:num w:numId="6" w16cid:durableId="1044670338">
    <w:abstractNumId w:val="29"/>
  </w:num>
  <w:num w:numId="7" w16cid:durableId="1294753829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77272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5745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36549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7571849">
    <w:abstractNumId w:val="29"/>
  </w:num>
  <w:num w:numId="12" w16cid:durableId="1359620487">
    <w:abstractNumId w:val="4"/>
  </w:num>
  <w:num w:numId="13" w16cid:durableId="385614651">
    <w:abstractNumId w:val="18"/>
  </w:num>
  <w:num w:numId="14" w16cid:durableId="695351544">
    <w:abstractNumId w:val="12"/>
  </w:num>
  <w:num w:numId="15" w16cid:durableId="18943857">
    <w:abstractNumId w:val="2"/>
  </w:num>
  <w:num w:numId="16" w16cid:durableId="1737048501">
    <w:abstractNumId w:val="15"/>
  </w:num>
  <w:num w:numId="17" w16cid:durableId="1394965760">
    <w:abstractNumId w:val="22"/>
  </w:num>
  <w:num w:numId="18" w16cid:durableId="554465864">
    <w:abstractNumId w:val="34"/>
  </w:num>
  <w:num w:numId="19" w16cid:durableId="741105055">
    <w:abstractNumId w:val="32"/>
  </w:num>
  <w:num w:numId="20" w16cid:durableId="1660232768">
    <w:abstractNumId w:val="26"/>
  </w:num>
  <w:num w:numId="21" w16cid:durableId="289628904">
    <w:abstractNumId w:val="28"/>
  </w:num>
  <w:num w:numId="22" w16cid:durableId="169565359">
    <w:abstractNumId w:val="16"/>
  </w:num>
  <w:num w:numId="23" w16cid:durableId="354232266">
    <w:abstractNumId w:val="25"/>
  </w:num>
  <w:num w:numId="24" w16cid:durableId="533232546">
    <w:abstractNumId w:val="20"/>
  </w:num>
  <w:num w:numId="25" w16cid:durableId="56559635">
    <w:abstractNumId w:val="30"/>
  </w:num>
  <w:num w:numId="26" w16cid:durableId="322007130">
    <w:abstractNumId w:val="8"/>
  </w:num>
  <w:num w:numId="27" w16cid:durableId="1112671487">
    <w:abstractNumId w:val="0"/>
  </w:num>
  <w:num w:numId="28" w16cid:durableId="1998806123">
    <w:abstractNumId w:val="11"/>
  </w:num>
  <w:num w:numId="29" w16cid:durableId="994409165">
    <w:abstractNumId w:val="3"/>
  </w:num>
  <w:num w:numId="30" w16cid:durableId="1230266239">
    <w:abstractNumId w:val="31"/>
  </w:num>
  <w:num w:numId="31" w16cid:durableId="106853532">
    <w:abstractNumId w:val="19"/>
  </w:num>
  <w:num w:numId="32" w16cid:durableId="62336431">
    <w:abstractNumId w:val="13"/>
  </w:num>
  <w:num w:numId="33" w16cid:durableId="1021466648">
    <w:abstractNumId w:val="9"/>
  </w:num>
  <w:num w:numId="34" w16cid:durableId="1853181213">
    <w:abstractNumId w:val="3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446052">
    <w:abstractNumId w:val="21"/>
  </w:num>
  <w:num w:numId="36" w16cid:durableId="1700273071">
    <w:abstractNumId w:val="33"/>
  </w:num>
  <w:num w:numId="37" w16cid:durableId="448284110">
    <w:abstractNumId w:val="24"/>
  </w:num>
  <w:num w:numId="38" w16cid:durableId="20781680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105B"/>
    <w:rsid w:val="0000258F"/>
    <w:rsid w:val="00002D31"/>
    <w:rsid w:val="0000364E"/>
    <w:rsid w:val="0000572F"/>
    <w:rsid w:val="00006949"/>
    <w:rsid w:val="00006BAF"/>
    <w:rsid w:val="00010725"/>
    <w:rsid w:val="00010BDF"/>
    <w:rsid w:val="00010F04"/>
    <w:rsid w:val="00011EB4"/>
    <w:rsid w:val="00012187"/>
    <w:rsid w:val="00012C9D"/>
    <w:rsid w:val="00014168"/>
    <w:rsid w:val="00014B1D"/>
    <w:rsid w:val="00014CBB"/>
    <w:rsid w:val="000156EF"/>
    <w:rsid w:val="000160C8"/>
    <w:rsid w:val="00016314"/>
    <w:rsid w:val="00017A16"/>
    <w:rsid w:val="00023A8D"/>
    <w:rsid w:val="000241BA"/>
    <w:rsid w:val="000244CB"/>
    <w:rsid w:val="00024CA3"/>
    <w:rsid w:val="000254B9"/>
    <w:rsid w:val="000269CA"/>
    <w:rsid w:val="00026E09"/>
    <w:rsid w:val="0002765E"/>
    <w:rsid w:val="000302E2"/>
    <w:rsid w:val="000314B6"/>
    <w:rsid w:val="00033D74"/>
    <w:rsid w:val="0003404E"/>
    <w:rsid w:val="000364F2"/>
    <w:rsid w:val="00037CE0"/>
    <w:rsid w:val="0004132C"/>
    <w:rsid w:val="00041A66"/>
    <w:rsid w:val="00041E47"/>
    <w:rsid w:val="00042C65"/>
    <w:rsid w:val="00042CCC"/>
    <w:rsid w:val="00050DA6"/>
    <w:rsid w:val="000510E1"/>
    <w:rsid w:val="0005144E"/>
    <w:rsid w:val="00052219"/>
    <w:rsid w:val="00052A1C"/>
    <w:rsid w:val="0005310B"/>
    <w:rsid w:val="00053929"/>
    <w:rsid w:val="00054679"/>
    <w:rsid w:val="0005522B"/>
    <w:rsid w:val="00056244"/>
    <w:rsid w:val="000605F9"/>
    <w:rsid w:val="00061BDA"/>
    <w:rsid w:val="000638E3"/>
    <w:rsid w:val="00063CE4"/>
    <w:rsid w:val="000641D8"/>
    <w:rsid w:val="0006702D"/>
    <w:rsid w:val="0006790D"/>
    <w:rsid w:val="00070E9E"/>
    <w:rsid w:val="00072AE8"/>
    <w:rsid w:val="00074DE8"/>
    <w:rsid w:val="00075856"/>
    <w:rsid w:val="000762A2"/>
    <w:rsid w:val="00076C43"/>
    <w:rsid w:val="00077419"/>
    <w:rsid w:val="0008163D"/>
    <w:rsid w:val="000818DF"/>
    <w:rsid w:val="000832D0"/>
    <w:rsid w:val="000839CF"/>
    <w:rsid w:val="00085890"/>
    <w:rsid w:val="00087070"/>
    <w:rsid w:val="000874C3"/>
    <w:rsid w:val="00090DE9"/>
    <w:rsid w:val="000918A2"/>
    <w:rsid w:val="000921EE"/>
    <w:rsid w:val="00094035"/>
    <w:rsid w:val="000944EB"/>
    <w:rsid w:val="00094FB9"/>
    <w:rsid w:val="00096237"/>
    <w:rsid w:val="00096675"/>
    <w:rsid w:val="00096EC3"/>
    <w:rsid w:val="00096FC5"/>
    <w:rsid w:val="00097504"/>
    <w:rsid w:val="000A0F51"/>
    <w:rsid w:val="000A1006"/>
    <w:rsid w:val="000A3529"/>
    <w:rsid w:val="000A3588"/>
    <w:rsid w:val="000A3E3E"/>
    <w:rsid w:val="000A47AD"/>
    <w:rsid w:val="000A5BB5"/>
    <w:rsid w:val="000A672C"/>
    <w:rsid w:val="000A7209"/>
    <w:rsid w:val="000A77B8"/>
    <w:rsid w:val="000B09CF"/>
    <w:rsid w:val="000B0DF9"/>
    <w:rsid w:val="000B10E8"/>
    <w:rsid w:val="000B1119"/>
    <w:rsid w:val="000B1966"/>
    <w:rsid w:val="000B1D3F"/>
    <w:rsid w:val="000B2BF1"/>
    <w:rsid w:val="000B5EBF"/>
    <w:rsid w:val="000B7000"/>
    <w:rsid w:val="000C0AD7"/>
    <w:rsid w:val="000C0EA8"/>
    <w:rsid w:val="000C1356"/>
    <w:rsid w:val="000C1FB9"/>
    <w:rsid w:val="000C2489"/>
    <w:rsid w:val="000C48FE"/>
    <w:rsid w:val="000C49E0"/>
    <w:rsid w:val="000C5749"/>
    <w:rsid w:val="000C58EC"/>
    <w:rsid w:val="000C7AA8"/>
    <w:rsid w:val="000C7E9C"/>
    <w:rsid w:val="000D2C9D"/>
    <w:rsid w:val="000D32B6"/>
    <w:rsid w:val="000D47AD"/>
    <w:rsid w:val="000D5C76"/>
    <w:rsid w:val="000D73C3"/>
    <w:rsid w:val="000D7AF3"/>
    <w:rsid w:val="000E0504"/>
    <w:rsid w:val="000E1AB1"/>
    <w:rsid w:val="000E1CD6"/>
    <w:rsid w:val="000E1F23"/>
    <w:rsid w:val="000E2E11"/>
    <w:rsid w:val="000E2FA0"/>
    <w:rsid w:val="000E3F1F"/>
    <w:rsid w:val="000E47E9"/>
    <w:rsid w:val="000E4EF0"/>
    <w:rsid w:val="000E4FA6"/>
    <w:rsid w:val="000E5E9E"/>
    <w:rsid w:val="000E6887"/>
    <w:rsid w:val="000F071D"/>
    <w:rsid w:val="000F2409"/>
    <w:rsid w:val="000F39DC"/>
    <w:rsid w:val="000F3EDC"/>
    <w:rsid w:val="000F55CD"/>
    <w:rsid w:val="000F684B"/>
    <w:rsid w:val="000F76DD"/>
    <w:rsid w:val="00100571"/>
    <w:rsid w:val="001009A8"/>
    <w:rsid w:val="001022C5"/>
    <w:rsid w:val="00103503"/>
    <w:rsid w:val="00105BCD"/>
    <w:rsid w:val="00106B6E"/>
    <w:rsid w:val="00107857"/>
    <w:rsid w:val="00110CE3"/>
    <w:rsid w:val="00110DBF"/>
    <w:rsid w:val="00112AD1"/>
    <w:rsid w:val="0011459A"/>
    <w:rsid w:val="001151BB"/>
    <w:rsid w:val="00115C0A"/>
    <w:rsid w:val="001163FB"/>
    <w:rsid w:val="00116427"/>
    <w:rsid w:val="00116B52"/>
    <w:rsid w:val="0012096C"/>
    <w:rsid w:val="00125217"/>
    <w:rsid w:val="00125D49"/>
    <w:rsid w:val="001267AF"/>
    <w:rsid w:val="00127828"/>
    <w:rsid w:val="00132539"/>
    <w:rsid w:val="00133470"/>
    <w:rsid w:val="001338FC"/>
    <w:rsid w:val="001345FA"/>
    <w:rsid w:val="00136976"/>
    <w:rsid w:val="00136E3B"/>
    <w:rsid w:val="00137149"/>
    <w:rsid w:val="0013729A"/>
    <w:rsid w:val="0014028B"/>
    <w:rsid w:val="0014044E"/>
    <w:rsid w:val="00142621"/>
    <w:rsid w:val="00142A19"/>
    <w:rsid w:val="001440CE"/>
    <w:rsid w:val="001452DC"/>
    <w:rsid w:val="00145FA6"/>
    <w:rsid w:val="001469A4"/>
    <w:rsid w:val="00146D3E"/>
    <w:rsid w:val="001478B5"/>
    <w:rsid w:val="00147C2F"/>
    <w:rsid w:val="00150021"/>
    <w:rsid w:val="0015232D"/>
    <w:rsid w:val="00154ABB"/>
    <w:rsid w:val="00154E62"/>
    <w:rsid w:val="00155D36"/>
    <w:rsid w:val="00156DB4"/>
    <w:rsid w:val="00157844"/>
    <w:rsid w:val="0016013A"/>
    <w:rsid w:val="00161BDA"/>
    <w:rsid w:val="00161CC3"/>
    <w:rsid w:val="00165451"/>
    <w:rsid w:val="001710E5"/>
    <w:rsid w:val="00171618"/>
    <w:rsid w:val="00171DCB"/>
    <w:rsid w:val="00172549"/>
    <w:rsid w:val="0017308B"/>
    <w:rsid w:val="00175AC8"/>
    <w:rsid w:val="00176BE9"/>
    <w:rsid w:val="00177229"/>
    <w:rsid w:val="001773B0"/>
    <w:rsid w:val="001819B1"/>
    <w:rsid w:val="001820B7"/>
    <w:rsid w:val="001829C0"/>
    <w:rsid w:val="0019088C"/>
    <w:rsid w:val="00190C96"/>
    <w:rsid w:val="00191207"/>
    <w:rsid w:val="00191719"/>
    <w:rsid w:val="00191D0C"/>
    <w:rsid w:val="0019524F"/>
    <w:rsid w:val="001A2D10"/>
    <w:rsid w:val="001A33D6"/>
    <w:rsid w:val="001A3492"/>
    <w:rsid w:val="001A3B00"/>
    <w:rsid w:val="001A5A80"/>
    <w:rsid w:val="001A66EA"/>
    <w:rsid w:val="001B1E4D"/>
    <w:rsid w:val="001B26F2"/>
    <w:rsid w:val="001B6F6C"/>
    <w:rsid w:val="001C11B1"/>
    <w:rsid w:val="001C3035"/>
    <w:rsid w:val="001C3526"/>
    <w:rsid w:val="001C3E3F"/>
    <w:rsid w:val="001C4803"/>
    <w:rsid w:val="001C4D78"/>
    <w:rsid w:val="001C5E41"/>
    <w:rsid w:val="001C6294"/>
    <w:rsid w:val="001C771F"/>
    <w:rsid w:val="001C77BC"/>
    <w:rsid w:val="001D0207"/>
    <w:rsid w:val="001D0F83"/>
    <w:rsid w:val="001D1B2D"/>
    <w:rsid w:val="001D2354"/>
    <w:rsid w:val="001D344C"/>
    <w:rsid w:val="001D48BB"/>
    <w:rsid w:val="001E00E3"/>
    <w:rsid w:val="001E067F"/>
    <w:rsid w:val="001E362E"/>
    <w:rsid w:val="001E6530"/>
    <w:rsid w:val="001E76B4"/>
    <w:rsid w:val="001F2349"/>
    <w:rsid w:val="001F25E2"/>
    <w:rsid w:val="001F2CA8"/>
    <w:rsid w:val="001F3DD3"/>
    <w:rsid w:val="001F52A2"/>
    <w:rsid w:val="001F6167"/>
    <w:rsid w:val="001F785F"/>
    <w:rsid w:val="002005D2"/>
    <w:rsid w:val="002008CB"/>
    <w:rsid w:val="00200B6A"/>
    <w:rsid w:val="002010B2"/>
    <w:rsid w:val="0020149B"/>
    <w:rsid w:val="0020298B"/>
    <w:rsid w:val="00202DEA"/>
    <w:rsid w:val="00205321"/>
    <w:rsid w:val="00206111"/>
    <w:rsid w:val="002066B8"/>
    <w:rsid w:val="00211215"/>
    <w:rsid w:val="002119AA"/>
    <w:rsid w:val="00212F28"/>
    <w:rsid w:val="002137E0"/>
    <w:rsid w:val="0021625B"/>
    <w:rsid w:val="002216E2"/>
    <w:rsid w:val="00222AF5"/>
    <w:rsid w:val="00223702"/>
    <w:rsid w:val="00224729"/>
    <w:rsid w:val="00225B57"/>
    <w:rsid w:val="00225F65"/>
    <w:rsid w:val="00226F15"/>
    <w:rsid w:val="00233883"/>
    <w:rsid w:val="00233D12"/>
    <w:rsid w:val="00234C1A"/>
    <w:rsid w:val="002378E2"/>
    <w:rsid w:val="00240FE0"/>
    <w:rsid w:val="00242839"/>
    <w:rsid w:val="00242D0A"/>
    <w:rsid w:val="00245E7B"/>
    <w:rsid w:val="00245EF3"/>
    <w:rsid w:val="0024722E"/>
    <w:rsid w:val="0025064E"/>
    <w:rsid w:val="00250CF7"/>
    <w:rsid w:val="00252A13"/>
    <w:rsid w:val="0025344C"/>
    <w:rsid w:val="0025440E"/>
    <w:rsid w:val="0025605B"/>
    <w:rsid w:val="0025630F"/>
    <w:rsid w:val="00256477"/>
    <w:rsid w:val="00256B9C"/>
    <w:rsid w:val="002572C8"/>
    <w:rsid w:val="00257F93"/>
    <w:rsid w:val="0026047E"/>
    <w:rsid w:val="002608CC"/>
    <w:rsid w:val="00264968"/>
    <w:rsid w:val="00265087"/>
    <w:rsid w:val="002663EE"/>
    <w:rsid w:val="00267D8F"/>
    <w:rsid w:val="002741AC"/>
    <w:rsid w:val="00274EB1"/>
    <w:rsid w:val="00275F13"/>
    <w:rsid w:val="00280168"/>
    <w:rsid w:val="002802A0"/>
    <w:rsid w:val="002809C6"/>
    <w:rsid w:val="002819C0"/>
    <w:rsid w:val="00282591"/>
    <w:rsid w:val="0028427D"/>
    <w:rsid w:val="0028549A"/>
    <w:rsid w:val="00287016"/>
    <w:rsid w:val="00287A23"/>
    <w:rsid w:val="00287DA4"/>
    <w:rsid w:val="00290795"/>
    <w:rsid w:val="00292EF9"/>
    <w:rsid w:val="00295556"/>
    <w:rsid w:val="00295BB5"/>
    <w:rsid w:val="00295D42"/>
    <w:rsid w:val="00295F1E"/>
    <w:rsid w:val="00296E98"/>
    <w:rsid w:val="00297EE6"/>
    <w:rsid w:val="002A01BD"/>
    <w:rsid w:val="002A09FA"/>
    <w:rsid w:val="002A2A1A"/>
    <w:rsid w:val="002A3389"/>
    <w:rsid w:val="002A4B0C"/>
    <w:rsid w:val="002A5A4D"/>
    <w:rsid w:val="002A5D44"/>
    <w:rsid w:val="002A62D8"/>
    <w:rsid w:val="002A733D"/>
    <w:rsid w:val="002B0774"/>
    <w:rsid w:val="002B091B"/>
    <w:rsid w:val="002B1F21"/>
    <w:rsid w:val="002B36C8"/>
    <w:rsid w:val="002B3C72"/>
    <w:rsid w:val="002B3D13"/>
    <w:rsid w:val="002B4262"/>
    <w:rsid w:val="002C1B5D"/>
    <w:rsid w:val="002C49C8"/>
    <w:rsid w:val="002C73B8"/>
    <w:rsid w:val="002D0952"/>
    <w:rsid w:val="002D0AC0"/>
    <w:rsid w:val="002D0E9D"/>
    <w:rsid w:val="002D2F91"/>
    <w:rsid w:val="002D3078"/>
    <w:rsid w:val="002D5A4D"/>
    <w:rsid w:val="002D609D"/>
    <w:rsid w:val="002D628E"/>
    <w:rsid w:val="002D74CE"/>
    <w:rsid w:val="002E0577"/>
    <w:rsid w:val="002E22AF"/>
    <w:rsid w:val="002E4597"/>
    <w:rsid w:val="002E540D"/>
    <w:rsid w:val="002E60BF"/>
    <w:rsid w:val="002E7C5C"/>
    <w:rsid w:val="002E7E60"/>
    <w:rsid w:val="002F0AAC"/>
    <w:rsid w:val="002F0DE6"/>
    <w:rsid w:val="002F17AD"/>
    <w:rsid w:val="002F1F4C"/>
    <w:rsid w:val="002F5169"/>
    <w:rsid w:val="002F5942"/>
    <w:rsid w:val="002F5BE3"/>
    <w:rsid w:val="002F6000"/>
    <w:rsid w:val="002F6155"/>
    <w:rsid w:val="002F6301"/>
    <w:rsid w:val="002F6C82"/>
    <w:rsid w:val="002F6E3B"/>
    <w:rsid w:val="002F7266"/>
    <w:rsid w:val="002F72BA"/>
    <w:rsid w:val="002F7337"/>
    <w:rsid w:val="003004CE"/>
    <w:rsid w:val="00300A9C"/>
    <w:rsid w:val="0030160F"/>
    <w:rsid w:val="003030D4"/>
    <w:rsid w:val="00306C3D"/>
    <w:rsid w:val="00310529"/>
    <w:rsid w:val="00312E6A"/>
    <w:rsid w:val="003135D9"/>
    <w:rsid w:val="00313CD7"/>
    <w:rsid w:val="00316A88"/>
    <w:rsid w:val="00317925"/>
    <w:rsid w:val="00320AF3"/>
    <w:rsid w:val="003217E5"/>
    <w:rsid w:val="00321B16"/>
    <w:rsid w:val="003225C4"/>
    <w:rsid w:val="003241D3"/>
    <w:rsid w:val="00324398"/>
    <w:rsid w:val="0032449D"/>
    <w:rsid w:val="0033234A"/>
    <w:rsid w:val="00335270"/>
    <w:rsid w:val="00335373"/>
    <w:rsid w:val="00337BCD"/>
    <w:rsid w:val="00343186"/>
    <w:rsid w:val="0034442C"/>
    <w:rsid w:val="0034532C"/>
    <w:rsid w:val="0034638E"/>
    <w:rsid w:val="003465F9"/>
    <w:rsid w:val="00346855"/>
    <w:rsid w:val="00347657"/>
    <w:rsid w:val="003526AE"/>
    <w:rsid w:val="0035716A"/>
    <w:rsid w:val="00357941"/>
    <w:rsid w:val="00360F0D"/>
    <w:rsid w:val="0036114A"/>
    <w:rsid w:val="00362D8E"/>
    <w:rsid w:val="00367EB2"/>
    <w:rsid w:val="00370AF7"/>
    <w:rsid w:val="00371358"/>
    <w:rsid w:val="003731CD"/>
    <w:rsid w:val="003742E6"/>
    <w:rsid w:val="00374436"/>
    <w:rsid w:val="00374BB5"/>
    <w:rsid w:val="00374D15"/>
    <w:rsid w:val="003752D3"/>
    <w:rsid w:val="0037668C"/>
    <w:rsid w:val="00376B01"/>
    <w:rsid w:val="00376ED0"/>
    <w:rsid w:val="00382A12"/>
    <w:rsid w:val="00383FB2"/>
    <w:rsid w:val="003846F8"/>
    <w:rsid w:val="00384FC3"/>
    <w:rsid w:val="00386A65"/>
    <w:rsid w:val="00386AE8"/>
    <w:rsid w:val="00386E31"/>
    <w:rsid w:val="00386EC6"/>
    <w:rsid w:val="00395D52"/>
    <w:rsid w:val="00397561"/>
    <w:rsid w:val="003A0964"/>
    <w:rsid w:val="003A14B3"/>
    <w:rsid w:val="003A15B7"/>
    <w:rsid w:val="003A236D"/>
    <w:rsid w:val="003A35C4"/>
    <w:rsid w:val="003A3804"/>
    <w:rsid w:val="003A4B8D"/>
    <w:rsid w:val="003A52BE"/>
    <w:rsid w:val="003A5866"/>
    <w:rsid w:val="003A5E1C"/>
    <w:rsid w:val="003A6E9F"/>
    <w:rsid w:val="003A7D08"/>
    <w:rsid w:val="003B1DD7"/>
    <w:rsid w:val="003B3ACF"/>
    <w:rsid w:val="003B4166"/>
    <w:rsid w:val="003B418D"/>
    <w:rsid w:val="003B4930"/>
    <w:rsid w:val="003B5405"/>
    <w:rsid w:val="003B5624"/>
    <w:rsid w:val="003B7DAD"/>
    <w:rsid w:val="003C05DB"/>
    <w:rsid w:val="003C0965"/>
    <w:rsid w:val="003C1A97"/>
    <w:rsid w:val="003C25FF"/>
    <w:rsid w:val="003C2BE1"/>
    <w:rsid w:val="003C2D9F"/>
    <w:rsid w:val="003C2DAA"/>
    <w:rsid w:val="003C3625"/>
    <w:rsid w:val="003C5E2F"/>
    <w:rsid w:val="003C6286"/>
    <w:rsid w:val="003C7703"/>
    <w:rsid w:val="003D13E4"/>
    <w:rsid w:val="003D448D"/>
    <w:rsid w:val="003D44FC"/>
    <w:rsid w:val="003D4CD6"/>
    <w:rsid w:val="003D75A4"/>
    <w:rsid w:val="003E008D"/>
    <w:rsid w:val="003E0519"/>
    <w:rsid w:val="003E0E0B"/>
    <w:rsid w:val="003E2DCD"/>
    <w:rsid w:val="003E3E2D"/>
    <w:rsid w:val="003E4F75"/>
    <w:rsid w:val="003E59BA"/>
    <w:rsid w:val="003E5BB1"/>
    <w:rsid w:val="003E6670"/>
    <w:rsid w:val="003F00E3"/>
    <w:rsid w:val="003F0C75"/>
    <w:rsid w:val="003F19EF"/>
    <w:rsid w:val="003F24BF"/>
    <w:rsid w:val="003F39D3"/>
    <w:rsid w:val="003F4DC5"/>
    <w:rsid w:val="003F53EA"/>
    <w:rsid w:val="003F6453"/>
    <w:rsid w:val="003F6F06"/>
    <w:rsid w:val="003F6FCD"/>
    <w:rsid w:val="00401252"/>
    <w:rsid w:val="00401D67"/>
    <w:rsid w:val="004023C9"/>
    <w:rsid w:val="00407E8A"/>
    <w:rsid w:val="0041214A"/>
    <w:rsid w:val="00415780"/>
    <w:rsid w:val="004166F4"/>
    <w:rsid w:val="004174BC"/>
    <w:rsid w:val="00421C5A"/>
    <w:rsid w:val="00422309"/>
    <w:rsid w:val="004228C7"/>
    <w:rsid w:val="00424E44"/>
    <w:rsid w:val="00425878"/>
    <w:rsid w:val="00426E36"/>
    <w:rsid w:val="00427189"/>
    <w:rsid w:val="0042798B"/>
    <w:rsid w:val="00430300"/>
    <w:rsid w:val="004322A8"/>
    <w:rsid w:val="004327E7"/>
    <w:rsid w:val="00432F84"/>
    <w:rsid w:val="0043309C"/>
    <w:rsid w:val="00434913"/>
    <w:rsid w:val="00436F83"/>
    <w:rsid w:val="00441415"/>
    <w:rsid w:val="004428E9"/>
    <w:rsid w:val="00442CF9"/>
    <w:rsid w:val="004450C0"/>
    <w:rsid w:val="004453A4"/>
    <w:rsid w:val="00445EAD"/>
    <w:rsid w:val="004460CD"/>
    <w:rsid w:val="004461EB"/>
    <w:rsid w:val="004474F8"/>
    <w:rsid w:val="00447C0C"/>
    <w:rsid w:val="004503F5"/>
    <w:rsid w:val="00451745"/>
    <w:rsid w:val="00452783"/>
    <w:rsid w:val="004535B0"/>
    <w:rsid w:val="004566B9"/>
    <w:rsid w:val="004605FD"/>
    <w:rsid w:val="0046173C"/>
    <w:rsid w:val="0046184D"/>
    <w:rsid w:val="00461C3A"/>
    <w:rsid w:val="00462276"/>
    <w:rsid w:val="004626C1"/>
    <w:rsid w:val="00463725"/>
    <w:rsid w:val="00464F02"/>
    <w:rsid w:val="00465892"/>
    <w:rsid w:val="004662C4"/>
    <w:rsid w:val="0047063D"/>
    <w:rsid w:val="0047099D"/>
    <w:rsid w:val="004712D4"/>
    <w:rsid w:val="00473246"/>
    <w:rsid w:val="00474045"/>
    <w:rsid w:val="0047444E"/>
    <w:rsid w:val="00475831"/>
    <w:rsid w:val="004771F0"/>
    <w:rsid w:val="00477550"/>
    <w:rsid w:val="00480C5D"/>
    <w:rsid w:val="0048131C"/>
    <w:rsid w:val="004817C7"/>
    <w:rsid w:val="00482D1D"/>
    <w:rsid w:val="004844A8"/>
    <w:rsid w:val="004855B5"/>
    <w:rsid w:val="00485DF1"/>
    <w:rsid w:val="00491D2A"/>
    <w:rsid w:val="00491DFB"/>
    <w:rsid w:val="00493013"/>
    <w:rsid w:val="004936DE"/>
    <w:rsid w:val="00493B66"/>
    <w:rsid w:val="004967D2"/>
    <w:rsid w:val="00496803"/>
    <w:rsid w:val="00496E8C"/>
    <w:rsid w:val="00497A87"/>
    <w:rsid w:val="004A1CCC"/>
    <w:rsid w:val="004A3E68"/>
    <w:rsid w:val="004A4791"/>
    <w:rsid w:val="004A66FA"/>
    <w:rsid w:val="004A70F7"/>
    <w:rsid w:val="004A7368"/>
    <w:rsid w:val="004B134C"/>
    <w:rsid w:val="004B16AB"/>
    <w:rsid w:val="004B1B64"/>
    <w:rsid w:val="004B2438"/>
    <w:rsid w:val="004B4017"/>
    <w:rsid w:val="004B5168"/>
    <w:rsid w:val="004B5189"/>
    <w:rsid w:val="004B5BF1"/>
    <w:rsid w:val="004B6688"/>
    <w:rsid w:val="004B6DF7"/>
    <w:rsid w:val="004B77C9"/>
    <w:rsid w:val="004C2F99"/>
    <w:rsid w:val="004C3023"/>
    <w:rsid w:val="004C35D9"/>
    <w:rsid w:val="004C368F"/>
    <w:rsid w:val="004C3C74"/>
    <w:rsid w:val="004C4F7C"/>
    <w:rsid w:val="004C701B"/>
    <w:rsid w:val="004C719C"/>
    <w:rsid w:val="004C7C64"/>
    <w:rsid w:val="004D2F18"/>
    <w:rsid w:val="004D4315"/>
    <w:rsid w:val="004D4595"/>
    <w:rsid w:val="004D49E6"/>
    <w:rsid w:val="004D6C86"/>
    <w:rsid w:val="004D7EA5"/>
    <w:rsid w:val="004E02E5"/>
    <w:rsid w:val="004E1148"/>
    <w:rsid w:val="004E1E55"/>
    <w:rsid w:val="004E23DE"/>
    <w:rsid w:val="004E2FC2"/>
    <w:rsid w:val="004E51B8"/>
    <w:rsid w:val="004E7C34"/>
    <w:rsid w:val="004F027B"/>
    <w:rsid w:val="004F078E"/>
    <w:rsid w:val="004F0B36"/>
    <w:rsid w:val="004F0F9B"/>
    <w:rsid w:val="004F1FE9"/>
    <w:rsid w:val="004F265B"/>
    <w:rsid w:val="004F2997"/>
    <w:rsid w:val="004F2EFC"/>
    <w:rsid w:val="004F527A"/>
    <w:rsid w:val="004F58D2"/>
    <w:rsid w:val="004F5CEE"/>
    <w:rsid w:val="00502005"/>
    <w:rsid w:val="00502023"/>
    <w:rsid w:val="0050224F"/>
    <w:rsid w:val="00502302"/>
    <w:rsid w:val="00503795"/>
    <w:rsid w:val="00503824"/>
    <w:rsid w:val="00503A9B"/>
    <w:rsid w:val="00504D3F"/>
    <w:rsid w:val="005051CB"/>
    <w:rsid w:val="00507667"/>
    <w:rsid w:val="00507F28"/>
    <w:rsid w:val="005105A2"/>
    <w:rsid w:val="0051113F"/>
    <w:rsid w:val="00511DB6"/>
    <w:rsid w:val="00511F03"/>
    <w:rsid w:val="00512ABE"/>
    <w:rsid w:val="00514C76"/>
    <w:rsid w:val="00515D6A"/>
    <w:rsid w:val="00516E26"/>
    <w:rsid w:val="0052114B"/>
    <w:rsid w:val="00523C6E"/>
    <w:rsid w:val="005244A4"/>
    <w:rsid w:val="00525E25"/>
    <w:rsid w:val="00526593"/>
    <w:rsid w:val="005273F4"/>
    <w:rsid w:val="00527783"/>
    <w:rsid w:val="00530C69"/>
    <w:rsid w:val="00532238"/>
    <w:rsid w:val="005328AD"/>
    <w:rsid w:val="00532952"/>
    <w:rsid w:val="005344E3"/>
    <w:rsid w:val="00535E02"/>
    <w:rsid w:val="00536368"/>
    <w:rsid w:val="005371DF"/>
    <w:rsid w:val="005376D8"/>
    <w:rsid w:val="00541D94"/>
    <w:rsid w:val="0054258F"/>
    <w:rsid w:val="00546409"/>
    <w:rsid w:val="00546F81"/>
    <w:rsid w:val="005500DC"/>
    <w:rsid w:val="00551680"/>
    <w:rsid w:val="00551EFD"/>
    <w:rsid w:val="00552BDA"/>
    <w:rsid w:val="00556EA5"/>
    <w:rsid w:val="00556F54"/>
    <w:rsid w:val="0055706D"/>
    <w:rsid w:val="00563EF6"/>
    <w:rsid w:val="00564670"/>
    <w:rsid w:val="00564D17"/>
    <w:rsid w:val="00565458"/>
    <w:rsid w:val="00566134"/>
    <w:rsid w:val="00566608"/>
    <w:rsid w:val="005672A5"/>
    <w:rsid w:val="0057026C"/>
    <w:rsid w:val="00573EBB"/>
    <w:rsid w:val="005801A1"/>
    <w:rsid w:val="005814B5"/>
    <w:rsid w:val="00581C75"/>
    <w:rsid w:val="00582D15"/>
    <w:rsid w:val="00582EA0"/>
    <w:rsid w:val="00582F89"/>
    <w:rsid w:val="00584207"/>
    <w:rsid w:val="00584DA2"/>
    <w:rsid w:val="00585648"/>
    <w:rsid w:val="00585E2F"/>
    <w:rsid w:val="00586696"/>
    <w:rsid w:val="005875A2"/>
    <w:rsid w:val="0059072C"/>
    <w:rsid w:val="005913AE"/>
    <w:rsid w:val="00591F76"/>
    <w:rsid w:val="00592B57"/>
    <w:rsid w:val="0059469A"/>
    <w:rsid w:val="005953DE"/>
    <w:rsid w:val="00595F93"/>
    <w:rsid w:val="0059699B"/>
    <w:rsid w:val="005A1342"/>
    <w:rsid w:val="005A1B2B"/>
    <w:rsid w:val="005A2438"/>
    <w:rsid w:val="005A40DE"/>
    <w:rsid w:val="005A47D2"/>
    <w:rsid w:val="005A4DF3"/>
    <w:rsid w:val="005A587C"/>
    <w:rsid w:val="005A7A11"/>
    <w:rsid w:val="005B09CE"/>
    <w:rsid w:val="005B0FB2"/>
    <w:rsid w:val="005B3467"/>
    <w:rsid w:val="005B6899"/>
    <w:rsid w:val="005B705E"/>
    <w:rsid w:val="005C0940"/>
    <w:rsid w:val="005C1069"/>
    <w:rsid w:val="005C1CF1"/>
    <w:rsid w:val="005C48FC"/>
    <w:rsid w:val="005C56A9"/>
    <w:rsid w:val="005C6B87"/>
    <w:rsid w:val="005D2C6C"/>
    <w:rsid w:val="005D2C6E"/>
    <w:rsid w:val="005D37D0"/>
    <w:rsid w:val="005D3E9D"/>
    <w:rsid w:val="005D5B0A"/>
    <w:rsid w:val="005D674D"/>
    <w:rsid w:val="005D6902"/>
    <w:rsid w:val="005D7026"/>
    <w:rsid w:val="005E05A3"/>
    <w:rsid w:val="005E122F"/>
    <w:rsid w:val="005E1BE1"/>
    <w:rsid w:val="005E5390"/>
    <w:rsid w:val="005E61C8"/>
    <w:rsid w:val="005E71DE"/>
    <w:rsid w:val="005E7B2A"/>
    <w:rsid w:val="005E7ECD"/>
    <w:rsid w:val="005F17B4"/>
    <w:rsid w:val="005F1AE6"/>
    <w:rsid w:val="005F1C86"/>
    <w:rsid w:val="005F2319"/>
    <w:rsid w:val="005F2F10"/>
    <w:rsid w:val="005F319C"/>
    <w:rsid w:val="005F3EA1"/>
    <w:rsid w:val="005F44BA"/>
    <w:rsid w:val="005F4706"/>
    <w:rsid w:val="005F4D41"/>
    <w:rsid w:val="005F6257"/>
    <w:rsid w:val="005F645F"/>
    <w:rsid w:val="005F6A73"/>
    <w:rsid w:val="006045E9"/>
    <w:rsid w:val="00605F9A"/>
    <w:rsid w:val="00606D7E"/>
    <w:rsid w:val="0060733B"/>
    <w:rsid w:val="00607C50"/>
    <w:rsid w:val="00616033"/>
    <w:rsid w:val="00616CBD"/>
    <w:rsid w:val="00617010"/>
    <w:rsid w:val="006256D3"/>
    <w:rsid w:val="0062573B"/>
    <w:rsid w:val="00625988"/>
    <w:rsid w:val="00627125"/>
    <w:rsid w:val="00627BB7"/>
    <w:rsid w:val="00631900"/>
    <w:rsid w:val="00631B9F"/>
    <w:rsid w:val="00631D08"/>
    <w:rsid w:val="00631F1A"/>
    <w:rsid w:val="00637801"/>
    <w:rsid w:val="006418AE"/>
    <w:rsid w:val="0064198A"/>
    <w:rsid w:val="00643BE9"/>
    <w:rsid w:val="00643D54"/>
    <w:rsid w:val="00644A13"/>
    <w:rsid w:val="00645AE8"/>
    <w:rsid w:val="0064723E"/>
    <w:rsid w:val="00647BAF"/>
    <w:rsid w:val="0065130E"/>
    <w:rsid w:val="0065136E"/>
    <w:rsid w:val="006550BD"/>
    <w:rsid w:val="00660A67"/>
    <w:rsid w:val="00662BF9"/>
    <w:rsid w:val="006651BB"/>
    <w:rsid w:val="00670D71"/>
    <w:rsid w:val="00671354"/>
    <w:rsid w:val="006717CA"/>
    <w:rsid w:val="00671A9D"/>
    <w:rsid w:val="00671F85"/>
    <w:rsid w:val="0067304B"/>
    <w:rsid w:val="006735DB"/>
    <w:rsid w:val="00673989"/>
    <w:rsid w:val="00674C50"/>
    <w:rsid w:val="006763C7"/>
    <w:rsid w:val="00676EA9"/>
    <w:rsid w:val="00676F66"/>
    <w:rsid w:val="0067731A"/>
    <w:rsid w:val="00677CFD"/>
    <w:rsid w:val="00680409"/>
    <w:rsid w:val="006815BF"/>
    <w:rsid w:val="00681BE9"/>
    <w:rsid w:val="00684656"/>
    <w:rsid w:val="00686247"/>
    <w:rsid w:val="00691580"/>
    <w:rsid w:val="00692A41"/>
    <w:rsid w:val="0069300B"/>
    <w:rsid w:val="0069382D"/>
    <w:rsid w:val="006942B2"/>
    <w:rsid w:val="006953D7"/>
    <w:rsid w:val="00695E77"/>
    <w:rsid w:val="0069696D"/>
    <w:rsid w:val="00696BBE"/>
    <w:rsid w:val="006A05AC"/>
    <w:rsid w:val="006A18AE"/>
    <w:rsid w:val="006A20F3"/>
    <w:rsid w:val="006A21A2"/>
    <w:rsid w:val="006A241E"/>
    <w:rsid w:val="006A2AA3"/>
    <w:rsid w:val="006A3C50"/>
    <w:rsid w:val="006A4F6A"/>
    <w:rsid w:val="006A62DC"/>
    <w:rsid w:val="006A7BD7"/>
    <w:rsid w:val="006B15D8"/>
    <w:rsid w:val="006B3A3E"/>
    <w:rsid w:val="006B3D38"/>
    <w:rsid w:val="006C0DFB"/>
    <w:rsid w:val="006C0FE8"/>
    <w:rsid w:val="006C2001"/>
    <w:rsid w:val="006C2A06"/>
    <w:rsid w:val="006C383A"/>
    <w:rsid w:val="006C4B4B"/>
    <w:rsid w:val="006C6CD1"/>
    <w:rsid w:val="006C6EBD"/>
    <w:rsid w:val="006C7185"/>
    <w:rsid w:val="006C771A"/>
    <w:rsid w:val="006C7D6F"/>
    <w:rsid w:val="006D3B9E"/>
    <w:rsid w:val="006D4330"/>
    <w:rsid w:val="006D5BE4"/>
    <w:rsid w:val="006D684A"/>
    <w:rsid w:val="006D6B86"/>
    <w:rsid w:val="006D7479"/>
    <w:rsid w:val="006D75AF"/>
    <w:rsid w:val="006E2176"/>
    <w:rsid w:val="006E49C8"/>
    <w:rsid w:val="006E5A00"/>
    <w:rsid w:val="006E7290"/>
    <w:rsid w:val="006E73D6"/>
    <w:rsid w:val="006E7DCE"/>
    <w:rsid w:val="006F113B"/>
    <w:rsid w:val="006F2B5E"/>
    <w:rsid w:val="006F630C"/>
    <w:rsid w:val="006F733E"/>
    <w:rsid w:val="007029AB"/>
    <w:rsid w:val="00702FBA"/>
    <w:rsid w:val="00703915"/>
    <w:rsid w:val="007049D6"/>
    <w:rsid w:val="007050FF"/>
    <w:rsid w:val="0070532B"/>
    <w:rsid w:val="00706893"/>
    <w:rsid w:val="00710A12"/>
    <w:rsid w:val="00711670"/>
    <w:rsid w:val="007129E2"/>
    <w:rsid w:val="00713613"/>
    <w:rsid w:val="00715BEB"/>
    <w:rsid w:val="007160D4"/>
    <w:rsid w:val="00716A75"/>
    <w:rsid w:val="007172C8"/>
    <w:rsid w:val="007201C7"/>
    <w:rsid w:val="007203CA"/>
    <w:rsid w:val="00720A15"/>
    <w:rsid w:val="00721201"/>
    <w:rsid w:val="00722A87"/>
    <w:rsid w:val="00722C9C"/>
    <w:rsid w:val="00723649"/>
    <w:rsid w:val="00724257"/>
    <w:rsid w:val="007259FB"/>
    <w:rsid w:val="007265C6"/>
    <w:rsid w:val="00735889"/>
    <w:rsid w:val="00743AD6"/>
    <w:rsid w:val="00744E7F"/>
    <w:rsid w:val="0074514D"/>
    <w:rsid w:val="007453E8"/>
    <w:rsid w:val="0074783C"/>
    <w:rsid w:val="00747CC6"/>
    <w:rsid w:val="00750B74"/>
    <w:rsid w:val="0075219A"/>
    <w:rsid w:val="00752764"/>
    <w:rsid w:val="00754083"/>
    <w:rsid w:val="00754A19"/>
    <w:rsid w:val="00754A96"/>
    <w:rsid w:val="007555F8"/>
    <w:rsid w:val="007571CF"/>
    <w:rsid w:val="00757FF7"/>
    <w:rsid w:val="00760833"/>
    <w:rsid w:val="0076097B"/>
    <w:rsid w:val="00762912"/>
    <w:rsid w:val="00762EA8"/>
    <w:rsid w:val="00763DA6"/>
    <w:rsid w:val="0076549F"/>
    <w:rsid w:val="00765B4E"/>
    <w:rsid w:val="00766962"/>
    <w:rsid w:val="00767B45"/>
    <w:rsid w:val="00767FCB"/>
    <w:rsid w:val="00770F3E"/>
    <w:rsid w:val="00772576"/>
    <w:rsid w:val="007748D6"/>
    <w:rsid w:val="00775174"/>
    <w:rsid w:val="00775287"/>
    <w:rsid w:val="00776CCB"/>
    <w:rsid w:val="00776D1E"/>
    <w:rsid w:val="007809F8"/>
    <w:rsid w:val="00781DA6"/>
    <w:rsid w:val="007824D4"/>
    <w:rsid w:val="0078469D"/>
    <w:rsid w:val="00785908"/>
    <w:rsid w:val="00787116"/>
    <w:rsid w:val="00790671"/>
    <w:rsid w:val="00790A6C"/>
    <w:rsid w:val="00790EBF"/>
    <w:rsid w:val="00792BA5"/>
    <w:rsid w:val="00793EA5"/>
    <w:rsid w:val="00797222"/>
    <w:rsid w:val="007975FE"/>
    <w:rsid w:val="007A3E8B"/>
    <w:rsid w:val="007A61EC"/>
    <w:rsid w:val="007A6AA5"/>
    <w:rsid w:val="007B11C3"/>
    <w:rsid w:val="007B455E"/>
    <w:rsid w:val="007B5504"/>
    <w:rsid w:val="007B5F8E"/>
    <w:rsid w:val="007C0044"/>
    <w:rsid w:val="007C022F"/>
    <w:rsid w:val="007C2B71"/>
    <w:rsid w:val="007C458E"/>
    <w:rsid w:val="007C7665"/>
    <w:rsid w:val="007D0298"/>
    <w:rsid w:val="007D033E"/>
    <w:rsid w:val="007D1C5A"/>
    <w:rsid w:val="007D2101"/>
    <w:rsid w:val="007D2392"/>
    <w:rsid w:val="007D33F4"/>
    <w:rsid w:val="007D3EE3"/>
    <w:rsid w:val="007D45B5"/>
    <w:rsid w:val="007D46BF"/>
    <w:rsid w:val="007D4773"/>
    <w:rsid w:val="007D50FD"/>
    <w:rsid w:val="007D6776"/>
    <w:rsid w:val="007D73FD"/>
    <w:rsid w:val="007D7ADB"/>
    <w:rsid w:val="007E3262"/>
    <w:rsid w:val="007E4F76"/>
    <w:rsid w:val="007F0917"/>
    <w:rsid w:val="007F09CD"/>
    <w:rsid w:val="007F2722"/>
    <w:rsid w:val="007F3ABE"/>
    <w:rsid w:val="007F3B95"/>
    <w:rsid w:val="007F7F39"/>
    <w:rsid w:val="00800606"/>
    <w:rsid w:val="008027C0"/>
    <w:rsid w:val="00802C56"/>
    <w:rsid w:val="00803205"/>
    <w:rsid w:val="00804C10"/>
    <w:rsid w:val="00810A24"/>
    <w:rsid w:val="0081119C"/>
    <w:rsid w:val="00811CA2"/>
    <w:rsid w:val="00811E60"/>
    <w:rsid w:val="0081249F"/>
    <w:rsid w:val="00815A20"/>
    <w:rsid w:val="00815D8F"/>
    <w:rsid w:val="0081684C"/>
    <w:rsid w:val="00816BF7"/>
    <w:rsid w:val="00817615"/>
    <w:rsid w:val="008237C3"/>
    <w:rsid w:val="00823F32"/>
    <w:rsid w:val="00824535"/>
    <w:rsid w:val="008265DF"/>
    <w:rsid w:val="00826D51"/>
    <w:rsid w:val="00827142"/>
    <w:rsid w:val="008328E9"/>
    <w:rsid w:val="00833634"/>
    <w:rsid w:val="008343DF"/>
    <w:rsid w:val="00835BCB"/>
    <w:rsid w:val="00835CDC"/>
    <w:rsid w:val="00836CB6"/>
    <w:rsid w:val="00836D4E"/>
    <w:rsid w:val="00836E38"/>
    <w:rsid w:val="00836F77"/>
    <w:rsid w:val="008378CD"/>
    <w:rsid w:val="00840848"/>
    <w:rsid w:val="008411CA"/>
    <w:rsid w:val="00841533"/>
    <w:rsid w:val="0084226A"/>
    <w:rsid w:val="008425A5"/>
    <w:rsid w:val="00843405"/>
    <w:rsid w:val="008440AA"/>
    <w:rsid w:val="00844407"/>
    <w:rsid w:val="008446B7"/>
    <w:rsid w:val="008446F6"/>
    <w:rsid w:val="00850B09"/>
    <w:rsid w:val="0085144F"/>
    <w:rsid w:val="008522F1"/>
    <w:rsid w:val="00853201"/>
    <w:rsid w:val="00853287"/>
    <w:rsid w:val="008536B0"/>
    <w:rsid w:val="00854B30"/>
    <w:rsid w:val="00854B56"/>
    <w:rsid w:val="00854D66"/>
    <w:rsid w:val="0085592D"/>
    <w:rsid w:val="00855CE0"/>
    <w:rsid w:val="00855FDC"/>
    <w:rsid w:val="0085630F"/>
    <w:rsid w:val="0085724E"/>
    <w:rsid w:val="00861F29"/>
    <w:rsid w:val="00861F5C"/>
    <w:rsid w:val="00862BF1"/>
    <w:rsid w:val="008636DA"/>
    <w:rsid w:val="008637DE"/>
    <w:rsid w:val="00863B9D"/>
    <w:rsid w:val="00863BE6"/>
    <w:rsid w:val="00863E88"/>
    <w:rsid w:val="00863EF0"/>
    <w:rsid w:val="00863F62"/>
    <w:rsid w:val="00865A67"/>
    <w:rsid w:val="00866DD4"/>
    <w:rsid w:val="00867E9A"/>
    <w:rsid w:val="00871119"/>
    <w:rsid w:val="00871690"/>
    <w:rsid w:val="008725A0"/>
    <w:rsid w:val="00872796"/>
    <w:rsid w:val="0087679E"/>
    <w:rsid w:val="0087729F"/>
    <w:rsid w:val="0087730C"/>
    <w:rsid w:val="008775BC"/>
    <w:rsid w:val="00882F1B"/>
    <w:rsid w:val="00885E33"/>
    <w:rsid w:val="008867BA"/>
    <w:rsid w:val="00887EFE"/>
    <w:rsid w:val="00891AEA"/>
    <w:rsid w:val="00892E8C"/>
    <w:rsid w:val="00892F49"/>
    <w:rsid w:val="0089350D"/>
    <w:rsid w:val="008946AA"/>
    <w:rsid w:val="0089490D"/>
    <w:rsid w:val="008A000D"/>
    <w:rsid w:val="008A0594"/>
    <w:rsid w:val="008A0FAD"/>
    <w:rsid w:val="008A1892"/>
    <w:rsid w:val="008A1D44"/>
    <w:rsid w:val="008A23AD"/>
    <w:rsid w:val="008A34C3"/>
    <w:rsid w:val="008A5E35"/>
    <w:rsid w:val="008A6C37"/>
    <w:rsid w:val="008A70CE"/>
    <w:rsid w:val="008B1122"/>
    <w:rsid w:val="008B13AB"/>
    <w:rsid w:val="008B2139"/>
    <w:rsid w:val="008B32B9"/>
    <w:rsid w:val="008B5A5F"/>
    <w:rsid w:val="008B74BA"/>
    <w:rsid w:val="008C0E75"/>
    <w:rsid w:val="008C14DB"/>
    <w:rsid w:val="008C1A48"/>
    <w:rsid w:val="008C1DBC"/>
    <w:rsid w:val="008C25E4"/>
    <w:rsid w:val="008C2DAE"/>
    <w:rsid w:val="008C3E63"/>
    <w:rsid w:val="008C5C09"/>
    <w:rsid w:val="008D1012"/>
    <w:rsid w:val="008D2090"/>
    <w:rsid w:val="008D42E7"/>
    <w:rsid w:val="008D4DDF"/>
    <w:rsid w:val="008D5115"/>
    <w:rsid w:val="008D5686"/>
    <w:rsid w:val="008E14B3"/>
    <w:rsid w:val="008E1E2A"/>
    <w:rsid w:val="008E5C4F"/>
    <w:rsid w:val="008E5D9E"/>
    <w:rsid w:val="008E7F19"/>
    <w:rsid w:val="008F1181"/>
    <w:rsid w:val="008F2144"/>
    <w:rsid w:val="008F3785"/>
    <w:rsid w:val="008F451E"/>
    <w:rsid w:val="008F55B2"/>
    <w:rsid w:val="008F59E6"/>
    <w:rsid w:val="008F655E"/>
    <w:rsid w:val="008F6D3F"/>
    <w:rsid w:val="008F75D1"/>
    <w:rsid w:val="008F79CE"/>
    <w:rsid w:val="00900ECB"/>
    <w:rsid w:val="009021B9"/>
    <w:rsid w:val="009037AA"/>
    <w:rsid w:val="0090599E"/>
    <w:rsid w:val="009059A9"/>
    <w:rsid w:val="00906157"/>
    <w:rsid w:val="00906AA0"/>
    <w:rsid w:val="00907958"/>
    <w:rsid w:val="00910830"/>
    <w:rsid w:val="00910F8E"/>
    <w:rsid w:val="00911B04"/>
    <w:rsid w:val="00911C50"/>
    <w:rsid w:val="00913EA8"/>
    <w:rsid w:val="00913F95"/>
    <w:rsid w:val="00915160"/>
    <w:rsid w:val="00915753"/>
    <w:rsid w:val="009159A8"/>
    <w:rsid w:val="00915BD6"/>
    <w:rsid w:val="00915CA9"/>
    <w:rsid w:val="009171B4"/>
    <w:rsid w:val="00921A00"/>
    <w:rsid w:val="00923141"/>
    <w:rsid w:val="00923D8F"/>
    <w:rsid w:val="0092421E"/>
    <w:rsid w:val="0092515E"/>
    <w:rsid w:val="00926588"/>
    <w:rsid w:val="009300C5"/>
    <w:rsid w:val="0093195D"/>
    <w:rsid w:val="00931AE7"/>
    <w:rsid w:val="00935D97"/>
    <w:rsid w:val="009371F0"/>
    <w:rsid w:val="00937FC9"/>
    <w:rsid w:val="0094098E"/>
    <w:rsid w:val="00942FBD"/>
    <w:rsid w:val="00943608"/>
    <w:rsid w:val="00944ADD"/>
    <w:rsid w:val="009458D1"/>
    <w:rsid w:val="00945FD5"/>
    <w:rsid w:val="0094770B"/>
    <w:rsid w:val="0095099D"/>
    <w:rsid w:val="00950BBA"/>
    <w:rsid w:val="00950D96"/>
    <w:rsid w:val="00952179"/>
    <w:rsid w:val="00953816"/>
    <w:rsid w:val="009538DF"/>
    <w:rsid w:val="00953A52"/>
    <w:rsid w:val="00953C1F"/>
    <w:rsid w:val="00954457"/>
    <w:rsid w:val="00954D1C"/>
    <w:rsid w:val="00956139"/>
    <w:rsid w:val="0095695E"/>
    <w:rsid w:val="00960A93"/>
    <w:rsid w:val="00962435"/>
    <w:rsid w:val="009632C7"/>
    <w:rsid w:val="009639D3"/>
    <w:rsid w:val="00971A13"/>
    <w:rsid w:val="00971F82"/>
    <w:rsid w:val="00972F34"/>
    <w:rsid w:val="00973340"/>
    <w:rsid w:val="00973EC1"/>
    <w:rsid w:val="009776B6"/>
    <w:rsid w:val="00980492"/>
    <w:rsid w:val="0098123A"/>
    <w:rsid w:val="00981B0C"/>
    <w:rsid w:val="00982729"/>
    <w:rsid w:val="00982CDA"/>
    <w:rsid w:val="00983B0A"/>
    <w:rsid w:val="009840DC"/>
    <w:rsid w:val="0098430B"/>
    <w:rsid w:val="00985764"/>
    <w:rsid w:val="0098771D"/>
    <w:rsid w:val="009910EA"/>
    <w:rsid w:val="00992387"/>
    <w:rsid w:val="00992493"/>
    <w:rsid w:val="00992DC6"/>
    <w:rsid w:val="00993FC8"/>
    <w:rsid w:val="00994718"/>
    <w:rsid w:val="0099534A"/>
    <w:rsid w:val="00996121"/>
    <w:rsid w:val="009970D1"/>
    <w:rsid w:val="009A070A"/>
    <w:rsid w:val="009A0CC6"/>
    <w:rsid w:val="009A1D84"/>
    <w:rsid w:val="009A29AA"/>
    <w:rsid w:val="009A29BB"/>
    <w:rsid w:val="009A2E7D"/>
    <w:rsid w:val="009A4263"/>
    <w:rsid w:val="009A5CBF"/>
    <w:rsid w:val="009A5D78"/>
    <w:rsid w:val="009A6445"/>
    <w:rsid w:val="009A71FE"/>
    <w:rsid w:val="009A7D34"/>
    <w:rsid w:val="009B117F"/>
    <w:rsid w:val="009B2267"/>
    <w:rsid w:val="009B35F0"/>
    <w:rsid w:val="009B35F9"/>
    <w:rsid w:val="009B6931"/>
    <w:rsid w:val="009B6A8A"/>
    <w:rsid w:val="009B6F49"/>
    <w:rsid w:val="009B77B4"/>
    <w:rsid w:val="009C249D"/>
    <w:rsid w:val="009C25CB"/>
    <w:rsid w:val="009C2F34"/>
    <w:rsid w:val="009C371B"/>
    <w:rsid w:val="009D2ED5"/>
    <w:rsid w:val="009D4FFD"/>
    <w:rsid w:val="009D703E"/>
    <w:rsid w:val="009E0AE8"/>
    <w:rsid w:val="009E1242"/>
    <w:rsid w:val="009E19F2"/>
    <w:rsid w:val="009E2270"/>
    <w:rsid w:val="009E2B6D"/>
    <w:rsid w:val="009E5374"/>
    <w:rsid w:val="009E57DE"/>
    <w:rsid w:val="009E5832"/>
    <w:rsid w:val="009E6206"/>
    <w:rsid w:val="009E6AFE"/>
    <w:rsid w:val="009F0F6C"/>
    <w:rsid w:val="009F21D1"/>
    <w:rsid w:val="009F239C"/>
    <w:rsid w:val="009F24C4"/>
    <w:rsid w:val="009F2C44"/>
    <w:rsid w:val="009F2DBE"/>
    <w:rsid w:val="009F345D"/>
    <w:rsid w:val="009F37A8"/>
    <w:rsid w:val="009F4AC9"/>
    <w:rsid w:val="009F5D23"/>
    <w:rsid w:val="009F6F8E"/>
    <w:rsid w:val="00A0304F"/>
    <w:rsid w:val="00A03410"/>
    <w:rsid w:val="00A048E2"/>
    <w:rsid w:val="00A05FE0"/>
    <w:rsid w:val="00A06D74"/>
    <w:rsid w:val="00A07A9B"/>
    <w:rsid w:val="00A07AD8"/>
    <w:rsid w:val="00A110C3"/>
    <w:rsid w:val="00A11220"/>
    <w:rsid w:val="00A11482"/>
    <w:rsid w:val="00A11DBC"/>
    <w:rsid w:val="00A13218"/>
    <w:rsid w:val="00A13308"/>
    <w:rsid w:val="00A1334E"/>
    <w:rsid w:val="00A15152"/>
    <w:rsid w:val="00A15323"/>
    <w:rsid w:val="00A17D7D"/>
    <w:rsid w:val="00A20604"/>
    <w:rsid w:val="00A227A3"/>
    <w:rsid w:val="00A22A3F"/>
    <w:rsid w:val="00A22C13"/>
    <w:rsid w:val="00A250E8"/>
    <w:rsid w:val="00A26262"/>
    <w:rsid w:val="00A301B0"/>
    <w:rsid w:val="00A31567"/>
    <w:rsid w:val="00A337D7"/>
    <w:rsid w:val="00A3410E"/>
    <w:rsid w:val="00A341FB"/>
    <w:rsid w:val="00A34A6E"/>
    <w:rsid w:val="00A35E4A"/>
    <w:rsid w:val="00A35F0B"/>
    <w:rsid w:val="00A373BD"/>
    <w:rsid w:val="00A375BB"/>
    <w:rsid w:val="00A37A5F"/>
    <w:rsid w:val="00A45AC3"/>
    <w:rsid w:val="00A46B4C"/>
    <w:rsid w:val="00A46DC1"/>
    <w:rsid w:val="00A51856"/>
    <w:rsid w:val="00A5191C"/>
    <w:rsid w:val="00A52E68"/>
    <w:rsid w:val="00A530B7"/>
    <w:rsid w:val="00A536D0"/>
    <w:rsid w:val="00A54E54"/>
    <w:rsid w:val="00A5597B"/>
    <w:rsid w:val="00A569D5"/>
    <w:rsid w:val="00A56B4D"/>
    <w:rsid w:val="00A60B73"/>
    <w:rsid w:val="00A61C58"/>
    <w:rsid w:val="00A628BF"/>
    <w:rsid w:val="00A62CDE"/>
    <w:rsid w:val="00A62F22"/>
    <w:rsid w:val="00A64150"/>
    <w:rsid w:val="00A649D8"/>
    <w:rsid w:val="00A653C8"/>
    <w:rsid w:val="00A66EED"/>
    <w:rsid w:val="00A70A70"/>
    <w:rsid w:val="00A71D09"/>
    <w:rsid w:val="00A731F2"/>
    <w:rsid w:val="00A734AE"/>
    <w:rsid w:val="00A742A5"/>
    <w:rsid w:val="00A7451B"/>
    <w:rsid w:val="00A76021"/>
    <w:rsid w:val="00A7635C"/>
    <w:rsid w:val="00A76866"/>
    <w:rsid w:val="00A7720D"/>
    <w:rsid w:val="00A80080"/>
    <w:rsid w:val="00A8027C"/>
    <w:rsid w:val="00A8294B"/>
    <w:rsid w:val="00A832A0"/>
    <w:rsid w:val="00A85B9C"/>
    <w:rsid w:val="00A85D37"/>
    <w:rsid w:val="00A903EA"/>
    <w:rsid w:val="00A93013"/>
    <w:rsid w:val="00A9464F"/>
    <w:rsid w:val="00A94E12"/>
    <w:rsid w:val="00A95AB2"/>
    <w:rsid w:val="00A95ABF"/>
    <w:rsid w:val="00A96BBB"/>
    <w:rsid w:val="00A96E47"/>
    <w:rsid w:val="00A97363"/>
    <w:rsid w:val="00AA08BF"/>
    <w:rsid w:val="00AA0AF4"/>
    <w:rsid w:val="00AA24E2"/>
    <w:rsid w:val="00AA27A0"/>
    <w:rsid w:val="00AA2D8F"/>
    <w:rsid w:val="00AA2E1C"/>
    <w:rsid w:val="00AA3C94"/>
    <w:rsid w:val="00AA48DF"/>
    <w:rsid w:val="00AA654F"/>
    <w:rsid w:val="00AA7610"/>
    <w:rsid w:val="00AB4511"/>
    <w:rsid w:val="00AB4951"/>
    <w:rsid w:val="00AB633D"/>
    <w:rsid w:val="00AB7A85"/>
    <w:rsid w:val="00AC042C"/>
    <w:rsid w:val="00AC2463"/>
    <w:rsid w:val="00AC2554"/>
    <w:rsid w:val="00AC2567"/>
    <w:rsid w:val="00AC25C6"/>
    <w:rsid w:val="00AC6727"/>
    <w:rsid w:val="00AC6DAA"/>
    <w:rsid w:val="00AC7DFF"/>
    <w:rsid w:val="00AC7E7A"/>
    <w:rsid w:val="00AD18B7"/>
    <w:rsid w:val="00AD3858"/>
    <w:rsid w:val="00AD4E9D"/>
    <w:rsid w:val="00AD61E7"/>
    <w:rsid w:val="00AD7CBD"/>
    <w:rsid w:val="00AD7F70"/>
    <w:rsid w:val="00AE0F77"/>
    <w:rsid w:val="00AE142D"/>
    <w:rsid w:val="00AE23A3"/>
    <w:rsid w:val="00AE3A87"/>
    <w:rsid w:val="00AE3CF6"/>
    <w:rsid w:val="00AE5DF8"/>
    <w:rsid w:val="00AE6327"/>
    <w:rsid w:val="00AF0286"/>
    <w:rsid w:val="00AF194A"/>
    <w:rsid w:val="00AF19A6"/>
    <w:rsid w:val="00AF2133"/>
    <w:rsid w:val="00AF4501"/>
    <w:rsid w:val="00AF4692"/>
    <w:rsid w:val="00AF4C07"/>
    <w:rsid w:val="00AF5C81"/>
    <w:rsid w:val="00B0069A"/>
    <w:rsid w:val="00B0321E"/>
    <w:rsid w:val="00B04129"/>
    <w:rsid w:val="00B045DC"/>
    <w:rsid w:val="00B0542A"/>
    <w:rsid w:val="00B05B70"/>
    <w:rsid w:val="00B05BC3"/>
    <w:rsid w:val="00B06E8B"/>
    <w:rsid w:val="00B07321"/>
    <w:rsid w:val="00B10CDD"/>
    <w:rsid w:val="00B11AD7"/>
    <w:rsid w:val="00B13394"/>
    <w:rsid w:val="00B13FE0"/>
    <w:rsid w:val="00B1555A"/>
    <w:rsid w:val="00B17063"/>
    <w:rsid w:val="00B23B23"/>
    <w:rsid w:val="00B23D0C"/>
    <w:rsid w:val="00B2439B"/>
    <w:rsid w:val="00B25C57"/>
    <w:rsid w:val="00B262D4"/>
    <w:rsid w:val="00B2702D"/>
    <w:rsid w:val="00B27275"/>
    <w:rsid w:val="00B315A0"/>
    <w:rsid w:val="00B31679"/>
    <w:rsid w:val="00B32084"/>
    <w:rsid w:val="00B34A18"/>
    <w:rsid w:val="00B368F8"/>
    <w:rsid w:val="00B37912"/>
    <w:rsid w:val="00B40E55"/>
    <w:rsid w:val="00B42420"/>
    <w:rsid w:val="00B438CE"/>
    <w:rsid w:val="00B44CF4"/>
    <w:rsid w:val="00B45788"/>
    <w:rsid w:val="00B468CE"/>
    <w:rsid w:val="00B472B9"/>
    <w:rsid w:val="00B50405"/>
    <w:rsid w:val="00B559BD"/>
    <w:rsid w:val="00B5719B"/>
    <w:rsid w:val="00B578A2"/>
    <w:rsid w:val="00B579CB"/>
    <w:rsid w:val="00B57A3B"/>
    <w:rsid w:val="00B624B0"/>
    <w:rsid w:val="00B626CD"/>
    <w:rsid w:val="00B63A2A"/>
    <w:rsid w:val="00B656BE"/>
    <w:rsid w:val="00B70083"/>
    <w:rsid w:val="00B708CE"/>
    <w:rsid w:val="00B70B04"/>
    <w:rsid w:val="00B70D73"/>
    <w:rsid w:val="00B71E0A"/>
    <w:rsid w:val="00B72D23"/>
    <w:rsid w:val="00B7359B"/>
    <w:rsid w:val="00B739E2"/>
    <w:rsid w:val="00B7572E"/>
    <w:rsid w:val="00B762F8"/>
    <w:rsid w:val="00B81095"/>
    <w:rsid w:val="00B830FB"/>
    <w:rsid w:val="00B83EF9"/>
    <w:rsid w:val="00B8477C"/>
    <w:rsid w:val="00B85178"/>
    <w:rsid w:val="00B852E5"/>
    <w:rsid w:val="00B8721C"/>
    <w:rsid w:val="00B91318"/>
    <w:rsid w:val="00B915B9"/>
    <w:rsid w:val="00B91A40"/>
    <w:rsid w:val="00B921DD"/>
    <w:rsid w:val="00B923AB"/>
    <w:rsid w:val="00B93BDE"/>
    <w:rsid w:val="00B95D97"/>
    <w:rsid w:val="00B9629F"/>
    <w:rsid w:val="00B96D24"/>
    <w:rsid w:val="00B97B83"/>
    <w:rsid w:val="00BA0368"/>
    <w:rsid w:val="00BA0374"/>
    <w:rsid w:val="00BA093D"/>
    <w:rsid w:val="00BA0DE3"/>
    <w:rsid w:val="00BA1474"/>
    <w:rsid w:val="00BA1CFC"/>
    <w:rsid w:val="00BA21E7"/>
    <w:rsid w:val="00BA285A"/>
    <w:rsid w:val="00BA54F3"/>
    <w:rsid w:val="00BA64EF"/>
    <w:rsid w:val="00BA6F75"/>
    <w:rsid w:val="00BB0E97"/>
    <w:rsid w:val="00BB28F6"/>
    <w:rsid w:val="00BB3296"/>
    <w:rsid w:val="00BB41DE"/>
    <w:rsid w:val="00BB429F"/>
    <w:rsid w:val="00BB4E2C"/>
    <w:rsid w:val="00BB598E"/>
    <w:rsid w:val="00BB5D7E"/>
    <w:rsid w:val="00BB61B4"/>
    <w:rsid w:val="00BC0C2A"/>
    <w:rsid w:val="00BC2609"/>
    <w:rsid w:val="00BC3095"/>
    <w:rsid w:val="00BC37E7"/>
    <w:rsid w:val="00BC3E70"/>
    <w:rsid w:val="00BD08E3"/>
    <w:rsid w:val="00BD4479"/>
    <w:rsid w:val="00BD4859"/>
    <w:rsid w:val="00BD7228"/>
    <w:rsid w:val="00BE01AF"/>
    <w:rsid w:val="00BE0378"/>
    <w:rsid w:val="00BE0D4C"/>
    <w:rsid w:val="00BE48FE"/>
    <w:rsid w:val="00BE5720"/>
    <w:rsid w:val="00BE5B03"/>
    <w:rsid w:val="00BE75F3"/>
    <w:rsid w:val="00BE7857"/>
    <w:rsid w:val="00BF0DB0"/>
    <w:rsid w:val="00BF1D68"/>
    <w:rsid w:val="00BF1DC4"/>
    <w:rsid w:val="00BF29DE"/>
    <w:rsid w:val="00BF34FF"/>
    <w:rsid w:val="00BF3EF6"/>
    <w:rsid w:val="00BF446D"/>
    <w:rsid w:val="00BF75C8"/>
    <w:rsid w:val="00BF7B23"/>
    <w:rsid w:val="00BF7EC3"/>
    <w:rsid w:val="00C0035F"/>
    <w:rsid w:val="00C01E70"/>
    <w:rsid w:val="00C0266E"/>
    <w:rsid w:val="00C031BF"/>
    <w:rsid w:val="00C03287"/>
    <w:rsid w:val="00C03AB1"/>
    <w:rsid w:val="00C042F8"/>
    <w:rsid w:val="00C0528F"/>
    <w:rsid w:val="00C05F8B"/>
    <w:rsid w:val="00C0662B"/>
    <w:rsid w:val="00C06CBC"/>
    <w:rsid w:val="00C0739B"/>
    <w:rsid w:val="00C11235"/>
    <w:rsid w:val="00C13145"/>
    <w:rsid w:val="00C14CD2"/>
    <w:rsid w:val="00C24BD7"/>
    <w:rsid w:val="00C30957"/>
    <w:rsid w:val="00C320D5"/>
    <w:rsid w:val="00C3290C"/>
    <w:rsid w:val="00C33234"/>
    <w:rsid w:val="00C332F6"/>
    <w:rsid w:val="00C34D18"/>
    <w:rsid w:val="00C351F3"/>
    <w:rsid w:val="00C4227F"/>
    <w:rsid w:val="00C43C4D"/>
    <w:rsid w:val="00C458CB"/>
    <w:rsid w:val="00C45DCE"/>
    <w:rsid w:val="00C46D71"/>
    <w:rsid w:val="00C47C76"/>
    <w:rsid w:val="00C51BDD"/>
    <w:rsid w:val="00C51EB5"/>
    <w:rsid w:val="00C5408B"/>
    <w:rsid w:val="00C54D94"/>
    <w:rsid w:val="00C54FB4"/>
    <w:rsid w:val="00C5514F"/>
    <w:rsid w:val="00C554E2"/>
    <w:rsid w:val="00C56011"/>
    <w:rsid w:val="00C564D9"/>
    <w:rsid w:val="00C57ED8"/>
    <w:rsid w:val="00C606A8"/>
    <w:rsid w:val="00C612DF"/>
    <w:rsid w:val="00C620FC"/>
    <w:rsid w:val="00C62251"/>
    <w:rsid w:val="00C63526"/>
    <w:rsid w:val="00C6395B"/>
    <w:rsid w:val="00C643FE"/>
    <w:rsid w:val="00C676B8"/>
    <w:rsid w:val="00C70702"/>
    <w:rsid w:val="00C74D3A"/>
    <w:rsid w:val="00C76C70"/>
    <w:rsid w:val="00C7717B"/>
    <w:rsid w:val="00C773CE"/>
    <w:rsid w:val="00C80E2A"/>
    <w:rsid w:val="00C839DC"/>
    <w:rsid w:val="00C84B18"/>
    <w:rsid w:val="00C85A01"/>
    <w:rsid w:val="00C87630"/>
    <w:rsid w:val="00C90138"/>
    <w:rsid w:val="00C90623"/>
    <w:rsid w:val="00C91725"/>
    <w:rsid w:val="00C939BF"/>
    <w:rsid w:val="00C939EF"/>
    <w:rsid w:val="00C9442B"/>
    <w:rsid w:val="00C948F0"/>
    <w:rsid w:val="00C94B34"/>
    <w:rsid w:val="00C956A3"/>
    <w:rsid w:val="00C9758E"/>
    <w:rsid w:val="00C9764E"/>
    <w:rsid w:val="00CA03FB"/>
    <w:rsid w:val="00CA07DD"/>
    <w:rsid w:val="00CA0D09"/>
    <w:rsid w:val="00CA2081"/>
    <w:rsid w:val="00CA5225"/>
    <w:rsid w:val="00CA55A9"/>
    <w:rsid w:val="00CA5DD5"/>
    <w:rsid w:val="00CA71DE"/>
    <w:rsid w:val="00CB0F7E"/>
    <w:rsid w:val="00CB1132"/>
    <w:rsid w:val="00CB55E1"/>
    <w:rsid w:val="00CB5AF3"/>
    <w:rsid w:val="00CB6582"/>
    <w:rsid w:val="00CB66EB"/>
    <w:rsid w:val="00CB6A16"/>
    <w:rsid w:val="00CB6B5D"/>
    <w:rsid w:val="00CB6E0C"/>
    <w:rsid w:val="00CB73A3"/>
    <w:rsid w:val="00CC18C4"/>
    <w:rsid w:val="00CC1C27"/>
    <w:rsid w:val="00CC30AD"/>
    <w:rsid w:val="00CC46AA"/>
    <w:rsid w:val="00CC570C"/>
    <w:rsid w:val="00CD000B"/>
    <w:rsid w:val="00CD0CCA"/>
    <w:rsid w:val="00CD39CE"/>
    <w:rsid w:val="00CD6968"/>
    <w:rsid w:val="00CE07F9"/>
    <w:rsid w:val="00CE2243"/>
    <w:rsid w:val="00CE3173"/>
    <w:rsid w:val="00CE371F"/>
    <w:rsid w:val="00CE5DEE"/>
    <w:rsid w:val="00CE750F"/>
    <w:rsid w:val="00CF4AA1"/>
    <w:rsid w:val="00D01F87"/>
    <w:rsid w:val="00D02C42"/>
    <w:rsid w:val="00D03651"/>
    <w:rsid w:val="00D03F4B"/>
    <w:rsid w:val="00D044E5"/>
    <w:rsid w:val="00D0474E"/>
    <w:rsid w:val="00D07020"/>
    <w:rsid w:val="00D07153"/>
    <w:rsid w:val="00D07971"/>
    <w:rsid w:val="00D12C47"/>
    <w:rsid w:val="00D13269"/>
    <w:rsid w:val="00D14072"/>
    <w:rsid w:val="00D146DA"/>
    <w:rsid w:val="00D15007"/>
    <w:rsid w:val="00D152D6"/>
    <w:rsid w:val="00D15C9B"/>
    <w:rsid w:val="00D160CB"/>
    <w:rsid w:val="00D168AC"/>
    <w:rsid w:val="00D16BE1"/>
    <w:rsid w:val="00D1707C"/>
    <w:rsid w:val="00D1748A"/>
    <w:rsid w:val="00D17D2C"/>
    <w:rsid w:val="00D2088C"/>
    <w:rsid w:val="00D209DD"/>
    <w:rsid w:val="00D2249D"/>
    <w:rsid w:val="00D245A1"/>
    <w:rsid w:val="00D24AB1"/>
    <w:rsid w:val="00D31E3F"/>
    <w:rsid w:val="00D31FC5"/>
    <w:rsid w:val="00D3427B"/>
    <w:rsid w:val="00D3474A"/>
    <w:rsid w:val="00D34DF0"/>
    <w:rsid w:val="00D35AFB"/>
    <w:rsid w:val="00D365E3"/>
    <w:rsid w:val="00D37D36"/>
    <w:rsid w:val="00D415E2"/>
    <w:rsid w:val="00D42055"/>
    <w:rsid w:val="00D43CE8"/>
    <w:rsid w:val="00D57D57"/>
    <w:rsid w:val="00D57F2F"/>
    <w:rsid w:val="00D60B2D"/>
    <w:rsid w:val="00D61640"/>
    <w:rsid w:val="00D61EFE"/>
    <w:rsid w:val="00D6200D"/>
    <w:rsid w:val="00D620E3"/>
    <w:rsid w:val="00D63535"/>
    <w:rsid w:val="00D647C3"/>
    <w:rsid w:val="00D65285"/>
    <w:rsid w:val="00D66317"/>
    <w:rsid w:val="00D714E7"/>
    <w:rsid w:val="00D72328"/>
    <w:rsid w:val="00D72E41"/>
    <w:rsid w:val="00D73E68"/>
    <w:rsid w:val="00D76191"/>
    <w:rsid w:val="00D80282"/>
    <w:rsid w:val="00D80F57"/>
    <w:rsid w:val="00D81D48"/>
    <w:rsid w:val="00D81E2D"/>
    <w:rsid w:val="00D81FB2"/>
    <w:rsid w:val="00D826D3"/>
    <w:rsid w:val="00D842B5"/>
    <w:rsid w:val="00D86E3E"/>
    <w:rsid w:val="00D87099"/>
    <w:rsid w:val="00D87F45"/>
    <w:rsid w:val="00D90104"/>
    <w:rsid w:val="00D913C3"/>
    <w:rsid w:val="00D9148E"/>
    <w:rsid w:val="00D916C0"/>
    <w:rsid w:val="00D91AF6"/>
    <w:rsid w:val="00D95099"/>
    <w:rsid w:val="00D95133"/>
    <w:rsid w:val="00D96093"/>
    <w:rsid w:val="00D9633A"/>
    <w:rsid w:val="00D96E32"/>
    <w:rsid w:val="00D976EE"/>
    <w:rsid w:val="00DA0955"/>
    <w:rsid w:val="00DA16D2"/>
    <w:rsid w:val="00DA182F"/>
    <w:rsid w:val="00DA2130"/>
    <w:rsid w:val="00DA2269"/>
    <w:rsid w:val="00DA28C7"/>
    <w:rsid w:val="00DA36E1"/>
    <w:rsid w:val="00DA7C00"/>
    <w:rsid w:val="00DB1CBE"/>
    <w:rsid w:val="00DB2645"/>
    <w:rsid w:val="00DB593C"/>
    <w:rsid w:val="00DB659A"/>
    <w:rsid w:val="00DC1D7C"/>
    <w:rsid w:val="00DC3AC4"/>
    <w:rsid w:val="00DC4351"/>
    <w:rsid w:val="00DC6A9D"/>
    <w:rsid w:val="00DC6BC0"/>
    <w:rsid w:val="00DD150C"/>
    <w:rsid w:val="00DD2B94"/>
    <w:rsid w:val="00DD358A"/>
    <w:rsid w:val="00DD3EDF"/>
    <w:rsid w:val="00DD4AC4"/>
    <w:rsid w:val="00DD6577"/>
    <w:rsid w:val="00DD6643"/>
    <w:rsid w:val="00DD7D81"/>
    <w:rsid w:val="00DE151B"/>
    <w:rsid w:val="00DE1A71"/>
    <w:rsid w:val="00DE2CD0"/>
    <w:rsid w:val="00DE6353"/>
    <w:rsid w:val="00DF2386"/>
    <w:rsid w:val="00DF3187"/>
    <w:rsid w:val="00DF3F5C"/>
    <w:rsid w:val="00DF48B8"/>
    <w:rsid w:val="00DF4B2A"/>
    <w:rsid w:val="00DF51DF"/>
    <w:rsid w:val="00DF5306"/>
    <w:rsid w:val="00DF5A30"/>
    <w:rsid w:val="00DF5CAE"/>
    <w:rsid w:val="00DF6DFC"/>
    <w:rsid w:val="00DF7FE7"/>
    <w:rsid w:val="00E01949"/>
    <w:rsid w:val="00E02190"/>
    <w:rsid w:val="00E0241A"/>
    <w:rsid w:val="00E027AC"/>
    <w:rsid w:val="00E03CEA"/>
    <w:rsid w:val="00E073CD"/>
    <w:rsid w:val="00E07553"/>
    <w:rsid w:val="00E10151"/>
    <w:rsid w:val="00E10D9F"/>
    <w:rsid w:val="00E11618"/>
    <w:rsid w:val="00E125E5"/>
    <w:rsid w:val="00E13022"/>
    <w:rsid w:val="00E13FB9"/>
    <w:rsid w:val="00E17E83"/>
    <w:rsid w:val="00E217C6"/>
    <w:rsid w:val="00E2503C"/>
    <w:rsid w:val="00E302EB"/>
    <w:rsid w:val="00E31BEA"/>
    <w:rsid w:val="00E34BF1"/>
    <w:rsid w:val="00E34EAB"/>
    <w:rsid w:val="00E4140F"/>
    <w:rsid w:val="00E41C27"/>
    <w:rsid w:val="00E42F6A"/>
    <w:rsid w:val="00E46367"/>
    <w:rsid w:val="00E47887"/>
    <w:rsid w:val="00E50A6F"/>
    <w:rsid w:val="00E51095"/>
    <w:rsid w:val="00E5196D"/>
    <w:rsid w:val="00E52412"/>
    <w:rsid w:val="00E5268C"/>
    <w:rsid w:val="00E52F38"/>
    <w:rsid w:val="00E539E9"/>
    <w:rsid w:val="00E54DDD"/>
    <w:rsid w:val="00E55207"/>
    <w:rsid w:val="00E55849"/>
    <w:rsid w:val="00E560E3"/>
    <w:rsid w:val="00E56C9F"/>
    <w:rsid w:val="00E635BA"/>
    <w:rsid w:val="00E63F0B"/>
    <w:rsid w:val="00E640C9"/>
    <w:rsid w:val="00E656F1"/>
    <w:rsid w:val="00E65F2F"/>
    <w:rsid w:val="00E66D25"/>
    <w:rsid w:val="00E74836"/>
    <w:rsid w:val="00E75AEF"/>
    <w:rsid w:val="00E7686B"/>
    <w:rsid w:val="00E76C48"/>
    <w:rsid w:val="00E8459A"/>
    <w:rsid w:val="00E84E2E"/>
    <w:rsid w:val="00E85DE5"/>
    <w:rsid w:val="00E90EE1"/>
    <w:rsid w:val="00E916A6"/>
    <w:rsid w:val="00E91B69"/>
    <w:rsid w:val="00E91E9E"/>
    <w:rsid w:val="00E92C57"/>
    <w:rsid w:val="00E93B5B"/>
    <w:rsid w:val="00E95AEC"/>
    <w:rsid w:val="00EA2736"/>
    <w:rsid w:val="00EA399F"/>
    <w:rsid w:val="00EA3A7F"/>
    <w:rsid w:val="00EA6022"/>
    <w:rsid w:val="00EA7F15"/>
    <w:rsid w:val="00EB1264"/>
    <w:rsid w:val="00EB2187"/>
    <w:rsid w:val="00EB4CEF"/>
    <w:rsid w:val="00EB5154"/>
    <w:rsid w:val="00EB5D0C"/>
    <w:rsid w:val="00EB6309"/>
    <w:rsid w:val="00EB6B98"/>
    <w:rsid w:val="00EB6BA7"/>
    <w:rsid w:val="00EB7BC7"/>
    <w:rsid w:val="00EC08E3"/>
    <w:rsid w:val="00EC2517"/>
    <w:rsid w:val="00EC44DD"/>
    <w:rsid w:val="00EC57A0"/>
    <w:rsid w:val="00EC6C20"/>
    <w:rsid w:val="00EC6E85"/>
    <w:rsid w:val="00EC7A15"/>
    <w:rsid w:val="00EC7AF2"/>
    <w:rsid w:val="00EC7C8E"/>
    <w:rsid w:val="00ED0580"/>
    <w:rsid w:val="00ED0C95"/>
    <w:rsid w:val="00ED0D08"/>
    <w:rsid w:val="00ED2134"/>
    <w:rsid w:val="00ED220D"/>
    <w:rsid w:val="00ED4B3D"/>
    <w:rsid w:val="00ED554C"/>
    <w:rsid w:val="00ED56A7"/>
    <w:rsid w:val="00ED5B91"/>
    <w:rsid w:val="00ED5F22"/>
    <w:rsid w:val="00ED6A4F"/>
    <w:rsid w:val="00EE0717"/>
    <w:rsid w:val="00EE0F6C"/>
    <w:rsid w:val="00EE10FA"/>
    <w:rsid w:val="00EE1940"/>
    <w:rsid w:val="00EE2F80"/>
    <w:rsid w:val="00EE44BE"/>
    <w:rsid w:val="00EE4EDF"/>
    <w:rsid w:val="00EE64F5"/>
    <w:rsid w:val="00EE6BBD"/>
    <w:rsid w:val="00EE72B3"/>
    <w:rsid w:val="00EF1559"/>
    <w:rsid w:val="00EF2A39"/>
    <w:rsid w:val="00EF38E3"/>
    <w:rsid w:val="00EF559E"/>
    <w:rsid w:val="00EF5A0F"/>
    <w:rsid w:val="00EF6B74"/>
    <w:rsid w:val="00F00D2F"/>
    <w:rsid w:val="00F04C6A"/>
    <w:rsid w:val="00F078F1"/>
    <w:rsid w:val="00F109CF"/>
    <w:rsid w:val="00F119FA"/>
    <w:rsid w:val="00F11FF6"/>
    <w:rsid w:val="00F1221F"/>
    <w:rsid w:val="00F1341E"/>
    <w:rsid w:val="00F13721"/>
    <w:rsid w:val="00F15B71"/>
    <w:rsid w:val="00F15F51"/>
    <w:rsid w:val="00F15FCC"/>
    <w:rsid w:val="00F160A6"/>
    <w:rsid w:val="00F16254"/>
    <w:rsid w:val="00F1641B"/>
    <w:rsid w:val="00F17CF6"/>
    <w:rsid w:val="00F20B95"/>
    <w:rsid w:val="00F21612"/>
    <w:rsid w:val="00F25B36"/>
    <w:rsid w:val="00F30C3E"/>
    <w:rsid w:val="00F323EA"/>
    <w:rsid w:val="00F32D03"/>
    <w:rsid w:val="00F344DE"/>
    <w:rsid w:val="00F37750"/>
    <w:rsid w:val="00F40934"/>
    <w:rsid w:val="00F42CBC"/>
    <w:rsid w:val="00F43BD9"/>
    <w:rsid w:val="00F446DC"/>
    <w:rsid w:val="00F44B3F"/>
    <w:rsid w:val="00F50922"/>
    <w:rsid w:val="00F50C1D"/>
    <w:rsid w:val="00F51DFF"/>
    <w:rsid w:val="00F52322"/>
    <w:rsid w:val="00F54AA5"/>
    <w:rsid w:val="00F54F2B"/>
    <w:rsid w:val="00F56914"/>
    <w:rsid w:val="00F6033E"/>
    <w:rsid w:val="00F60B89"/>
    <w:rsid w:val="00F6171B"/>
    <w:rsid w:val="00F61F24"/>
    <w:rsid w:val="00F62E18"/>
    <w:rsid w:val="00F66775"/>
    <w:rsid w:val="00F71774"/>
    <w:rsid w:val="00F719E6"/>
    <w:rsid w:val="00F73E71"/>
    <w:rsid w:val="00F74CF4"/>
    <w:rsid w:val="00F7724E"/>
    <w:rsid w:val="00F80702"/>
    <w:rsid w:val="00F80AC4"/>
    <w:rsid w:val="00F82BE7"/>
    <w:rsid w:val="00F85161"/>
    <w:rsid w:val="00F875BF"/>
    <w:rsid w:val="00F900CA"/>
    <w:rsid w:val="00F92985"/>
    <w:rsid w:val="00F93AAD"/>
    <w:rsid w:val="00F97959"/>
    <w:rsid w:val="00FA3EDD"/>
    <w:rsid w:val="00FA6023"/>
    <w:rsid w:val="00FB040E"/>
    <w:rsid w:val="00FB16C5"/>
    <w:rsid w:val="00FB1FDC"/>
    <w:rsid w:val="00FB22B4"/>
    <w:rsid w:val="00FB22E0"/>
    <w:rsid w:val="00FB4E3B"/>
    <w:rsid w:val="00FB5D3E"/>
    <w:rsid w:val="00FB6593"/>
    <w:rsid w:val="00FC02EF"/>
    <w:rsid w:val="00FC1ADA"/>
    <w:rsid w:val="00FC7D55"/>
    <w:rsid w:val="00FD295D"/>
    <w:rsid w:val="00FD2C2D"/>
    <w:rsid w:val="00FD576A"/>
    <w:rsid w:val="00FE0AFF"/>
    <w:rsid w:val="00FE10E7"/>
    <w:rsid w:val="00FE5DA0"/>
    <w:rsid w:val="00FE6061"/>
    <w:rsid w:val="00FE6B34"/>
    <w:rsid w:val="00FE7B4F"/>
    <w:rsid w:val="00FF00EE"/>
    <w:rsid w:val="00FF28EE"/>
    <w:rsid w:val="00FF4E24"/>
    <w:rsid w:val="00FF5058"/>
    <w:rsid w:val="00FF5B21"/>
    <w:rsid w:val="00FF5CC0"/>
    <w:rsid w:val="00FF6404"/>
    <w:rsid w:val="038F3BC9"/>
    <w:rsid w:val="0A3ECA37"/>
    <w:rsid w:val="0DBAFA23"/>
    <w:rsid w:val="0E786DFD"/>
    <w:rsid w:val="1D23745A"/>
    <w:rsid w:val="1D92F59D"/>
    <w:rsid w:val="2EE32B40"/>
    <w:rsid w:val="344372F8"/>
    <w:rsid w:val="37F5EACC"/>
    <w:rsid w:val="3ED1D79B"/>
    <w:rsid w:val="3F71ABCB"/>
    <w:rsid w:val="46FE3075"/>
    <w:rsid w:val="4C4A08B6"/>
    <w:rsid w:val="4E40F829"/>
    <w:rsid w:val="4EE286F5"/>
    <w:rsid w:val="51BA7352"/>
    <w:rsid w:val="5A5E7AAD"/>
    <w:rsid w:val="5E6FA83A"/>
    <w:rsid w:val="608FA2CE"/>
    <w:rsid w:val="63323441"/>
    <w:rsid w:val="685E38A5"/>
    <w:rsid w:val="6A1A85E1"/>
    <w:rsid w:val="6CD78D39"/>
    <w:rsid w:val="6D0DDC4C"/>
    <w:rsid w:val="6DB6B604"/>
    <w:rsid w:val="6EDEF968"/>
    <w:rsid w:val="7333CF2A"/>
    <w:rsid w:val="75989ED4"/>
    <w:rsid w:val="7724D01B"/>
    <w:rsid w:val="7ED6F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44614"/>
  <w15:docId w15:val="{83DD0A5C-D5D2-4CDC-8AAF-5D852469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3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9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Default">
    <w:name w:val="Default"/>
    <w:rsid w:val="003752D3"/>
    <w:pPr>
      <w:autoSpaceDE w:val="0"/>
      <w:autoSpaceDN w:val="0"/>
      <w:adjustRightInd w:val="0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cf01">
    <w:name w:val="cf01"/>
    <w:basedOn w:val="DefaultParagraphFont"/>
    <w:rsid w:val="003752D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6013A"/>
    <w:pPr>
      <w:spacing w:before="100" w:beforeAutospacing="1" w:after="100" w:afterAutospacing="1"/>
      <w:ind w:left="420"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apple-tab-span">
    <w:name w:val="x_apple-tab-span"/>
    <w:basedOn w:val="DefaultParagraphFont"/>
    <w:rsid w:val="00052219"/>
  </w:style>
  <w:style w:type="character" w:styleId="UnresolvedMention">
    <w:name w:val="Unresolved Mention"/>
    <w:basedOn w:val="DefaultParagraphFont"/>
    <w:uiPriority w:val="99"/>
    <w:semiHidden/>
    <w:unhideWhenUsed/>
    <w:rsid w:val="007F0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20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9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E362E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6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71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9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3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3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2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7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4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8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9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5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6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8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1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8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1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4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3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7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13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fr/document/projet-de-rapport-national-la-cop15-de-la-convention-sur-les-zones-humides" TargetMode="External"/><Relationship Id="rId2" Type="http://schemas.openxmlformats.org/officeDocument/2006/relationships/hyperlink" Target="https://www.ramsar.org/fr/document/sc63-doc10-problemes-urgents-dutilisation-rationnelle-des-zones-humides-devant-recevoir" TargetMode="External"/><Relationship Id="rId1" Type="http://schemas.openxmlformats.org/officeDocument/2006/relationships/hyperlink" Target="https://www.ramsar.org/document/sc63-inf2-national-wetland-inventories-synthesis-13-depth-interviews-further" TargetMode="External"/><Relationship Id="rId4" Type="http://schemas.openxmlformats.org/officeDocument/2006/relationships/hyperlink" Target="https://www.ramsar.org/sites/default/files/2024-04/sc63_10_NWI_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AE81F-9488-470F-8BDB-5F91D249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6C104-9E3F-42D7-A978-021CE9F6B2E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3.xml><?xml version="1.0" encoding="utf-8"?>
<ds:datastoreItem xmlns:ds="http://schemas.openxmlformats.org/officeDocument/2006/customXml" ds:itemID="{69769172-01FC-406F-85EA-F665F6089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D8BB8-6588-4BB8-B217-3D43AC5EF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BRACE Poppy</cp:lastModifiedBy>
  <cp:revision>4</cp:revision>
  <cp:lastPrinted>2024-09-17T18:52:00Z</cp:lastPrinted>
  <dcterms:created xsi:type="dcterms:W3CDTF">2024-10-16T15:22:00Z</dcterms:created>
  <dcterms:modified xsi:type="dcterms:W3CDTF">2024-10-22T08:05:00Z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