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653D2" w14:textId="77777777" w:rsidR="003232A2" w:rsidRPr="003232A2" w:rsidRDefault="003232A2" w:rsidP="000E5876">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sidRPr="003232A2">
        <w:rPr>
          <w:rFonts w:ascii="Calibri" w:hAnsi="Calibri" w:cs="Calibri"/>
          <w:sz w:val="22"/>
          <w:szCs w:val="22"/>
        </w:rPr>
        <w:t>THE CONVENTION ON WETLANDS</w:t>
      </w:r>
    </w:p>
    <w:p w14:paraId="287A8D36" w14:textId="77777777" w:rsidR="003232A2" w:rsidRPr="003232A2" w:rsidRDefault="003232A2" w:rsidP="000E5876">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sidRPr="003232A2">
        <w:rPr>
          <w:rFonts w:ascii="Calibri" w:hAnsi="Calibri" w:cs="Calibri"/>
          <w:sz w:val="22"/>
          <w:szCs w:val="22"/>
        </w:rPr>
        <w:t>64th meeting of the Standing Committee</w:t>
      </w:r>
    </w:p>
    <w:p w14:paraId="00881614" w14:textId="77777777" w:rsidR="003232A2" w:rsidRPr="003232A2" w:rsidRDefault="003232A2" w:rsidP="000E5876">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sidRPr="003232A2">
        <w:rPr>
          <w:rFonts w:ascii="Calibri" w:hAnsi="Calibri" w:cs="Calibri"/>
          <w:sz w:val="22"/>
          <w:szCs w:val="22"/>
        </w:rPr>
        <w:t>Gland, Switzerland, 20-24 January 2025</w:t>
      </w:r>
    </w:p>
    <w:p w14:paraId="7FC3BF59" w14:textId="77777777" w:rsidR="003232A2" w:rsidRPr="003232A2" w:rsidRDefault="003232A2" w:rsidP="000E5876">
      <w:pPr>
        <w:jc w:val="right"/>
        <w:rPr>
          <w:rFonts w:ascii="Calibri" w:hAnsi="Calibri" w:cs="Calibri"/>
          <w:b/>
          <w:bCs/>
          <w:sz w:val="28"/>
          <w:szCs w:val="28"/>
        </w:rPr>
      </w:pPr>
    </w:p>
    <w:p w14:paraId="1390C17B" w14:textId="7B362C2C" w:rsidR="003232A2" w:rsidRPr="003232A2" w:rsidRDefault="003232A2" w:rsidP="000E5876">
      <w:pPr>
        <w:jc w:val="right"/>
        <w:rPr>
          <w:rFonts w:ascii="Calibri" w:hAnsi="Calibri" w:cs="Calibri"/>
          <w:b/>
          <w:bCs/>
          <w:sz w:val="28"/>
          <w:szCs w:val="28"/>
        </w:rPr>
      </w:pPr>
      <w:r w:rsidRPr="00786EB1">
        <w:rPr>
          <w:rFonts w:ascii="Calibri" w:hAnsi="Calibri" w:cs="Calibri"/>
          <w:b/>
          <w:bCs/>
          <w:sz w:val="28"/>
          <w:szCs w:val="28"/>
        </w:rPr>
        <w:t>SC64 Doc.</w:t>
      </w:r>
      <w:r w:rsidR="00185E39">
        <w:rPr>
          <w:rFonts w:ascii="Calibri" w:hAnsi="Calibri" w:cs="Calibri"/>
          <w:b/>
          <w:bCs/>
          <w:sz w:val="28"/>
          <w:szCs w:val="28"/>
        </w:rPr>
        <w:t>15.2</w:t>
      </w:r>
    </w:p>
    <w:p w14:paraId="335B4C59" w14:textId="77777777" w:rsidR="003232A2" w:rsidRPr="003232A2" w:rsidRDefault="003232A2" w:rsidP="000E5876">
      <w:pPr>
        <w:jc w:val="right"/>
        <w:rPr>
          <w:rFonts w:ascii="Calibri" w:hAnsi="Calibri" w:cs="Calibri"/>
          <w:b/>
          <w:bCs/>
          <w:sz w:val="28"/>
          <w:szCs w:val="28"/>
        </w:rPr>
      </w:pPr>
    </w:p>
    <w:p w14:paraId="1902FC64" w14:textId="040BE2B5" w:rsidR="004F78C5" w:rsidRDefault="004F78C5" w:rsidP="000E5876">
      <w:pPr>
        <w:jc w:val="center"/>
        <w:rPr>
          <w:b/>
          <w:bCs/>
          <w:sz w:val="28"/>
          <w:szCs w:val="28"/>
        </w:rPr>
      </w:pPr>
      <w:r w:rsidRPr="004F78C5">
        <w:rPr>
          <w:b/>
          <w:bCs/>
          <w:sz w:val="28"/>
          <w:szCs w:val="28"/>
        </w:rPr>
        <w:t xml:space="preserve">Communication, capacity building, education, </w:t>
      </w:r>
      <w:r>
        <w:rPr>
          <w:b/>
          <w:bCs/>
          <w:sz w:val="28"/>
          <w:szCs w:val="28"/>
        </w:rPr>
        <w:br/>
      </w:r>
      <w:r w:rsidRPr="004F78C5">
        <w:rPr>
          <w:b/>
          <w:bCs/>
          <w:sz w:val="28"/>
          <w:szCs w:val="28"/>
        </w:rPr>
        <w:t>participation</w:t>
      </w:r>
      <w:r>
        <w:rPr>
          <w:b/>
          <w:bCs/>
          <w:sz w:val="28"/>
          <w:szCs w:val="28"/>
        </w:rPr>
        <w:t xml:space="preserve"> </w:t>
      </w:r>
      <w:r w:rsidRPr="004F78C5">
        <w:rPr>
          <w:b/>
          <w:bCs/>
          <w:sz w:val="28"/>
          <w:szCs w:val="28"/>
        </w:rPr>
        <w:t>and awareness (CEPA)</w:t>
      </w:r>
      <w:r>
        <w:rPr>
          <w:b/>
          <w:bCs/>
          <w:sz w:val="28"/>
          <w:szCs w:val="28"/>
        </w:rPr>
        <w:t>:</w:t>
      </w:r>
    </w:p>
    <w:p w14:paraId="620CE16C" w14:textId="61CDE1C9" w:rsidR="00717566" w:rsidRPr="003232A2" w:rsidRDefault="00717566" w:rsidP="000E5876">
      <w:pPr>
        <w:jc w:val="center"/>
        <w:rPr>
          <w:rFonts w:cstheme="minorHAnsi"/>
          <w:b/>
          <w:sz w:val="28"/>
          <w:szCs w:val="28"/>
        </w:rPr>
      </w:pPr>
      <w:r w:rsidRPr="37A58338">
        <w:rPr>
          <w:b/>
          <w:bCs/>
          <w:sz w:val="28"/>
          <w:szCs w:val="28"/>
        </w:rPr>
        <w:t xml:space="preserve">Draft resolution on </w:t>
      </w:r>
      <w:bookmarkStart w:id="0" w:name="_Hlk175736989"/>
      <w:r w:rsidRPr="003232A2">
        <w:rPr>
          <w:rFonts w:cstheme="minorHAnsi"/>
          <w:b/>
          <w:sz w:val="28"/>
          <w:szCs w:val="28"/>
        </w:rPr>
        <w:t>CEPA</w:t>
      </w:r>
    </w:p>
    <w:bookmarkEnd w:id="0"/>
    <w:p w14:paraId="2330C7E0" w14:textId="6762F3A9" w:rsidR="00717566" w:rsidRPr="00786EB1" w:rsidRDefault="00717566" w:rsidP="000E5876">
      <w:pPr>
        <w:tabs>
          <w:tab w:val="left" w:pos="397"/>
          <w:tab w:val="left" w:pos="794"/>
          <w:tab w:val="left" w:pos="1191"/>
          <w:tab w:val="left" w:pos="1588"/>
          <w:tab w:val="left" w:pos="1985"/>
        </w:tabs>
        <w:ind w:left="794" w:hanging="794"/>
        <w:rPr>
          <w:rFonts w:cstheme="minorHAnsi"/>
          <w:sz w:val="22"/>
          <w:szCs w:val="22"/>
        </w:rPr>
      </w:pPr>
    </w:p>
    <w:p w14:paraId="5CD52C62" w14:textId="6C24B09F" w:rsidR="00137702" w:rsidRPr="00D76ACA" w:rsidRDefault="00786EB1" w:rsidP="000E5876">
      <w:pPr>
        <w:ind w:left="425" w:hanging="425"/>
        <w:rPr>
          <w:rFonts w:ascii="Calibri" w:hAnsi="Calibri" w:cs="Calibri"/>
          <w:bCs/>
          <w:i/>
          <w:iCs/>
        </w:rPr>
      </w:pPr>
      <w:r w:rsidRPr="00D76ACA">
        <w:rPr>
          <w:rFonts w:ascii="Calibri" w:hAnsi="Calibri" w:cs="Calibri"/>
          <w:bCs/>
          <w:i/>
          <w:iCs/>
          <w:noProof/>
        </w:rPr>
        <mc:AlternateContent>
          <mc:Choice Requires="wps">
            <w:drawing>
              <wp:anchor distT="45720" distB="45720" distL="114300" distR="114300" simplePos="0" relativeHeight="251664384" behindDoc="0" locked="0" layoutInCell="1" allowOverlap="1" wp14:anchorId="65BB86FC" wp14:editId="4C1EB377">
                <wp:simplePos x="0" y="0"/>
                <wp:positionH relativeFrom="column">
                  <wp:posOffset>-22860</wp:posOffset>
                </wp:positionH>
                <wp:positionV relativeFrom="paragraph">
                  <wp:posOffset>357505</wp:posOffset>
                </wp:positionV>
                <wp:extent cx="5820410" cy="853440"/>
                <wp:effectExtent l="0" t="0" r="279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53440"/>
                        </a:xfrm>
                        <a:prstGeom prst="rect">
                          <a:avLst/>
                        </a:prstGeom>
                        <a:solidFill>
                          <a:srgbClr val="FFFFFF"/>
                        </a:solidFill>
                        <a:ln w="9525">
                          <a:solidFill>
                            <a:srgbClr val="000000"/>
                          </a:solidFill>
                          <a:miter lim="800000"/>
                          <a:headEnd/>
                          <a:tailEnd/>
                        </a:ln>
                      </wps:spPr>
                      <wps:txbx>
                        <w:txbxContent>
                          <w:p w14:paraId="2D2091BB" w14:textId="77777777" w:rsidR="00786EB1" w:rsidRDefault="00786EB1" w:rsidP="00786EB1">
                            <w:pPr>
                              <w:ind w:left="425" w:hanging="425"/>
                              <w:rPr>
                                <w:rFonts w:ascii="Calibri" w:hAnsi="Calibri" w:cs="Calibri"/>
                                <w:b/>
                                <w:sz w:val="22"/>
                                <w:szCs w:val="22"/>
                              </w:rPr>
                            </w:pPr>
                            <w:r w:rsidRPr="00786EB1">
                              <w:rPr>
                                <w:rFonts w:ascii="Calibri" w:hAnsi="Calibri" w:cs="Calibri"/>
                                <w:b/>
                                <w:sz w:val="22"/>
                                <w:szCs w:val="22"/>
                              </w:rPr>
                              <w:t>Action requested:</w:t>
                            </w:r>
                          </w:p>
                          <w:p w14:paraId="66D1A2AD" w14:textId="77777777" w:rsidR="00B44E15" w:rsidRPr="00786EB1" w:rsidRDefault="00B44E15" w:rsidP="00786EB1">
                            <w:pPr>
                              <w:ind w:left="425" w:hanging="425"/>
                              <w:rPr>
                                <w:rFonts w:ascii="Calibri" w:hAnsi="Calibri" w:cs="Calibri"/>
                                <w:b/>
                                <w:sz w:val="22"/>
                                <w:szCs w:val="22"/>
                              </w:rPr>
                            </w:pPr>
                          </w:p>
                          <w:p w14:paraId="55837CE3" w14:textId="77777777" w:rsidR="00786EB1" w:rsidRPr="00786EB1" w:rsidRDefault="00786EB1" w:rsidP="00B44E15">
                            <w:pPr>
                              <w:widowControl w:val="0"/>
                              <w:rPr>
                                <w:rFonts w:ascii="Calibri" w:hAnsi="Calibri" w:cs="Calibri"/>
                                <w:sz w:val="22"/>
                                <w:szCs w:val="22"/>
                              </w:rPr>
                            </w:pPr>
                            <w:r w:rsidRPr="00786EB1">
                              <w:rPr>
                                <w:rFonts w:ascii="Calibri" w:hAnsi="Calibri" w:cs="Calibri"/>
                                <w:sz w:val="22"/>
                                <w:szCs w:val="22"/>
                              </w:rPr>
                              <w:t>The Standing Committee is invited to review and approve the attached Draft Resolution for consideration by the 15th meeting of the Conference of the Parties.</w:t>
                            </w:r>
                          </w:p>
                          <w:p w14:paraId="305AF505" w14:textId="77777777" w:rsidR="00786EB1" w:rsidRPr="00786EB1" w:rsidRDefault="00786EB1" w:rsidP="00786EB1">
                            <w:pPr>
                              <w:widowControl w:val="0"/>
                              <w:ind w:left="425" w:hanging="425"/>
                              <w:rPr>
                                <w:sz w:val="22"/>
                                <w:szCs w:val="22"/>
                              </w:rPr>
                            </w:pPr>
                          </w:p>
                          <w:p w14:paraId="5BB9407B" w14:textId="77777777" w:rsidR="00786EB1" w:rsidRDefault="00786EB1" w:rsidP="00786E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B86FC" id="_x0000_t202" coordsize="21600,21600" o:spt="202" path="m,l,21600r21600,l21600,xe">
                <v:stroke joinstyle="miter"/>
                <v:path gradientshapeok="t" o:connecttype="rect"/>
              </v:shapetype>
              <v:shape id="Text Box 2" o:spid="_x0000_s1026" type="#_x0000_t202" style="position:absolute;left:0;text-align:left;margin-left:-1.8pt;margin-top:28.15pt;width:458.3pt;height:67.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">
                <v:textbox>
                  <w:txbxContent>
                    <w:p w14:paraId="2D2091BB" w14:textId="77777777" w:rsidR="00786EB1" w:rsidRDefault="00786EB1" w:rsidP="00786EB1">
                      <w:pPr>
                        <w:ind w:left="425" w:hanging="425"/>
                        <w:rPr>
                          <w:rFonts w:ascii="Calibri" w:hAnsi="Calibri" w:cs="Calibri"/>
                          <w:b/>
                          <w:sz w:val="22"/>
                          <w:szCs w:val="22"/>
                        </w:rPr>
                      </w:pPr>
                      <w:r w:rsidRPr="00786EB1">
                        <w:rPr>
                          <w:rFonts w:ascii="Calibri" w:hAnsi="Calibri" w:cs="Calibri"/>
                          <w:b/>
                          <w:sz w:val="22"/>
                          <w:szCs w:val="22"/>
                        </w:rPr>
                        <w:t>Action requested:</w:t>
                      </w:r>
                    </w:p>
                    <w:p w14:paraId="66D1A2AD" w14:textId="77777777" w:rsidR="00B44E15" w:rsidRPr="00786EB1" w:rsidRDefault="00B44E15" w:rsidP="00786EB1">
                      <w:pPr>
                        <w:ind w:left="425" w:hanging="425"/>
                        <w:rPr>
                          <w:rFonts w:ascii="Calibri" w:hAnsi="Calibri" w:cs="Calibri"/>
                          <w:b/>
                          <w:sz w:val="22"/>
                          <w:szCs w:val="22"/>
                        </w:rPr>
                      </w:pPr>
                    </w:p>
                    <w:p w14:paraId="55837CE3" w14:textId="77777777" w:rsidR="00786EB1" w:rsidRPr="00786EB1" w:rsidRDefault="00786EB1" w:rsidP="00B44E15">
                      <w:pPr>
                        <w:widowControl w:val="0"/>
                        <w:rPr>
                          <w:rFonts w:ascii="Calibri" w:hAnsi="Calibri" w:cs="Calibri"/>
                          <w:sz w:val="22"/>
                          <w:szCs w:val="22"/>
                        </w:rPr>
                      </w:pPr>
                      <w:r w:rsidRPr="00786EB1">
                        <w:rPr>
                          <w:rFonts w:ascii="Calibri" w:hAnsi="Calibri" w:cs="Calibri"/>
                          <w:sz w:val="22"/>
                          <w:szCs w:val="22"/>
                        </w:rPr>
                        <w:t>The Standing Committee is invited to review and approve the attached Draft Resolution for consideration by the 15th meeting of the Conference of the Parties.</w:t>
                      </w:r>
                    </w:p>
                    <w:p w14:paraId="305AF505" w14:textId="77777777" w:rsidR="00786EB1" w:rsidRPr="00786EB1" w:rsidRDefault="00786EB1" w:rsidP="00786EB1">
                      <w:pPr>
                        <w:widowControl w:val="0"/>
                        <w:ind w:left="425" w:hanging="425"/>
                        <w:rPr>
                          <w:sz w:val="22"/>
                          <w:szCs w:val="22"/>
                        </w:rPr>
                      </w:pPr>
                    </w:p>
                    <w:p w14:paraId="5BB9407B" w14:textId="77777777" w:rsidR="00786EB1" w:rsidRDefault="00786EB1" w:rsidP="00786EB1"/>
                  </w:txbxContent>
                </v:textbox>
                <w10:wrap type="square"/>
              </v:shape>
            </w:pict>
          </mc:Fallback>
        </mc:AlternateContent>
      </w:r>
      <w:r w:rsidR="00D76ACA" w:rsidRPr="00D76ACA">
        <w:rPr>
          <w:rFonts w:ascii="Calibri" w:hAnsi="Calibri" w:cs="Calibri"/>
          <w:bCs/>
          <w:i/>
          <w:iCs/>
        </w:rPr>
        <w:t>Prepared by the Secretariat</w:t>
      </w:r>
    </w:p>
    <w:p w14:paraId="79148284" w14:textId="196A3BCB" w:rsidR="00137702" w:rsidRDefault="00137702" w:rsidP="000E5876">
      <w:pPr>
        <w:ind w:left="425" w:hanging="425"/>
        <w:rPr>
          <w:rFonts w:ascii="Calibri" w:hAnsi="Calibri" w:cs="Calibri"/>
          <w:bCs/>
        </w:rPr>
      </w:pPr>
    </w:p>
    <w:p w14:paraId="0787F027" w14:textId="77777777" w:rsidR="00E4431D" w:rsidRPr="00786EB1" w:rsidRDefault="00E4431D" w:rsidP="000E5876">
      <w:pPr>
        <w:ind w:left="425" w:hanging="425"/>
        <w:rPr>
          <w:rFonts w:ascii="Calibri" w:hAnsi="Calibri" w:cs="Calibri"/>
          <w:bCs/>
        </w:rPr>
      </w:pPr>
    </w:p>
    <w:p w14:paraId="22DFF6C5" w14:textId="77777777" w:rsidR="00137702" w:rsidRPr="00786EB1" w:rsidRDefault="00137702" w:rsidP="000E5876">
      <w:pPr>
        <w:ind w:left="425" w:hanging="425"/>
        <w:rPr>
          <w:rFonts w:ascii="Calibri" w:hAnsi="Calibri" w:cs="Calibri"/>
          <w:b/>
          <w:sz w:val="22"/>
          <w:szCs w:val="22"/>
        </w:rPr>
      </w:pPr>
      <w:r w:rsidRPr="00786EB1">
        <w:rPr>
          <w:rFonts w:ascii="Calibri" w:hAnsi="Calibri" w:cs="Calibri"/>
          <w:b/>
          <w:sz w:val="22"/>
          <w:szCs w:val="22"/>
        </w:rPr>
        <w:t>Introduction</w:t>
      </w:r>
    </w:p>
    <w:p w14:paraId="050A9DF1" w14:textId="77777777" w:rsidR="00137702" w:rsidRPr="00786EB1" w:rsidRDefault="00137702" w:rsidP="000E5876">
      <w:pPr>
        <w:ind w:left="425" w:hanging="425"/>
        <w:rPr>
          <w:rFonts w:ascii="Calibri" w:hAnsi="Calibri" w:cs="Calibri"/>
          <w:sz w:val="22"/>
          <w:szCs w:val="22"/>
        </w:rPr>
      </w:pPr>
    </w:p>
    <w:p w14:paraId="0359C6C6" w14:textId="37260D6A" w:rsidR="00137702" w:rsidRPr="00786EB1" w:rsidRDefault="00A74ECE" w:rsidP="000E5876">
      <w:pPr>
        <w:rPr>
          <w:rFonts w:ascii="Calibri" w:hAnsi="Calibri" w:cs="Calibri"/>
          <w:i/>
          <w:sz w:val="22"/>
          <w:szCs w:val="22"/>
        </w:rPr>
      </w:pPr>
      <w:r>
        <w:rPr>
          <w:rFonts w:ascii="Calibri" w:hAnsi="Calibri" w:cs="Calibri"/>
          <w:i/>
          <w:sz w:val="22"/>
          <w:szCs w:val="22"/>
        </w:rPr>
        <w:t>Decision SC63</w:t>
      </w:r>
      <w:r w:rsidR="00AD5FA8">
        <w:rPr>
          <w:rFonts w:ascii="Calibri" w:hAnsi="Calibri" w:cs="Calibri"/>
          <w:i/>
          <w:sz w:val="22"/>
          <w:szCs w:val="22"/>
        </w:rPr>
        <w:t xml:space="preserve">-24 instructed the Secretariat to prepare a draft resolution </w:t>
      </w:r>
      <w:r w:rsidR="00822E25">
        <w:rPr>
          <w:rFonts w:ascii="Calibri" w:hAnsi="Calibri" w:cs="Calibri"/>
          <w:i/>
          <w:sz w:val="22"/>
          <w:szCs w:val="22"/>
        </w:rPr>
        <w:t xml:space="preserve">reflecting on the consolidation </w:t>
      </w:r>
      <w:r w:rsidR="0009203B">
        <w:rPr>
          <w:rFonts w:ascii="Calibri" w:hAnsi="Calibri" w:cs="Calibri"/>
          <w:i/>
          <w:sz w:val="22"/>
          <w:szCs w:val="22"/>
        </w:rPr>
        <w:t xml:space="preserve">of Recommendations and Resolutions on CEPA submitted in </w:t>
      </w:r>
      <w:r w:rsidR="005638C6">
        <w:rPr>
          <w:rFonts w:ascii="Calibri" w:hAnsi="Calibri" w:cs="Calibri"/>
          <w:i/>
          <w:sz w:val="22"/>
          <w:szCs w:val="22"/>
        </w:rPr>
        <w:t>Document SC63 Doc.16 and approved through Decision SC63-22, and the views of the Standing Committee</w:t>
      </w:r>
      <w:r w:rsidR="0072587F">
        <w:rPr>
          <w:rFonts w:ascii="Calibri" w:hAnsi="Calibri" w:cs="Calibri"/>
          <w:i/>
          <w:sz w:val="22"/>
          <w:szCs w:val="22"/>
        </w:rPr>
        <w:t xml:space="preserve"> on the process and timeline for nominating the Panel for the 2025-2028 triennium</w:t>
      </w:r>
      <w:r w:rsidR="0008044F">
        <w:rPr>
          <w:rFonts w:ascii="Calibri" w:hAnsi="Calibri" w:cs="Calibri"/>
          <w:i/>
          <w:sz w:val="22"/>
          <w:szCs w:val="22"/>
        </w:rPr>
        <w:t xml:space="preserve">. </w:t>
      </w:r>
    </w:p>
    <w:p w14:paraId="262B5174" w14:textId="77777777" w:rsidR="00137702" w:rsidRPr="00786EB1" w:rsidRDefault="00137702" w:rsidP="000E5876">
      <w:pPr>
        <w:ind w:left="425" w:hanging="425"/>
        <w:rPr>
          <w:rFonts w:ascii="Calibri" w:hAnsi="Calibri" w:cs="Calibri"/>
          <w:sz w:val="22"/>
          <w:szCs w:val="22"/>
        </w:rPr>
      </w:pPr>
    </w:p>
    <w:p w14:paraId="66E09978" w14:textId="77777777" w:rsidR="00137702" w:rsidRPr="00786EB1" w:rsidRDefault="00137702" w:rsidP="000E5876">
      <w:pPr>
        <w:ind w:left="425" w:hanging="425"/>
        <w:rPr>
          <w:rFonts w:ascii="Calibri" w:hAnsi="Calibri" w:cs="Calibri"/>
          <w:i/>
          <w:sz w:val="22"/>
          <w:szCs w:val="22"/>
        </w:rPr>
      </w:pPr>
      <w:r w:rsidRPr="00786EB1">
        <w:rPr>
          <w:rFonts w:ascii="Calibri" w:hAnsi="Calibri" w:cs="Calibri"/>
          <w:i/>
          <w:sz w:val="22"/>
          <w:szCs w:val="22"/>
        </w:rPr>
        <w:t>Financial implications of implementation</w:t>
      </w:r>
    </w:p>
    <w:p w14:paraId="516C71A0" w14:textId="77777777" w:rsidR="00137702" w:rsidRPr="00786EB1" w:rsidRDefault="00137702" w:rsidP="000E5876">
      <w:pPr>
        <w:ind w:left="425" w:hanging="425"/>
        <w:rPr>
          <w:rFonts w:ascii="Calibri" w:hAnsi="Calibri" w:cs="Calibri"/>
          <w:sz w:val="22"/>
          <w:szCs w:val="22"/>
        </w:rPr>
      </w:pPr>
    </w:p>
    <w:tbl>
      <w:tblPr>
        <w:tblStyle w:val="TableGrid"/>
        <w:tblW w:w="0" w:type="auto"/>
        <w:tblLook w:val="04A0" w:firstRow="1" w:lastRow="0" w:firstColumn="1" w:lastColumn="0" w:noHBand="0" w:noVBand="1"/>
      </w:tblPr>
      <w:tblGrid>
        <w:gridCol w:w="1555"/>
        <w:gridCol w:w="5376"/>
        <w:gridCol w:w="2085"/>
      </w:tblGrid>
      <w:tr w:rsidR="00D76ACA" w:rsidRPr="00786EB1" w14:paraId="225A9FBF" w14:textId="77777777" w:rsidTr="00F97489">
        <w:tc>
          <w:tcPr>
            <w:tcW w:w="1555" w:type="dxa"/>
          </w:tcPr>
          <w:p w14:paraId="484FE995" w14:textId="30AD4B64" w:rsidR="00137702" w:rsidRPr="00786EB1" w:rsidRDefault="00137702" w:rsidP="000E5876">
            <w:pPr>
              <w:ind w:left="425" w:hanging="425"/>
              <w:contextualSpacing/>
              <w:rPr>
                <w:rFonts w:ascii="Calibri" w:hAnsi="Calibri" w:cs="Calibri"/>
                <w:sz w:val="22"/>
                <w:szCs w:val="22"/>
              </w:rPr>
            </w:pPr>
            <w:r w:rsidRPr="00786EB1">
              <w:rPr>
                <w:rFonts w:ascii="Calibri" w:hAnsi="Calibri" w:cs="Calibri"/>
                <w:sz w:val="22"/>
                <w:szCs w:val="22"/>
              </w:rPr>
              <w:t>Paragraph</w:t>
            </w:r>
            <w:r w:rsidR="00D76ACA">
              <w:rPr>
                <w:rFonts w:ascii="Calibri" w:hAnsi="Calibri" w:cs="Calibri"/>
                <w:sz w:val="22"/>
                <w:szCs w:val="22"/>
              </w:rPr>
              <w:t xml:space="preserve"> 15 </w:t>
            </w:r>
          </w:p>
        </w:tc>
        <w:tc>
          <w:tcPr>
            <w:tcW w:w="5376" w:type="dxa"/>
          </w:tcPr>
          <w:p w14:paraId="3CC0C688" w14:textId="6A438D83" w:rsidR="00137702" w:rsidRPr="00786EB1" w:rsidRDefault="00D76ACA" w:rsidP="000E5876">
            <w:pPr>
              <w:ind w:left="0" w:firstLine="0"/>
              <w:rPr>
                <w:rFonts w:ascii="Calibri" w:hAnsi="Calibri" w:cs="Calibri"/>
                <w:sz w:val="22"/>
                <w:szCs w:val="22"/>
              </w:rPr>
            </w:pPr>
            <w:r>
              <w:rPr>
                <w:rFonts w:ascii="Calibri" w:hAnsi="Calibri" w:cs="Calibri"/>
                <w:sz w:val="22"/>
                <w:szCs w:val="22"/>
              </w:rPr>
              <w:t xml:space="preserve">Secretariat to </w:t>
            </w:r>
            <w:r w:rsidRPr="00434DF7">
              <w:rPr>
                <w:rFonts w:cstheme="minorHAnsi"/>
                <w:sz w:val="22"/>
                <w:szCs w:val="22"/>
              </w:rPr>
              <w:t xml:space="preserve">assist in strengthening the capacity of the CEPA Focal Points through the provision of </w:t>
            </w:r>
            <w:r>
              <w:rPr>
                <w:rFonts w:cstheme="minorHAnsi"/>
                <w:sz w:val="22"/>
                <w:szCs w:val="22"/>
              </w:rPr>
              <w:t xml:space="preserve">resources, </w:t>
            </w:r>
            <w:r w:rsidRPr="00434DF7">
              <w:rPr>
                <w:rFonts w:cstheme="minorHAnsi"/>
                <w:sz w:val="22"/>
                <w:szCs w:val="22"/>
              </w:rPr>
              <w:t>training, toolkits, and templates for CEPA acti</w:t>
            </w:r>
            <w:r>
              <w:rPr>
                <w:rFonts w:cstheme="minorHAnsi"/>
                <w:sz w:val="22"/>
                <w:szCs w:val="22"/>
              </w:rPr>
              <w:t>vities</w:t>
            </w:r>
            <w:r w:rsidRPr="00434DF7">
              <w:rPr>
                <w:rFonts w:cstheme="minorHAnsi"/>
                <w:sz w:val="22"/>
                <w:szCs w:val="22"/>
              </w:rPr>
              <w:t>; and to provide technical support for CEPA National Focal Points through the establishment of a network for their knowledge sharing</w:t>
            </w:r>
          </w:p>
        </w:tc>
        <w:tc>
          <w:tcPr>
            <w:tcW w:w="2085" w:type="dxa"/>
          </w:tcPr>
          <w:p w14:paraId="4A8D1B3C" w14:textId="02E6157F" w:rsidR="00137702" w:rsidRPr="00786EB1" w:rsidRDefault="00137702" w:rsidP="000E5876">
            <w:pPr>
              <w:ind w:left="0" w:firstLine="0"/>
              <w:contextualSpacing/>
              <w:rPr>
                <w:rFonts w:ascii="Calibri" w:hAnsi="Calibri" w:cs="Calibri"/>
                <w:sz w:val="22"/>
                <w:szCs w:val="22"/>
              </w:rPr>
            </w:pPr>
            <w:r w:rsidRPr="00AB06F3">
              <w:rPr>
                <w:rFonts w:ascii="Calibri" w:hAnsi="Calibri" w:cs="Calibri"/>
                <w:sz w:val="22"/>
                <w:szCs w:val="22"/>
              </w:rPr>
              <w:t xml:space="preserve">Cost </w:t>
            </w:r>
            <w:r w:rsidR="00C75CBB" w:rsidRPr="00AB06F3">
              <w:rPr>
                <w:rFonts w:ascii="Calibri" w:hAnsi="Calibri" w:cs="Calibri"/>
                <w:sz w:val="22"/>
                <w:szCs w:val="22"/>
              </w:rPr>
              <w:t>to be determined;</w:t>
            </w:r>
            <w:r w:rsidR="00C75CBB" w:rsidRPr="084BA120">
              <w:rPr>
                <w:rFonts w:ascii="Calibri" w:hAnsi="Calibri" w:cs="Calibri"/>
                <w:sz w:val="22"/>
                <w:szCs w:val="22"/>
              </w:rPr>
              <w:t xml:space="preserve"> </w:t>
            </w:r>
            <w:r w:rsidR="00D76ACA" w:rsidRPr="084BA120">
              <w:rPr>
                <w:rFonts w:ascii="Calibri" w:hAnsi="Calibri" w:cs="Calibri"/>
                <w:sz w:val="22"/>
                <w:szCs w:val="22"/>
              </w:rPr>
              <w:t>core budget allocation</w:t>
            </w:r>
          </w:p>
        </w:tc>
      </w:tr>
    </w:tbl>
    <w:p w14:paraId="5BC9B9A6" w14:textId="77777777" w:rsidR="00137702" w:rsidRPr="00786EB1" w:rsidRDefault="00137702" w:rsidP="000E5876">
      <w:pPr>
        <w:rPr>
          <w:rFonts w:ascii="Calibri" w:eastAsia="Calibri" w:hAnsi="Calibri" w:cs="Calibri"/>
          <w:b/>
          <w:kern w:val="0"/>
          <w:sz w:val="22"/>
          <w:szCs w:val="22"/>
          <w14:ligatures w14:val="none"/>
        </w:rPr>
      </w:pPr>
    </w:p>
    <w:p w14:paraId="64E3EACC" w14:textId="77777777" w:rsidR="00137702" w:rsidRDefault="00137702" w:rsidP="000E5876">
      <w:pPr>
        <w:ind w:left="425" w:hanging="425"/>
        <w:rPr>
          <w:rFonts w:ascii="Calibri" w:hAnsi="Calibri" w:cs="Calibri"/>
        </w:rPr>
      </w:pPr>
    </w:p>
    <w:p w14:paraId="0DEBF90B" w14:textId="48F181D3" w:rsidR="00137702" w:rsidRPr="00137702" w:rsidRDefault="00137702" w:rsidP="000E5876">
      <w:pPr>
        <w:rPr>
          <w:rFonts w:ascii="Calibri" w:hAnsi="Calibri" w:cs="Calibri"/>
          <w:b/>
        </w:rPr>
      </w:pPr>
      <w:r w:rsidRPr="00B254A3">
        <w:rPr>
          <w:rFonts w:ascii="Calibri" w:hAnsi="Calibri" w:cs="Calibri"/>
          <w:b/>
        </w:rPr>
        <w:t xml:space="preserve">Draft Resolution </w:t>
      </w:r>
      <w:r>
        <w:rPr>
          <w:rFonts w:ascii="Calibri" w:hAnsi="Calibri" w:cs="Calibri"/>
          <w:b/>
        </w:rPr>
        <w:t xml:space="preserve">XV.x </w:t>
      </w:r>
      <w:r w:rsidRPr="00B254A3">
        <w:rPr>
          <w:rFonts w:ascii="Calibri" w:hAnsi="Calibri" w:cs="Calibri"/>
          <w:b/>
        </w:rPr>
        <w:t xml:space="preserve">on </w:t>
      </w:r>
      <w:r w:rsidRPr="00137702">
        <w:rPr>
          <w:rFonts w:ascii="Calibri" w:hAnsi="Calibri" w:cs="Calibri"/>
          <w:b/>
        </w:rPr>
        <w:t>Communication, capacity building, education, participation and awareness (CEPA)</w:t>
      </w:r>
    </w:p>
    <w:p w14:paraId="21709579" w14:textId="30BDD870" w:rsidR="00717566" w:rsidRPr="008F0B79" w:rsidRDefault="00717566" w:rsidP="000E5876">
      <w:pPr>
        <w:ind w:left="425" w:hanging="425"/>
        <w:rPr>
          <w:rFonts w:cstheme="minorHAnsi"/>
          <w:sz w:val="22"/>
          <w:szCs w:val="22"/>
        </w:rPr>
      </w:pPr>
    </w:p>
    <w:p w14:paraId="7723062A" w14:textId="77777777" w:rsidR="00717566" w:rsidRPr="00434DF7" w:rsidRDefault="00717566" w:rsidP="000E5876">
      <w:pPr>
        <w:ind w:left="426" w:hanging="426"/>
        <w:rPr>
          <w:rFonts w:cstheme="minorHAnsi"/>
          <w:sz w:val="22"/>
          <w:szCs w:val="22"/>
        </w:rPr>
      </w:pPr>
      <w:r w:rsidRPr="00434DF7">
        <w:rPr>
          <w:rFonts w:cstheme="minorHAnsi"/>
          <w:sz w:val="22"/>
          <w:szCs w:val="22"/>
        </w:rPr>
        <w:t>1.</w:t>
      </w:r>
      <w:r w:rsidRPr="00434DF7">
        <w:rPr>
          <w:rFonts w:cstheme="minorHAnsi"/>
          <w:sz w:val="22"/>
          <w:szCs w:val="22"/>
        </w:rPr>
        <w:tab/>
        <w:t xml:space="preserve">RECALLING Recommendation 4.5 on </w:t>
      </w:r>
      <w:r w:rsidRPr="00434DF7">
        <w:rPr>
          <w:rFonts w:cstheme="minorHAnsi"/>
          <w:i/>
          <w:iCs/>
          <w:sz w:val="22"/>
          <w:szCs w:val="22"/>
        </w:rPr>
        <w:t xml:space="preserve">Education and training </w:t>
      </w:r>
      <w:r w:rsidRPr="00434DF7">
        <w:rPr>
          <w:rFonts w:cstheme="minorHAnsi"/>
          <w:sz w:val="22"/>
          <w:szCs w:val="22"/>
        </w:rPr>
        <w:t xml:space="preserve">and Recommendation 5.8 on </w:t>
      </w:r>
      <w:r w:rsidRPr="00434DF7">
        <w:rPr>
          <w:rFonts w:cstheme="minorHAnsi"/>
          <w:i/>
          <w:iCs/>
          <w:sz w:val="22"/>
          <w:szCs w:val="22"/>
        </w:rPr>
        <w:t>Measures to promote public awareness of wetland values in wetland reserves,</w:t>
      </w:r>
      <w:r w:rsidRPr="00434DF7">
        <w:rPr>
          <w:rFonts w:cstheme="minorHAnsi"/>
          <w:sz w:val="22"/>
          <w:szCs w:val="22"/>
        </w:rPr>
        <w:t xml:space="preserve"> adopted at the fourth and fifth meetings of the Conference of the Contracting Parties respectively; </w:t>
      </w:r>
    </w:p>
    <w:p w14:paraId="15B076D7" w14:textId="77777777" w:rsidR="00717566" w:rsidRPr="00434DF7" w:rsidRDefault="00717566" w:rsidP="000E5876">
      <w:pPr>
        <w:ind w:left="426" w:hanging="426"/>
        <w:rPr>
          <w:rFonts w:cstheme="minorHAnsi"/>
          <w:sz w:val="22"/>
          <w:szCs w:val="22"/>
        </w:rPr>
      </w:pPr>
    </w:p>
    <w:p w14:paraId="4AFFCD62" w14:textId="2A087E77" w:rsidR="00795C84" w:rsidRPr="00434DF7" w:rsidRDefault="00717566" w:rsidP="000E5876">
      <w:pPr>
        <w:ind w:left="426" w:hanging="426"/>
        <w:rPr>
          <w:rFonts w:cstheme="minorHAnsi"/>
          <w:sz w:val="22"/>
          <w:szCs w:val="22"/>
        </w:rPr>
      </w:pPr>
      <w:r w:rsidRPr="00434DF7">
        <w:rPr>
          <w:rFonts w:cstheme="minorHAnsi"/>
          <w:sz w:val="22"/>
          <w:szCs w:val="22"/>
        </w:rPr>
        <w:t>2.</w:t>
      </w:r>
      <w:r w:rsidRPr="00434DF7">
        <w:rPr>
          <w:rFonts w:cstheme="minorHAnsi"/>
          <w:sz w:val="22"/>
          <w:szCs w:val="22"/>
        </w:rPr>
        <w:tab/>
        <w:t xml:space="preserve">ALSO RECALLING Resolution VI.19 on </w:t>
      </w:r>
      <w:r w:rsidRPr="00434DF7">
        <w:rPr>
          <w:rFonts w:cstheme="minorHAnsi"/>
          <w:i/>
          <w:iCs/>
          <w:sz w:val="22"/>
          <w:szCs w:val="22"/>
        </w:rPr>
        <w:t>Education and public awareness</w:t>
      </w:r>
      <w:r w:rsidRPr="00434DF7">
        <w:rPr>
          <w:rFonts w:cstheme="minorHAnsi"/>
          <w:sz w:val="22"/>
          <w:szCs w:val="22"/>
        </w:rPr>
        <w:t xml:space="preserve">, Resolution VII.9 on </w:t>
      </w:r>
      <w:r w:rsidRPr="00434DF7">
        <w:rPr>
          <w:rFonts w:cstheme="minorHAnsi"/>
          <w:i/>
          <w:iCs/>
          <w:sz w:val="22"/>
          <w:szCs w:val="22"/>
        </w:rPr>
        <w:t>The Convention’s Outreach Programme, 1999-2002</w:t>
      </w:r>
      <w:r w:rsidRPr="00434DF7">
        <w:rPr>
          <w:rFonts w:cstheme="minorHAnsi"/>
          <w:sz w:val="22"/>
          <w:szCs w:val="22"/>
        </w:rPr>
        <w:t>, Resolution</w:t>
      </w:r>
      <w:r w:rsidRPr="00434DF7">
        <w:rPr>
          <w:rFonts w:cstheme="minorHAnsi"/>
          <w:i/>
          <w:iCs/>
          <w:sz w:val="22"/>
          <w:szCs w:val="22"/>
        </w:rPr>
        <w:t xml:space="preserve"> </w:t>
      </w:r>
      <w:r w:rsidRPr="00434DF7">
        <w:rPr>
          <w:rFonts w:cstheme="minorHAnsi"/>
          <w:sz w:val="22"/>
          <w:szCs w:val="22"/>
        </w:rPr>
        <w:t xml:space="preserve">VIII.31 on </w:t>
      </w:r>
      <w:r w:rsidRPr="00434DF7">
        <w:rPr>
          <w:rFonts w:cstheme="minorHAnsi"/>
          <w:i/>
          <w:iCs/>
          <w:sz w:val="22"/>
          <w:szCs w:val="22"/>
        </w:rPr>
        <w:t>The Convention's Programme on communication, education and public awareness (CEPA) 2003-2008</w:t>
      </w:r>
      <w:r w:rsidRPr="00434DF7">
        <w:rPr>
          <w:rFonts w:cstheme="minorHAnsi"/>
          <w:sz w:val="22"/>
          <w:szCs w:val="22"/>
        </w:rPr>
        <w:t>, Resolution</w:t>
      </w:r>
      <w:r w:rsidR="003537B3">
        <w:rPr>
          <w:rFonts w:cstheme="minorHAnsi"/>
          <w:i/>
          <w:iCs/>
          <w:sz w:val="22"/>
          <w:szCs w:val="22"/>
        </w:rPr>
        <w:t> </w:t>
      </w:r>
      <w:r w:rsidRPr="00434DF7">
        <w:rPr>
          <w:rFonts w:cstheme="minorHAnsi"/>
          <w:sz w:val="22"/>
          <w:szCs w:val="22"/>
        </w:rPr>
        <w:t xml:space="preserve">IX.18 on </w:t>
      </w:r>
      <w:r w:rsidRPr="00434DF7">
        <w:rPr>
          <w:rFonts w:cstheme="minorHAnsi"/>
          <w:i/>
          <w:iCs/>
          <w:sz w:val="22"/>
          <w:szCs w:val="22"/>
        </w:rPr>
        <w:t>Establishment of an Oversight Panel for the CEPA activities of the Convention</w:t>
      </w:r>
      <w:r w:rsidRPr="00434DF7">
        <w:rPr>
          <w:rFonts w:cstheme="minorHAnsi"/>
          <w:sz w:val="22"/>
          <w:szCs w:val="22"/>
        </w:rPr>
        <w:t>, Resolution</w:t>
      </w:r>
      <w:r w:rsidRPr="00434DF7">
        <w:rPr>
          <w:rFonts w:cstheme="minorHAnsi"/>
          <w:i/>
          <w:iCs/>
          <w:sz w:val="22"/>
          <w:szCs w:val="22"/>
        </w:rPr>
        <w:t xml:space="preserve"> </w:t>
      </w:r>
      <w:r w:rsidRPr="00434DF7">
        <w:rPr>
          <w:rFonts w:cstheme="minorHAnsi"/>
          <w:sz w:val="22"/>
          <w:szCs w:val="22"/>
        </w:rPr>
        <w:t xml:space="preserve">X.8 on </w:t>
      </w:r>
      <w:r w:rsidRPr="00434DF7">
        <w:rPr>
          <w:rFonts w:cstheme="minorHAnsi"/>
          <w:i/>
          <w:iCs/>
          <w:sz w:val="22"/>
          <w:szCs w:val="22"/>
        </w:rPr>
        <w:t xml:space="preserve">The Convention’s Programme on communication, education, </w:t>
      </w:r>
      <w:r w:rsidRPr="00434DF7">
        <w:rPr>
          <w:rFonts w:cstheme="minorHAnsi"/>
          <w:i/>
          <w:iCs/>
          <w:sz w:val="22"/>
          <w:szCs w:val="22"/>
        </w:rPr>
        <w:lastRenderedPageBreak/>
        <w:t>participation and awareness (CEPA) 2009-2015</w:t>
      </w:r>
      <w:r w:rsidRPr="00434DF7">
        <w:rPr>
          <w:rFonts w:cstheme="minorHAnsi"/>
          <w:sz w:val="22"/>
          <w:szCs w:val="22"/>
        </w:rPr>
        <w:t>, Resolution</w:t>
      </w:r>
      <w:r w:rsidRPr="00434DF7">
        <w:rPr>
          <w:rFonts w:cstheme="minorHAnsi"/>
          <w:i/>
          <w:iCs/>
          <w:sz w:val="22"/>
          <w:szCs w:val="22"/>
        </w:rPr>
        <w:t xml:space="preserve"> </w:t>
      </w:r>
      <w:r w:rsidRPr="00434DF7">
        <w:rPr>
          <w:rFonts w:cstheme="minorHAnsi"/>
          <w:sz w:val="22"/>
          <w:szCs w:val="22"/>
        </w:rPr>
        <w:t xml:space="preserve">XII.9 on </w:t>
      </w:r>
      <w:r w:rsidRPr="00434DF7">
        <w:rPr>
          <w:rFonts w:cstheme="minorHAnsi"/>
          <w:i/>
          <w:iCs/>
          <w:sz w:val="22"/>
          <w:szCs w:val="22"/>
        </w:rPr>
        <w:t>The Ramsar Convention’s Programme on communication, capacity building, education, participation and awareness (CEPA) 2016‐2024</w:t>
      </w:r>
      <w:r w:rsidRPr="00434DF7">
        <w:rPr>
          <w:rFonts w:cstheme="minorHAnsi"/>
          <w:sz w:val="22"/>
          <w:szCs w:val="22"/>
        </w:rPr>
        <w:t xml:space="preserve">, adopted at the 6th, 7th, 8th, 9th, 10th, </w:t>
      </w:r>
      <w:r w:rsidR="00E273BD">
        <w:rPr>
          <w:rFonts w:cstheme="minorHAnsi"/>
          <w:sz w:val="22"/>
          <w:szCs w:val="22"/>
        </w:rPr>
        <w:t xml:space="preserve">and </w:t>
      </w:r>
      <w:r w:rsidRPr="00434DF7">
        <w:rPr>
          <w:rFonts w:cstheme="minorHAnsi"/>
          <w:sz w:val="22"/>
          <w:szCs w:val="22"/>
        </w:rPr>
        <w:t>12th meetings of the Conference of the Contracting Parties, respectively;</w:t>
      </w:r>
    </w:p>
    <w:p w14:paraId="00798E5A" w14:textId="77777777" w:rsidR="00717566" w:rsidRPr="00434DF7" w:rsidRDefault="00717566" w:rsidP="000E5876">
      <w:pPr>
        <w:ind w:left="426" w:hanging="426"/>
        <w:rPr>
          <w:rFonts w:cstheme="minorHAnsi"/>
          <w:sz w:val="22"/>
          <w:szCs w:val="22"/>
        </w:rPr>
      </w:pPr>
    </w:p>
    <w:p w14:paraId="03E76126" w14:textId="74E21218" w:rsidR="001816FA" w:rsidRDefault="00C25093" w:rsidP="000E5876">
      <w:pPr>
        <w:ind w:left="426" w:hanging="426"/>
        <w:rPr>
          <w:rFonts w:cstheme="minorHAnsi"/>
          <w:sz w:val="22"/>
          <w:szCs w:val="22"/>
        </w:rPr>
      </w:pPr>
      <w:r>
        <w:rPr>
          <w:rFonts w:cstheme="minorHAnsi"/>
          <w:sz w:val="22"/>
          <w:szCs w:val="22"/>
        </w:rPr>
        <w:t>3</w:t>
      </w:r>
      <w:r w:rsidR="00BB3969">
        <w:rPr>
          <w:rFonts w:cstheme="minorHAnsi"/>
          <w:sz w:val="22"/>
          <w:szCs w:val="22"/>
        </w:rPr>
        <w:t xml:space="preserve">. </w:t>
      </w:r>
      <w:r w:rsidR="00BB3969">
        <w:rPr>
          <w:rFonts w:cstheme="minorHAnsi"/>
          <w:sz w:val="22"/>
          <w:szCs w:val="22"/>
        </w:rPr>
        <w:tab/>
      </w:r>
      <w:r w:rsidR="00597ED4">
        <w:rPr>
          <w:rFonts w:cstheme="minorHAnsi"/>
          <w:sz w:val="22"/>
          <w:szCs w:val="22"/>
        </w:rPr>
        <w:t>RECALLING that, in</w:t>
      </w:r>
      <w:r w:rsidR="008E1EFD" w:rsidRPr="00BB3969">
        <w:rPr>
          <w:rFonts w:cstheme="minorHAnsi"/>
          <w:sz w:val="22"/>
          <w:szCs w:val="22"/>
        </w:rPr>
        <w:t xml:space="preserve"> Resolution XIII.5</w:t>
      </w:r>
      <w:r w:rsidR="00597ED4">
        <w:rPr>
          <w:rFonts w:cstheme="minorHAnsi"/>
          <w:sz w:val="22"/>
          <w:szCs w:val="22"/>
        </w:rPr>
        <w:t xml:space="preserve">, </w:t>
      </w:r>
      <w:r w:rsidR="008E1EFD" w:rsidRPr="00BB3969">
        <w:rPr>
          <w:rFonts w:cstheme="minorHAnsi"/>
          <w:sz w:val="22"/>
          <w:szCs w:val="22"/>
        </w:rPr>
        <w:t xml:space="preserve">on </w:t>
      </w:r>
      <w:r w:rsidR="008E1EFD" w:rsidRPr="00597ED4">
        <w:rPr>
          <w:rFonts w:cstheme="minorHAnsi"/>
          <w:i/>
          <w:iCs/>
          <w:sz w:val="22"/>
          <w:szCs w:val="22"/>
        </w:rPr>
        <w:t>Review of the fourth Strategic Plan of the Ramsar Convention</w:t>
      </w:r>
      <w:r w:rsidR="00597ED4" w:rsidRPr="00CD7B63">
        <w:rPr>
          <w:rFonts w:cstheme="minorHAnsi"/>
          <w:sz w:val="22"/>
          <w:szCs w:val="22"/>
        </w:rPr>
        <w:t>,</w:t>
      </w:r>
      <w:r w:rsidR="00597ED4">
        <w:rPr>
          <w:rFonts w:cstheme="minorHAnsi"/>
          <w:sz w:val="22"/>
          <w:szCs w:val="22"/>
        </w:rPr>
        <w:t xml:space="preserve"> the Conference of the Parties </w:t>
      </w:r>
      <w:r w:rsidR="00E273BD">
        <w:rPr>
          <w:rFonts w:cstheme="minorHAnsi"/>
          <w:sz w:val="22"/>
          <w:szCs w:val="22"/>
        </w:rPr>
        <w:t xml:space="preserve">initiated a process for the preparation of a new approach for advising on and supporting CEPA in the Convention, incorporating input from the CEPA Oversight Panel, the Working Group on CEPA Implementation, the Scientific and Technical Review Panel, the Standing Committee, Parties and the Secretariat; and that this approach was adopted through Resolution XIV.8 on </w:t>
      </w:r>
      <w:r w:rsidR="00E273BD">
        <w:rPr>
          <w:rFonts w:cstheme="minorHAnsi"/>
          <w:i/>
          <w:iCs/>
          <w:sz w:val="22"/>
          <w:szCs w:val="22"/>
        </w:rPr>
        <w:t>The new CEPA approach</w:t>
      </w:r>
      <w:r w:rsidR="00E273BD">
        <w:rPr>
          <w:rFonts w:cstheme="minorHAnsi"/>
          <w:sz w:val="22"/>
          <w:szCs w:val="22"/>
        </w:rPr>
        <w:t xml:space="preserve">; </w:t>
      </w:r>
    </w:p>
    <w:p w14:paraId="49D647FE" w14:textId="77777777" w:rsidR="001816FA" w:rsidRDefault="001816FA" w:rsidP="000E5876">
      <w:pPr>
        <w:ind w:left="426" w:hanging="426"/>
        <w:rPr>
          <w:rFonts w:cstheme="minorHAnsi"/>
          <w:sz w:val="22"/>
          <w:szCs w:val="22"/>
        </w:rPr>
      </w:pPr>
    </w:p>
    <w:p w14:paraId="1299DCD0" w14:textId="22E865DC" w:rsidR="001816FA" w:rsidRDefault="00DD2940" w:rsidP="000E5876">
      <w:pPr>
        <w:ind w:left="426" w:hanging="426"/>
        <w:rPr>
          <w:rFonts w:cstheme="minorHAnsi"/>
          <w:sz w:val="22"/>
          <w:szCs w:val="22"/>
        </w:rPr>
      </w:pPr>
      <w:r>
        <w:rPr>
          <w:rFonts w:cstheme="minorHAnsi"/>
          <w:sz w:val="22"/>
          <w:szCs w:val="22"/>
        </w:rPr>
        <w:t>4</w:t>
      </w:r>
      <w:r w:rsidR="001816FA">
        <w:rPr>
          <w:rFonts w:cstheme="minorHAnsi"/>
          <w:sz w:val="22"/>
          <w:szCs w:val="22"/>
        </w:rPr>
        <w:t>.</w:t>
      </w:r>
      <w:r w:rsidR="001816FA">
        <w:rPr>
          <w:rFonts w:cstheme="minorHAnsi"/>
          <w:sz w:val="22"/>
          <w:szCs w:val="22"/>
        </w:rPr>
        <w:tab/>
        <w:t>RECOGNIZING the valuable role of CEPA in supporting the implementation of the Convention on Wetlands and of the Strategic Plans adopted by the Conference of the Contracting Parties;</w:t>
      </w:r>
    </w:p>
    <w:p w14:paraId="66A9185C" w14:textId="77777777" w:rsidR="000C5F3D" w:rsidRDefault="000C5F3D" w:rsidP="000E5876">
      <w:pPr>
        <w:ind w:left="426" w:hanging="426"/>
        <w:rPr>
          <w:rFonts w:cstheme="minorHAnsi"/>
          <w:sz w:val="22"/>
          <w:szCs w:val="22"/>
        </w:rPr>
      </w:pPr>
    </w:p>
    <w:p w14:paraId="5C20FAB2" w14:textId="1E3B6A07" w:rsidR="000C5F3D" w:rsidRDefault="000C5F3D" w:rsidP="000E5876">
      <w:pPr>
        <w:ind w:left="426" w:hanging="426"/>
        <w:rPr>
          <w:rFonts w:cstheme="minorHAnsi"/>
          <w:sz w:val="22"/>
          <w:szCs w:val="22"/>
        </w:rPr>
      </w:pPr>
      <w:r>
        <w:rPr>
          <w:rFonts w:cstheme="minorHAnsi"/>
          <w:sz w:val="22"/>
          <w:szCs w:val="22"/>
        </w:rPr>
        <w:t>5</w:t>
      </w:r>
      <w:r w:rsidRPr="00CD0841">
        <w:rPr>
          <w:rFonts w:cstheme="minorHAnsi"/>
          <w:sz w:val="22"/>
          <w:szCs w:val="22"/>
        </w:rPr>
        <w:t>.</w:t>
      </w:r>
      <w:r w:rsidRPr="00CD0841">
        <w:rPr>
          <w:rFonts w:cstheme="minorHAnsi"/>
          <w:sz w:val="22"/>
          <w:szCs w:val="22"/>
        </w:rPr>
        <w:tab/>
        <w:t xml:space="preserve">RECOGNIZING that Contracting Parties, </w:t>
      </w:r>
      <w:r w:rsidR="005C444D">
        <w:rPr>
          <w:rFonts w:cstheme="minorHAnsi"/>
          <w:sz w:val="22"/>
          <w:szCs w:val="22"/>
        </w:rPr>
        <w:t xml:space="preserve">the </w:t>
      </w:r>
      <w:r w:rsidRPr="00CD0841">
        <w:rPr>
          <w:rFonts w:cstheme="minorHAnsi"/>
          <w:sz w:val="22"/>
          <w:szCs w:val="22"/>
        </w:rPr>
        <w:t xml:space="preserve">International Organization Partners </w:t>
      </w:r>
      <w:r w:rsidR="005C444D">
        <w:rPr>
          <w:rFonts w:cstheme="minorHAnsi"/>
          <w:sz w:val="22"/>
          <w:szCs w:val="22"/>
        </w:rPr>
        <w:t xml:space="preserve">of the Convention, </w:t>
      </w:r>
      <w:r w:rsidRPr="00CD0841">
        <w:rPr>
          <w:rFonts w:cstheme="minorHAnsi"/>
          <w:sz w:val="22"/>
          <w:szCs w:val="22"/>
        </w:rPr>
        <w:t xml:space="preserve">and other partners have different capacities and priorities, and that the CEPA </w:t>
      </w:r>
      <w:r>
        <w:rPr>
          <w:rFonts w:cstheme="minorHAnsi"/>
          <w:sz w:val="22"/>
          <w:szCs w:val="22"/>
        </w:rPr>
        <w:t>programme</w:t>
      </w:r>
      <w:r w:rsidRPr="00CD0841">
        <w:rPr>
          <w:rFonts w:cstheme="minorHAnsi"/>
          <w:sz w:val="22"/>
          <w:szCs w:val="22"/>
        </w:rPr>
        <w:t xml:space="preserve"> provides flexibility in implementation</w:t>
      </w:r>
      <w:r w:rsidR="00DC6CD2">
        <w:rPr>
          <w:rFonts w:cstheme="minorHAnsi"/>
          <w:sz w:val="22"/>
          <w:szCs w:val="22"/>
        </w:rPr>
        <w:t>;</w:t>
      </w:r>
    </w:p>
    <w:p w14:paraId="40344DE1" w14:textId="77777777" w:rsidR="005348C0" w:rsidRDefault="005348C0" w:rsidP="000E5876">
      <w:pPr>
        <w:ind w:left="426" w:hanging="426"/>
        <w:rPr>
          <w:rFonts w:cstheme="minorHAnsi"/>
          <w:sz w:val="22"/>
          <w:szCs w:val="22"/>
        </w:rPr>
      </w:pPr>
    </w:p>
    <w:p w14:paraId="2927F4FD" w14:textId="685F5F8A" w:rsidR="00717566" w:rsidRPr="00434DF7" w:rsidRDefault="000C5F3D" w:rsidP="000E5876">
      <w:pPr>
        <w:ind w:left="426" w:hanging="426"/>
        <w:rPr>
          <w:rFonts w:cstheme="minorHAnsi"/>
          <w:sz w:val="22"/>
          <w:szCs w:val="22"/>
        </w:rPr>
      </w:pPr>
      <w:r>
        <w:rPr>
          <w:rFonts w:cstheme="minorHAnsi"/>
          <w:sz w:val="22"/>
          <w:szCs w:val="22"/>
        </w:rPr>
        <w:t>6</w:t>
      </w:r>
      <w:r w:rsidR="00717566" w:rsidRPr="00434DF7">
        <w:rPr>
          <w:rFonts w:cstheme="minorHAnsi"/>
          <w:sz w:val="22"/>
          <w:szCs w:val="22"/>
        </w:rPr>
        <w:t>.</w:t>
      </w:r>
      <w:r w:rsidR="00717566" w:rsidRPr="00434DF7">
        <w:rPr>
          <w:rFonts w:cstheme="minorHAnsi"/>
          <w:sz w:val="22"/>
          <w:szCs w:val="22"/>
        </w:rPr>
        <w:tab/>
        <w:t xml:space="preserve">CONGRATULATING the Contracting Parties that have </w:t>
      </w:r>
      <w:r w:rsidR="00A022F0">
        <w:rPr>
          <w:rFonts w:cstheme="minorHAnsi"/>
          <w:sz w:val="22"/>
          <w:szCs w:val="22"/>
        </w:rPr>
        <w:t xml:space="preserve">implemented </w:t>
      </w:r>
      <w:r w:rsidR="00717566" w:rsidRPr="00434DF7">
        <w:rPr>
          <w:rFonts w:cstheme="minorHAnsi"/>
          <w:sz w:val="22"/>
          <w:szCs w:val="22"/>
        </w:rPr>
        <w:t>CEPA activities</w:t>
      </w:r>
      <w:r w:rsidR="00A022F0">
        <w:rPr>
          <w:rFonts w:cstheme="minorHAnsi"/>
          <w:sz w:val="22"/>
          <w:szCs w:val="22"/>
        </w:rPr>
        <w:t xml:space="preserve"> within their territories,</w:t>
      </w:r>
      <w:r w:rsidR="00717566" w:rsidRPr="00434DF7">
        <w:rPr>
          <w:rFonts w:cstheme="minorHAnsi"/>
          <w:sz w:val="22"/>
          <w:szCs w:val="22"/>
        </w:rPr>
        <w:t xml:space="preserve"> and particularly those that have incorporated these into wetland management plans, the Parties that have developed wetland centres at </w:t>
      </w:r>
      <w:r w:rsidR="005C444D">
        <w:rPr>
          <w:rFonts w:cstheme="minorHAnsi"/>
          <w:sz w:val="22"/>
          <w:szCs w:val="22"/>
        </w:rPr>
        <w:t>Wetlands of International Importance</w:t>
      </w:r>
      <w:r w:rsidR="00717566" w:rsidRPr="00434DF7">
        <w:rPr>
          <w:rFonts w:cstheme="minorHAnsi"/>
          <w:sz w:val="22"/>
          <w:szCs w:val="22"/>
        </w:rPr>
        <w:t xml:space="preserve"> and other wetlands, the Parties that promote participation in wetland planning and management, and the Parties that have reported celebrating World Wetlands Day; </w:t>
      </w:r>
      <w:r w:rsidR="001206A6">
        <w:rPr>
          <w:rFonts w:cstheme="minorHAnsi"/>
          <w:sz w:val="22"/>
          <w:szCs w:val="22"/>
        </w:rPr>
        <w:t xml:space="preserve">and </w:t>
      </w:r>
      <w:r w:rsidR="00717566" w:rsidRPr="00434DF7">
        <w:rPr>
          <w:rFonts w:cstheme="minorHAnsi"/>
          <w:sz w:val="22"/>
          <w:szCs w:val="22"/>
        </w:rPr>
        <w:t xml:space="preserve">NOTING </w:t>
      </w:r>
      <w:r w:rsidR="001206A6">
        <w:rPr>
          <w:rFonts w:cstheme="minorHAnsi"/>
          <w:sz w:val="22"/>
          <w:szCs w:val="22"/>
        </w:rPr>
        <w:t>that a</w:t>
      </w:r>
      <w:r w:rsidR="00717566" w:rsidRPr="00434DF7">
        <w:rPr>
          <w:rFonts w:cstheme="minorHAnsi"/>
          <w:sz w:val="22"/>
          <w:szCs w:val="22"/>
        </w:rPr>
        <w:t xml:space="preserve"> number of Parties </w:t>
      </w:r>
      <w:r w:rsidR="001206A6">
        <w:rPr>
          <w:rFonts w:cstheme="minorHAnsi"/>
          <w:sz w:val="22"/>
          <w:szCs w:val="22"/>
        </w:rPr>
        <w:t xml:space="preserve">have not yet made </w:t>
      </w:r>
      <w:r w:rsidR="00717566" w:rsidRPr="00434DF7">
        <w:rPr>
          <w:rFonts w:cstheme="minorHAnsi"/>
          <w:sz w:val="22"/>
          <w:szCs w:val="22"/>
        </w:rPr>
        <w:t>significant progress in many of these areas;</w:t>
      </w:r>
    </w:p>
    <w:p w14:paraId="7CEE4B93" w14:textId="77777777" w:rsidR="00717566" w:rsidRPr="00434DF7" w:rsidRDefault="00717566" w:rsidP="000E5876">
      <w:pPr>
        <w:ind w:left="426" w:hanging="426"/>
        <w:rPr>
          <w:rFonts w:cstheme="minorHAnsi"/>
          <w:sz w:val="22"/>
          <w:szCs w:val="22"/>
        </w:rPr>
      </w:pPr>
    </w:p>
    <w:p w14:paraId="331335DA" w14:textId="0732281C" w:rsidR="00717566" w:rsidRPr="00434DF7" w:rsidRDefault="000C5F3D" w:rsidP="000E5876">
      <w:pPr>
        <w:ind w:left="426" w:hanging="426"/>
        <w:rPr>
          <w:rFonts w:cstheme="minorHAnsi"/>
          <w:sz w:val="22"/>
          <w:szCs w:val="22"/>
        </w:rPr>
      </w:pPr>
      <w:r>
        <w:rPr>
          <w:rFonts w:cstheme="minorHAnsi"/>
          <w:sz w:val="22"/>
          <w:szCs w:val="22"/>
        </w:rPr>
        <w:t>7</w:t>
      </w:r>
      <w:r w:rsidR="00717566" w:rsidRPr="00434DF7">
        <w:rPr>
          <w:rFonts w:cstheme="minorHAnsi"/>
          <w:sz w:val="22"/>
          <w:szCs w:val="22"/>
        </w:rPr>
        <w:t>.</w:t>
      </w:r>
      <w:r w:rsidR="00717566" w:rsidRPr="00434DF7">
        <w:rPr>
          <w:rFonts w:cstheme="minorHAnsi"/>
          <w:sz w:val="22"/>
          <w:szCs w:val="22"/>
        </w:rPr>
        <w:tab/>
        <w:t xml:space="preserve">EXPRESSING APPRECIATION for the work done by the </w:t>
      </w:r>
      <w:r w:rsidR="005A3FA1">
        <w:rPr>
          <w:rFonts w:cstheme="minorHAnsi"/>
          <w:sz w:val="22"/>
          <w:szCs w:val="22"/>
        </w:rPr>
        <w:t>Secretariat of the</w:t>
      </w:r>
      <w:r w:rsidR="00717566" w:rsidRPr="00434DF7">
        <w:rPr>
          <w:rFonts w:cstheme="minorHAnsi"/>
          <w:sz w:val="22"/>
          <w:szCs w:val="22"/>
        </w:rPr>
        <w:t xml:space="preserve"> Convention</w:t>
      </w:r>
      <w:r w:rsidR="002F2CA6">
        <w:rPr>
          <w:rFonts w:cstheme="minorHAnsi"/>
          <w:sz w:val="22"/>
          <w:szCs w:val="22"/>
        </w:rPr>
        <w:t xml:space="preserve"> </w:t>
      </w:r>
      <w:r w:rsidR="00717566" w:rsidRPr="00434DF7">
        <w:rPr>
          <w:rFonts w:cstheme="minorHAnsi"/>
          <w:sz w:val="22"/>
          <w:szCs w:val="22"/>
        </w:rPr>
        <w:t xml:space="preserve">and the CEPA Oversight Panel in developing the </w:t>
      </w:r>
      <w:r w:rsidR="00612AA3">
        <w:rPr>
          <w:rFonts w:cstheme="minorHAnsi"/>
          <w:sz w:val="22"/>
          <w:szCs w:val="22"/>
        </w:rPr>
        <w:t xml:space="preserve">CEPA </w:t>
      </w:r>
      <w:r w:rsidR="00717566" w:rsidRPr="00434DF7">
        <w:rPr>
          <w:rFonts w:cstheme="minorHAnsi"/>
          <w:sz w:val="22"/>
          <w:szCs w:val="22"/>
        </w:rPr>
        <w:t>programme</w:t>
      </w:r>
      <w:r w:rsidR="005C444D">
        <w:rPr>
          <w:rFonts w:cstheme="minorHAnsi"/>
          <w:sz w:val="22"/>
          <w:szCs w:val="22"/>
        </w:rPr>
        <w:t>,</w:t>
      </w:r>
      <w:r w:rsidR="00717566" w:rsidRPr="00434DF7">
        <w:rPr>
          <w:rFonts w:cstheme="minorHAnsi"/>
          <w:sz w:val="22"/>
          <w:szCs w:val="22"/>
        </w:rPr>
        <w:t xml:space="preserve"> and the Panel’s oversight of the implementation of CEPA programmes since 2005;</w:t>
      </w:r>
      <w:r>
        <w:rPr>
          <w:rFonts w:cstheme="minorHAnsi"/>
          <w:sz w:val="22"/>
          <w:szCs w:val="22"/>
        </w:rPr>
        <w:t xml:space="preserve"> and</w:t>
      </w:r>
    </w:p>
    <w:p w14:paraId="52E67A1B" w14:textId="104AB995" w:rsidR="00717566" w:rsidRPr="00434DF7" w:rsidRDefault="00887541" w:rsidP="000E5876">
      <w:pPr>
        <w:ind w:left="426" w:hanging="426"/>
        <w:rPr>
          <w:rFonts w:cstheme="minorHAnsi"/>
          <w:sz w:val="22"/>
          <w:szCs w:val="22"/>
        </w:rPr>
      </w:pPr>
      <w:r>
        <w:rPr>
          <w:rFonts w:cstheme="minorHAnsi"/>
          <w:sz w:val="22"/>
          <w:szCs w:val="22"/>
        </w:rPr>
        <w:t>8</w:t>
      </w:r>
      <w:r w:rsidR="00717566" w:rsidRPr="00434DF7">
        <w:rPr>
          <w:rFonts w:cstheme="minorHAnsi"/>
          <w:sz w:val="22"/>
          <w:szCs w:val="22"/>
        </w:rPr>
        <w:t>.</w:t>
      </w:r>
      <w:r w:rsidR="00717566" w:rsidRPr="00434DF7">
        <w:rPr>
          <w:rFonts w:cstheme="minorHAnsi"/>
          <w:sz w:val="22"/>
          <w:szCs w:val="22"/>
        </w:rPr>
        <w:tab/>
        <w:t xml:space="preserve">COMMENDING the excellent work undertaken with very scarce resources </w:t>
      </w:r>
      <w:r w:rsidR="00713D1B">
        <w:rPr>
          <w:rFonts w:cstheme="minorHAnsi"/>
          <w:sz w:val="22"/>
          <w:szCs w:val="22"/>
        </w:rPr>
        <w:t>to implement</w:t>
      </w:r>
      <w:r w:rsidR="00717566" w:rsidRPr="00434DF7">
        <w:rPr>
          <w:rFonts w:cstheme="minorHAnsi"/>
          <w:sz w:val="22"/>
          <w:szCs w:val="22"/>
        </w:rPr>
        <w:t xml:space="preserve"> the Convention’s CEPA activities;</w:t>
      </w:r>
    </w:p>
    <w:p w14:paraId="6EE73D1D" w14:textId="77777777" w:rsidR="00717566" w:rsidRPr="00434DF7" w:rsidRDefault="00717566" w:rsidP="000E5876">
      <w:pPr>
        <w:tabs>
          <w:tab w:val="left" w:pos="397"/>
          <w:tab w:val="left" w:pos="794"/>
          <w:tab w:val="left" w:pos="1191"/>
          <w:tab w:val="left" w:pos="1588"/>
          <w:tab w:val="left" w:pos="1985"/>
        </w:tabs>
        <w:rPr>
          <w:rFonts w:cstheme="minorHAnsi"/>
          <w:sz w:val="22"/>
          <w:szCs w:val="22"/>
        </w:rPr>
      </w:pPr>
    </w:p>
    <w:p w14:paraId="38208389" w14:textId="77777777" w:rsidR="00717566" w:rsidRPr="00434DF7" w:rsidRDefault="00717566" w:rsidP="000E5876">
      <w:pPr>
        <w:keepNext/>
        <w:jc w:val="center"/>
        <w:rPr>
          <w:rFonts w:cstheme="minorHAnsi"/>
          <w:sz w:val="22"/>
          <w:szCs w:val="22"/>
        </w:rPr>
      </w:pPr>
      <w:r w:rsidRPr="00434DF7">
        <w:rPr>
          <w:rFonts w:cstheme="minorHAnsi"/>
          <w:sz w:val="22"/>
          <w:szCs w:val="22"/>
        </w:rPr>
        <w:t>THE CONFERENCE OF THE CONTRACTING PARTIES</w:t>
      </w:r>
    </w:p>
    <w:p w14:paraId="5262FE4D" w14:textId="77777777" w:rsidR="00717566" w:rsidRPr="00434DF7" w:rsidRDefault="00717566" w:rsidP="000E5876">
      <w:pPr>
        <w:keepNext/>
        <w:tabs>
          <w:tab w:val="left" w:pos="397"/>
          <w:tab w:val="left" w:pos="794"/>
          <w:tab w:val="left" w:pos="1191"/>
          <w:tab w:val="left" w:pos="1588"/>
          <w:tab w:val="left" w:pos="1985"/>
        </w:tabs>
        <w:rPr>
          <w:rFonts w:cstheme="minorHAnsi"/>
          <w:sz w:val="22"/>
          <w:szCs w:val="22"/>
        </w:rPr>
      </w:pPr>
    </w:p>
    <w:p w14:paraId="498DE9E8" w14:textId="5D028A45" w:rsidR="00C472F9" w:rsidRDefault="00831AC1" w:rsidP="000E5876">
      <w:pPr>
        <w:ind w:left="426" w:hanging="426"/>
        <w:rPr>
          <w:rFonts w:cstheme="minorHAnsi"/>
          <w:sz w:val="22"/>
          <w:szCs w:val="22"/>
        </w:rPr>
      </w:pPr>
      <w:r>
        <w:rPr>
          <w:rFonts w:cstheme="minorHAnsi"/>
          <w:sz w:val="22"/>
          <w:szCs w:val="22"/>
        </w:rPr>
        <w:t>9</w:t>
      </w:r>
      <w:r w:rsidR="00717566" w:rsidRPr="00434DF7">
        <w:rPr>
          <w:rFonts w:cstheme="minorHAnsi"/>
          <w:sz w:val="22"/>
          <w:szCs w:val="22"/>
        </w:rPr>
        <w:t>.</w:t>
      </w:r>
      <w:r w:rsidR="00717566" w:rsidRPr="00434DF7">
        <w:rPr>
          <w:rFonts w:cstheme="minorHAnsi"/>
          <w:sz w:val="22"/>
          <w:szCs w:val="22"/>
        </w:rPr>
        <w:tab/>
        <w:t xml:space="preserve">ADOPTS the </w:t>
      </w:r>
      <w:r w:rsidR="00447F01">
        <w:rPr>
          <w:rFonts w:cstheme="minorHAnsi"/>
          <w:sz w:val="22"/>
          <w:szCs w:val="22"/>
        </w:rPr>
        <w:t xml:space="preserve">programme </w:t>
      </w:r>
      <w:r w:rsidR="00447F01" w:rsidRPr="00447F01">
        <w:rPr>
          <w:i/>
          <w:iCs/>
        </w:rPr>
        <w:t>People and Wetlands - The Convention on Wetlands CEPA Programme</w:t>
      </w:r>
      <w:r w:rsidR="00717566" w:rsidRPr="00434DF7">
        <w:rPr>
          <w:rFonts w:cstheme="minorHAnsi"/>
          <w:sz w:val="22"/>
          <w:szCs w:val="22"/>
        </w:rPr>
        <w:t xml:space="preserve">, </w:t>
      </w:r>
      <w:r w:rsidR="00397517">
        <w:rPr>
          <w:rFonts w:cstheme="minorHAnsi"/>
          <w:sz w:val="22"/>
          <w:szCs w:val="22"/>
        </w:rPr>
        <w:t xml:space="preserve">presented in Annex 1 </w:t>
      </w:r>
      <w:r w:rsidR="005C444D">
        <w:rPr>
          <w:rFonts w:cstheme="minorHAnsi"/>
          <w:sz w:val="22"/>
          <w:szCs w:val="22"/>
        </w:rPr>
        <w:t>of</w:t>
      </w:r>
      <w:r w:rsidR="00397517">
        <w:rPr>
          <w:rFonts w:cstheme="minorHAnsi"/>
          <w:sz w:val="22"/>
          <w:szCs w:val="22"/>
        </w:rPr>
        <w:t xml:space="preserve"> this Resolution</w:t>
      </w:r>
      <w:r w:rsidR="005C444D">
        <w:rPr>
          <w:rFonts w:cstheme="minorHAnsi"/>
          <w:sz w:val="22"/>
          <w:szCs w:val="22"/>
        </w:rPr>
        <w:t>,</w:t>
      </w:r>
      <w:r w:rsidR="00397517">
        <w:rPr>
          <w:rFonts w:cstheme="minorHAnsi"/>
          <w:sz w:val="22"/>
          <w:szCs w:val="22"/>
        </w:rPr>
        <w:t xml:space="preserve"> </w:t>
      </w:r>
      <w:r w:rsidR="00717566" w:rsidRPr="00434DF7">
        <w:rPr>
          <w:rFonts w:cstheme="minorHAnsi"/>
          <w:sz w:val="22"/>
          <w:szCs w:val="22"/>
        </w:rPr>
        <w:t>as an instrument to provide guidance to Contracting Parties, the Secretariat</w:t>
      </w:r>
      <w:r w:rsidR="00A846E7">
        <w:rPr>
          <w:rFonts w:cstheme="minorHAnsi"/>
          <w:sz w:val="22"/>
          <w:szCs w:val="22"/>
        </w:rPr>
        <w:t xml:space="preserve"> of the Convention</w:t>
      </w:r>
      <w:r w:rsidR="00717566" w:rsidRPr="00434DF7">
        <w:rPr>
          <w:rFonts w:cstheme="minorHAnsi"/>
          <w:sz w:val="22"/>
          <w:szCs w:val="22"/>
        </w:rPr>
        <w:t>, the Convention’s International Organization Partners (IOPs), non-governmental organizations, community‐based organizations, and other stakeholders in the development of appropriate actions to engage, enlist and enable people to act for the conservation and wise use of wetlands;</w:t>
      </w:r>
    </w:p>
    <w:p w14:paraId="70794BFC" w14:textId="77777777" w:rsidR="005C3AE2" w:rsidRDefault="005C3AE2" w:rsidP="000E5876">
      <w:pPr>
        <w:ind w:left="426" w:hanging="426"/>
        <w:rPr>
          <w:rFonts w:cstheme="minorHAnsi"/>
          <w:sz w:val="22"/>
          <w:szCs w:val="22"/>
        </w:rPr>
      </w:pPr>
    </w:p>
    <w:p w14:paraId="287DDADE" w14:textId="145472AA" w:rsidR="005C3AE2" w:rsidRDefault="005C3AE2" w:rsidP="000E5876">
      <w:pPr>
        <w:ind w:left="426" w:hanging="426"/>
        <w:rPr>
          <w:rFonts w:cstheme="minorHAnsi"/>
          <w:sz w:val="22"/>
          <w:szCs w:val="22"/>
        </w:rPr>
      </w:pPr>
      <w:r>
        <w:rPr>
          <w:rFonts w:cstheme="minorHAnsi"/>
          <w:sz w:val="22"/>
          <w:szCs w:val="22"/>
        </w:rPr>
        <w:t>10.</w:t>
      </w:r>
      <w:r>
        <w:rPr>
          <w:rFonts w:cstheme="minorHAnsi"/>
          <w:sz w:val="22"/>
          <w:szCs w:val="22"/>
        </w:rPr>
        <w:tab/>
        <w:t xml:space="preserve">ADOPTS the guidance on </w:t>
      </w:r>
      <w:r w:rsidRPr="008A35A8">
        <w:rPr>
          <w:rFonts w:cstheme="minorHAnsi"/>
          <w:i/>
          <w:iCs/>
          <w:sz w:val="22"/>
          <w:szCs w:val="22"/>
        </w:rPr>
        <w:t>The future operations of the CEPA Oversight Panel</w:t>
      </w:r>
      <w:r>
        <w:rPr>
          <w:rFonts w:cstheme="minorHAnsi"/>
          <w:sz w:val="22"/>
          <w:szCs w:val="22"/>
        </w:rPr>
        <w:t xml:space="preserve"> presented in Annex 2 of the present Resolution;</w:t>
      </w:r>
    </w:p>
    <w:p w14:paraId="2AD16E6E" w14:textId="77777777" w:rsidR="00C472F9" w:rsidRDefault="00C472F9" w:rsidP="000E5876">
      <w:pPr>
        <w:ind w:left="426" w:hanging="426"/>
        <w:rPr>
          <w:rFonts w:cstheme="minorHAnsi"/>
          <w:sz w:val="22"/>
          <w:szCs w:val="22"/>
        </w:rPr>
      </w:pPr>
    </w:p>
    <w:p w14:paraId="7791C60E" w14:textId="4F02624D" w:rsidR="00717566" w:rsidRDefault="008A35A8" w:rsidP="000E5876">
      <w:pPr>
        <w:ind w:left="426" w:hanging="426"/>
        <w:rPr>
          <w:rFonts w:cstheme="minorHAnsi"/>
          <w:sz w:val="22"/>
          <w:szCs w:val="22"/>
        </w:rPr>
      </w:pPr>
      <w:r>
        <w:rPr>
          <w:rFonts w:cstheme="minorHAnsi"/>
          <w:sz w:val="22"/>
          <w:szCs w:val="22"/>
        </w:rPr>
        <w:t>11</w:t>
      </w:r>
      <w:r w:rsidR="00717566" w:rsidRPr="00434DF7">
        <w:rPr>
          <w:rFonts w:cstheme="minorHAnsi"/>
          <w:sz w:val="22"/>
          <w:szCs w:val="22"/>
        </w:rPr>
        <w:t>.</w:t>
      </w:r>
      <w:r w:rsidR="00717566" w:rsidRPr="00434DF7">
        <w:rPr>
          <w:rFonts w:cstheme="minorHAnsi"/>
          <w:sz w:val="22"/>
          <w:szCs w:val="22"/>
        </w:rPr>
        <w:tab/>
        <w:t>REQUESTS the CEPA Oversight Panel to continue to monitor and report on</w:t>
      </w:r>
      <w:r w:rsidR="00BF3A9B">
        <w:rPr>
          <w:rFonts w:cstheme="minorHAnsi"/>
          <w:sz w:val="22"/>
          <w:szCs w:val="22"/>
        </w:rPr>
        <w:t xml:space="preserve"> </w:t>
      </w:r>
      <w:r w:rsidR="00717566" w:rsidRPr="00434DF7">
        <w:rPr>
          <w:rFonts w:cstheme="minorHAnsi"/>
          <w:sz w:val="22"/>
          <w:szCs w:val="22"/>
        </w:rPr>
        <w:t>i</w:t>
      </w:r>
      <w:r w:rsidR="00C7274A">
        <w:rPr>
          <w:rFonts w:cstheme="minorHAnsi"/>
          <w:sz w:val="22"/>
          <w:szCs w:val="22"/>
        </w:rPr>
        <w:t>mplementation</w:t>
      </w:r>
      <w:r w:rsidR="00717566" w:rsidRPr="00434DF7">
        <w:rPr>
          <w:rFonts w:cstheme="minorHAnsi"/>
          <w:sz w:val="22"/>
          <w:szCs w:val="22"/>
        </w:rPr>
        <w:t xml:space="preserve"> </w:t>
      </w:r>
      <w:r w:rsidR="00BF3A9B">
        <w:rPr>
          <w:rFonts w:cstheme="minorHAnsi"/>
          <w:sz w:val="22"/>
          <w:szCs w:val="22"/>
        </w:rPr>
        <w:t xml:space="preserve">of the CEPA </w:t>
      </w:r>
      <w:r w:rsidR="008D2504">
        <w:rPr>
          <w:rFonts w:cstheme="minorHAnsi"/>
          <w:sz w:val="22"/>
          <w:szCs w:val="22"/>
        </w:rPr>
        <w:t>P</w:t>
      </w:r>
      <w:r w:rsidR="00BF3A9B">
        <w:rPr>
          <w:rFonts w:cstheme="minorHAnsi"/>
          <w:sz w:val="22"/>
          <w:szCs w:val="22"/>
        </w:rPr>
        <w:t xml:space="preserve">rogramme </w:t>
      </w:r>
      <w:r w:rsidR="00717566" w:rsidRPr="00434DF7">
        <w:rPr>
          <w:rFonts w:cstheme="minorHAnsi"/>
          <w:sz w:val="22"/>
          <w:szCs w:val="22"/>
        </w:rPr>
        <w:t>at national</w:t>
      </w:r>
      <w:r w:rsidR="00C7274A">
        <w:rPr>
          <w:rFonts w:cstheme="minorHAnsi"/>
          <w:sz w:val="22"/>
          <w:szCs w:val="22"/>
        </w:rPr>
        <w:t xml:space="preserve"> and </w:t>
      </w:r>
      <w:r w:rsidR="00BF3A9B">
        <w:rPr>
          <w:rFonts w:cstheme="minorHAnsi"/>
          <w:sz w:val="22"/>
          <w:szCs w:val="22"/>
        </w:rPr>
        <w:t>international</w:t>
      </w:r>
      <w:r w:rsidR="00717566" w:rsidRPr="00434DF7">
        <w:rPr>
          <w:rFonts w:cstheme="minorHAnsi"/>
          <w:sz w:val="22"/>
          <w:szCs w:val="22"/>
        </w:rPr>
        <w:t xml:space="preserve"> level</w:t>
      </w:r>
      <w:r w:rsidR="00C7274A">
        <w:rPr>
          <w:rFonts w:cstheme="minorHAnsi"/>
          <w:sz w:val="22"/>
          <w:szCs w:val="22"/>
        </w:rPr>
        <w:t>s</w:t>
      </w:r>
      <w:r w:rsidR="00717566" w:rsidRPr="00434DF7">
        <w:rPr>
          <w:rFonts w:cstheme="minorHAnsi"/>
          <w:sz w:val="22"/>
          <w:szCs w:val="22"/>
        </w:rPr>
        <w:t>, and to advise the Standing Committee and the Secretariat on CEPA work priorities;</w:t>
      </w:r>
    </w:p>
    <w:p w14:paraId="01188565" w14:textId="77777777" w:rsidR="00940234" w:rsidRPr="00434DF7" w:rsidRDefault="00940234" w:rsidP="000E5876">
      <w:pPr>
        <w:ind w:left="426" w:hanging="426"/>
        <w:rPr>
          <w:rFonts w:cstheme="minorHAnsi"/>
          <w:sz w:val="22"/>
          <w:szCs w:val="22"/>
        </w:rPr>
      </w:pPr>
    </w:p>
    <w:p w14:paraId="65F28A64" w14:textId="7442F57B" w:rsidR="00717566" w:rsidRPr="00434DF7" w:rsidRDefault="0074467D" w:rsidP="000E5876">
      <w:pPr>
        <w:ind w:left="426" w:hanging="426"/>
        <w:rPr>
          <w:rFonts w:cstheme="minorHAnsi"/>
          <w:sz w:val="22"/>
          <w:szCs w:val="22"/>
        </w:rPr>
      </w:pPr>
      <w:r>
        <w:rPr>
          <w:rFonts w:cstheme="minorHAnsi"/>
          <w:sz w:val="22"/>
          <w:szCs w:val="22"/>
        </w:rPr>
        <w:t>12</w:t>
      </w:r>
      <w:r w:rsidR="00717566" w:rsidRPr="00434DF7">
        <w:rPr>
          <w:rFonts w:cstheme="minorHAnsi"/>
          <w:sz w:val="22"/>
          <w:szCs w:val="22"/>
        </w:rPr>
        <w:t>.</w:t>
      </w:r>
      <w:r w:rsidR="00717566" w:rsidRPr="00434DF7">
        <w:rPr>
          <w:rFonts w:cstheme="minorHAnsi"/>
          <w:sz w:val="22"/>
          <w:szCs w:val="22"/>
        </w:rPr>
        <w:tab/>
        <w:t>URGES all Contracting Parties that have yet to do so to nominate</w:t>
      </w:r>
      <w:r w:rsidR="0046353D">
        <w:rPr>
          <w:rFonts w:cstheme="minorHAnsi"/>
          <w:sz w:val="22"/>
          <w:szCs w:val="22"/>
        </w:rPr>
        <w:t>,</w:t>
      </w:r>
      <w:r w:rsidR="00717566" w:rsidRPr="00434DF7">
        <w:rPr>
          <w:rFonts w:cstheme="minorHAnsi"/>
          <w:sz w:val="22"/>
          <w:szCs w:val="22"/>
        </w:rPr>
        <w:t xml:space="preserve"> as a matter of priority</w:t>
      </w:r>
      <w:r w:rsidR="0046353D">
        <w:rPr>
          <w:rFonts w:cstheme="minorHAnsi"/>
          <w:sz w:val="22"/>
          <w:szCs w:val="22"/>
        </w:rPr>
        <w:t>,</w:t>
      </w:r>
      <w:r w:rsidR="00717566" w:rsidRPr="00434DF7">
        <w:rPr>
          <w:rFonts w:cstheme="minorHAnsi"/>
          <w:sz w:val="22"/>
          <w:szCs w:val="22"/>
        </w:rPr>
        <w:t xml:space="preserve"> suitably qualified </w:t>
      </w:r>
      <w:r w:rsidR="0046353D">
        <w:rPr>
          <w:rFonts w:cstheme="minorHAnsi"/>
          <w:sz w:val="22"/>
          <w:szCs w:val="22"/>
        </w:rPr>
        <w:t>g</w:t>
      </w:r>
      <w:r w:rsidR="00717566" w:rsidRPr="00434DF7">
        <w:rPr>
          <w:rFonts w:cstheme="minorHAnsi"/>
          <w:sz w:val="22"/>
          <w:szCs w:val="22"/>
        </w:rPr>
        <w:t xml:space="preserve">overnmental and </w:t>
      </w:r>
      <w:r w:rsidR="0046353D">
        <w:rPr>
          <w:rFonts w:cstheme="minorHAnsi"/>
          <w:sz w:val="22"/>
          <w:szCs w:val="22"/>
        </w:rPr>
        <w:t>n</w:t>
      </w:r>
      <w:r w:rsidR="00717566" w:rsidRPr="00434DF7">
        <w:rPr>
          <w:rFonts w:cstheme="minorHAnsi"/>
          <w:sz w:val="22"/>
          <w:szCs w:val="22"/>
        </w:rPr>
        <w:t>on-</w:t>
      </w:r>
      <w:r w:rsidR="0046353D">
        <w:rPr>
          <w:rFonts w:cstheme="minorHAnsi"/>
          <w:sz w:val="22"/>
          <w:szCs w:val="22"/>
        </w:rPr>
        <w:t>g</w:t>
      </w:r>
      <w:r w:rsidR="00717566" w:rsidRPr="00434DF7">
        <w:rPr>
          <w:rFonts w:cstheme="minorHAnsi"/>
          <w:sz w:val="22"/>
          <w:szCs w:val="22"/>
        </w:rPr>
        <w:t xml:space="preserve">overnmental </w:t>
      </w:r>
      <w:r w:rsidR="0046353D">
        <w:rPr>
          <w:rFonts w:cstheme="minorHAnsi"/>
          <w:sz w:val="22"/>
          <w:szCs w:val="22"/>
        </w:rPr>
        <w:t>o</w:t>
      </w:r>
      <w:r w:rsidR="00717566" w:rsidRPr="00434DF7">
        <w:rPr>
          <w:rFonts w:cstheme="minorHAnsi"/>
          <w:sz w:val="22"/>
          <w:szCs w:val="22"/>
        </w:rPr>
        <w:t xml:space="preserve">rganization Focal Points for </w:t>
      </w:r>
      <w:r w:rsidR="00940234">
        <w:rPr>
          <w:rFonts w:cstheme="minorHAnsi"/>
          <w:sz w:val="22"/>
          <w:szCs w:val="22"/>
        </w:rPr>
        <w:t>the</w:t>
      </w:r>
      <w:r w:rsidR="00717566" w:rsidRPr="00434DF7">
        <w:rPr>
          <w:rFonts w:cstheme="minorHAnsi"/>
          <w:sz w:val="22"/>
          <w:szCs w:val="22"/>
        </w:rPr>
        <w:t xml:space="preserve"> CEPA</w:t>
      </w:r>
      <w:r w:rsidR="00940234">
        <w:rPr>
          <w:rFonts w:cstheme="minorHAnsi"/>
          <w:sz w:val="22"/>
          <w:szCs w:val="22"/>
        </w:rPr>
        <w:t xml:space="preserve"> </w:t>
      </w:r>
      <w:r w:rsidR="008D2504">
        <w:rPr>
          <w:rFonts w:cstheme="minorHAnsi"/>
          <w:sz w:val="22"/>
          <w:szCs w:val="22"/>
        </w:rPr>
        <w:lastRenderedPageBreak/>
        <w:t>P</w:t>
      </w:r>
      <w:r w:rsidR="00940234">
        <w:rPr>
          <w:rFonts w:cstheme="minorHAnsi"/>
          <w:sz w:val="22"/>
          <w:szCs w:val="22"/>
        </w:rPr>
        <w:t>rogramme</w:t>
      </w:r>
      <w:r w:rsidR="00717566" w:rsidRPr="00434DF7">
        <w:rPr>
          <w:rFonts w:cstheme="minorHAnsi"/>
          <w:sz w:val="22"/>
          <w:szCs w:val="22"/>
        </w:rPr>
        <w:t xml:space="preserve"> and to inform the Secretariat accordingly; and URGES Parties to ensure that the CEPA Focal Points are members of the National Ramsar/Wetlands Committee where these exist;</w:t>
      </w:r>
    </w:p>
    <w:p w14:paraId="24B3FB17" w14:textId="77777777" w:rsidR="00717566" w:rsidRPr="00434DF7" w:rsidRDefault="00717566" w:rsidP="000E5876">
      <w:pPr>
        <w:ind w:left="426" w:hanging="426"/>
        <w:rPr>
          <w:rFonts w:cstheme="minorHAnsi"/>
          <w:sz w:val="22"/>
          <w:szCs w:val="22"/>
        </w:rPr>
      </w:pPr>
    </w:p>
    <w:p w14:paraId="37A3E459" w14:textId="000C5E36" w:rsidR="00717566" w:rsidRPr="00434DF7" w:rsidRDefault="00160CCA" w:rsidP="000E5876">
      <w:pPr>
        <w:ind w:left="426" w:hanging="426"/>
        <w:rPr>
          <w:rFonts w:cstheme="minorHAnsi"/>
          <w:sz w:val="22"/>
          <w:szCs w:val="22"/>
        </w:rPr>
      </w:pPr>
      <w:r>
        <w:rPr>
          <w:rFonts w:cstheme="minorHAnsi"/>
          <w:sz w:val="22"/>
          <w:szCs w:val="22"/>
        </w:rPr>
        <w:t>13</w:t>
      </w:r>
      <w:r w:rsidR="00717566" w:rsidRPr="00434DF7">
        <w:rPr>
          <w:rFonts w:cstheme="minorHAnsi"/>
          <w:sz w:val="22"/>
          <w:szCs w:val="22"/>
        </w:rPr>
        <w:t>.</w:t>
      </w:r>
      <w:r w:rsidR="00717566" w:rsidRPr="00434DF7">
        <w:rPr>
          <w:rFonts w:cstheme="minorHAnsi"/>
          <w:sz w:val="22"/>
          <w:szCs w:val="22"/>
        </w:rPr>
        <w:tab/>
        <w:t>ENCOURAGES all Contracting Parties to</w:t>
      </w:r>
      <w:r w:rsidR="00462F4F">
        <w:rPr>
          <w:rFonts w:cstheme="minorHAnsi"/>
          <w:sz w:val="22"/>
          <w:szCs w:val="22"/>
        </w:rPr>
        <w:t>:</w:t>
      </w:r>
      <w:r w:rsidR="00717566" w:rsidRPr="00434DF7">
        <w:rPr>
          <w:rFonts w:cstheme="minorHAnsi"/>
          <w:sz w:val="22"/>
          <w:szCs w:val="22"/>
        </w:rPr>
        <w:t xml:space="preserve"> develop and implement their </w:t>
      </w:r>
      <w:r w:rsidR="000E5876">
        <w:rPr>
          <w:rFonts w:cstheme="minorHAnsi"/>
          <w:sz w:val="22"/>
          <w:szCs w:val="22"/>
        </w:rPr>
        <w:t>w</w:t>
      </w:r>
      <w:r w:rsidR="000E5876" w:rsidRPr="00434DF7">
        <w:rPr>
          <w:rFonts w:cstheme="minorHAnsi"/>
          <w:sz w:val="22"/>
          <w:szCs w:val="22"/>
        </w:rPr>
        <w:t xml:space="preserve">etland </w:t>
      </w:r>
      <w:r w:rsidR="00717566" w:rsidRPr="00434DF7">
        <w:rPr>
          <w:rFonts w:cstheme="minorHAnsi"/>
          <w:sz w:val="22"/>
          <w:szCs w:val="22"/>
        </w:rPr>
        <w:t xml:space="preserve">CEPA </w:t>
      </w:r>
      <w:r w:rsidR="000E5876">
        <w:rPr>
          <w:rFonts w:cstheme="minorHAnsi"/>
          <w:sz w:val="22"/>
          <w:szCs w:val="22"/>
        </w:rPr>
        <w:t>a</w:t>
      </w:r>
      <w:r w:rsidR="000E5876" w:rsidRPr="00434DF7">
        <w:rPr>
          <w:rFonts w:cstheme="minorHAnsi"/>
          <w:sz w:val="22"/>
          <w:szCs w:val="22"/>
        </w:rPr>
        <w:t xml:space="preserve">ction </w:t>
      </w:r>
      <w:r w:rsidR="000E5876">
        <w:rPr>
          <w:rFonts w:cstheme="minorHAnsi"/>
          <w:sz w:val="22"/>
          <w:szCs w:val="22"/>
        </w:rPr>
        <w:t>p</w:t>
      </w:r>
      <w:r w:rsidR="000E5876" w:rsidRPr="00434DF7">
        <w:rPr>
          <w:rFonts w:cstheme="minorHAnsi"/>
          <w:sz w:val="22"/>
          <w:szCs w:val="22"/>
        </w:rPr>
        <w:t xml:space="preserve">lans </w:t>
      </w:r>
      <w:r w:rsidR="00717566" w:rsidRPr="00434DF7">
        <w:rPr>
          <w:rFonts w:cstheme="minorHAnsi"/>
          <w:sz w:val="22"/>
          <w:szCs w:val="22"/>
        </w:rPr>
        <w:t xml:space="preserve">as integrated components of their broader </w:t>
      </w:r>
      <w:r w:rsidR="008C2B77">
        <w:rPr>
          <w:rFonts w:cstheme="minorHAnsi"/>
          <w:sz w:val="22"/>
          <w:szCs w:val="22"/>
        </w:rPr>
        <w:t>policy ins</w:t>
      </w:r>
      <w:r w:rsidR="00462F4F">
        <w:rPr>
          <w:rFonts w:cstheme="minorHAnsi"/>
          <w:sz w:val="22"/>
          <w:szCs w:val="22"/>
        </w:rPr>
        <w:t>t</w:t>
      </w:r>
      <w:r w:rsidR="008C2B77">
        <w:rPr>
          <w:rFonts w:cstheme="minorHAnsi"/>
          <w:sz w:val="22"/>
          <w:szCs w:val="22"/>
        </w:rPr>
        <w:t>ruments</w:t>
      </w:r>
      <w:r w:rsidR="00462F4F">
        <w:rPr>
          <w:rFonts w:cstheme="minorHAnsi"/>
          <w:sz w:val="22"/>
          <w:szCs w:val="22"/>
        </w:rPr>
        <w:t xml:space="preserve"> on</w:t>
      </w:r>
      <w:r w:rsidR="008C2B77">
        <w:rPr>
          <w:rFonts w:cstheme="minorHAnsi"/>
          <w:sz w:val="22"/>
          <w:szCs w:val="22"/>
        </w:rPr>
        <w:t xml:space="preserve"> </w:t>
      </w:r>
      <w:r w:rsidR="00717566" w:rsidRPr="00434DF7">
        <w:rPr>
          <w:rFonts w:cstheme="minorHAnsi"/>
          <w:sz w:val="22"/>
          <w:szCs w:val="22"/>
        </w:rPr>
        <w:t>environment, biodiversity, wetland and water management, education, health, and poverty reduction</w:t>
      </w:r>
      <w:r w:rsidR="00462F4F">
        <w:rPr>
          <w:rFonts w:cstheme="minorHAnsi"/>
          <w:sz w:val="22"/>
          <w:szCs w:val="22"/>
        </w:rPr>
        <w:t>;</w:t>
      </w:r>
      <w:r w:rsidR="00717566" w:rsidRPr="00434DF7">
        <w:rPr>
          <w:rFonts w:cstheme="minorHAnsi"/>
          <w:sz w:val="22"/>
          <w:szCs w:val="22"/>
        </w:rPr>
        <w:t xml:space="preserve"> </w:t>
      </w:r>
      <w:r>
        <w:rPr>
          <w:rFonts w:cstheme="minorHAnsi"/>
          <w:sz w:val="22"/>
          <w:szCs w:val="22"/>
        </w:rPr>
        <w:t xml:space="preserve">and </w:t>
      </w:r>
      <w:r w:rsidR="00462F4F">
        <w:rPr>
          <w:rFonts w:cstheme="minorHAnsi"/>
          <w:sz w:val="22"/>
          <w:szCs w:val="22"/>
        </w:rPr>
        <w:t>to</w:t>
      </w:r>
      <w:r w:rsidR="00717566" w:rsidRPr="00434DF7">
        <w:rPr>
          <w:rFonts w:cstheme="minorHAnsi"/>
          <w:sz w:val="22"/>
          <w:szCs w:val="22"/>
        </w:rPr>
        <w:t xml:space="preserve"> mainstream</w:t>
      </w:r>
      <w:r w:rsidR="00462F4F">
        <w:rPr>
          <w:rFonts w:cstheme="minorHAnsi"/>
          <w:sz w:val="22"/>
          <w:szCs w:val="22"/>
        </w:rPr>
        <w:t xml:space="preserve"> these Plans into</w:t>
      </w:r>
      <w:r w:rsidR="00717566" w:rsidRPr="00434DF7">
        <w:rPr>
          <w:rFonts w:cstheme="minorHAnsi"/>
          <w:sz w:val="22"/>
          <w:szCs w:val="22"/>
        </w:rPr>
        <w:t xml:space="preserve"> relevant programmes, </w:t>
      </w:r>
      <w:r w:rsidR="00462F4F">
        <w:rPr>
          <w:rFonts w:cstheme="minorHAnsi"/>
          <w:sz w:val="22"/>
          <w:szCs w:val="22"/>
        </w:rPr>
        <w:t xml:space="preserve">including those at regional or local </w:t>
      </w:r>
      <w:r w:rsidR="00717566" w:rsidRPr="00434DF7">
        <w:rPr>
          <w:rFonts w:cstheme="minorHAnsi"/>
          <w:sz w:val="22"/>
          <w:szCs w:val="22"/>
        </w:rPr>
        <w:t>level where appropriate</w:t>
      </w:r>
      <w:r w:rsidR="00462F4F">
        <w:rPr>
          <w:rFonts w:cstheme="minorHAnsi"/>
          <w:sz w:val="22"/>
          <w:szCs w:val="22"/>
        </w:rPr>
        <w:t>;</w:t>
      </w:r>
    </w:p>
    <w:p w14:paraId="257C0632" w14:textId="77777777" w:rsidR="00717566" w:rsidRPr="00434DF7" w:rsidRDefault="00717566" w:rsidP="000E5876">
      <w:pPr>
        <w:ind w:left="426" w:hanging="426"/>
        <w:rPr>
          <w:rFonts w:cstheme="minorHAnsi"/>
          <w:sz w:val="22"/>
          <w:szCs w:val="22"/>
        </w:rPr>
      </w:pPr>
    </w:p>
    <w:p w14:paraId="22067A2B" w14:textId="16AC21C3" w:rsidR="00717566" w:rsidRPr="00434DF7" w:rsidRDefault="00AE0E2E" w:rsidP="000E5876">
      <w:pPr>
        <w:ind w:left="426" w:hanging="426"/>
        <w:rPr>
          <w:rFonts w:cstheme="minorHAnsi"/>
          <w:sz w:val="22"/>
          <w:szCs w:val="22"/>
        </w:rPr>
      </w:pPr>
      <w:r>
        <w:rPr>
          <w:rFonts w:cstheme="minorHAnsi"/>
          <w:sz w:val="22"/>
          <w:szCs w:val="22"/>
        </w:rPr>
        <w:t>14</w:t>
      </w:r>
      <w:r w:rsidR="00717566" w:rsidRPr="00434DF7">
        <w:rPr>
          <w:rFonts w:cstheme="minorHAnsi"/>
          <w:sz w:val="22"/>
          <w:szCs w:val="22"/>
        </w:rPr>
        <w:t>.</w:t>
      </w:r>
      <w:r w:rsidR="00717566" w:rsidRPr="00434DF7">
        <w:rPr>
          <w:rFonts w:cstheme="minorHAnsi"/>
          <w:sz w:val="22"/>
          <w:szCs w:val="22"/>
        </w:rPr>
        <w:tab/>
        <w:t>CALLS UPON those Contracting Parties with Wetland CEPA Action Plans to evaluate the effectiveness of those Plans on a regular basis, including how</w:t>
      </w:r>
      <w:r w:rsidR="00752C0D">
        <w:rPr>
          <w:rFonts w:cstheme="minorHAnsi"/>
          <w:sz w:val="22"/>
          <w:szCs w:val="22"/>
        </w:rPr>
        <w:t xml:space="preserve"> well </w:t>
      </w:r>
      <w:r w:rsidR="00717566" w:rsidRPr="00434DF7">
        <w:rPr>
          <w:rFonts w:cstheme="minorHAnsi"/>
          <w:sz w:val="22"/>
          <w:szCs w:val="22"/>
        </w:rPr>
        <w:t xml:space="preserve">people </w:t>
      </w:r>
      <w:r w:rsidR="00752C0D">
        <w:rPr>
          <w:rFonts w:cstheme="minorHAnsi"/>
          <w:sz w:val="22"/>
          <w:szCs w:val="22"/>
        </w:rPr>
        <w:t xml:space="preserve">understand </w:t>
      </w:r>
      <w:r w:rsidR="00717566" w:rsidRPr="00434DF7">
        <w:rPr>
          <w:rFonts w:cstheme="minorHAnsi"/>
          <w:sz w:val="22"/>
          <w:szCs w:val="22"/>
        </w:rPr>
        <w:t xml:space="preserve">the values of wetlands, </w:t>
      </w:r>
      <w:r w:rsidR="00752C0D">
        <w:rPr>
          <w:rFonts w:cstheme="minorHAnsi"/>
          <w:sz w:val="22"/>
          <w:szCs w:val="22"/>
        </w:rPr>
        <w:t xml:space="preserve">and to evaluate </w:t>
      </w:r>
      <w:r w:rsidR="00717566" w:rsidRPr="00434DF7">
        <w:rPr>
          <w:rFonts w:cstheme="minorHAnsi"/>
          <w:sz w:val="22"/>
          <w:szCs w:val="22"/>
        </w:rPr>
        <w:t xml:space="preserve">the challenges </w:t>
      </w:r>
      <w:r w:rsidR="008B4AF2">
        <w:rPr>
          <w:rFonts w:cstheme="minorHAnsi"/>
          <w:sz w:val="22"/>
          <w:szCs w:val="22"/>
        </w:rPr>
        <w:t>Contracting Parties</w:t>
      </w:r>
      <w:r w:rsidR="00717566" w:rsidRPr="00434DF7">
        <w:rPr>
          <w:rFonts w:cstheme="minorHAnsi"/>
          <w:sz w:val="22"/>
          <w:szCs w:val="22"/>
        </w:rPr>
        <w:t xml:space="preserve"> face, and the steps they can take to conserve and use wetlands sustainably;</w:t>
      </w:r>
    </w:p>
    <w:p w14:paraId="6D897A77" w14:textId="77777777" w:rsidR="00717566" w:rsidRPr="00434DF7" w:rsidRDefault="00717566" w:rsidP="000E5876">
      <w:pPr>
        <w:ind w:left="426" w:hanging="426"/>
        <w:rPr>
          <w:rFonts w:cstheme="minorHAnsi"/>
          <w:sz w:val="22"/>
          <w:szCs w:val="22"/>
        </w:rPr>
      </w:pPr>
    </w:p>
    <w:p w14:paraId="4E2C25EF" w14:textId="51F4C3C8" w:rsidR="00717566" w:rsidRDefault="00752C0D" w:rsidP="000E5876">
      <w:pPr>
        <w:ind w:left="426" w:hanging="426"/>
        <w:rPr>
          <w:rFonts w:cstheme="minorHAnsi"/>
          <w:sz w:val="22"/>
          <w:szCs w:val="22"/>
        </w:rPr>
      </w:pPr>
      <w:r>
        <w:rPr>
          <w:rFonts w:cstheme="minorHAnsi"/>
          <w:sz w:val="22"/>
          <w:szCs w:val="22"/>
        </w:rPr>
        <w:t>15</w:t>
      </w:r>
      <w:r w:rsidR="00717566" w:rsidRPr="00434DF7">
        <w:rPr>
          <w:rFonts w:cstheme="minorHAnsi"/>
          <w:sz w:val="22"/>
          <w:szCs w:val="22"/>
        </w:rPr>
        <w:t>.</w:t>
      </w:r>
      <w:r w:rsidR="00717566" w:rsidRPr="00434DF7">
        <w:rPr>
          <w:rFonts w:cstheme="minorHAnsi"/>
          <w:sz w:val="22"/>
          <w:szCs w:val="22"/>
        </w:rPr>
        <w:tab/>
        <w:t>REQUESTS the Secretariat</w:t>
      </w:r>
      <w:r>
        <w:rPr>
          <w:rFonts w:cstheme="minorHAnsi"/>
          <w:sz w:val="22"/>
          <w:szCs w:val="22"/>
        </w:rPr>
        <w:t>,</w:t>
      </w:r>
      <w:r w:rsidR="00717566" w:rsidRPr="00434DF7">
        <w:rPr>
          <w:rFonts w:cstheme="minorHAnsi"/>
          <w:sz w:val="22"/>
          <w:szCs w:val="22"/>
        </w:rPr>
        <w:t xml:space="preserve"> subject to available resources</w:t>
      </w:r>
      <w:r>
        <w:rPr>
          <w:rFonts w:cstheme="minorHAnsi"/>
          <w:sz w:val="22"/>
          <w:szCs w:val="22"/>
        </w:rPr>
        <w:t>,</w:t>
      </w:r>
      <w:r w:rsidR="00717566" w:rsidRPr="00434DF7">
        <w:rPr>
          <w:rFonts w:cstheme="minorHAnsi"/>
          <w:sz w:val="22"/>
          <w:szCs w:val="22"/>
        </w:rPr>
        <w:t xml:space="preserve"> to assist in strengthening the capacity of the CEPA Focal Points through the provision of </w:t>
      </w:r>
      <w:r w:rsidR="00B270DA">
        <w:rPr>
          <w:rFonts w:cstheme="minorHAnsi"/>
          <w:sz w:val="22"/>
          <w:szCs w:val="22"/>
        </w:rPr>
        <w:t xml:space="preserve">resources, </w:t>
      </w:r>
      <w:r w:rsidR="00717566" w:rsidRPr="00434DF7">
        <w:rPr>
          <w:rFonts w:cstheme="minorHAnsi"/>
          <w:sz w:val="22"/>
          <w:szCs w:val="22"/>
        </w:rPr>
        <w:t>training, toolkits and templates for CEPA acti</w:t>
      </w:r>
      <w:r w:rsidR="00B270DA">
        <w:rPr>
          <w:rFonts w:cstheme="minorHAnsi"/>
          <w:sz w:val="22"/>
          <w:szCs w:val="22"/>
        </w:rPr>
        <w:t>vities</w:t>
      </w:r>
      <w:r w:rsidR="00717566" w:rsidRPr="00434DF7">
        <w:rPr>
          <w:rFonts w:cstheme="minorHAnsi"/>
          <w:sz w:val="22"/>
          <w:szCs w:val="22"/>
        </w:rPr>
        <w:t>; and URGES the Secretariat to provide technical support for CEPA National Focal Points through the establishment of a network for their knowledge sharing;</w:t>
      </w:r>
    </w:p>
    <w:p w14:paraId="3CA5DE9B" w14:textId="77777777" w:rsidR="00717566" w:rsidRPr="00434DF7" w:rsidRDefault="00717566" w:rsidP="000E5876">
      <w:pPr>
        <w:ind w:left="426" w:hanging="426"/>
        <w:rPr>
          <w:rFonts w:cstheme="minorHAnsi"/>
          <w:sz w:val="22"/>
          <w:szCs w:val="22"/>
        </w:rPr>
      </w:pPr>
    </w:p>
    <w:p w14:paraId="4259A624" w14:textId="337F92DB" w:rsidR="00717566" w:rsidRPr="00434DF7" w:rsidRDefault="00FA687B" w:rsidP="000E5876">
      <w:pPr>
        <w:ind w:left="426" w:hanging="426"/>
        <w:rPr>
          <w:rFonts w:cstheme="minorHAnsi"/>
          <w:sz w:val="22"/>
          <w:szCs w:val="22"/>
        </w:rPr>
      </w:pPr>
      <w:r>
        <w:rPr>
          <w:rFonts w:cstheme="minorHAnsi"/>
          <w:sz w:val="22"/>
          <w:szCs w:val="22"/>
        </w:rPr>
        <w:t>16</w:t>
      </w:r>
      <w:r w:rsidR="00717566" w:rsidRPr="00434DF7">
        <w:rPr>
          <w:rFonts w:cstheme="minorHAnsi"/>
          <w:sz w:val="22"/>
          <w:szCs w:val="22"/>
        </w:rPr>
        <w:t>.</w:t>
      </w:r>
      <w:r w:rsidR="00717566" w:rsidRPr="00434DF7">
        <w:rPr>
          <w:rFonts w:cstheme="minorHAnsi"/>
          <w:sz w:val="22"/>
          <w:szCs w:val="22"/>
        </w:rPr>
        <w:tab/>
        <w:t xml:space="preserve">FURTHER REQUESTS the Secretariat to </w:t>
      </w:r>
      <w:r w:rsidR="006B5414">
        <w:rPr>
          <w:rFonts w:cstheme="minorHAnsi"/>
          <w:sz w:val="22"/>
          <w:szCs w:val="22"/>
        </w:rPr>
        <w:t>continue</w:t>
      </w:r>
      <w:r w:rsidR="006B5414" w:rsidRPr="00434DF7">
        <w:rPr>
          <w:rFonts w:cstheme="minorHAnsi"/>
          <w:sz w:val="22"/>
          <w:szCs w:val="22"/>
        </w:rPr>
        <w:t xml:space="preserve"> </w:t>
      </w:r>
      <w:r w:rsidR="00717566" w:rsidRPr="00434DF7">
        <w:rPr>
          <w:rFonts w:cstheme="minorHAnsi"/>
          <w:sz w:val="22"/>
          <w:szCs w:val="22"/>
        </w:rPr>
        <w:t>its efforts to ensure adequate resourcing of the implementation of the CEPA Programme;</w:t>
      </w:r>
    </w:p>
    <w:p w14:paraId="04479803" w14:textId="77777777" w:rsidR="00717566" w:rsidRPr="00434DF7" w:rsidRDefault="00717566" w:rsidP="000E5876">
      <w:pPr>
        <w:ind w:left="426" w:hanging="426"/>
        <w:rPr>
          <w:rFonts w:cstheme="minorHAnsi"/>
          <w:sz w:val="22"/>
          <w:szCs w:val="22"/>
        </w:rPr>
      </w:pPr>
    </w:p>
    <w:p w14:paraId="499F51E7" w14:textId="4031B459" w:rsidR="00717566" w:rsidRDefault="00FC4F30" w:rsidP="000E5876">
      <w:pPr>
        <w:ind w:left="426" w:hanging="426"/>
        <w:rPr>
          <w:rFonts w:cstheme="minorHAnsi"/>
          <w:sz w:val="22"/>
          <w:szCs w:val="22"/>
        </w:rPr>
      </w:pPr>
      <w:r>
        <w:rPr>
          <w:rFonts w:cstheme="minorHAnsi"/>
          <w:sz w:val="22"/>
          <w:szCs w:val="22"/>
        </w:rPr>
        <w:t>17</w:t>
      </w:r>
      <w:r w:rsidR="00717566" w:rsidRPr="00434DF7">
        <w:rPr>
          <w:rFonts w:cstheme="minorHAnsi"/>
          <w:sz w:val="22"/>
          <w:szCs w:val="22"/>
        </w:rPr>
        <w:t>.</w:t>
      </w:r>
      <w:r w:rsidR="00717566" w:rsidRPr="00434DF7">
        <w:rPr>
          <w:rFonts w:cstheme="minorHAnsi"/>
          <w:sz w:val="22"/>
          <w:szCs w:val="22"/>
        </w:rPr>
        <w:tab/>
        <w:t>RECOGNIZES the growing celebration of World Wetlands Day in a large number of countries; and URGES Contracting Parties to continue, or to begin, to use this occasion to bring attention to their achievements and to the continuing challenges in wetland conservation and wise use;</w:t>
      </w:r>
    </w:p>
    <w:p w14:paraId="659A3CF5" w14:textId="77777777" w:rsidR="005A1AC9" w:rsidRDefault="005A1AC9" w:rsidP="000E5876">
      <w:pPr>
        <w:ind w:left="426" w:hanging="426"/>
        <w:rPr>
          <w:rFonts w:cstheme="minorHAnsi"/>
          <w:sz w:val="22"/>
          <w:szCs w:val="22"/>
        </w:rPr>
      </w:pPr>
    </w:p>
    <w:p w14:paraId="3C36F77E" w14:textId="7ECFD890" w:rsidR="00B91A20" w:rsidRPr="00434DF7" w:rsidRDefault="000A04C6" w:rsidP="000E5876">
      <w:pPr>
        <w:ind w:left="426" w:hanging="426"/>
        <w:rPr>
          <w:rFonts w:cstheme="minorHAnsi"/>
          <w:sz w:val="22"/>
          <w:szCs w:val="22"/>
        </w:rPr>
      </w:pPr>
      <w:r>
        <w:rPr>
          <w:rFonts w:cstheme="minorHAnsi"/>
          <w:sz w:val="22"/>
          <w:szCs w:val="22"/>
        </w:rPr>
        <w:t>18.</w:t>
      </w:r>
      <w:r w:rsidR="00B91A20">
        <w:rPr>
          <w:rFonts w:cstheme="minorHAnsi"/>
          <w:sz w:val="22"/>
          <w:szCs w:val="22"/>
        </w:rPr>
        <w:tab/>
        <w:t xml:space="preserve">RECOGNIZES the </w:t>
      </w:r>
      <w:r w:rsidR="0077728B">
        <w:rPr>
          <w:rFonts w:cstheme="minorHAnsi"/>
          <w:sz w:val="22"/>
          <w:szCs w:val="22"/>
        </w:rPr>
        <w:t>usefulness</w:t>
      </w:r>
      <w:r w:rsidR="00913034">
        <w:rPr>
          <w:rFonts w:cstheme="minorHAnsi"/>
          <w:sz w:val="22"/>
          <w:szCs w:val="22"/>
        </w:rPr>
        <w:t xml:space="preserve"> of the Wetland City Accreditation scheme in bringing attention to the </w:t>
      </w:r>
      <w:r w:rsidR="0077728B">
        <w:rPr>
          <w:rFonts w:cstheme="minorHAnsi"/>
          <w:sz w:val="22"/>
          <w:szCs w:val="22"/>
        </w:rPr>
        <w:t>value</w:t>
      </w:r>
      <w:r w:rsidR="00913034">
        <w:rPr>
          <w:rFonts w:cstheme="minorHAnsi"/>
          <w:sz w:val="22"/>
          <w:szCs w:val="22"/>
        </w:rPr>
        <w:t xml:space="preserve"> of urban wetlands and </w:t>
      </w:r>
      <w:r w:rsidR="00D11799">
        <w:rPr>
          <w:rFonts w:cstheme="minorHAnsi"/>
          <w:sz w:val="22"/>
          <w:szCs w:val="22"/>
        </w:rPr>
        <w:t>the benefits they provide</w:t>
      </w:r>
      <w:r w:rsidR="00CA718B">
        <w:rPr>
          <w:rFonts w:cstheme="minorHAnsi"/>
          <w:sz w:val="22"/>
          <w:szCs w:val="22"/>
        </w:rPr>
        <w:t xml:space="preserve">; and ENCOURAGES Contracting Parties </w:t>
      </w:r>
      <w:r w:rsidR="00694822">
        <w:rPr>
          <w:rFonts w:cstheme="minorHAnsi"/>
          <w:sz w:val="22"/>
          <w:szCs w:val="22"/>
        </w:rPr>
        <w:t xml:space="preserve">to promote the scheme to city governments and support city governments in applying for accreditation; </w:t>
      </w:r>
    </w:p>
    <w:p w14:paraId="0015E835" w14:textId="77777777" w:rsidR="00717566" w:rsidRPr="00434DF7" w:rsidRDefault="00717566" w:rsidP="000E5876">
      <w:pPr>
        <w:ind w:left="426" w:hanging="426"/>
        <w:rPr>
          <w:rFonts w:cstheme="minorHAnsi"/>
          <w:sz w:val="22"/>
          <w:szCs w:val="22"/>
        </w:rPr>
      </w:pPr>
    </w:p>
    <w:p w14:paraId="6379F233" w14:textId="22E93CCF" w:rsidR="00717566" w:rsidRPr="00434DF7" w:rsidRDefault="00BE55D7" w:rsidP="000E5876">
      <w:pPr>
        <w:ind w:left="426" w:hanging="426"/>
        <w:rPr>
          <w:rFonts w:cstheme="minorHAnsi"/>
          <w:sz w:val="22"/>
          <w:szCs w:val="22"/>
        </w:rPr>
      </w:pPr>
      <w:r>
        <w:rPr>
          <w:rFonts w:cstheme="minorHAnsi"/>
          <w:sz w:val="22"/>
          <w:szCs w:val="22"/>
        </w:rPr>
        <w:t>1</w:t>
      </w:r>
      <w:r w:rsidR="000A04C6">
        <w:rPr>
          <w:rFonts w:cstheme="minorHAnsi"/>
          <w:sz w:val="22"/>
          <w:szCs w:val="22"/>
        </w:rPr>
        <w:t>9</w:t>
      </w:r>
      <w:r w:rsidR="00717566" w:rsidRPr="00434DF7">
        <w:rPr>
          <w:rFonts w:cstheme="minorHAnsi"/>
          <w:sz w:val="22"/>
          <w:szCs w:val="22"/>
        </w:rPr>
        <w:t>.</w:t>
      </w:r>
      <w:r w:rsidR="00717566" w:rsidRPr="00434DF7">
        <w:rPr>
          <w:rFonts w:cstheme="minorHAnsi"/>
          <w:sz w:val="22"/>
          <w:szCs w:val="22"/>
        </w:rPr>
        <w:tab/>
        <w:t>ENCOURAGES those Contracting Parties with established, or proposed, wetland education centres and similar facilities to support the development of those centres as key places of learning and training about wetlands and wetland‐related CEPA and to support their participation in global networks of such centres;</w:t>
      </w:r>
    </w:p>
    <w:p w14:paraId="584D6A2A" w14:textId="77777777" w:rsidR="00717566" w:rsidRPr="00434DF7" w:rsidRDefault="00717566" w:rsidP="000E5876">
      <w:pPr>
        <w:ind w:left="426" w:hanging="426"/>
        <w:rPr>
          <w:rFonts w:cstheme="minorHAnsi"/>
          <w:sz w:val="22"/>
          <w:szCs w:val="22"/>
        </w:rPr>
      </w:pPr>
    </w:p>
    <w:p w14:paraId="2CEEBA5B" w14:textId="1C26B05C" w:rsidR="00717566" w:rsidRPr="00434DF7" w:rsidRDefault="000A04C6" w:rsidP="000E5876">
      <w:pPr>
        <w:ind w:left="426" w:hanging="426"/>
        <w:rPr>
          <w:rFonts w:cstheme="minorHAnsi"/>
          <w:sz w:val="22"/>
          <w:szCs w:val="22"/>
        </w:rPr>
      </w:pPr>
      <w:r>
        <w:rPr>
          <w:rFonts w:cstheme="minorHAnsi"/>
          <w:sz w:val="22"/>
          <w:szCs w:val="22"/>
        </w:rPr>
        <w:t>20</w:t>
      </w:r>
      <w:r w:rsidR="00717566" w:rsidRPr="00434DF7">
        <w:rPr>
          <w:rFonts w:cstheme="minorHAnsi"/>
          <w:sz w:val="22"/>
          <w:szCs w:val="22"/>
        </w:rPr>
        <w:t>.</w:t>
      </w:r>
      <w:r w:rsidR="00717566" w:rsidRPr="00434DF7">
        <w:rPr>
          <w:rFonts w:cstheme="minorHAnsi"/>
          <w:sz w:val="22"/>
          <w:szCs w:val="22"/>
        </w:rPr>
        <w:tab/>
        <w:t>ALSO ENCOURAGES Contracting Parties to utilize and support the capacity of the Ramsar Regional Centres in wetland training, for their staff, other wetland professionals and for a wider public audience;</w:t>
      </w:r>
    </w:p>
    <w:p w14:paraId="5D6FFA84" w14:textId="77777777" w:rsidR="00717566" w:rsidRPr="00434DF7" w:rsidRDefault="00717566" w:rsidP="000E5876">
      <w:pPr>
        <w:ind w:left="426" w:hanging="426"/>
        <w:rPr>
          <w:rFonts w:cstheme="minorHAnsi"/>
          <w:sz w:val="22"/>
          <w:szCs w:val="22"/>
        </w:rPr>
      </w:pPr>
    </w:p>
    <w:p w14:paraId="4EBC22AC" w14:textId="3CBB3232" w:rsidR="00961536" w:rsidRPr="00434DF7" w:rsidRDefault="00FD4D85" w:rsidP="000E5876">
      <w:pPr>
        <w:ind w:left="426" w:hanging="426"/>
        <w:rPr>
          <w:rFonts w:cstheme="minorHAnsi"/>
          <w:sz w:val="22"/>
          <w:szCs w:val="22"/>
        </w:rPr>
      </w:pPr>
      <w:r>
        <w:rPr>
          <w:rFonts w:cstheme="minorHAnsi"/>
          <w:sz w:val="22"/>
          <w:szCs w:val="22"/>
        </w:rPr>
        <w:t>2</w:t>
      </w:r>
      <w:r w:rsidR="000A04C6">
        <w:rPr>
          <w:rFonts w:cstheme="minorHAnsi"/>
          <w:sz w:val="22"/>
          <w:szCs w:val="22"/>
        </w:rPr>
        <w:t>1</w:t>
      </w:r>
      <w:r w:rsidR="00717566" w:rsidRPr="00434DF7">
        <w:rPr>
          <w:rFonts w:cstheme="minorHAnsi"/>
          <w:sz w:val="22"/>
          <w:szCs w:val="22"/>
        </w:rPr>
        <w:t>.</w:t>
      </w:r>
      <w:r w:rsidR="00717566" w:rsidRPr="00434DF7">
        <w:rPr>
          <w:rFonts w:cstheme="minorHAnsi"/>
          <w:sz w:val="22"/>
          <w:szCs w:val="22"/>
        </w:rPr>
        <w:tab/>
        <w:t xml:space="preserve">INVITES the IOPs, Ramsar Regional Initiatives, and other organizations with which the </w:t>
      </w:r>
      <w:r w:rsidR="000B2E85">
        <w:rPr>
          <w:rFonts w:cstheme="minorHAnsi"/>
          <w:sz w:val="22"/>
          <w:szCs w:val="22"/>
        </w:rPr>
        <w:t xml:space="preserve">Secretariat of the </w:t>
      </w:r>
      <w:r w:rsidR="00717566" w:rsidRPr="00434DF7">
        <w:rPr>
          <w:rFonts w:cstheme="minorHAnsi"/>
          <w:sz w:val="22"/>
          <w:szCs w:val="22"/>
        </w:rPr>
        <w:t>Convention has collaborative agreements, to support the implementation of the CEPA Programme at the global, regional, national or local levels, as appropriate, with the expertise, networks, skills and resources they have at their disposal;</w:t>
      </w:r>
      <w:r w:rsidR="006E321B">
        <w:rPr>
          <w:rFonts w:cstheme="minorHAnsi"/>
          <w:sz w:val="22"/>
          <w:szCs w:val="22"/>
        </w:rPr>
        <w:t xml:space="preserve"> and REQUESTS the Convention Secretariat to provide </w:t>
      </w:r>
      <w:r w:rsidR="00961536" w:rsidRPr="00961536">
        <w:rPr>
          <w:rFonts w:cstheme="minorHAnsi"/>
          <w:sz w:val="22"/>
          <w:szCs w:val="22"/>
        </w:rPr>
        <w:t xml:space="preserve">information to </w:t>
      </w:r>
      <w:r w:rsidR="006E321B">
        <w:rPr>
          <w:rFonts w:cstheme="minorHAnsi"/>
          <w:sz w:val="22"/>
          <w:szCs w:val="22"/>
        </w:rPr>
        <w:t xml:space="preserve">these </w:t>
      </w:r>
      <w:r w:rsidR="00961536" w:rsidRPr="00961536">
        <w:rPr>
          <w:rFonts w:cstheme="minorHAnsi"/>
          <w:sz w:val="22"/>
          <w:szCs w:val="22"/>
        </w:rPr>
        <w:t>and other stakeholders</w:t>
      </w:r>
      <w:r w:rsidR="006E321B">
        <w:rPr>
          <w:rFonts w:cstheme="minorHAnsi"/>
          <w:sz w:val="22"/>
          <w:szCs w:val="22"/>
        </w:rPr>
        <w:t xml:space="preserve"> to support implementation of the CEPA programme;</w:t>
      </w:r>
    </w:p>
    <w:p w14:paraId="5E998B33" w14:textId="77777777" w:rsidR="00717566" w:rsidRPr="00434DF7" w:rsidRDefault="00717566" w:rsidP="000E5876">
      <w:pPr>
        <w:ind w:left="426" w:hanging="426"/>
        <w:rPr>
          <w:rFonts w:cstheme="minorHAnsi"/>
          <w:sz w:val="22"/>
          <w:szCs w:val="22"/>
        </w:rPr>
      </w:pPr>
    </w:p>
    <w:p w14:paraId="437DFEF1" w14:textId="072B96C4" w:rsidR="00717566" w:rsidRPr="00434DF7" w:rsidRDefault="00FD4D85" w:rsidP="000E5876">
      <w:pPr>
        <w:ind w:left="426" w:hanging="426"/>
        <w:rPr>
          <w:rFonts w:cstheme="minorHAnsi"/>
          <w:sz w:val="22"/>
          <w:szCs w:val="22"/>
        </w:rPr>
      </w:pPr>
      <w:r>
        <w:rPr>
          <w:rFonts w:cstheme="minorHAnsi"/>
          <w:sz w:val="22"/>
          <w:szCs w:val="22"/>
        </w:rPr>
        <w:t>2</w:t>
      </w:r>
      <w:r w:rsidR="000A04C6">
        <w:rPr>
          <w:rFonts w:cstheme="minorHAnsi"/>
          <w:sz w:val="22"/>
          <w:szCs w:val="22"/>
        </w:rPr>
        <w:t>2</w:t>
      </w:r>
      <w:r w:rsidR="00717566" w:rsidRPr="00434DF7">
        <w:rPr>
          <w:rFonts w:cstheme="minorHAnsi"/>
          <w:sz w:val="22"/>
          <w:szCs w:val="22"/>
        </w:rPr>
        <w:t>.</w:t>
      </w:r>
      <w:r w:rsidR="00717566" w:rsidRPr="00434DF7">
        <w:rPr>
          <w:rFonts w:cstheme="minorHAnsi"/>
          <w:sz w:val="22"/>
          <w:szCs w:val="22"/>
        </w:rPr>
        <w:tab/>
        <w:t xml:space="preserve">INVITES the CEPA National Focal Points and the CEPA Oversight Panel to promote synergies with </w:t>
      </w:r>
      <w:r w:rsidR="00A319CA">
        <w:rPr>
          <w:rFonts w:cstheme="minorHAnsi"/>
          <w:sz w:val="22"/>
          <w:szCs w:val="22"/>
        </w:rPr>
        <w:t xml:space="preserve">the </w:t>
      </w:r>
      <w:r w:rsidR="00717566" w:rsidRPr="00434DF7">
        <w:rPr>
          <w:rFonts w:cstheme="minorHAnsi"/>
          <w:sz w:val="22"/>
          <w:szCs w:val="22"/>
        </w:rPr>
        <w:t>programmes</w:t>
      </w:r>
      <w:r w:rsidR="00A319CA">
        <w:rPr>
          <w:rFonts w:cstheme="minorHAnsi"/>
          <w:sz w:val="22"/>
          <w:szCs w:val="22"/>
        </w:rPr>
        <w:t xml:space="preserve"> of other conventions on </w:t>
      </w:r>
      <w:r w:rsidR="00FD5214">
        <w:rPr>
          <w:rFonts w:cstheme="minorHAnsi"/>
          <w:sz w:val="22"/>
          <w:szCs w:val="22"/>
        </w:rPr>
        <w:t>c</w:t>
      </w:r>
      <w:r w:rsidR="00A319CA" w:rsidRPr="00FD4D85">
        <w:rPr>
          <w:rFonts w:cstheme="minorHAnsi"/>
          <w:sz w:val="22"/>
          <w:szCs w:val="22"/>
        </w:rPr>
        <w:t>ommunication, capacity building, education, participation and awareness</w:t>
      </w:r>
      <w:r w:rsidR="00FD5214">
        <w:rPr>
          <w:rFonts w:cstheme="minorHAnsi"/>
          <w:sz w:val="22"/>
          <w:szCs w:val="22"/>
        </w:rPr>
        <w:t>,</w:t>
      </w:r>
      <w:r w:rsidR="00717566" w:rsidRPr="00434DF7">
        <w:rPr>
          <w:rFonts w:cstheme="minorHAnsi"/>
          <w:sz w:val="22"/>
          <w:szCs w:val="22"/>
        </w:rPr>
        <w:t xml:space="preserve"> and with </w:t>
      </w:r>
      <w:r w:rsidR="005905A3">
        <w:rPr>
          <w:rFonts w:cstheme="minorHAnsi"/>
          <w:sz w:val="22"/>
          <w:szCs w:val="22"/>
        </w:rPr>
        <w:t xml:space="preserve">equivalent </w:t>
      </w:r>
      <w:r w:rsidR="00717566" w:rsidRPr="00434DF7">
        <w:rPr>
          <w:rFonts w:cstheme="minorHAnsi"/>
          <w:sz w:val="22"/>
          <w:szCs w:val="22"/>
        </w:rPr>
        <w:t xml:space="preserve">programmes and initiatives of other governmental and non-governmental </w:t>
      </w:r>
      <w:r w:rsidR="005905A3">
        <w:rPr>
          <w:rFonts w:cstheme="minorHAnsi"/>
          <w:sz w:val="22"/>
          <w:szCs w:val="22"/>
        </w:rPr>
        <w:t xml:space="preserve">bodies </w:t>
      </w:r>
      <w:r w:rsidR="00717566" w:rsidRPr="00434DF7">
        <w:rPr>
          <w:rFonts w:cstheme="minorHAnsi"/>
          <w:sz w:val="22"/>
          <w:szCs w:val="22"/>
        </w:rPr>
        <w:t>at international, regional, national and local levels;</w:t>
      </w:r>
    </w:p>
    <w:p w14:paraId="53AA2E1B" w14:textId="77777777" w:rsidR="00717566" w:rsidRPr="00434DF7" w:rsidRDefault="00717566" w:rsidP="000E5876">
      <w:pPr>
        <w:ind w:left="426" w:hanging="426"/>
        <w:rPr>
          <w:rFonts w:cstheme="minorHAnsi"/>
          <w:sz w:val="22"/>
          <w:szCs w:val="22"/>
        </w:rPr>
      </w:pPr>
    </w:p>
    <w:p w14:paraId="42B79162" w14:textId="126B5DF1" w:rsidR="00717566" w:rsidRDefault="00DA6399" w:rsidP="000E5876">
      <w:pPr>
        <w:ind w:left="426" w:hanging="426"/>
        <w:rPr>
          <w:rFonts w:cstheme="minorHAnsi"/>
          <w:sz w:val="22"/>
          <w:szCs w:val="22"/>
        </w:rPr>
      </w:pPr>
      <w:r>
        <w:rPr>
          <w:rFonts w:cstheme="minorHAnsi"/>
          <w:sz w:val="22"/>
          <w:szCs w:val="22"/>
        </w:rPr>
        <w:t>2</w:t>
      </w:r>
      <w:r w:rsidR="000A04C6">
        <w:rPr>
          <w:rFonts w:cstheme="minorHAnsi"/>
          <w:sz w:val="22"/>
          <w:szCs w:val="22"/>
        </w:rPr>
        <w:t>3</w:t>
      </w:r>
      <w:r w:rsidR="00717566" w:rsidRPr="00434DF7">
        <w:rPr>
          <w:rFonts w:cstheme="minorHAnsi"/>
          <w:sz w:val="22"/>
          <w:szCs w:val="22"/>
        </w:rPr>
        <w:t>.</w:t>
      </w:r>
      <w:r w:rsidR="00717566" w:rsidRPr="00434DF7">
        <w:rPr>
          <w:rFonts w:cstheme="minorHAnsi"/>
          <w:sz w:val="22"/>
          <w:szCs w:val="22"/>
        </w:rPr>
        <w:tab/>
        <w:t xml:space="preserve">INVITES Parties </w:t>
      </w:r>
      <w:r w:rsidR="0039116E">
        <w:rPr>
          <w:rFonts w:cstheme="minorHAnsi"/>
          <w:sz w:val="22"/>
          <w:szCs w:val="22"/>
        </w:rPr>
        <w:t xml:space="preserve">that have </w:t>
      </w:r>
      <w:r w:rsidR="00717566" w:rsidRPr="00434DF7">
        <w:rPr>
          <w:rFonts w:cstheme="minorHAnsi"/>
          <w:sz w:val="22"/>
          <w:szCs w:val="22"/>
        </w:rPr>
        <w:t xml:space="preserve">national and local languages </w:t>
      </w:r>
      <w:r w:rsidR="0039116E">
        <w:rPr>
          <w:rFonts w:cstheme="minorHAnsi"/>
          <w:sz w:val="22"/>
          <w:szCs w:val="22"/>
        </w:rPr>
        <w:t xml:space="preserve">other </w:t>
      </w:r>
      <w:r w:rsidR="00717566" w:rsidRPr="00434DF7">
        <w:rPr>
          <w:rFonts w:cstheme="minorHAnsi"/>
          <w:sz w:val="22"/>
          <w:szCs w:val="22"/>
        </w:rPr>
        <w:t>than the three official languages of the Convention to consider translating key Convention guidance and guidelines</w:t>
      </w:r>
      <w:r w:rsidR="006E1CDF">
        <w:rPr>
          <w:rFonts w:cstheme="minorHAnsi"/>
          <w:sz w:val="22"/>
          <w:szCs w:val="22"/>
        </w:rPr>
        <w:t xml:space="preserve"> – </w:t>
      </w:r>
      <w:r w:rsidR="006F6416">
        <w:rPr>
          <w:rFonts w:cstheme="minorHAnsi"/>
          <w:sz w:val="22"/>
          <w:szCs w:val="22"/>
        </w:rPr>
        <w:t xml:space="preserve">and </w:t>
      </w:r>
      <w:r w:rsidR="00E728EB">
        <w:rPr>
          <w:rFonts w:cstheme="minorHAnsi"/>
          <w:sz w:val="22"/>
          <w:szCs w:val="22"/>
        </w:rPr>
        <w:t xml:space="preserve">other relevant </w:t>
      </w:r>
      <w:r w:rsidR="00717566" w:rsidRPr="00434DF7">
        <w:rPr>
          <w:rFonts w:cstheme="minorHAnsi"/>
          <w:sz w:val="22"/>
          <w:szCs w:val="22"/>
        </w:rPr>
        <w:t xml:space="preserve">materials </w:t>
      </w:r>
      <w:r w:rsidR="006E1CDF">
        <w:rPr>
          <w:rFonts w:cstheme="minorHAnsi"/>
          <w:sz w:val="22"/>
          <w:szCs w:val="22"/>
        </w:rPr>
        <w:t xml:space="preserve">– </w:t>
      </w:r>
      <w:r w:rsidR="00717566" w:rsidRPr="00434DF7">
        <w:rPr>
          <w:rFonts w:cstheme="minorHAnsi"/>
          <w:sz w:val="22"/>
          <w:szCs w:val="22"/>
        </w:rPr>
        <w:t>into those languages in order to make the</w:t>
      </w:r>
      <w:r w:rsidR="006F6416">
        <w:rPr>
          <w:rFonts w:cstheme="minorHAnsi"/>
          <w:sz w:val="22"/>
          <w:szCs w:val="22"/>
        </w:rPr>
        <w:t xml:space="preserve"> texts</w:t>
      </w:r>
      <w:r w:rsidR="00717566" w:rsidRPr="00434DF7">
        <w:rPr>
          <w:rFonts w:cstheme="minorHAnsi"/>
          <w:sz w:val="22"/>
          <w:szCs w:val="22"/>
        </w:rPr>
        <w:t xml:space="preserve"> more widely available through, for example, the Ramsar Regional Centres; and </w:t>
      </w:r>
      <w:r w:rsidR="006E1CDF" w:rsidRPr="00434DF7">
        <w:rPr>
          <w:rFonts w:cstheme="minorHAnsi"/>
          <w:sz w:val="22"/>
          <w:szCs w:val="22"/>
        </w:rPr>
        <w:t xml:space="preserve">also </w:t>
      </w:r>
      <w:r w:rsidR="00717566" w:rsidRPr="00434DF7">
        <w:rPr>
          <w:rFonts w:cstheme="minorHAnsi"/>
          <w:sz w:val="22"/>
          <w:szCs w:val="22"/>
        </w:rPr>
        <w:t xml:space="preserve">INVITES the IOPs and Ramsar Regional Centres to </w:t>
      </w:r>
      <w:r w:rsidR="0039116E">
        <w:rPr>
          <w:rFonts w:cstheme="minorHAnsi"/>
          <w:sz w:val="22"/>
          <w:szCs w:val="22"/>
        </w:rPr>
        <w:t xml:space="preserve">support </w:t>
      </w:r>
      <w:r w:rsidR="00717566" w:rsidRPr="00434DF7">
        <w:rPr>
          <w:rFonts w:cstheme="minorHAnsi"/>
          <w:sz w:val="22"/>
          <w:szCs w:val="22"/>
        </w:rPr>
        <w:t>such translations;</w:t>
      </w:r>
    </w:p>
    <w:p w14:paraId="00EBCB47" w14:textId="77777777" w:rsidR="00DD169C" w:rsidRDefault="00DD169C" w:rsidP="000E5876">
      <w:pPr>
        <w:ind w:left="426" w:hanging="426"/>
        <w:rPr>
          <w:rFonts w:cstheme="minorHAnsi"/>
          <w:sz w:val="22"/>
          <w:szCs w:val="22"/>
        </w:rPr>
      </w:pPr>
    </w:p>
    <w:p w14:paraId="255B464C" w14:textId="0697D8BF" w:rsidR="00717566" w:rsidRPr="00434DF7" w:rsidRDefault="00854700" w:rsidP="000E5876">
      <w:pPr>
        <w:ind w:left="426" w:hanging="426"/>
        <w:rPr>
          <w:rFonts w:cstheme="minorHAnsi"/>
          <w:sz w:val="22"/>
          <w:szCs w:val="22"/>
        </w:rPr>
      </w:pPr>
      <w:r>
        <w:rPr>
          <w:rFonts w:cstheme="minorHAnsi"/>
          <w:sz w:val="22"/>
          <w:szCs w:val="22"/>
        </w:rPr>
        <w:t>2</w:t>
      </w:r>
      <w:r w:rsidR="000A04C6">
        <w:rPr>
          <w:rFonts w:cstheme="minorHAnsi"/>
          <w:sz w:val="22"/>
          <w:szCs w:val="22"/>
        </w:rPr>
        <w:t>4</w:t>
      </w:r>
      <w:r w:rsidR="00717566" w:rsidRPr="00434DF7">
        <w:rPr>
          <w:rFonts w:cstheme="minorHAnsi"/>
          <w:sz w:val="22"/>
          <w:szCs w:val="22"/>
        </w:rPr>
        <w:t>.</w:t>
      </w:r>
      <w:r w:rsidR="00717566" w:rsidRPr="00434DF7">
        <w:rPr>
          <w:rFonts w:cstheme="minorHAnsi"/>
          <w:sz w:val="22"/>
          <w:szCs w:val="22"/>
        </w:rPr>
        <w:tab/>
        <w:t xml:space="preserve">ENCOURAGES Contracting Parties to </w:t>
      </w:r>
      <w:r w:rsidR="00472148">
        <w:rPr>
          <w:rFonts w:cstheme="minorHAnsi"/>
          <w:sz w:val="22"/>
          <w:szCs w:val="22"/>
        </w:rPr>
        <w:t xml:space="preserve">use </w:t>
      </w:r>
      <w:r w:rsidR="008B4AF2">
        <w:rPr>
          <w:rFonts w:cstheme="minorHAnsi"/>
          <w:sz w:val="22"/>
          <w:szCs w:val="22"/>
        </w:rPr>
        <w:t xml:space="preserve">the </w:t>
      </w:r>
      <w:r w:rsidR="00472148">
        <w:rPr>
          <w:rFonts w:cstheme="minorHAnsi"/>
          <w:sz w:val="22"/>
          <w:szCs w:val="22"/>
        </w:rPr>
        <w:t xml:space="preserve">CEPA </w:t>
      </w:r>
      <w:r w:rsidR="008D769D">
        <w:rPr>
          <w:rFonts w:cstheme="minorHAnsi"/>
          <w:sz w:val="22"/>
          <w:szCs w:val="22"/>
        </w:rPr>
        <w:t xml:space="preserve">programme </w:t>
      </w:r>
      <w:r w:rsidR="00472148">
        <w:rPr>
          <w:rFonts w:cstheme="minorHAnsi"/>
          <w:sz w:val="22"/>
          <w:szCs w:val="22"/>
        </w:rPr>
        <w:t xml:space="preserve">to support </w:t>
      </w:r>
      <w:r w:rsidR="00717566" w:rsidRPr="00434DF7">
        <w:rPr>
          <w:rFonts w:cstheme="minorHAnsi"/>
          <w:sz w:val="22"/>
          <w:szCs w:val="22"/>
        </w:rPr>
        <w:t>the implementation of the Strategic Plan</w:t>
      </w:r>
      <w:r w:rsidR="008D769D">
        <w:rPr>
          <w:rFonts w:cstheme="minorHAnsi"/>
          <w:sz w:val="22"/>
          <w:szCs w:val="22"/>
        </w:rPr>
        <w:t xml:space="preserve"> of the Convention</w:t>
      </w:r>
      <w:r w:rsidR="00717566" w:rsidRPr="00434DF7">
        <w:rPr>
          <w:rFonts w:cstheme="minorHAnsi"/>
          <w:sz w:val="22"/>
          <w:szCs w:val="22"/>
        </w:rPr>
        <w:t>; and</w:t>
      </w:r>
    </w:p>
    <w:p w14:paraId="39A4A18F" w14:textId="77777777" w:rsidR="00717566" w:rsidRPr="00434DF7" w:rsidRDefault="00717566" w:rsidP="000E5876">
      <w:pPr>
        <w:ind w:left="426" w:hanging="426"/>
        <w:rPr>
          <w:rFonts w:cstheme="minorHAnsi"/>
          <w:sz w:val="22"/>
          <w:szCs w:val="22"/>
        </w:rPr>
      </w:pPr>
    </w:p>
    <w:p w14:paraId="7BD6BD84" w14:textId="6140B3D0" w:rsidR="00717566" w:rsidRPr="00434DF7" w:rsidRDefault="00CE7592" w:rsidP="000E5876">
      <w:pPr>
        <w:keepNext/>
        <w:ind w:left="425" w:hanging="425"/>
        <w:rPr>
          <w:rFonts w:cstheme="minorHAnsi"/>
          <w:sz w:val="22"/>
          <w:szCs w:val="22"/>
        </w:rPr>
      </w:pPr>
      <w:r>
        <w:rPr>
          <w:rFonts w:cstheme="minorHAnsi"/>
          <w:sz w:val="22"/>
          <w:szCs w:val="22"/>
        </w:rPr>
        <w:t>2</w:t>
      </w:r>
      <w:r w:rsidR="000A04C6">
        <w:rPr>
          <w:rFonts w:cstheme="minorHAnsi"/>
          <w:sz w:val="22"/>
          <w:szCs w:val="22"/>
        </w:rPr>
        <w:t>5</w:t>
      </w:r>
      <w:r w:rsidR="00717566" w:rsidRPr="00434DF7">
        <w:rPr>
          <w:rFonts w:cstheme="minorHAnsi"/>
          <w:sz w:val="22"/>
          <w:szCs w:val="22"/>
        </w:rPr>
        <w:t>.</w:t>
      </w:r>
      <w:r w:rsidR="00717566" w:rsidRPr="00434DF7">
        <w:rPr>
          <w:rFonts w:cstheme="minorHAnsi"/>
          <w:sz w:val="22"/>
          <w:szCs w:val="22"/>
        </w:rPr>
        <w:tab/>
        <w:t>REPEALS the following Recommendations and Resolutions:</w:t>
      </w:r>
    </w:p>
    <w:p w14:paraId="78317799" w14:textId="77777777" w:rsidR="00717566" w:rsidRPr="00434DF7" w:rsidRDefault="00717566" w:rsidP="000E5876">
      <w:pPr>
        <w:pStyle w:val="ListParagraph"/>
        <w:numPr>
          <w:ilvl w:val="0"/>
          <w:numId w:val="1"/>
        </w:numPr>
        <w:ind w:left="851" w:hanging="425"/>
        <w:rPr>
          <w:rFonts w:cstheme="minorHAnsi"/>
          <w:sz w:val="22"/>
          <w:szCs w:val="22"/>
        </w:rPr>
      </w:pPr>
      <w:r w:rsidRPr="00434DF7">
        <w:rPr>
          <w:rFonts w:cstheme="minorHAnsi"/>
          <w:sz w:val="22"/>
          <w:szCs w:val="22"/>
        </w:rPr>
        <w:t xml:space="preserve">Recommendation 4.5 on </w:t>
      </w:r>
      <w:r w:rsidRPr="00434DF7">
        <w:rPr>
          <w:rFonts w:cstheme="minorHAnsi"/>
          <w:i/>
          <w:iCs/>
          <w:sz w:val="22"/>
          <w:szCs w:val="22"/>
        </w:rPr>
        <w:t>Education and training</w:t>
      </w:r>
      <w:r w:rsidRPr="00434DF7">
        <w:rPr>
          <w:rFonts w:cstheme="minorHAnsi"/>
          <w:sz w:val="22"/>
          <w:szCs w:val="22"/>
        </w:rPr>
        <w:t>;</w:t>
      </w:r>
    </w:p>
    <w:p w14:paraId="1CC61229" w14:textId="77777777" w:rsidR="00717566" w:rsidRPr="00434DF7" w:rsidRDefault="00717566" w:rsidP="000E5876">
      <w:pPr>
        <w:pStyle w:val="ListParagraph"/>
        <w:numPr>
          <w:ilvl w:val="0"/>
          <w:numId w:val="1"/>
        </w:numPr>
        <w:ind w:left="851" w:hanging="425"/>
        <w:rPr>
          <w:rFonts w:cstheme="minorHAnsi"/>
          <w:sz w:val="22"/>
          <w:szCs w:val="22"/>
        </w:rPr>
      </w:pPr>
      <w:r w:rsidRPr="00434DF7">
        <w:rPr>
          <w:rFonts w:cstheme="minorHAnsi"/>
          <w:sz w:val="22"/>
          <w:szCs w:val="22"/>
        </w:rPr>
        <w:t xml:space="preserve">Recommendation 5.8 on </w:t>
      </w:r>
      <w:r w:rsidRPr="00434DF7">
        <w:rPr>
          <w:rFonts w:cstheme="minorHAnsi"/>
          <w:i/>
          <w:iCs/>
          <w:sz w:val="22"/>
          <w:szCs w:val="22"/>
        </w:rPr>
        <w:t>Measures to promote public awareness of wetland values in wetland reserves</w:t>
      </w:r>
      <w:r w:rsidRPr="00434DF7">
        <w:rPr>
          <w:rFonts w:cstheme="minorHAnsi"/>
          <w:sz w:val="22"/>
          <w:szCs w:val="22"/>
        </w:rPr>
        <w:t>;</w:t>
      </w:r>
    </w:p>
    <w:p w14:paraId="75B35FD2" w14:textId="77777777" w:rsidR="00717566" w:rsidRPr="00434DF7" w:rsidRDefault="00717566" w:rsidP="000E5876">
      <w:pPr>
        <w:pStyle w:val="ListParagraph"/>
        <w:numPr>
          <w:ilvl w:val="0"/>
          <w:numId w:val="1"/>
        </w:numPr>
        <w:ind w:left="851" w:hanging="425"/>
        <w:rPr>
          <w:rFonts w:cstheme="minorHAnsi"/>
          <w:sz w:val="22"/>
          <w:szCs w:val="22"/>
        </w:rPr>
      </w:pPr>
      <w:r w:rsidRPr="00434DF7">
        <w:rPr>
          <w:rFonts w:cstheme="minorHAnsi"/>
          <w:sz w:val="22"/>
          <w:szCs w:val="22"/>
        </w:rPr>
        <w:t xml:space="preserve">Resolution VI.19 on </w:t>
      </w:r>
      <w:r w:rsidRPr="00434DF7">
        <w:rPr>
          <w:rFonts w:cstheme="minorHAnsi"/>
          <w:i/>
          <w:iCs/>
          <w:sz w:val="22"/>
          <w:szCs w:val="22"/>
        </w:rPr>
        <w:t>Education and public awareness</w:t>
      </w:r>
      <w:r w:rsidRPr="00434DF7">
        <w:rPr>
          <w:rFonts w:cstheme="minorHAnsi"/>
          <w:sz w:val="22"/>
          <w:szCs w:val="22"/>
        </w:rPr>
        <w:t>;</w:t>
      </w:r>
    </w:p>
    <w:p w14:paraId="7D6FEC94" w14:textId="77777777" w:rsidR="00717566" w:rsidRPr="00434DF7" w:rsidRDefault="00717566" w:rsidP="000E5876">
      <w:pPr>
        <w:pStyle w:val="ListParagraph"/>
        <w:numPr>
          <w:ilvl w:val="0"/>
          <w:numId w:val="1"/>
        </w:numPr>
        <w:ind w:left="851" w:hanging="425"/>
        <w:rPr>
          <w:rFonts w:cstheme="minorHAnsi"/>
          <w:sz w:val="22"/>
          <w:szCs w:val="22"/>
        </w:rPr>
      </w:pPr>
      <w:r w:rsidRPr="00434DF7">
        <w:rPr>
          <w:rFonts w:cstheme="minorHAnsi"/>
          <w:sz w:val="22"/>
          <w:szCs w:val="22"/>
        </w:rPr>
        <w:t xml:space="preserve">Resolution VII.9 on </w:t>
      </w:r>
      <w:r w:rsidRPr="00434DF7">
        <w:rPr>
          <w:rFonts w:cstheme="minorHAnsi"/>
          <w:i/>
          <w:iCs/>
          <w:sz w:val="22"/>
          <w:szCs w:val="22"/>
        </w:rPr>
        <w:t>The Convention’s Outreach Programme, 1999-2002</w:t>
      </w:r>
      <w:r w:rsidRPr="00434DF7">
        <w:rPr>
          <w:rFonts w:cstheme="minorHAnsi"/>
          <w:sz w:val="22"/>
          <w:szCs w:val="22"/>
        </w:rPr>
        <w:t>;</w:t>
      </w:r>
    </w:p>
    <w:p w14:paraId="49D3DC2E" w14:textId="77777777" w:rsidR="00717566" w:rsidRPr="00434DF7" w:rsidRDefault="00717566" w:rsidP="000E5876">
      <w:pPr>
        <w:pStyle w:val="ListParagraph"/>
        <w:numPr>
          <w:ilvl w:val="0"/>
          <w:numId w:val="1"/>
        </w:numPr>
        <w:ind w:left="851" w:hanging="425"/>
        <w:rPr>
          <w:rFonts w:cstheme="minorHAnsi"/>
          <w:sz w:val="22"/>
          <w:szCs w:val="22"/>
        </w:rPr>
      </w:pPr>
      <w:r w:rsidRPr="00434DF7">
        <w:rPr>
          <w:rFonts w:cstheme="minorHAnsi"/>
          <w:sz w:val="22"/>
          <w:szCs w:val="22"/>
        </w:rPr>
        <w:t xml:space="preserve">Resolution VIII.31 on </w:t>
      </w:r>
      <w:r w:rsidRPr="00434DF7">
        <w:rPr>
          <w:rFonts w:cstheme="minorHAnsi"/>
          <w:i/>
          <w:iCs/>
          <w:sz w:val="22"/>
          <w:szCs w:val="22"/>
        </w:rPr>
        <w:t>The Convention's Programme on communication, education and public awareness (CEPA) 2003-2008</w:t>
      </w:r>
      <w:r w:rsidRPr="00434DF7">
        <w:rPr>
          <w:rFonts w:cstheme="minorHAnsi"/>
          <w:sz w:val="22"/>
          <w:szCs w:val="22"/>
        </w:rPr>
        <w:t>;</w:t>
      </w:r>
    </w:p>
    <w:p w14:paraId="5FB2B8A3" w14:textId="77777777" w:rsidR="00717566" w:rsidRPr="00434DF7" w:rsidRDefault="00717566" w:rsidP="000E5876">
      <w:pPr>
        <w:pStyle w:val="ListParagraph"/>
        <w:numPr>
          <w:ilvl w:val="0"/>
          <w:numId w:val="1"/>
        </w:numPr>
        <w:ind w:left="851" w:hanging="425"/>
        <w:rPr>
          <w:rFonts w:cstheme="minorHAnsi"/>
          <w:sz w:val="22"/>
          <w:szCs w:val="22"/>
        </w:rPr>
      </w:pPr>
      <w:r w:rsidRPr="00434DF7">
        <w:rPr>
          <w:rFonts w:cstheme="minorHAnsi"/>
          <w:sz w:val="22"/>
          <w:szCs w:val="22"/>
        </w:rPr>
        <w:t xml:space="preserve">Resolution IX.18 on </w:t>
      </w:r>
      <w:r w:rsidRPr="00434DF7">
        <w:rPr>
          <w:rFonts w:cstheme="minorHAnsi"/>
          <w:i/>
          <w:iCs/>
          <w:sz w:val="22"/>
          <w:szCs w:val="22"/>
        </w:rPr>
        <w:t>Establishment of an Oversight Panel for the CEPA activities of the Convention</w:t>
      </w:r>
      <w:r w:rsidRPr="00434DF7">
        <w:rPr>
          <w:rFonts w:cstheme="minorHAnsi"/>
          <w:sz w:val="22"/>
          <w:szCs w:val="22"/>
        </w:rPr>
        <w:t>;</w:t>
      </w:r>
    </w:p>
    <w:p w14:paraId="66621C94" w14:textId="14615FC6" w:rsidR="00717566" w:rsidRPr="00434DF7" w:rsidRDefault="00717566" w:rsidP="000E5876">
      <w:pPr>
        <w:pStyle w:val="ListParagraph"/>
        <w:numPr>
          <w:ilvl w:val="0"/>
          <w:numId w:val="1"/>
        </w:numPr>
        <w:ind w:left="851" w:hanging="425"/>
        <w:rPr>
          <w:rFonts w:cstheme="minorHAnsi"/>
          <w:sz w:val="22"/>
          <w:szCs w:val="22"/>
        </w:rPr>
      </w:pPr>
      <w:r w:rsidRPr="00434DF7">
        <w:rPr>
          <w:rFonts w:cstheme="minorHAnsi"/>
          <w:sz w:val="22"/>
          <w:szCs w:val="22"/>
        </w:rPr>
        <w:t xml:space="preserve">Resolution X.8 on </w:t>
      </w:r>
      <w:r w:rsidRPr="00434DF7">
        <w:rPr>
          <w:rFonts w:cstheme="minorHAnsi"/>
          <w:i/>
          <w:iCs/>
          <w:sz w:val="22"/>
          <w:szCs w:val="22"/>
        </w:rPr>
        <w:t>The Convention’s Programme on communication, education, participation and awareness (CEPA) 2009-2015</w:t>
      </w:r>
      <w:r w:rsidRPr="00434DF7">
        <w:rPr>
          <w:rFonts w:cstheme="minorHAnsi"/>
          <w:sz w:val="22"/>
          <w:szCs w:val="22"/>
        </w:rPr>
        <w:t xml:space="preserve">; </w:t>
      </w:r>
    </w:p>
    <w:p w14:paraId="4FC62C7A" w14:textId="4648BA4E" w:rsidR="00FD1D84" w:rsidRPr="00FD1D84" w:rsidRDefault="00717566" w:rsidP="000E5876">
      <w:pPr>
        <w:pStyle w:val="ListParagraph"/>
        <w:numPr>
          <w:ilvl w:val="0"/>
          <w:numId w:val="1"/>
        </w:numPr>
        <w:ind w:left="851" w:hanging="425"/>
        <w:rPr>
          <w:rFonts w:cstheme="minorHAnsi"/>
          <w:sz w:val="22"/>
          <w:szCs w:val="22"/>
        </w:rPr>
      </w:pPr>
      <w:r w:rsidRPr="00434DF7">
        <w:rPr>
          <w:rFonts w:cstheme="minorHAnsi"/>
          <w:sz w:val="22"/>
          <w:szCs w:val="22"/>
        </w:rPr>
        <w:t xml:space="preserve">Resolution XII.9 on </w:t>
      </w:r>
      <w:r w:rsidRPr="00434DF7">
        <w:rPr>
          <w:rFonts w:cstheme="minorHAnsi"/>
          <w:i/>
          <w:iCs/>
          <w:sz w:val="22"/>
          <w:szCs w:val="22"/>
        </w:rPr>
        <w:t>The Ramsar Convention’s Programme on communication, capacity building, education, participation and awareness (CEPA) 2016‐2024</w:t>
      </w:r>
      <w:r w:rsidR="00FD1D84">
        <w:rPr>
          <w:rFonts w:cstheme="minorHAnsi"/>
          <w:i/>
          <w:iCs/>
          <w:sz w:val="22"/>
          <w:szCs w:val="22"/>
        </w:rPr>
        <w:t xml:space="preserve">; </w:t>
      </w:r>
      <w:r w:rsidR="00FD1D84" w:rsidRPr="00FD1D84">
        <w:rPr>
          <w:rFonts w:cstheme="minorHAnsi"/>
          <w:sz w:val="22"/>
          <w:szCs w:val="22"/>
        </w:rPr>
        <w:t>and</w:t>
      </w:r>
    </w:p>
    <w:p w14:paraId="5CEF5206" w14:textId="6AC87B14" w:rsidR="00717566" w:rsidRPr="00434DF7" w:rsidRDefault="00FD1D84" w:rsidP="000E5876">
      <w:pPr>
        <w:pStyle w:val="ListParagraph"/>
        <w:numPr>
          <w:ilvl w:val="0"/>
          <w:numId w:val="1"/>
        </w:numPr>
        <w:ind w:left="851" w:hanging="425"/>
        <w:rPr>
          <w:rFonts w:cstheme="minorHAnsi"/>
          <w:sz w:val="22"/>
          <w:szCs w:val="22"/>
        </w:rPr>
      </w:pPr>
      <w:r w:rsidRPr="00434DF7">
        <w:rPr>
          <w:rFonts w:cstheme="minorHAnsi"/>
          <w:sz w:val="22"/>
          <w:szCs w:val="22"/>
        </w:rPr>
        <w:t xml:space="preserve">Resolution XIV.8 on </w:t>
      </w:r>
      <w:r w:rsidRPr="00434DF7">
        <w:rPr>
          <w:rFonts w:cstheme="minorHAnsi"/>
          <w:i/>
          <w:iCs/>
          <w:sz w:val="22"/>
          <w:szCs w:val="22"/>
        </w:rPr>
        <w:t>The new CEPA approach</w:t>
      </w:r>
      <w:r w:rsidR="00717566" w:rsidRPr="00434DF7">
        <w:rPr>
          <w:rFonts w:cstheme="minorHAnsi"/>
          <w:sz w:val="22"/>
          <w:szCs w:val="22"/>
        </w:rPr>
        <w:t>.</w:t>
      </w:r>
    </w:p>
    <w:p w14:paraId="642A9E79" w14:textId="77777777" w:rsidR="00717566" w:rsidRPr="00434DF7" w:rsidRDefault="00717566" w:rsidP="000E5876">
      <w:pPr>
        <w:tabs>
          <w:tab w:val="left" w:pos="397"/>
          <w:tab w:val="left" w:pos="794"/>
          <w:tab w:val="left" w:pos="1191"/>
          <w:tab w:val="left" w:pos="1588"/>
          <w:tab w:val="left" w:pos="1985"/>
        </w:tabs>
        <w:rPr>
          <w:rFonts w:cstheme="minorHAnsi"/>
          <w:sz w:val="22"/>
          <w:szCs w:val="22"/>
        </w:rPr>
      </w:pPr>
    </w:p>
    <w:p w14:paraId="75D87CE6" w14:textId="5405C317" w:rsidR="00717566" w:rsidRPr="00434DF7" w:rsidRDefault="00717566" w:rsidP="000E5876">
      <w:pPr>
        <w:autoSpaceDE w:val="0"/>
        <w:autoSpaceDN w:val="0"/>
        <w:adjustRightInd w:val="0"/>
        <w:rPr>
          <w:rFonts w:cstheme="minorHAnsi"/>
          <w:sz w:val="22"/>
          <w:szCs w:val="22"/>
        </w:rPr>
      </w:pPr>
    </w:p>
    <w:p w14:paraId="0D3C72D4" w14:textId="77777777" w:rsidR="00446D52" w:rsidRDefault="00446D52" w:rsidP="000E5876"/>
    <w:p w14:paraId="0D346854" w14:textId="77777777" w:rsidR="00CF256B" w:rsidRDefault="003C5384" w:rsidP="000E5876">
      <w:pPr>
        <w:pStyle w:val="NoSpacing"/>
        <w:tabs>
          <w:tab w:val="left" w:pos="1330"/>
        </w:tabs>
        <w:ind w:left="0" w:firstLine="0"/>
        <w:rPr>
          <w:b/>
          <w:bCs/>
          <w:sz w:val="24"/>
          <w:szCs w:val="24"/>
        </w:rPr>
      </w:pPr>
      <w:r>
        <w:br w:type="page"/>
      </w:r>
      <w:r w:rsidR="00185E39" w:rsidRPr="0043422B">
        <w:rPr>
          <w:b/>
          <w:bCs/>
          <w:sz w:val="24"/>
          <w:szCs w:val="24"/>
        </w:rPr>
        <w:lastRenderedPageBreak/>
        <w:t>Annex</w:t>
      </w:r>
      <w:r w:rsidRPr="0043422B">
        <w:rPr>
          <w:b/>
          <w:bCs/>
          <w:sz w:val="24"/>
          <w:szCs w:val="24"/>
        </w:rPr>
        <w:t xml:space="preserve"> 1</w:t>
      </w:r>
    </w:p>
    <w:p w14:paraId="38DDA1FF" w14:textId="2E930B06" w:rsidR="003C5384" w:rsidRPr="00185E39" w:rsidRDefault="003C5384" w:rsidP="000E5876">
      <w:pPr>
        <w:pStyle w:val="NoSpacing"/>
        <w:tabs>
          <w:tab w:val="left" w:pos="1330"/>
        </w:tabs>
        <w:ind w:left="0" w:firstLine="0"/>
        <w:rPr>
          <w:b/>
          <w:bCs/>
        </w:rPr>
      </w:pPr>
      <w:r w:rsidRPr="0043422B">
        <w:rPr>
          <w:b/>
          <w:bCs/>
          <w:sz w:val="24"/>
          <w:szCs w:val="24"/>
        </w:rPr>
        <w:t>People and Wetlands - The Convention on Wetlands CEPA Programme</w:t>
      </w:r>
    </w:p>
    <w:p w14:paraId="299C8E14" w14:textId="77777777" w:rsidR="003C5384" w:rsidRDefault="003C5384" w:rsidP="000E5876">
      <w:pPr>
        <w:tabs>
          <w:tab w:val="left" w:pos="1330"/>
        </w:tabs>
        <w:rPr>
          <w:rFonts w:ascii="Calibri" w:eastAsia="Calibri" w:hAnsi="Calibri" w:cs="Times New Roman"/>
          <w:kern w:val="0"/>
          <w:sz w:val="22"/>
          <w:szCs w:val="22"/>
          <w14:ligatures w14:val="none"/>
        </w:rPr>
      </w:pPr>
    </w:p>
    <w:p w14:paraId="4B4FA148" w14:textId="77777777" w:rsidR="00185E39" w:rsidRPr="003C5384" w:rsidRDefault="00185E39" w:rsidP="000E5876">
      <w:pPr>
        <w:tabs>
          <w:tab w:val="left" w:pos="1330"/>
        </w:tabs>
        <w:rPr>
          <w:rFonts w:ascii="Calibri" w:eastAsia="Calibri" w:hAnsi="Calibri" w:cs="Times New Roman"/>
          <w:kern w:val="0"/>
          <w:sz w:val="22"/>
          <w:szCs w:val="22"/>
          <w14:ligatures w14:val="none"/>
        </w:rPr>
      </w:pPr>
    </w:p>
    <w:p w14:paraId="760351F4" w14:textId="77777777" w:rsidR="003C5384" w:rsidRPr="00786EB1" w:rsidRDefault="003C5384" w:rsidP="000E5876">
      <w:pPr>
        <w:tabs>
          <w:tab w:val="left" w:pos="1330"/>
        </w:tabs>
        <w:rPr>
          <w:rFonts w:ascii="Calibri" w:eastAsia="Calibri" w:hAnsi="Calibri" w:cs="Times New Roman"/>
          <w:b/>
          <w:kern w:val="0"/>
          <w:sz w:val="22"/>
          <w:szCs w:val="22"/>
          <w14:ligatures w14:val="none"/>
        </w:rPr>
      </w:pPr>
      <w:r w:rsidRPr="00786EB1">
        <w:rPr>
          <w:rFonts w:ascii="Calibri" w:eastAsia="Calibri" w:hAnsi="Calibri" w:cs="Times New Roman"/>
          <w:b/>
          <w:kern w:val="0"/>
          <w:sz w:val="22"/>
          <w:szCs w:val="22"/>
          <w14:ligatures w14:val="none"/>
        </w:rPr>
        <w:t>People and Wetlands</w:t>
      </w:r>
    </w:p>
    <w:p w14:paraId="01DEC1E6" w14:textId="77777777" w:rsidR="00550698" w:rsidRDefault="00550698" w:rsidP="000E5876">
      <w:pPr>
        <w:tabs>
          <w:tab w:val="left" w:pos="1330"/>
        </w:tabs>
        <w:rPr>
          <w:rFonts w:ascii="Calibri" w:eastAsia="Calibri" w:hAnsi="Calibri" w:cs="Times New Roman"/>
          <w:kern w:val="0"/>
          <w:sz w:val="22"/>
          <w:szCs w:val="22"/>
          <w14:ligatures w14:val="none"/>
        </w:rPr>
      </w:pPr>
    </w:p>
    <w:p w14:paraId="786C02C9" w14:textId="2CB0489F" w:rsidR="003C5384" w:rsidRPr="00786EB1" w:rsidRDefault="003C5384" w:rsidP="000E5876">
      <w:pPr>
        <w:tabs>
          <w:tab w:val="left" w:pos="1330"/>
        </w:tabs>
        <w:rPr>
          <w:rFonts w:ascii="Calibri" w:eastAsia="Calibri" w:hAnsi="Calibri" w:cs="Times New Roman"/>
          <w:kern w:val="0"/>
          <w:sz w:val="22"/>
          <w:szCs w:val="22"/>
          <w14:ligatures w14:val="none"/>
        </w:rPr>
      </w:pPr>
      <w:r w:rsidRPr="00786EB1">
        <w:rPr>
          <w:rFonts w:ascii="Calibri" w:eastAsia="Calibri" w:hAnsi="Calibri" w:cs="Times New Roman"/>
          <w:kern w:val="0"/>
          <w:sz w:val="22"/>
          <w:szCs w:val="22"/>
          <w14:ligatures w14:val="none"/>
        </w:rPr>
        <w:t xml:space="preserve">The Convention on Wetland’s Programme on communication, capacity building, education, participation and awareness (CEPA) is an instrument to provide guidance to Contracting Parties, the Convention Secretariat, Convention International Organization Partners (IOPs), NGOs, community-based organizations and other stakeholders in the appropriate actions to engage, enlist and enable people to act for the conservation and wise use of wetlands. </w:t>
      </w:r>
    </w:p>
    <w:p w14:paraId="62B3D0AE" w14:textId="77777777" w:rsidR="003C5384" w:rsidRPr="00786EB1" w:rsidRDefault="003C5384" w:rsidP="000E5876">
      <w:pPr>
        <w:tabs>
          <w:tab w:val="left" w:pos="1330"/>
        </w:tabs>
        <w:rPr>
          <w:rFonts w:ascii="Calibri" w:eastAsia="Calibri" w:hAnsi="Calibri" w:cs="Times New Roman"/>
          <w:kern w:val="0"/>
          <w:sz w:val="22"/>
          <w:szCs w:val="22"/>
          <w14:ligatures w14:val="none"/>
        </w:rPr>
      </w:pPr>
    </w:p>
    <w:p w14:paraId="27598033" w14:textId="77777777" w:rsidR="003C5384" w:rsidRPr="00786EB1" w:rsidRDefault="003C5384" w:rsidP="000E5876">
      <w:pPr>
        <w:tabs>
          <w:tab w:val="left" w:pos="1330"/>
        </w:tabs>
        <w:rPr>
          <w:rFonts w:ascii="Calibri" w:eastAsia="Calibri" w:hAnsi="Calibri" w:cs="Times New Roman"/>
          <w:kern w:val="0"/>
          <w:sz w:val="22"/>
          <w:szCs w:val="22"/>
          <w14:ligatures w14:val="none"/>
        </w:rPr>
      </w:pPr>
      <w:r w:rsidRPr="00786EB1">
        <w:rPr>
          <w:rFonts w:eastAsia="Calibri" w:cs="Times New Roman"/>
          <w:kern w:val="0"/>
          <w:sz w:val="22"/>
          <w:szCs w:val="22"/>
          <w14:ligatures w14:val="none"/>
        </w:rPr>
        <w:t xml:space="preserve">The Convention considers communication, capacity building, education, participation and </w:t>
      </w:r>
      <w:r w:rsidRPr="00786EB1">
        <w:rPr>
          <w:rFonts w:ascii="Calibri" w:eastAsia="Calibri" w:hAnsi="Calibri" w:cs="Times New Roman"/>
          <w:kern w:val="0"/>
          <w:sz w:val="22"/>
          <w:szCs w:val="22"/>
          <w14:ligatures w14:val="none"/>
        </w:rPr>
        <w:t>awareness as important tools to support the delivery of the Strategic Plan. The Convention recommends that communication, capacity building, education, participation and awareness are employed in all areas and at all levels. This programme provides a set of strategies to guide the delivery of that recommendation.</w:t>
      </w:r>
    </w:p>
    <w:p w14:paraId="2F97E7F7" w14:textId="77777777" w:rsidR="003C5384" w:rsidRPr="00786EB1" w:rsidRDefault="003C5384" w:rsidP="000E5876">
      <w:pPr>
        <w:tabs>
          <w:tab w:val="left" w:pos="1330"/>
        </w:tabs>
        <w:rPr>
          <w:rFonts w:ascii="Calibri" w:eastAsia="Calibri" w:hAnsi="Calibri" w:cs="Times New Roman"/>
          <w:kern w:val="0"/>
          <w:sz w:val="22"/>
          <w:szCs w:val="22"/>
          <w14:ligatures w14:val="none"/>
        </w:rPr>
      </w:pPr>
    </w:p>
    <w:p w14:paraId="71AAB47C"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The vision of the Convention on Wetland’s CEPA Programme </w:t>
      </w:r>
      <w:r w:rsidRPr="00786EB1">
        <w:rPr>
          <w:rFonts w:ascii="Calibri" w:eastAsia="Times New Roman" w:hAnsi="Calibri" w:cs="Times New Roman"/>
          <w:kern w:val="0"/>
          <w:sz w:val="22"/>
          <w:szCs w:val="22"/>
          <w:lang w:eastAsia="en-GB"/>
          <w14:ligatures w14:val="none"/>
        </w:rPr>
        <w:t>is the same as the vision of the Strategic Plan, that being</w:t>
      </w:r>
      <w:r w:rsidRPr="00786EB1">
        <w:rPr>
          <w:rFonts w:eastAsia="Times New Roman" w:cs="Times New Roman"/>
          <w:kern w:val="0"/>
          <w:sz w:val="22"/>
          <w:szCs w:val="22"/>
          <w:lang w:eastAsia="en-GB"/>
          <w14:ligatures w14:val="none"/>
        </w:rPr>
        <w:t xml:space="preserve"> “Wetlands are conserved, wisely used, restored and their benefits are recognized and valued by all”.  The over-arching Goal of the Convention’s CEPA Programme is “People taking action for the conservation and wise use of wetlands”.</w:t>
      </w:r>
    </w:p>
    <w:p w14:paraId="3CDAFD5F"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836F6F6" w14:textId="77777777" w:rsidR="003C5384" w:rsidRPr="00786EB1" w:rsidRDefault="003C5384" w:rsidP="000E5876">
      <w:pPr>
        <w:keepNext/>
        <w:keepLines/>
        <w:kinsoku w:val="0"/>
        <w:overflowPunct w:val="0"/>
        <w:outlineLvl w:val="1"/>
        <w:rPr>
          <w:rFonts w:eastAsiaTheme="majorEastAsia" w:cstheme="majorBidi"/>
          <w:b/>
          <w:kern w:val="0"/>
          <w:sz w:val="22"/>
          <w:szCs w:val="22"/>
          <w14:ligatures w14:val="none"/>
        </w:rPr>
      </w:pPr>
      <w:r w:rsidRPr="00786EB1">
        <w:rPr>
          <w:rFonts w:eastAsiaTheme="majorEastAsia" w:cstheme="majorBidi"/>
          <w:b/>
          <w:kern w:val="0"/>
          <w:sz w:val="22"/>
          <w:szCs w:val="22"/>
          <w14:ligatures w14:val="none"/>
        </w:rPr>
        <w:t>CEPA Definitions</w:t>
      </w:r>
    </w:p>
    <w:p w14:paraId="2FB20582" w14:textId="77777777" w:rsidR="00550698" w:rsidRDefault="00550698" w:rsidP="000E5876">
      <w:pPr>
        <w:rPr>
          <w:kern w:val="0"/>
          <w:sz w:val="22"/>
          <w:szCs w:val="22"/>
          <w14:ligatures w14:val="none"/>
        </w:rPr>
      </w:pPr>
    </w:p>
    <w:p w14:paraId="2FACFFDA" w14:textId="2FE063F1" w:rsidR="003C5384" w:rsidRPr="00786EB1" w:rsidRDefault="003C5384" w:rsidP="000E5876">
      <w:pPr>
        <w:rPr>
          <w:kern w:val="0"/>
          <w:sz w:val="22"/>
          <w:szCs w:val="22"/>
          <w14:ligatures w14:val="none"/>
        </w:rPr>
      </w:pPr>
      <w:r w:rsidRPr="00786EB1">
        <w:rPr>
          <w:kern w:val="0"/>
          <w:sz w:val="22"/>
          <w:szCs w:val="22"/>
          <w14:ligatures w14:val="none"/>
        </w:rPr>
        <w:t xml:space="preserve">At its core, CEPA is about the relationship between people and wetlands and inspiring action for wetlands through the various communication and advocacy elements that constitute the acronym CEPA; </w:t>
      </w:r>
      <w:r w:rsidR="00511F6E">
        <w:rPr>
          <w:b/>
          <w:bCs/>
          <w:kern w:val="0"/>
          <w:sz w:val="22"/>
          <w:szCs w:val="22"/>
          <w14:ligatures w14:val="none"/>
        </w:rPr>
        <w:t>c</w:t>
      </w:r>
      <w:r w:rsidR="00511F6E" w:rsidRPr="00786EB1">
        <w:rPr>
          <w:b/>
          <w:bCs/>
          <w:kern w:val="0"/>
          <w:sz w:val="22"/>
          <w:szCs w:val="22"/>
          <w14:ligatures w14:val="none"/>
        </w:rPr>
        <w:t>ommunication</w:t>
      </w:r>
      <w:r w:rsidRPr="00786EB1">
        <w:rPr>
          <w:b/>
          <w:bCs/>
          <w:kern w:val="0"/>
          <w:sz w:val="22"/>
          <w:szCs w:val="22"/>
          <w14:ligatures w14:val="none"/>
        </w:rPr>
        <w:t>, capacity building, education</w:t>
      </w:r>
      <w:r w:rsidRPr="00786EB1">
        <w:rPr>
          <w:kern w:val="0"/>
          <w:sz w:val="22"/>
          <w:szCs w:val="22"/>
          <w14:ligatures w14:val="none"/>
        </w:rPr>
        <w:t xml:space="preserve">, </w:t>
      </w:r>
      <w:r w:rsidRPr="00786EB1">
        <w:rPr>
          <w:b/>
          <w:bCs/>
          <w:kern w:val="0"/>
          <w:sz w:val="22"/>
          <w:szCs w:val="22"/>
          <w14:ligatures w14:val="none"/>
        </w:rPr>
        <w:t xml:space="preserve">participation </w:t>
      </w:r>
      <w:r w:rsidRPr="00786EB1">
        <w:rPr>
          <w:kern w:val="0"/>
          <w:sz w:val="22"/>
          <w:szCs w:val="22"/>
          <w14:ligatures w14:val="none"/>
        </w:rPr>
        <w:t xml:space="preserve">and </w:t>
      </w:r>
      <w:r w:rsidRPr="00786EB1">
        <w:rPr>
          <w:b/>
          <w:bCs/>
          <w:kern w:val="0"/>
          <w:sz w:val="22"/>
          <w:szCs w:val="22"/>
          <w14:ligatures w14:val="none"/>
        </w:rPr>
        <w:t xml:space="preserve">awareness </w:t>
      </w:r>
      <w:r w:rsidRPr="00786EB1">
        <w:rPr>
          <w:kern w:val="0"/>
          <w:sz w:val="22"/>
          <w:szCs w:val="22"/>
          <w14:ligatures w14:val="none"/>
        </w:rPr>
        <w:t>are all processes that can be used for specific purposes and specific target audiences to deliver CEPA aims. In applying the CEPA Programme, it is important that Contracting Parties and other interest groups share a common understanding of what is meant by the concepts that underpin the acronym</w:t>
      </w:r>
    </w:p>
    <w:p w14:paraId="1AE028C9" w14:textId="7F1D9F42" w:rsidR="003C5384" w:rsidRPr="00786EB1" w:rsidRDefault="00511F6E" w:rsidP="000E5876">
      <w:pPr>
        <w:kinsoku w:val="0"/>
        <w:overflowPunct w:val="0"/>
        <w:autoSpaceDE w:val="0"/>
        <w:autoSpaceDN w:val="0"/>
        <w:adjustRightInd w:val="0"/>
        <w:rPr>
          <w:rFonts w:eastAsia="Times New Roman" w:cs="Times New Roman"/>
          <w:kern w:val="0"/>
          <w:sz w:val="22"/>
          <w:szCs w:val="22"/>
          <w:lang w:eastAsia="en-GB"/>
          <w14:ligatures w14:val="none"/>
        </w:rPr>
      </w:pPr>
      <w:r>
        <w:rPr>
          <w:rFonts w:eastAsia="Times New Roman" w:cs="Times New Roman"/>
          <w:b/>
          <w:bCs/>
          <w:kern w:val="0"/>
          <w:sz w:val="22"/>
          <w:szCs w:val="22"/>
          <w:lang w:eastAsia="en-GB"/>
          <w14:ligatures w14:val="none"/>
        </w:rPr>
        <w:t>c</w:t>
      </w:r>
      <w:r w:rsidRPr="00786EB1">
        <w:rPr>
          <w:rFonts w:eastAsia="Times New Roman" w:cs="Times New Roman"/>
          <w:b/>
          <w:bCs/>
          <w:kern w:val="0"/>
          <w:sz w:val="22"/>
          <w:szCs w:val="22"/>
          <w:lang w:eastAsia="en-GB"/>
          <w14:ligatures w14:val="none"/>
        </w:rPr>
        <w:t xml:space="preserve">ommunication </w:t>
      </w:r>
      <w:r w:rsidR="003C5384" w:rsidRPr="00786EB1">
        <w:rPr>
          <w:rFonts w:eastAsia="Times New Roman" w:cs="Times New Roman"/>
          <w:kern w:val="0"/>
          <w:sz w:val="22"/>
          <w:szCs w:val="22"/>
          <w:lang w:eastAsia="en-GB"/>
          <w14:ligatures w14:val="none"/>
        </w:rPr>
        <w:t>under the Convention on Wetlands can be defined as the interactive process between stakeholders to exchange information, knowledge and skills on the conservation and wise use of wetlands to ensure that all stakeholders are able to make informed decisions.</w:t>
      </w:r>
    </w:p>
    <w:p w14:paraId="248971A6"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47D9C3D9" w14:textId="0BECD9DA" w:rsidR="003C5384" w:rsidRPr="00786EB1" w:rsidRDefault="003C5384" w:rsidP="000E5876">
      <w:pPr>
        <w:kinsoku w:val="0"/>
        <w:overflowPunct w:val="0"/>
        <w:autoSpaceDE w:val="0"/>
        <w:autoSpaceDN w:val="0"/>
        <w:adjustRightInd w:val="0"/>
        <w:ind w:hanging="1"/>
        <w:rPr>
          <w:rFonts w:eastAsia="Times New Roman" w:cs="Times New Roman"/>
          <w:kern w:val="0"/>
          <w:sz w:val="22"/>
          <w:szCs w:val="22"/>
          <w:lang w:eastAsia="en-GB"/>
          <w14:ligatures w14:val="none"/>
        </w:rPr>
      </w:pPr>
      <w:r w:rsidRPr="00786EB1">
        <w:rPr>
          <w:rFonts w:eastAsia="Times New Roman" w:cs="Times New Roman"/>
          <w:b/>
          <w:bCs/>
          <w:kern w:val="0"/>
          <w:sz w:val="22"/>
          <w:szCs w:val="22"/>
          <w:lang w:eastAsia="en-GB"/>
          <w14:ligatures w14:val="none"/>
        </w:rPr>
        <w:t>Capacity building</w:t>
      </w:r>
      <w:r w:rsidRPr="00786EB1">
        <w:rPr>
          <w:rFonts w:eastAsia="Times New Roman" w:cs="Times New Roman"/>
          <w:kern w:val="0"/>
          <w:sz w:val="22"/>
          <w:szCs w:val="22"/>
          <w:lang w:eastAsia="en-GB"/>
          <w14:ligatures w14:val="none"/>
        </w:rPr>
        <w:t xml:space="preserve">, also referred to as </w:t>
      </w:r>
      <w:r w:rsidR="00511F6E">
        <w:rPr>
          <w:rFonts w:eastAsia="Times New Roman" w:cs="Times New Roman"/>
          <w:b/>
          <w:bCs/>
          <w:kern w:val="0"/>
          <w:sz w:val="22"/>
          <w:szCs w:val="22"/>
          <w:lang w:eastAsia="en-GB"/>
          <w14:ligatures w14:val="none"/>
        </w:rPr>
        <w:t>c</w:t>
      </w:r>
      <w:r w:rsidR="00511F6E" w:rsidRPr="00786EB1">
        <w:rPr>
          <w:rFonts w:eastAsia="Times New Roman" w:cs="Times New Roman"/>
          <w:b/>
          <w:bCs/>
          <w:kern w:val="0"/>
          <w:sz w:val="22"/>
          <w:szCs w:val="22"/>
          <w:lang w:eastAsia="en-GB"/>
          <w14:ligatures w14:val="none"/>
        </w:rPr>
        <w:t xml:space="preserve">apacity </w:t>
      </w:r>
      <w:r w:rsidRPr="00786EB1">
        <w:rPr>
          <w:rFonts w:eastAsia="Times New Roman" w:cs="Times New Roman"/>
          <w:b/>
          <w:bCs/>
          <w:kern w:val="0"/>
          <w:sz w:val="22"/>
          <w:szCs w:val="22"/>
          <w:lang w:eastAsia="en-GB"/>
          <w14:ligatures w14:val="none"/>
        </w:rPr>
        <w:t>development</w:t>
      </w:r>
      <w:r w:rsidRPr="00786EB1">
        <w:rPr>
          <w:rFonts w:eastAsia="Times New Roman" w:cs="Times New Roman"/>
          <w:bCs/>
          <w:kern w:val="0"/>
          <w:sz w:val="22"/>
          <w:szCs w:val="22"/>
          <w:lang w:eastAsia="en-GB"/>
          <w14:ligatures w14:val="none"/>
        </w:rPr>
        <w:t>,</w:t>
      </w:r>
      <w:r w:rsidRPr="00786EB1">
        <w:rPr>
          <w:rFonts w:eastAsia="Times New Roman" w:cs="Times New Roman"/>
          <w:b/>
          <w:bCs/>
          <w:kern w:val="0"/>
          <w:sz w:val="22"/>
          <w:szCs w:val="22"/>
          <w:lang w:eastAsia="en-GB"/>
          <w14:ligatures w14:val="none"/>
        </w:rPr>
        <w:t xml:space="preserve"> </w:t>
      </w:r>
      <w:r w:rsidRPr="00786EB1">
        <w:rPr>
          <w:rFonts w:eastAsia="Times New Roman" w:cs="Times New Roman"/>
          <w:kern w:val="0"/>
          <w:sz w:val="22"/>
          <w:szCs w:val="22"/>
          <w:lang w:eastAsia="en-GB"/>
          <w14:ligatures w14:val="none"/>
        </w:rPr>
        <w:t xml:space="preserve">concerns institutional change. It is a process by which individuals, groups and organisations, institutions and countries develop, enhance and organize their systems, resources and knowledge to improve their ability, individually and collectively, to perform functions, solve problems and achieve objectives. </w:t>
      </w:r>
      <w:r w:rsidRPr="00786EB1">
        <w:rPr>
          <w:rFonts w:eastAsia="Times New Roman" w:cs="Times New Roman"/>
          <w:bCs/>
          <w:kern w:val="0"/>
          <w:sz w:val="22"/>
          <w:szCs w:val="22"/>
          <w:lang w:eastAsia="en-GB"/>
          <w14:ligatures w14:val="none"/>
        </w:rPr>
        <w:t xml:space="preserve">Training </w:t>
      </w:r>
      <w:r w:rsidRPr="00786EB1">
        <w:rPr>
          <w:rFonts w:eastAsia="Times New Roman" w:cs="Times New Roman"/>
          <w:kern w:val="0"/>
          <w:sz w:val="22"/>
          <w:szCs w:val="22"/>
          <w:lang w:eastAsia="en-GB"/>
          <w14:ligatures w14:val="none"/>
        </w:rPr>
        <w:t xml:space="preserve">to increase or strengthen specific knowledge, skills, attitudes and behaviours that can be applied to a defined task or outcome is considered to be a part of capacity building. </w:t>
      </w:r>
    </w:p>
    <w:p w14:paraId="083B2DCF"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15906BC" w14:textId="77777777" w:rsidR="003C5384" w:rsidRPr="00786EB1" w:rsidRDefault="003C5384" w:rsidP="000E5876">
      <w:pPr>
        <w:kinsoku w:val="0"/>
        <w:overflowPunct w:val="0"/>
        <w:autoSpaceDE w:val="0"/>
        <w:autoSpaceDN w:val="0"/>
        <w:adjustRightInd w:val="0"/>
        <w:ind w:hanging="1"/>
        <w:rPr>
          <w:rFonts w:eastAsia="Times New Roman" w:cs="Times New Roman"/>
          <w:kern w:val="0"/>
          <w:sz w:val="22"/>
          <w:szCs w:val="22"/>
          <w:lang w:eastAsia="en-GB"/>
          <w14:ligatures w14:val="none"/>
        </w:rPr>
      </w:pPr>
      <w:r w:rsidRPr="00786EB1">
        <w:rPr>
          <w:rFonts w:eastAsia="Times New Roman" w:cs="Times New Roman"/>
          <w:b/>
          <w:bCs/>
          <w:kern w:val="0"/>
          <w:sz w:val="22"/>
          <w:szCs w:val="22"/>
          <w:lang w:eastAsia="en-GB"/>
          <w14:ligatures w14:val="none"/>
        </w:rPr>
        <w:t xml:space="preserve">Education </w:t>
      </w:r>
      <w:r w:rsidRPr="00786EB1">
        <w:rPr>
          <w:rFonts w:eastAsia="Times New Roman" w:cs="Times New Roman"/>
          <w:bCs/>
          <w:kern w:val="0"/>
          <w:sz w:val="22"/>
          <w:szCs w:val="22"/>
          <w:lang w:eastAsia="en-GB"/>
          <w14:ligatures w14:val="none"/>
        </w:rPr>
        <w:t>in its broadest sense is a life-long learning process</w:t>
      </w:r>
      <w:r w:rsidRPr="00786EB1">
        <w:rPr>
          <w:rFonts w:eastAsia="Times New Roman" w:cs="Times New Roman"/>
          <w:b/>
          <w:bCs/>
          <w:kern w:val="0"/>
          <w:sz w:val="22"/>
          <w:szCs w:val="22"/>
          <w:lang w:eastAsia="en-GB"/>
          <w14:ligatures w14:val="none"/>
        </w:rPr>
        <w:t xml:space="preserve"> </w:t>
      </w:r>
      <w:r w:rsidRPr="00786EB1">
        <w:rPr>
          <w:rFonts w:eastAsia="Times New Roman" w:cs="Times New Roman"/>
          <w:kern w:val="0"/>
          <w:sz w:val="22"/>
          <w:szCs w:val="22"/>
          <w:lang w:eastAsia="en-GB"/>
          <w14:ligatures w14:val="none"/>
        </w:rPr>
        <w:t xml:space="preserve">that can inform, motivate, and empower people to support wetland conservation, not only by fostering changes in the way that individuals, institutions, businesses and governments operate, but also by inducing lifestyle changes. It may take place in both formal and informal settings. </w:t>
      </w:r>
    </w:p>
    <w:p w14:paraId="2F643E67" w14:textId="77777777" w:rsidR="003C5384" w:rsidRPr="00786EB1" w:rsidRDefault="003C5384" w:rsidP="000E5876">
      <w:pPr>
        <w:kinsoku w:val="0"/>
        <w:overflowPunct w:val="0"/>
        <w:autoSpaceDE w:val="0"/>
        <w:autoSpaceDN w:val="0"/>
        <w:adjustRightInd w:val="0"/>
        <w:ind w:hanging="1"/>
        <w:rPr>
          <w:rFonts w:eastAsia="Times New Roman" w:cs="Times New Roman"/>
          <w:kern w:val="0"/>
          <w:sz w:val="22"/>
          <w:szCs w:val="22"/>
          <w:lang w:eastAsia="en-GB"/>
          <w14:ligatures w14:val="none"/>
        </w:rPr>
      </w:pPr>
    </w:p>
    <w:p w14:paraId="33BAC2AC" w14:textId="77777777" w:rsidR="003C5384" w:rsidRPr="00786EB1" w:rsidRDefault="003C5384" w:rsidP="000E5876">
      <w:pPr>
        <w:rPr>
          <w:kern w:val="0"/>
          <w:sz w:val="22"/>
          <w:szCs w:val="22"/>
          <w14:ligatures w14:val="none"/>
        </w:rPr>
      </w:pPr>
      <w:r w:rsidRPr="00786EB1">
        <w:rPr>
          <w:b/>
          <w:bCs/>
          <w:kern w:val="0"/>
          <w:sz w:val="22"/>
          <w:szCs w:val="22"/>
          <w14:ligatures w14:val="none"/>
        </w:rPr>
        <w:t xml:space="preserve">Participation </w:t>
      </w:r>
      <w:r w:rsidRPr="00786EB1">
        <w:rPr>
          <w:kern w:val="0"/>
          <w:sz w:val="22"/>
          <w:szCs w:val="22"/>
          <w14:ligatures w14:val="none"/>
        </w:rPr>
        <w:t>is the involvement of “stakeholders” in the common development, implementation and evaluation of strategies and actions for the conservation and wise use of wetlands. Levels of involvement and kinds of participation can be highly variable, depending upon both the specific context and the decisions of the individuals, groups and institutions leading the process.</w:t>
      </w:r>
    </w:p>
    <w:p w14:paraId="1ECAFE61"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C8D840F"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r w:rsidRPr="00786EB1">
        <w:rPr>
          <w:rFonts w:eastAsia="Times New Roman" w:cs="Times New Roman"/>
          <w:b/>
          <w:bCs/>
          <w:kern w:val="0"/>
          <w:sz w:val="22"/>
          <w:szCs w:val="22"/>
          <w:lang w:eastAsia="en-GB"/>
          <w14:ligatures w14:val="none"/>
        </w:rPr>
        <w:t>Awareness</w:t>
      </w:r>
      <w:r w:rsidRPr="00786EB1">
        <w:rPr>
          <w:rFonts w:eastAsia="Times New Roman" w:cs="Times New Roman"/>
          <w:kern w:val="0"/>
          <w:sz w:val="22"/>
          <w:szCs w:val="22"/>
          <w:lang w:eastAsia="en-GB"/>
          <w14:ligatures w14:val="none"/>
        </w:rPr>
        <w:t>‐</w:t>
      </w:r>
      <w:r w:rsidRPr="00786EB1">
        <w:rPr>
          <w:rFonts w:eastAsia="Times New Roman" w:cs="Times New Roman"/>
          <w:b/>
          <w:bCs/>
          <w:kern w:val="0"/>
          <w:sz w:val="22"/>
          <w:szCs w:val="22"/>
          <w:lang w:eastAsia="en-GB"/>
          <w14:ligatures w14:val="none"/>
        </w:rPr>
        <w:t xml:space="preserve">raising </w:t>
      </w:r>
      <w:r w:rsidRPr="00786EB1">
        <w:rPr>
          <w:rFonts w:eastAsia="Times New Roman" w:cs="Times New Roman"/>
          <w:kern w:val="0"/>
          <w:sz w:val="22"/>
          <w:szCs w:val="22"/>
          <w:lang w:eastAsia="en-GB"/>
          <w14:ligatures w14:val="none"/>
        </w:rPr>
        <w:t>is an agenda‐setting and advocacy exercise that triggers target audiences to understand why wetland issues are important to address and what they can do to improve the situation at stake. It is a constructive and potentially catalytic force that is ultimately aimed at stimulating a target group (which could include a multitude of stakeholders) to take action for the conservation and wise use of wetlands.</w:t>
      </w:r>
    </w:p>
    <w:p w14:paraId="0C1035D4"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4EDBB96" w14:textId="77777777" w:rsidR="003C5384" w:rsidRPr="00786EB1" w:rsidRDefault="003C5384" w:rsidP="000E5876">
      <w:pPr>
        <w:kinsoku w:val="0"/>
        <w:overflowPunct w:val="0"/>
        <w:autoSpaceDE w:val="0"/>
        <w:autoSpaceDN w:val="0"/>
        <w:adjustRightInd w:val="0"/>
        <w:rPr>
          <w:rFonts w:eastAsia="Times New Roman" w:cs="Times New Roman"/>
          <w:b/>
          <w:bCs/>
          <w:spacing w:val="-1"/>
          <w:kern w:val="0"/>
          <w:sz w:val="22"/>
          <w:szCs w:val="22"/>
          <w:lang w:eastAsia="en-GB"/>
          <w14:ligatures w14:val="none"/>
        </w:rPr>
      </w:pPr>
      <w:r w:rsidRPr="00786EB1">
        <w:rPr>
          <w:rFonts w:eastAsia="Times New Roman" w:cs="Times New Roman"/>
          <w:b/>
          <w:bCs/>
          <w:spacing w:val="-1"/>
          <w:kern w:val="0"/>
          <w:sz w:val="22"/>
          <w:szCs w:val="22"/>
          <w:lang w:eastAsia="en-GB"/>
          <w14:ligatures w14:val="none"/>
        </w:rPr>
        <w:t>Roles and responsibilities of the CEPA National Focal Points</w:t>
      </w:r>
    </w:p>
    <w:p w14:paraId="4C7D23ED" w14:textId="77777777" w:rsidR="00511F6E" w:rsidRDefault="00511F6E" w:rsidP="000E5876">
      <w:pPr>
        <w:kinsoku w:val="0"/>
        <w:overflowPunct w:val="0"/>
        <w:autoSpaceDE w:val="0"/>
        <w:autoSpaceDN w:val="0"/>
        <w:adjustRightInd w:val="0"/>
        <w:rPr>
          <w:rFonts w:eastAsia="Times New Roman" w:cs="Times New Roman"/>
          <w:bCs/>
          <w:spacing w:val="-1"/>
          <w:kern w:val="0"/>
          <w:sz w:val="22"/>
          <w:szCs w:val="22"/>
          <w:lang w:eastAsia="en-GB"/>
          <w14:ligatures w14:val="none"/>
        </w:rPr>
      </w:pPr>
    </w:p>
    <w:p w14:paraId="0F4264D4" w14:textId="2F64E39F" w:rsidR="003C5384" w:rsidRPr="00786EB1" w:rsidRDefault="003C5384" w:rsidP="000E5876">
      <w:pPr>
        <w:kinsoku w:val="0"/>
        <w:overflowPunct w:val="0"/>
        <w:autoSpaceDE w:val="0"/>
        <w:autoSpaceDN w:val="0"/>
        <w:adjustRightInd w:val="0"/>
        <w:rPr>
          <w:rFonts w:eastAsia="Times New Roman" w:cs="Times New Roman"/>
          <w:bCs/>
          <w:spacing w:val="-1"/>
          <w:kern w:val="0"/>
          <w:sz w:val="22"/>
          <w:szCs w:val="22"/>
          <w:lang w:eastAsia="en-GB"/>
          <w14:ligatures w14:val="none"/>
        </w:rPr>
      </w:pPr>
      <w:r w:rsidRPr="00786EB1">
        <w:rPr>
          <w:rFonts w:eastAsia="Times New Roman" w:cs="Times New Roman"/>
          <w:bCs/>
          <w:spacing w:val="-1"/>
          <w:kern w:val="0"/>
          <w:sz w:val="22"/>
          <w:szCs w:val="22"/>
          <w:lang w:eastAsia="en-GB"/>
          <w14:ligatures w14:val="none"/>
        </w:rPr>
        <w:t xml:space="preserve">Each Contracting Party is to designate a CEPA Government Focal Point and a CEPA NGO Focal Point. The CEPA Government Focal Point provides leadership for the CEPA programme at the national level and serves as the point of contact on CEPA matters between the Contracting Party and the Secretariat. The CEPA NGO Focal Point engages the NGO community and can help mobilize the NGO community in support of CEPA objectives. </w:t>
      </w:r>
    </w:p>
    <w:p w14:paraId="0122CBBF" w14:textId="77777777" w:rsidR="003C5384" w:rsidRPr="00786EB1" w:rsidRDefault="003C5384" w:rsidP="000E5876">
      <w:pPr>
        <w:kinsoku w:val="0"/>
        <w:overflowPunct w:val="0"/>
        <w:autoSpaceDE w:val="0"/>
        <w:autoSpaceDN w:val="0"/>
        <w:adjustRightInd w:val="0"/>
        <w:rPr>
          <w:rFonts w:eastAsia="Times New Roman" w:cs="Times New Roman"/>
          <w:bCs/>
          <w:spacing w:val="-1"/>
          <w:kern w:val="0"/>
          <w:sz w:val="22"/>
          <w:szCs w:val="22"/>
          <w:lang w:eastAsia="en-GB"/>
          <w14:ligatures w14:val="none"/>
        </w:rPr>
      </w:pPr>
    </w:p>
    <w:p w14:paraId="2EEF10BD" w14:textId="085A08DE"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While it is the task of each Contracting Party to determine the precise roles and responsibilities for their nominated CEPA Government Focal Points (NFPs)</w:t>
      </w:r>
      <w:r w:rsidR="00511F6E">
        <w:rPr>
          <w:rFonts w:eastAsia="Times New Roman" w:cs="Times New Roman"/>
          <w:kern w:val="0"/>
          <w:sz w:val="22"/>
          <w:szCs w:val="22"/>
          <w:lang w:eastAsia="en-GB"/>
          <w14:ligatures w14:val="none"/>
        </w:rPr>
        <w:t>, g</w:t>
      </w:r>
      <w:r w:rsidRPr="00786EB1">
        <w:rPr>
          <w:rFonts w:eastAsia="Times New Roman" w:cs="Times New Roman"/>
          <w:kern w:val="0"/>
          <w:sz w:val="22"/>
          <w:szCs w:val="22"/>
          <w:lang w:eastAsia="en-GB"/>
          <w14:ligatures w14:val="none"/>
        </w:rPr>
        <w:t>eneral responsibilities may include</w:t>
      </w:r>
      <w:r w:rsidR="00511F6E">
        <w:rPr>
          <w:rFonts w:eastAsia="Times New Roman" w:cs="Times New Roman"/>
          <w:kern w:val="0"/>
          <w:sz w:val="22"/>
          <w:szCs w:val="22"/>
          <w:lang w:eastAsia="en-GB"/>
          <w14:ligatures w14:val="none"/>
        </w:rPr>
        <w:t xml:space="preserve"> to:</w:t>
      </w:r>
    </w:p>
    <w:p w14:paraId="2461FEE6"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5E7C9389" w14:textId="64169AA3"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provide leadership for the development and implementation of a wetland CEPA </w:t>
      </w:r>
      <w:r w:rsidR="000E5876">
        <w:rPr>
          <w:rFonts w:eastAsia="Times New Roman" w:cs="Times New Roman"/>
          <w:kern w:val="0"/>
          <w:sz w:val="22"/>
          <w:szCs w:val="22"/>
          <w:lang w:eastAsia="en-GB"/>
          <w14:ligatures w14:val="none"/>
        </w:rPr>
        <w:t>a</w:t>
      </w:r>
      <w:r w:rsidR="000E5876" w:rsidRPr="00786EB1">
        <w:rPr>
          <w:rFonts w:eastAsia="Times New Roman" w:cs="Times New Roman"/>
          <w:kern w:val="0"/>
          <w:sz w:val="22"/>
          <w:szCs w:val="22"/>
          <w:lang w:eastAsia="en-GB"/>
          <w14:ligatures w14:val="none"/>
        </w:rPr>
        <w:t>ction</w:t>
      </w:r>
      <w:r w:rsidR="000E5876" w:rsidRPr="00786EB1">
        <w:rPr>
          <w:rFonts w:eastAsia="Times New Roman" w:cs="Times New Roman"/>
          <w:w w:val="99"/>
          <w:kern w:val="0"/>
          <w:sz w:val="22"/>
          <w:szCs w:val="22"/>
          <w:lang w:eastAsia="en-GB"/>
          <w14:ligatures w14:val="none"/>
        </w:rPr>
        <w:t xml:space="preserve"> </w:t>
      </w:r>
      <w:r w:rsidR="000E5876">
        <w:rPr>
          <w:rFonts w:eastAsia="Times New Roman" w:cs="Times New Roman"/>
          <w:kern w:val="0"/>
          <w:sz w:val="22"/>
          <w:szCs w:val="22"/>
          <w:lang w:eastAsia="en-GB"/>
          <w14:ligatures w14:val="none"/>
        </w:rPr>
        <w:t>p</w:t>
      </w:r>
      <w:r w:rsidR="000E5876" w:rsidRPr="00786EB1">
        <w:rPr>
          <w:rFonts w:eastAsia="Times New Roman" w:cs="Times New Roman"/>
          <w:kern w:val="0"/>
          <w:sz w:val="22"/>
          <w:szCs w:val="22"/>
          <w:lang w:eastAsia="en-GB"/>
          <w14:ligatures w14:val="none"/>
        </w:rPr>
        <w:t xml:space="preserve">lan </w:t>
      </w:r>
      <w:r w:rsidRPr="00786EB1">
        <w:rPr>
          <w:rFonts w:eastAsia="Times New Roman" w:cs="Times New Roman"/>
          <w:kern w:val="0"/>
          <w:sz w:val="22"/>
          <w:szCs w:val="22"/>
          <w:lang w:eastAsia="en-GB"/>
          <w14:ligatures w14:val="none"/>
        </w:rPr>
        <w:t>at an appropriate level (national, subnational, local);</w:t>
      </w:r>
    </w:p>
    <w:p w14:paraId="6C34C605"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be the main points of contact on CEPA matters between a) the Secretariat and the</w:t>
      </w:r>
      <w:r w:rsidRPr="00786EB1">
        <w:rPr>
          <w:rFonts w:eastAsia="Times New Roman" w:cs="Times New Roman"/>
          <w:w w:val="99"/>
          <w:kern w:val="0"/>
          <w:sz w:val="22"/>
          <w:szCs w:val="22"/>
          <w:lang w:eastAsia="en-GB"/>
          <w14:ligatures w14:val="none"/>
        </w:rPr>
        <w:t xml:space="preserve"> </w:t>
      </w:r>
      <w:r w:rsidRPr="00786EB1">
        <w:rPr>
          <w:rFonts w:eastAsia="Times New Roman" w:cs="Times New Roman"/>
          <w:kern w:val="0"/>
          <w:sz w:val="22"/>
          <w:szCs w:val="22"/>
          <w:lang w:eastAsia="en-GB"/>
          <w14:ligatures w14:val="none"/>
        </w:rPr>
        <w:t>Contracting Party and b) between Contracting Parties;</w:t>
      </w:r>
    </w:p>
    <w:p w14:paraId="3F9DAED8"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be key members of a National Ramsar/Wetland Committee (if such a body exists) or</w:t>
      </w:r>
      <w:r w:rsidRPr="00786EB1">
        <w:rPr>
          <w:rFonts w:eastAsia="Times New Roman" w:cs="Times New Roman"/>
          <w:w w:val="99"/>
          <w:kern w:val="0"/>
          <w:sz w:val="22"/>
          <w:szCs w:val="22"/>
          <w:lang w:eastAsia="en-GB"/>
          <w14:ligatures w14:val="none"/>
        </w:rPr>
        <w:t xml:space="preserve"> </w:t>
      </w:r>
      <w:r w:rsidRPr="00786EB1">
        <w:rPr>
          <w:rFonts w:eastAsia="Times New Roman" w:cs="Times New Roman"/>
          <w:kern w:val="0"/>
          <w:sz w:val="22"/>
          <w:szCs w:val="22"/>
          <w:lang w:eastAsia="en-GB"/>
          <w14:ligatures w14:val="none"/>
        </w:rPr>
        <w:t>similar national structure;</w:t>
      </w:r>
    </w:p>
    <w:p w14:paraId="1F496638"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assist in the practical CEPA implementation at the national level and in national</w:t>
      </w:r>
      <w:r w:rsidRPr="00786EB1">
        <w:rPr>
          <w:rFonts w:eastAsia="Times New Roman" w:cs="Times New Roman"/>
          <w:w w:val="99"/>
          <w:kern w:val="0"/>
          <w:sz w:val="22"/>
          <w:szCs w:val="22"/>
          <w:lang w:eastAsia="en-GB"/>
          <w14:ligatures w14:val="none"/>
        </w:rPr>
        <w:t xml:space="preserve"> </w:t>
      </w:r>
      <w:r w:rsidRPr="00786EB1">
        <w:rPr>
          <w:rFonts w:eastAsia="Times New Roman" w:cs="Times New Roman"/>
          <w:kern w:val="0"/>
          <w:sz w:val="22"/>
          <w:szCs w:val="22"/>
          <w:lang w:eastAsia="en-GB"/>
          <w14:ligatures w14:val="none"/>
        </w:rPr>
        <w:t>reporting on CEPA activities to the Conference of the Parties;</w:t>
      </w:r>
    </w:p>
    <w:p w14:paraId="5DE32C56"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ensure a high, positive public profile for the Convention on Wetlands and its conservation and</w:t>
      </w:r>
      <w:r w:rsidRPr="00786EB1">
        <w:rPr>
          <w:rFonts w:eastAsia="Times New Roman" w:cs="Times New Roman"/>
          <w:w w:val="99"/>
          <w:kern w:val="0"/>
          <w:sz w:val="22"/>
          <w:szCs w:val="22"/>
          <w:lang w:eastAsia="en-GB"/>
          <w14:ligatures w14:val="none"/>
        </w:rPr>
        <w:t xml:space="preserve"> </w:t>
      </w:r>
      <w:r w:rsidRPr="00786EB1">
        <w:rPr>
          <w:rFonts w:eastAsia="Times New Roman" w:cs="Times New Roman"/>
          <w:kern w:val="0"/>
          <w:sz w:val="22"/>
          <w:szCs w:val="22"/>
          <w:lang w:eastAsia="en-GB"/>
          <w14:ligatures w14:val="none"/>
        </w:rPr>
        <w:t>wise use goals;</w:t>
      </w:r>
    </w:p>
    <w:p w14:paraId="6F28CFB5"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be an active spokesperson for wetland CEPA; and</w:t>
      </w:r>
    </w:p>
    <w:p w14:paraId="0BB5453F" w14:textId="77777777" w:rsidR="003C5384" w:rsidRPr="00786EB1"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establish and maintain any contacts, networks, structures and mechanisms necessary to</w:t>
      </w:r>
      <w:r w:rsidRPr="00786EB1">
        <w:rPr>
          <w:rFonts w:eastAsia="Times New Roman" w:cs="Times New Roman"/>
          <w:w w:val="99"/>
          <w:kern w:val="0"/>
          <w:sz w:val="22"/>
          <w:szCs w:val="22"/>
          <w:lang w:eastAsia="en-GB"/>
          <w14:ligatures w14:val="none"/>
        </w:rPr>
        <w:t xml:space="preserve"> </w:t>
      </w:r>
      <w:r w:rsidRPr="00786EB1">
        <w:rPr>
          <w:rFonts w:eastAsia="Times New Roman" w:cs="Times New Roman"/>
          <w:kern w:val="0"/>
          <w:sz w:val="22"/>
          <w:szCs w:val="22"/>
          <w:lang w:eastAsia="en-GB"/>
          <w14:ligatures w14:val="none"/>
        </w:rPr>
        <w:t>ensure the effective communication of information between relevant actors at all levels</w:t>
      </w:r>
      <w:r w:rsidRPr="00786EB1">
        <w:rPr>
          <w:rFonts w:eastAsia="Times New Roman" w:cs="Times New Roman"/>
          <w:w w:val="99"/>
          <w:kern w:val="0"/>
          <w:sz w:val="22"/>
          <w:szCs w:val="22"/>
          <w:lang w:eastAsia="en-GB"/>
          <w14:ligatures w14:val="none"/>
        </w:rPr>
        <w:t xml:space="preserve"> </w:t>
      </w:r>
      <w:r w:rsidRPr="00786EB1">
        <w:rPr>
          <w:rFonts w:eastAsia="Times New Roman" w:cs="Times New Roman"/>
          <w:kern w:val="0"/>
          <w:sz w:val="22"/>
          <w:szCs w:val="22"/>
          <w:lang w:eastAsia="en-GB"/>
          <w14:ligatures w14:val="none"/>
        </w:rPr>
        <w:t>and in all sectors.</w:t>
      </w:r>
    </w:p>
    <w:p w14:paraId="442E4A58"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EE6DE3F" w14:textId="74DCCAE2"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While it is the task of each Contracting Party to determine the precise roles and responsibilities for their nominated CEPA NGO Focal Points (NFPs). General responsibilities may include</w:t>
      </w:r>
      <w:r w:rsidR="00511F6E">
        <w:rPr>
          <w:rFonts w:eastAsia="Times New Roman" w:cs="Times New Roman"/>
          <w:kern w:val="0"/>
          <w:sz w:val="22"/>
          <w:szCs w:val="22"/>
          <w:lang w:eastAsia="en-GB"/>
          <w14:ligatures w14:val="none"/>
        </w:rPr>
        <w:t xml:space="preserve"> to:</w:t>
      </w:r>
    </w:p>
    <w:p w14:paraId="39E8ED48"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7E3A731" w14:textId="7923BFE5"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give a voice to the NGO community in the development and implementation of a wetland CEPA </w:t>
      </w:r>
      <w:r w:rsidR="000E5876">
        <w:rPr>
          <w:rFonts w:eastAsia="Times New Roman" w:cs="Times New Roman"/>
          <w:kern w:val="0"/>
          <w:sz w:val="22"/>
          <w:szCs w:val="22"/>
          <w:lang w:eastAsia="en-GB"/>
          <w14:ligatures w14:val="none"/>
        </w:rPr>
        <w:t>a</w:t>
      </w:r>
      <w:r w:rsidR="000E5876" w:rsidRPr="00786EB1">
        <w:rPr>
          <w:rFonts w:eastAsia="Times New Roman" w:cs="Times New Roman"/>
          <w:kern w:val="0"/>
          <w:sz w:val="22"/>
          <w:szCs w:val="22"/>
          <w:lang w:eastAsia="en-GB"/>
          <w14:ligatures w14:val="none"/>
        </w:rPr>
        <w:t>ction</w:t>
      </w:r>
      <w:r w:rsidR="000E5876" w:rsidRPr="00786EB1">
        <w:rPr>
          <w:rFonts w:eastAsia="Times New Roman" w:cs="Times New Roman"/>
          <w:w w:val="99"/>
          <w:kern w:val="0"/>
          <w:sz w:val="22"/>
          <w:szCs w:val="22"/>
          <w:lang w:eastAsia="en-GB"/>
          <w14:ligatures w14:val="none"/>
        </w:rPr>
        <w:t xml:space="preserve"> </w:t>
      </w:r>
      <w:r w:rsidR="000E5876">
        <w:rPr>
          <w:rFonts w:eastAsia="Times New Roman" w:cs="Times New Roman"/>
          <w:kern w:val="0"/>
          <w:sz w:val="22"/>
          <w:szCs w:val="22"/>
          <w:lang w:eastAsia="en-GB"/>
          <w14:ligatures w14:val="none"/>
        </w:rPr>
        <w:t>p</w:t>
      </w:r>
      <w:r w:rsidR="000E5876" w:rsidRPr="00786EB1">
        <w:rPr>
          <w:rFonts w:eastAsia="Times New Roman" w:cs="Times New Roman"/>
          <w:kern w:val="0"/>
          <w:sz w:val="22"/>
          <w:szCs w:val="22"/>
          <w:lang w:eastAsia="en-GB"/>
          <w14:ligatures w14:val="none"/>
        </w:rPr>
        <w:t xml:space="preserve">lan </w:t>
      </w:r>
      <w:r w:rsidRPr="00786EB1">
        <w:rPr>
          <w:rFonts w:eastAsia="Times New Roman" w:cs="Times New Roman"/>
          <w:kern w:val="0"/>
          <w:sz w:val="22"/>
          <w:szCs w:val="22"/>
          <w:lang w:eastAsia="en-GB"/>
          <w14:ligatures w14:val="none"/>
        </w:rPr>
        <w:t>at an appropriate level (national, subnational, local);</w:t>
      </w:r>
    </w:p>
    <w:p w14:paraId="3391D9F2" w14:textId="77777777"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Serve as a point of contact between the Government CEPA Focal Point and the NGO community;</w:t>
      </w:r>
    </w:p>
    <w:p w14:paraId="7D62D5E7" w14:textId="77777777"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assist in mobilizing the NGO community in supporting wetland CEPA including support of World Wetlands Day;</w:t>
      </w:r>
    </w:p>
    <w:p w14:paraId="53B4F993" w14:textId="16E18E74"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be key members of the National Ramsar/Wetland Committees (if such a body exists) or</w:t>
      </w:r>
      <w:r w:rsidRPr="00786EB1">
        <w:rPr>
          <w:rFonts w:eastAsia="Times New Roman" w:cs="Times New Roman"/>
          <w:w w:val="99"/>
          <w:kern w:val="0"/>
          <w:sz w:val="22"/>
          <w:szCs w:val="22"/>
          <w:lang w:eastAsia="en-GB"/>
          <w14:ligatures w14:val="none"/>
        </w:rPr>
        <w:t xml:space="preserve"> </w:t>
      </w:r>
      <w:r w:rsidRPr="00786EB1">
        <w:rPr>
          <w:rFonts w:eastAsia="Times New Roman" w:cs="Times New Roman"/>
          <w:kern w:val="0"/>
          <w:sz w:val="22"/>
          <w:szCs w:val="22"/>
          <w:lang w:eastAsia="en-GB"/>
          <w14:ligatures w14:val="none"/>
        </w:rPr>
        <w:t>similar national structures;</w:t>
      </w:r>
      <w:r w:rsidR="00973F7F">
        <w:rPr>
          <w:rFonts w:eastAsia="Times New Roman" w:cs="Times New Roman"/>
          <w:kern w:val="0"/>
          <w:sz w:val="22"/>
          <w:szCs w:val="22"/>
          <w:lang w:eastAsia="en-GB"/>
          <w14:ligatures w14:val="none"/>
        </w:rPr>
        <w:t xml:space="preserve"> and</w:t>
      </w:r>
    </w:p>
    <w:p w14:paraId="60D76394" w14:textId="18188146" w:rsidR="003C5384" w:rsidRPr="00786EB1"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be an active spokesperson for wetland CEPA</w:t>
      </w:r>
      <w:r w:rsidR="00973F7F">
        <w:rPr>
          <w:rFonts w:eastAsia="Times New Roman" w:cs="Times New Roman"/>
          <w:kern w:val="0"/>
          <w:sz w:val="22"/>
          <w:szCs w:val="22"/>
          <w:lang w:eastAsia="en-GB"/>
          <w14:ligatures w14:val="none"/>
        </w:rPr>
        <w:t>.</w:t>
      </w:r>
    </w:p>
    <w:p w14:paraId="4214032D" w14:textId="77777777" w:rsidR="003C5384" w:rsidRPr="00786EB1" w:rsidRDefault="003C5384" w:rsidP="000E5876">
      <w:pPr>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14CAAA18" w14:textId="2AD2212C" w:rsidR="003C5384" w:rsidRPr="00786EB1" w:rsidRDefault="003C5384" w:rsidP="000E5876">
      <w:pPr>
        <w:keepNext/>
        <w:kinsoku w:val="0"/>
        <w:overflowPunct w:val="0"/>
        <w:autoSpaceDE w:val="0"/>
        <w:autoSpaceDN w:val="0"/>
        <w:adjustRightInd w:val="0"/>
        <w:ind w:left="566" w:hanging="566"/>
        <w:rPr>
          <w:rFonts w:eastAsia="Times New Roman" w:cs="Times New Roman"/>
          <w:b/>
          <w:kern w:val="0"/>
          <w:sz w:val="22"/>
          <w:szCs w:val="22"/>
          <w:lang w:eastAsia="en-GB"/>
          <w14:ligatures w14:val="none"/>
        </w:rPr>
      </w:pPr>
      <w:r w:rsidRPr="00786EB1">
        <w:rPr>
          <w:rFonts w:eastAsia="Times New Roman" w:cs="Times New Roman"/>
          <w:b/>
          <w:kern w:val="0"/>
          <w:sz w:val="22"/>
          <w:szCs w:val="22"/>
          <w:lang w:eastAsia="en-GB"/>
          <w14:ligatures w14:val="none"/>
        </w:rPr>
        <w:t xml:space="preserve">CEPA </w:t>
      </w:r>
      <w:r w:rsidR="000E5876">
        <w:rPr>
          <w:rFonts w:eastAsia="Times New Roman" w:cs="Times New Roman"/>
          <w:b/>
          <w:kern w:val="0"/>
          <w:sz w:val="22"/>
          <w:szCs w:val="22"/>
          <w:lang w:eastAsia="en-GB"/>
          <w14:ligatures w14:val="none"/>
        </w:rPr>
        <w:t>a</w:t>
      </w:r>
      <w:r w:rsidR="000E5876" w:rsidRPr="00786EB1">
        <w:rPr>
          <w:rFonts w:eastAsia="Times New Roman" w:cs="Times New Roman"/>
          <w:b/>
          <w:kern w:val="0"/>
          <w:sz w:val="22"/>
          <w:szCs w:val="22"/>
          <w:lang w:eastAsia="en-GB"/>
          <w14:ligatures w14:val="none"/>
        </w:rPr>
        <w:t xml:space="preserve">ction </w:t>
      </w:r>
      <w:r w:rsidR="000E5876">
        <w:rPr>
          <w:rFonts w:eastAsia="Times New Roman" w:cs="Times New Roman"/>
          <w:b/>
          <w:kern w:val="0"/>
          <w:sz w:val="22"/>
          <w:szCs w:val="22"/>
          <w:lang w:eastAsia="en-GB"/>
          <w14:ligatures w14:val="none"/>
        </w:rPr>
        <w:t>p</w:t>
      </w:r>
      <w:r w:rsidR="000E5876" w:rsidRPr="00786EB1">
        <w:rPr>
          <w:rFonts w:eastAsia="Times New Roman" w:cs="Times New Roman"/>
          <w:b/>
          <w:kern w:val="0"/>
          <w:sz w:val="22"/>
          <w:szCs w:val="22"/>
          <w:lang w:eastAsia="en-GB"/>
          <w14:ligatures w14:val="none"/>
        </w:rPr>
        <w:t xml:space="preserve">lan </w:t>
      </w:r>
    </w:p>
    <w:p w14:paraId="6673A7A3" w14:textId="77777777" w:rsidR="00550698" w:rsidRDefault="00550698" w:rsidP="000E5876">
      <w:pPr>
        <w:keepNext/>
        <w:kinsoku w:val="0"/>
        <w:overflowPunct w:val="0"/>
        <w:autoSpaceDE w:val="0"/>
        <w:autoSpaceDN w:val="0"/>
        <w:adjustRightInd w:val="0"/>
        <w:rPr>
          <w:rFonts w:eastAsia="Times New Roman" w:cstheme="minorHAnsi"/>
          <w:kern w:val="0"/>
          <w:sz w:val="22"/>
          <w:szCs w:val="22"/>
          <w:lang w:eastAsia="en-GB"/>
          <w14:ligatures w14:val="none"/>
        </w:rPr>
      </w:pPr>
    </w:p>
    <w:p w14:paraId="3DEC1EE7" w14:textId="6D458CE2" w:rsidR="003C5384" w:rsidRPr="00786EB1" w:rsidRDefault="003C5384" w:rsidP="000E5876">
      <w:pPr>
        <w:kinsoku w:val="0"/>
        <w:overflowPunct w:val="0"/>
        <w:autoSpaceDE w:val="0"/>
        <w:autoSpaceDN w:val="0"/>
        <w:adjustRightInd w:val="0"/>
        <w:rPr>
          <w:rFonts w:eastAsia="Times New Roman" w:cstheme="minorHAnsi"/>
          <w:kern w:val="0"/>
          <w:sz w:val="22"/>
          <w:szCs w:val="22"/>
          <w:lang w:eastAsia="en-GB"/>
          <w14:ligatures w14:val="none"/>
        </w:rPr>
      </w:pPr>
      <w:r w:rsidRPr="00786EB1">
        <w:rPr>
          <w:rFonts w:eastAsia="Times New Roman" w:cstheme="minorHAnsi"/>
          <w:kern w:val="0"/>
          <w:sz w:val="22"/>
          <w:szCs w:val="22"/>
          <w:lang w:eastAsia="en-GB"/>
          <w14:ligatures w14:val="none"/>
        </w:rPr>
        <w:t xml:space="preserve">A CEPA </w:t>
      </w:r>
      <w:r w:rsidR="000E5876">
        <w:rPr>
          <w:rFonts w:eastAsia="Times New Roman" w:cstheme="minorHAnsi"/>
          <w:kern w:val="0"/>
          <w:sz w:val="22"/>
          <w:szCs w:val="22"/>
          <w:lang w:eastAsia="en-GB"/>
          <w14:ligatures w14:val="none"/>
        </w:rPr>
        <w:t>a</w:t>
      </w:r>
      <w:r w:rsidR="000E5876" w:rsidRPr="00786EB1">
        <w:rPr>
          <w:rFonts w:eastAsia="Times New Roman" w:cstheme="minorHAnsi"/>
          <w:kern w:val="0"/>
          <w:sz w:val="22"/>
          <w:szCs w:val="22"/>
          <w:lang w:eastAsia="en-GB"/>
          <w14:ligatures w14:val="none"/>
        </w:rPr>
        <w:t xml:space="preserve">ction </w:t>
      </w:r>
      <w:r w:rsidR="000E5876">
        <w:rPr>
          <w:rFonts w:eastAsia="Times New Roman" w:cstheme="minorHAnsi"/>
          <w:kern w:val="0"/>
          <w:sz w:val="22"/>
          <w:szCs w:val="22"/>
          <w:lang w:eastAsia="en-GB"/>
          <w14:ligatures w14:val="none"/>
        </w:rPr>
        <w:t>p</w:t>
      </w:r>
      <w:r w:rsidR="000E5876" w:rsidRPr="00786EB1">
        <w:rPr>
          <w:rFonts w:eastAsia="Times New Roman" w:cstheme="minorHAnsi"/>
          <w:kern w:val="0"/>
          <w:sz w:val="22"/>
          <w:szCs w:val="22"/>
          <w:lang w:eastAsia="en-GB"/>
          <w14:ligatures w14:val="none"/>
        </w:rPr>
        <w:t xml:space="preserve">lan </w:t>
      </w:r>
      <w:r w:rsidRPr="00786EB1">
        <w:rPr>
          <w:rFonts w:eastAsia="Times New Roman" w:cstheme="minorHAnsi"/>
          <w:kern w:val="0"/>
          <w:sz w:val="22"/>
          <w:szCs w:val="22"/>
          <w:lang w:eastAsia="en-GB"/>
          <w14:ligatures w14:val="none"/>
        </w:rPr>
        <w:t xml:space="preserve">outlines actions to promote coordinated communication and education between all levels of government, statutory authorities, community groups, non-government and business organizations. Specifically, a CEPA </w:t>
      </w:r>
      <w:r w:rsidR="000E5876">
        <w:rPr>
          <w:rFonts w:eastAsia="Times New Roman" w:cstheme="minorHAnsi"/>
          <w:kern w:val="0"/>
          <w:sz w:val="22"/>
          <w:szCs w:val="22"/>
          <w:lang w:eastAsia="en-GB"/>
          <w14:ligatures w14:val="none"/>
        </w:rPr>
        <w:t>a</w:t>
      </w:r>
      <w:r w:rsidR="000E5876" w:rsidRPr="00786EB1">
        <w:rPr>
          <w:rFonts w:eastAsia="Times New Roman" w:cstheme="minorHAnsi"/>
          <w:kern w:val="0"/>
          <w:sz w:val="22"/>
          <w:szCs w:val="22"/>
          <w:lang w:eastAsia="en-GB"/>
          <w14:ligatures w14:val="none"/>
        </w:rPr>
        <w:t xml:space="preserve">ction </w:t>
      </w:r>
      <w:r w:rsidR="000E5876">
        <w:rPr>
          <w:rFonts w:eastAsia="Times New Roman" w:cstheme="minorHAnsi"/>
          <w:kern w:val="0"/>
          <w:sz w:val="22"/>
          <w:szCs w:val="22"/>
          <w:lang w:eastAsia="en-GB"/>
          <w14:ligatures w14:val="none"/>
        </w:rPr>
        <w:t>p</w:t>
      </w:r>
      <w:r w:rsidR="000E5876" w:rsidRPr="00786EB1">
        <w:rPr>
          <w:rFonts w:eastAsia="Times New Roman" w:cstheme="minorHAnsi"/>
          <w:kern w:val="0"/>
          <w:sz w:val="22"/>
          <w:szCs w:val="22"/>
          <w:lang w:eastAsia="en-GB"/>
          <w14:ligatures w14:val="none"/>
        </w:rPr>
        <w:t xml:space="preserve">lan </w:t>
      </w:r>
      <w:r w:rsidRPr="00786EB1">
        <w:rPr>
          <w:rFonts w:eastAsia="Times New Roman" w:cstheme="minorHAnsi"/>
          <w:kern w:val="0"/>
          <w:sz w:val="22"/>
          <w:szCs w:val="22"/>
          <w:lang w:eastAsia="en-GB"/>
          <w14:ligatures w14:val="none"/>
        </w:rPr>
        <w:t xml:space="preserve">identifies mechanisms for sharing knowledge, suggests </w:t>
      </w:r>
      <w:r w:rsidRPr="00786EB1">
        <w:rPr>
          <w:rFonts w:eastAsia="Times New Roman" w:cstheme="minorHAnsi"/>
          <w:kern w:val="0"/>
          <w:sz w:val="22"/>
          <w:szCs w:val="22"/>
          <w:lang w:eastAsia="en-GB"/>
          <w14:ligatures w14:val="none"/>
        </w:rPr>
        <w:lastRenderedPageBreak/>
        <w:t xml:space="preserve">methods for building capacity, presents goals, provides links between and among people doing similar work and builds links between national and international networks. All people who are involved in wetland management and research have a role to play in communication and education for the conservation of wetlands. </w:t>
      </w:r>
    </w:p>
    <w:p w14:paraId="266A6900" w14:textId="77777777" w:rsidR="003C5384" w:rsidRPr="00786EB1" w:rsidRDefault="003C5384" w:rsidP="000E5876">
      <w:pPr>
        <w:kinsoku w:val="0"/>
        <w:overflowPunct w:val="0"/>
        <w:autoSpaceDE w:val="0"/>
        <w:autoSpaceDN w:val="0"/>
        <w:adjustRightInd w:val="0"/>
        <w:rPr>
          <w:rFonts w:eastAsia="Times New Roman" w:cstheme="minorHAnsi"/>
          <w:kern w:val="0"/>
          <w:sz w:val="22"/>
          <w:szCs w:val="22"/>
          <w:lang w:eastAsia="en-GB"/>
          <w14:ligatures w14:val="none"/>
        </w:rPr>
      </w:pPr>
    </w:p>
    <w:p w14:paraId="5B4AD9C0" w14:textId="3E142A14" w:rsidR="003C5384" w:rsidRPr="00786EB1" w:rsidRDefault="003C5384" w:rsidP="000E5876">
      <w:pPr>
        <w:kinsoku w:val="0"/>
        <w:overflowPunct w:val="0"/>
        <w:autoSpaceDE w:val="0"/>
        <w:autoSpaceDN w:val="0"/>
        <w:adjustRightInd w:val="0"/>
        <w:rPr>
          <w:rFonts w:eastAsia="Times New Roman" w:cstheme="minorHAnsi"/>
          <w:kern w:val="0"/>
          <w:sz w:val="22"/>
          <w:szCs w:val="22"/>
          <w:lang w:eastAsia="en-GB"/>
          <w14:ligatures w14:val="none"/>
        </w:rPr>
      </w:pPr>
      <w:r w:rsidRPr="00786EB1">
        <w:rPr>
          <w:rFonts w:eastAsia="Times New Roman" w:cstheme="minorHAnsi"/>
          <w:kern w:val="0"/>
          <w:sz w:val="22"/>
          <w:szCs w:val="22"/>
          <w:lang w:eastAsia="en-GB"/>
          <w14:ligatures w14:val="none"/>
        </w:rPr>
        <w:t xml:space="preserve">All Contracting Parties are encouraged to develop a CEPA </w:t>
      </w:r>
      <w:r w:rsidR="000E5876">
        <w:rPr>
          <w:rFonts w:eastAsia="Times New Roman" w:cstheme="minorHAnsi"/>
          <w:kern w:val="0"/>
          <w:sz w:val="22"/>
          <w:szCs w:val="22"/>
          <w:lang w:eastAsia="en-GB"/>
          <w14:ligatures w14:val="none"/>
        </w:rPr>
        <w:t>a</w:t>
      </w:r>
      <w:r w:rsidR="000E5876" w:rsidRPr="00786EB1">
        <w:rPr>
          <w:rFonts w:eastAsia="Times New Roman" w:cstheme="minorHAnsi"/>
          <w:kern w:val="0"/>
          <w:sz w:val="22"/>
          <w:szCs w:val="22"/>
          <w:lang w:eastAsia="en-GB"/>
          <w14:ligatures w14:val="none"/>
        </w:rPr>
        <w:t xml:space="preserve">ction </w:t>
      </w:r>
      <w:r w:rsidR="000E5876">
        <w:rPr>
          <w:rFonts w:eastAsia="Times New Roman" w:cstheme="minorHAnsi"/>
          <w:kern w:val="0"/>
          <w:sz w:val="22"/>
          <w:szCs w:val="22"/>
          <w:lang w:eastAsia="en-GB"/>
          <w14:ligatures w14:val="none"/>
        </w:rPr>
        <w:t>p</w:t>
      </w:r>
      <w:r w:rsidR="000E5876" w:rsidRPr="00786EB1">
        <w:rPr>
          <w:rFonts w:eastAsia="Times New Roman" w:cstheme="minorHAnsi"/>
          <w:kern w:val="0"/>
          <w:sz w:val="22"/>
          <w:szCs w:val="22"/>
          <w:lang w:eastAsia="en-GB"/>
          <w14:ligatures w14:val="none"/>
        </w:rPr>
        <w:t xml:space="preserve">lan </w:t>
      </w:r>
      <w:r w:rsidRPr="00786EB1">
        <w:rPr>
          <w:rFonts w:eastAsia="Times New Roman" w:cstheme="minorHAnsi"/>
          <w:kern w:val="0"/>
          <w:sz w:val="22"/>
          <w:szCs w:val="22"/>
          <w:lang w:eastAsia="en-GB"/>
          <w14:ligatures w14:val="none"/>
        </w:rPr>
        <w:t xml:space="preserve">in consultation with key CEPA stakeholders that identifies wetland CEPA objectives for the country, what actions need to be undertaken to achieve these objectives, which organizations and individuals need to be engaged and how success will be measured and evaluated. Examples of CEPA </w:t>
      </w:r>
      <w:r w:rsidR="000E5876">
        <w:rPr>
          <w:rFonts w:eastAsia="Times New Roman" w:cstheme="minorHAnsi"/>
          <w:kern w:val="0"/>
          <w:sz w:val="22"/>
          <w:szCs w:val="22"/>
          <w:lang w:eastAsia="en-GB"/>
          <w14:ligatures w14:val="none"/>
        </w:rPr>
        <w:t>a</w:t>
      </w:r>
      <w:r w:rsidR="000E5876" w:rsidRPr="00786EB1">
        <w:rPr>
          <w:rFonts w:eastAsia="Times New Roman" w:cstheme="minorHAnsi"/>
          <w:kern w:val="0"/>
          <w:sz w:val="22"/>
          <w:szCs w:val="22"/>
          <w:lang w:eastAsia="en-GB"/>
          <w14:ligatures w14:val="none"/>
        </w:rPr>
        <w:t xml:space="preserve">ction </w:t>
      </w:r>
      <w:r w:rsidR="000E5876">
        <w:rPr>
          <w:rFonts w:eastAsia="Times New Roman" w:cstheme="minorHAnsi"/>
          <w:kern w:val="0"/>
          <w:sz w:val="22"/>
          <w:szCs w:val="22"/>
          <w:lang w:eastAsia="en-GB"/>
          <w14:ligatures w14:val="none"/>
        </w:rPr>
        <w:t>p</w:t>
      </w:r>
      <w:r w:rsidR="000E5876" w:rsidRPr="00786EB1">
        <w:rPr>
          <w:rFonts w:eastAsia="Times New Roman" w:cstheme="minorHAnsi"/>
          <w:kern w:val="0"/>
          <w:sz w:val="22"/>
          <w:szCs w:val="22"/>
          <w:lang w:eastAsia="en-GB"/>
          <w14:ligatures w14:val="none"/>
        </w:rPr>
        <w:t xml:space="preserve">lans </w:t>
      </w:r>
      <w:r w:rsidRPr="00786EB1">
        <w:rPr>
          <w:rFonts w:eastAsia="Times New Roman" w:cstheme="minorHAnsi"/>
          <w:kern w:val="0"/>
          <w:sz w:val="22"/>
          <w:szCs w:val="22"/>
          <w:lang w:eastAsia="en-GB"/>
          <w14:ligatures w14:val="none"/>
        </w:rPr>
        <w:t xml:space="preserve">can be found on the Convention website.  </w:t>
      </w:r>
    </w:p>
    <w:p w14:paraId="61906FCB" w14:textId="77777777" w:rsidR="003C5384" w:rsidRPr="00786EB1" w:rsidRDefault="003C5384" w:rsidP="000E5876">
      <w:pPr>
        <w:kinsoku w:val="0"/>
        <w:overflowPunct w:val="0"/>
        <w:autoSpaceDE w:val="0"/>
        <w:autoSpaceDN w:val="0"/>
        <w:adjustRightInd w:val="0"/>
        <w:rPr>
          <w:rFonts w:eastAsia="Times New Roman" w:cstheme="minorHAnsi"/>
          <w:kern w:val="0"/>
          <w:sz w:val="22"/>
          <w:szCs w:val="22"/>
          <w:lang w:eastAsia="en-GB"/>
          <w14:ligatures w14:val="none"/>
        </w:rPr>
      </w:pPr>
    </w:p>
    <w:p w14:paraId="7D1D9ECD" w14:textId="77777777" w:rsidR="003C5384" w:rsidRPr="00786EB1" w:rsidRDefault="003C5384" w:rsidP="000E5876">
      <w:pPr>
        <w:kinsoku w:val="0"/>
        <w:overflowPunct w:val="0"/>
        <w:autoSpaceDE w:val="0"/>
        <w:autoSpaceDN w:val="0"/>
        <w:adjustRightInd w:val="0"/>
        <w:outlineLvl w:val="3"/>
        <w:rPr>
          <w:rFonts w:eastAsia="Times New Roman" w:cs="Times New Roman"/>
          <w:b/>
          <w:bCs/>
          <w:kern w:val="0"/>
          <w:sz w:val="22"/>
          <w:szCs w:val="22"/>
          <w:lang w:eastAsia="en-GB"/>
          <w14:ligatures w14:val="none"/>
        </w:rPr>
      </w:pPr>
      <w:r w:rsidRPr="00786EB1">
        <w:rPr>
          <w:rFonts w:eastAsia="Times New Roman" w:cs="Times New Roman"/>
          <w:b/>
          <w:bCs/>
          <w:kern w:val="0"/>
          <w:sz w:val="22"/>
          <w:szCs w:val="22"/>
          <w:lang w:eastAsia="en-GB"/>
          <w14:ligatures w14:val="none"/>
        </w:rPr>
        <w:t>Goals and activities</w:t>
      </w:r>
    </w:p>
    <w:p w14:paraId="28D4F5AE" w14:textId="77777777" w:rsidR="00550698" w:rsidRDefault="00550698" w:rsidP="000E5876">
      <w:pPr>
        <w:kinsoku w:val="0"/>
        <w:overflowPunct w:val="0"/>
        <w:autoSpaceDE w:val="0"/>
        <w:autoSpaceDN w:val="0"/>
        <w:adjustRightInd w:val="0"/>
        <w:rPr>
          <w:rFonts w:eastAsia="Times New Roman" w:cs="Times New Roman"/>
          <w:kern w:val="0"/>
          <w:sz w:val="22"/>
          <w:szCs w:val="22"/>
          <w:lang w:eastAsia="en-GB"/>
          <w14:ligatures w14:val="none"/>
        </w:rPr>
      </w:pPr>
    </w:p>
    <w:p w14:paraId="7462196D" w14:textId="2F3C02AD" w:rsidR="003C5384"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The CEPA Programme aims to achieve positive action for wetlands through nine </w:t>
      </w:r>
      <w:r w:rsidR="000E5876">
        <w:rPr>
          <w:rFonts w:eastAsia="Times New Roman" w:cs="Times New Roman"/>
          <w:kern w:val="0"/>
          <w:sz w:val="22"/>
          <w:szCs w:val="22"/>
          <w:lang w:eastAsia="en-GB"/>
          <w14:ligatures w14:val="none"/>
        </w:rPr>
        <w:t>g</w:t>
      </w:r>
      <w:r w:rsidR="000E5876" w:rsidRPr="00786EB1">
        <w:rPr>
          <w:rFonts w:eastAsia="Times New Roman" w:cs="Times New Roman"/>
          <w:kern w:val="0"/>
          <w:sz w:val="22"/>
          <w:szCs w:val="22"/>
          <w:lang w:eastAsia="en-GB"/>
          <w14:ligatures w14:val="none"/>
        </w:rPr>
        <w:t xml:space="preserve">oals </w:t>
      </w:r>
      <w:r w:rsidRPr="00786EB1">
        <w:rPr>
          <w:rFonts w:eastAsia="Times New Roman" w:cs="Times New Roman"/>
          <w:kern w:val="0"/>
          <w:sz w:val="22"/>
          <w:szCs w:val="22"/>
          <w:lang w:eastAsia="en-GB"/>
          <w14:ligatures w14:val="none"/>
        </w:rPr>
        <w:t>and the results that should be achieved by means of identified activities.</w:t>
      </w:r>
      <w:r w:rsidRPr="00786EB1">
        <w:rPr>
          <w:rFonts w:eastAsia="Times New Roman" w:cs="Times New Roman"/>
          <w:b/>
          <w:kern w:val="0"/>
          <w:sz w:val="22"/>
          <w:szCs w:val="22"/>
          <w:lang w:eastAsia="en-GB"/>
          <w14:ligatures w14:val="none"/>
        </w:rPr>
        <w:t xml:space="preserve"> </w:t>
      </w:r>
      <w:r w:rsidRPr="00786EB1">
        <w:rPr>
          <w:rFonts w:eastAsia="Times New Roman" w:cs="Times New Roman"/>
          <w:kern w:val="0"/>
          <w:sz w:val="22"/>
          <w:szCs w:val="22"/>
          <w:lang w:eastAsia="en-GB"/>
          <w14:ligatures w14:val="none"/>
        </w:rPr>
        <w:t>The programme covers a full range of CEPA actors but not all goals and activities apply to every Contracting Party and at every level.</w:t>
      </w:r>
    </w:p>
    <w:p w14:paraId="1E7DE357" w14:textId="77777777" w:rsidR="00BC2A89" w:rsidRDefault="00BC2A89"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AEDA321" w14:textId="77777777" w:rsidR="00BC2A89" w:rsidRPr="00786EB1" w:rsidRDefault="00BC2A89" w:rsidP="00BC2A89">
      <w:pPr>
        <w:rPr>
          <w:kern w:val="0"/>
          <w:sz w:val="22"/>
          <w:szCs w:val="22"/>
          <w14:ligatures w14:val="none"/>
        </w:rPr>
      </w:pPr>
      <w:r w:rsidRPr="00786EB1">
        <w:rPr>
          <w:kern w:val="0"/>
          <w:sz w:val="22"/>
          <w:szCs w:val="22"/>
          <w14:ligatures w14:val="none"/>
        </w:rPr>
        <w:t xml:space="preserve">Implementation of the Programme must be undertaken by a number of responsible bodies and partners of the Convention including, </w:t>
      </w:r>
      <w:r w:rsidRPr="00786EB1">
        <w:rPr>
          <w:i/>
          <w:iCs/>
          <w:kern w:val="0"/>
          <w:sz w:val="22"/>
          <w:szCs w:val="22"/>
          <w14:ligatures w14:val="none"/>
        </w:rPr>
        <w:t>inter alia</w:t>
      </w:r>
      <w:r w:rsidRPr="00786EB1">
        <w:rPr>
          <w:kern w:val="0"/>
          <w:sz w:val="22"/>
          <w:szCs w:val="22"/>
          <w14:ligatures w14:val="none"/>
        </w:rPr>
        <w:t>:</w:t>
      </w:r>
    </w:p>
    <w:p w14:paraId="4997FF9B" w14:textId="77777777" w:rsidR="00BC2A89" w:rsidRPr="00786EB1" w:rsidRDefault="00BC2A89" w:rsidP="00BC2A89">
      <w:pPr>
        <w:kinsoku w:val="0"/>
        <w:overflowPunct w:val="0"/>
        <w:autoSpaceDE w:val="0"/>
        <w:autoSpaceDN w:val="0"/>
        <w:adjustRightInd w:val="0"/>
        <w:rPr>
          <w:rFonts w:eastAsia="Times New Roman" w:cs="Times New Roman"/>
          <w:kern w:val="0"/>
          <w:sz w:val="22"/>
          <w:szCs w:val="22"/>
          <w:lang w:eastAsia="en-GB"/>
          <w14:ligatures w14:val="none"/>
        </w:rPr>
      </w:pPr>
    </w:p>
    <w:p w14:paraId="6735B63F" w14:textId="77777777" w:rsidR="00BC2A89" w:rsidRPr="00786EB1" w:rsidRDefault="00BC2A89" w:rsidP="00BC2A89">
      <w:pPr>
        <w:kinsoku w:val="0"/>
        <w:overflowPunct w:val="0"/>
        <w:autoSpaceDE w:val="0"/>
        <w:autoSpaceDN w:val="0"/>
        <w:adjustRightInd w:val="0"/>
        <w:ind w:left="1134" w:hanging="1134"/>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AA:</w:t>
      </w:r>
      <w:r w:rsidRPr="00786EB1">
        <w:rPr>
          <w:rFonts w:eastAsia="Times New Roman" w:cs="Times New Roman"/>
          <w:kern w:val="0"/>
          <w:sz w:val="22"/>
          <w:szCs w:val="22"/>
          <w:lang w:eastAsia="en-GB"/>
          <w14:ligatures w14:val="none"/>
        </w:rPr>
        <w:tab/>
        <w:t xml:space="preserve">Administrative Authority in each country, including National Focal Points </w:t>
      </w:r>
    </w:p>
    <w:p w14:paraId="129D8008" w14:textId="77777777" w:rsidR="00BC2A89" w:rsidRDefault="00BC2A89" w:rsidP="00BC2A89">
      <w:pPr>
        <w:kinsoku w:val="0"/>
        <w:overflowPunct w:val="0"/>
        <w:autoSpaceDE w:val="0"/>
        <w:autoSpaceDN w:val="0"/>
        <w:adjustRightInd w:val="0"/>
        <w:ind w:left="1134" w:hanging="1134"/>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CEPA:</w:t>
      </w:r>
      <w:r w:rsidRPr="00786EB1">
        <w:rPr>
          <w:rFonts w:eastAsia="Times New Roman" w:cs="Times New Roman"/>
          <w:kern w:val="0"/>
          <w:sz w:val="22"/>
          <w:szCs w:val="22"/>
          <w:lang w:eastAsia="en-GB"/>
          <w14:ligatures w14:val="none"/>
        </w:rPr>
        <w:tab/>
        <w:t>Convention’s CEPA National Focal Points, both government and NGO</w:t>
      </w:r>
    </w:p>
    <w:p w14:paraId="109FE67D" w14:textId="77777777" w:rsidR="00BC2A89" w:rsidRDefault="00BC2A89" w:rsidP="00BC2A89">
      <w:pPr>
        <w:kinsoku w:val="0"/>
        <w:overflowPunct w:val="0"/>
        <w:autoSpaceDE w:val="0"/>
        <w:autoSpaceDN w:val="0"/>
        <w:adjustRightInd w:val="0"/>
        <w:ind w:left="1134" w:hanging="1134"/>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CSO:</w:t>
      </w:r>
      <w:r w:rsidRPr="00786EB1">
        <w:rPr>
          <w:rFonts w:eastAsia="Times New Roman" w:cs="Times New Roman"/>
          <w:kern w:val="0"/>
          <w:sz w:val="22"/>
          <w:szCs w:val="22"/>
          <w:lang w:eastAsia="en-GB"/>
          <w14:ligatures w14:val="none"/>
        </w:rPr>
        <w:tab/>
        <w:t>Civil Society Organizations such as national and local non‐governmental organizations (NGOs) and community‐based organizations (CBOs)</w:t>
      </w:r>
    </w:p>
    <w:p w14:paraId="0920D273" w14:textId="73751C36" w:rsidR="00BC2A89" w:rsidRPr="00786EB1" w:rsidRDefault="00BC2A89" w:rsidP="00BC2A89">
      <w:pPr>
        <w:kinsoku w:val="0"/>
        <w:overflowPunct w:val="0"/>
        <w:autoSpaceDE w:val="0"/>
        <w:autoSpaceDN w:val="0"/>
        <w:adjustRightInd w:val="0"/>
        <w:ind w:left="1134" w:hanging="1134"/>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IOPs:</w:t>
      </w:r>
      <w:r w:rsidRPr="00786EB1">
        <w:rPr>
          <w:rFonts w:eastAsia="Times New Roman" w:cs="Times New Roman"/>
          <w:kern w:val="0"/>
          <w:sz w:val="22"/>
          <w:szCs w:val="22"/>
          <w:lang w:eastAsia="en-GB"/>
          <w14:ligatures w14:val="none"/>
        </w:rPr>
        <w:tab/>
        <w:t>International Organization Partners, at present BirdLife International, the International Water Management Institute (IWMI), IUCN, Wetlands International, Wetlands and Wildfowl and Wetlands Trust, and the World Wide Fund for Nature (WWF)</w:t>
      </w:r>
    </w:p>
    <w:p w14:paraId="20027CEF" w14:textId="77777777" w:rsidR="00BC2A89" w:rsidRDefault="00BC2A89" w:rsidP="00BC2A89">
      <w:pPr>
        <w:kinsoku w:val="0"/>
        <w:overflowPunct w:val="0"/>
        <w:autoSpaceDE w:val="0"/>
        <w:autoSpaceDN w:val="0"/>
        <w:adjustRightInd w:val="0"/>
        <w:ind w:left="1134" w:hanging="1134"/>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NRC:</w:t>
      </w:r>
      <w:r w:rsidRPr="00786EB1">
        <w:rPr>
          <w:rFonts w:eastAsia="Times New Roman" w:cs="Times New Roman"/>
          <w:kern w:val="0"/>
          <w:sz w:val="22"/>
          <w:szCs w:val="22"/>
          <w:lang w:eastAsia="en-GB"/>
          <w14:ligatures w14:val="none"/>
        </w:rPr>
        <w:tab/>
        <w:t>National Ramsar Committees / National Wetlands Committees (or equivalent bodies), where they exist</w:t>
      </w:r>
    </w:p>
    <w:p w14:paraId="3E696D66" w14:textId="77777777" w:rsidR="00BC2A89" w:rsidRPr="00786EB1" w:rsidRDefault="00BC2A89" w:rsidP="00BC2A89">
      <w:pPr>
        <w:kinsoku w:val="0"/>
        <w:overflowPunct w:val="0"/>
        <w:autoSpaceDE w:val="0"/>
        <w:autoSpaceDN w:val="0"/>
        <w:adjustRightInd w:val="0"/>
        <w:ind w:left="1134" w:hanging="1134"/>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PS:</w:t>
      </w:r>
      <w:r w:rsidRPr="00786EB1">
        <w:rPr>
          <w:rFonts w:eastAsia="Times New Roman" w:cs="Times New Roman"/>
          <w:kern w:val="0"/>
          <w:sz w:val="22"/>
          <w:szCs w:val="22"/>
          <w:lang w:eastAsia="en-GB"/>
          <w14:ligatures w14:val="none"/>
        </w:rPr>
        <w:tab/>
        <w:t>Private sector organizations whose activities directly or indirectly affect wetlands</w:t>
      </w:r>
    </w:p>
    <w:p w14:paraId="0E2496AB" w14:textId="77777777" w:rsidR="00BC2A89" w:rsidRPr="00786EB1" w:rsidRDefault="00BC2A89" w:rsidP="00BC2A89">
      <w:pPr>
        <w:kinsoku w:val="0"/>
        <w:overflowPunct w:val="0"/>
        <w:autoSpaceDE w:val="0"/>
        <w:autoSpaceDN w:val="0"/>
        <w:adjustRightInd w:val="0"/>
        <w:ind w:left="1134" w:hanging="1134"/>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RRC:</w:t>
      </w:r>
      <w:r w:rsidRPr="00786EB1">
        <w:rPr>
          <w:rFonts w:eastAsia="Times New Roman" w:cs="Times New Roman"/>
          <w:kern w:val="0"/>
          <w:sz w:val="22"/>
          <w:szCs w:val="22"/>
          <w:lang w:eastAsia="en-GB"/>
          <w14:ligatures w14:val="none"/>
        </w:rPr>
        <w:tab/>
        <w:t xml:space="preserve">Ramsar Regional Centres </w:t>
      </w:r>
    </w:p>
    <w:p w14:paraId="2CB4E228" w14:textId="77777777" w:rsidR="00BC2A89" w:rsidRPr="00786EB1" w:rsidRDefault="00BC2A89" w:rsidP="00BC2A89">
      <w:pPr>
        <w:kinsoku w:val="0"/>
        <w:overflowPunct w:val="0"/>
        <w:autoSpaceDE w:val="0"/>
        <w:autoSpaceDN w:val="0"/>
        <w:adjustRightInd w:val="0"/>
        <w:ind w:left="1134" w:hanging="1134"/>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RRI:</w:t>
      </w:r>
      <w:r w:rsidRPr="00786EB1">
        <w:rPr>
          <w:rFonts w:eastAsia="Times New Roman" w:cs="Times New Roman"/>
          <w:kern w:val="0"/>
          <w:sz w:val="22"/>
          <w:szCs w:val="22"/>
          <w:lang w:eastAsia="en-GB"/>
          <w14:ligatures w14:val="none"/>
        </w:rPr>
        <w:tab/>
        <w:t>Ramsar Regional Initiatives</w:t>
      </w:r>
    </w:p>
    <w:p w14:paraId="1A7F9C97" w14:textId="3D969E23" w:rsidR="00BC2A89" w:rsidRPr="00786EB1" w:rsidRDefault="00BC2A89" w:rsidP="00BC2A89">
      <w:pPr>
        <w:kinsoku w:val="0"/>
        <w:overflowPunct w:val="0"/>
        <w:autoSpaceDE w:val="0"/>
        <w:autoSpaceDN w:val="0"/>
        <w:adjustRightInd w:val="0"/>
        <w:ind w:left="1134" w:hanging="1134"/>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ab/>
        <w:t>Secretariat of the Convention</w:t>
      </w:r>
    </w:p>
    <w:p w14:paraId="70C1E83A" w14:textId="77777777" w:rsidR="00BC2A89" w:rsidRPr="00786EB1" w:rsidRDefault="00BC2A89" w:rsidP="00BC2A89">
      <w:pPr>
        <w:kinsoku w:val="0"/>
        <w:overflowPunct w:val="0"/>
        <w:autoSpaceDE w:val="0"/>
        <w:autoSpaceDN w:val="0"/>
        <w:adjustRightInd w:val="0"/>
        <w:ind w:left="1134" w:hanging="1134"/>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SM:</w:t>
      </w:r>
      <w:r w:rsidRPr="00786EB1">
        <w:rPr>
          <w:rFonts w:eastAsia="Times New Roman" w:cs="Times New Roman"/>
          <w:kern w:val="0"/>
          <w:sz w:val="22"/>
          <w:szCs w:val="22"/>
          <w:lang w:eastAsia="en-GB"/>
          <w14:ligatures w14:val="none"/>
        </w:rPr>
        <w:tab/>
        <w:t>Site managers</w:t>
      </w:r>
    </w:p>
    <w:p w14:paraId="2CA71670" w14:textId="7F7B7CD6" w:rsidR="00BC2A89" w:rsidRPr="00786EB1" w:rsidRDefault="00BC2A89" w:rsidP="00BC2A89">
      <w:pPr>
        <w:kinsoku w:val="0"/>
        <w:overflowPunct w:val="0"/>
        <w:autoSpaceDE w:val="0"/>
        <w:autoSpaceDN w:val="0"/>
        <w:adjustRightInd w:val="0"/>
        <w:ind w:left="1134" w:hanging="1134"/>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STRP</w:t>
      </w:r>
      <w:r>
        <w:rPr>
          <w:rFonts w:eastAsia="Times New Roman" w:cs="Times New Roman"/>
          <w:kern w:val="0"/>
          <w:sz w:val="22"/>
          <w:szCs w:val="22"/>
          <w:lang w:eastAsia="en-GB"/>
          <w14:ligatures w14:val="none"/>
        </w:rPr>
        <w:t>:</w:t>
      </w:r>
      <w:r w:rsidRPr="00786EB1">
        <w:rPr>
          <w:rFonts w:eastAsia="Times New Roman" w:cs="Times New Roman"/>
          <w:kern w:val="0"/>
          <w:sz w:val="22"/>
          <w:szCs w:val="22"/>
          <w:lang w:eastAsia="en-GB"/>
          <w14:ligatures w14:val="none"/>
        </w:rPr>
        <w:tab/>
        <w:t>Scientific and Technical Review Panel</w:t>
      </w:r>
    </w:p>
    <w:p w14:paraId="21148867" w14:textId="77777777" w:rsidR="00BC2A89" w:rsidRPr="00786EB1" w:rsidRDefault="00BC2A89" w:rsidP="00BC2A89">
      <w:pPr>
        <w:kinsoku w:val="0"/>
        <w:overflowPunct w:val="0"/>
        <w:autoSpaceDE w:val="0"/>
        <w:autoSpaceDN w:val="0"/>
        <w:adjustRightInd w:val="0"/>
        <w:ind w:left="1134" w:hanging="1134"/>
        <w:rPr>
          <w:rFonts w:ascii="Calibri" w:eastAsia="Times New Roman" w:hAnsi="Calibri" w:cs="Times New Roman"/>
          <w:kern w:val="0"/>
          <w:sz w:val="22"/>
          <w:szCs w:val="22"/>
          <w:lang w:eastAsia="en-GB"/>
          <w14:ligatures w14:val="none"/>
        </w:rPr>
      </w:pPr>
      <w:r w:rsidRPr="00786EB1">
        <w:rPr>
          <w:rFonts w:ascii="Calibri" w:eastAsia="Times New Roman" w:hAnsi="Calibri" w:cs="Times New Roman"/>
          <w:kern w:val="0"/>
          <w:sz w:val="22"/>
          <w:szCs w:val="22"/>
          <w:lang w:eastAsia="en-GB"/>
          <w14:ligatures w14:val="none"/>
        </w:rPr>
        <w:t>STRP NFP</w:t>
      </w:r>
      <w:r>
        <w:rPr>
          <w:rFonts w:ascii="Calibri" w:eastAsia="Times New Roman" w:hAnsi="Calibri" w:cs="Times New Roman"/>
          <w:kern w:val="0"/>
          <w:sz w:val="22"/>
          <w:szCs w:val="22"/>
          <w:lang w:eastAsia="en-GB"/>
          <w14:ligatures w14:val="none"/>
        </w:rPr>
        <w:t>:</w:t>
      </w:r>
      <w:r w:rsidRPr="00786EB1">
        <w:rPr>
          <w:rFonts w:ascii="Calibri" w:eastAsia="Times New Roman" w:hAnsi="Calibri" w:cs="Times New Roman"/>
          <w:kern w:val="0"/>
          <w:sz w:val="22"/>
          <w:szCs w:val="22"/>
          <w:lang w:eastAsia="en-GB"/>
          <w14:ligatures w14:val="none"/>
        </w:rPr>
        <w:tab/>
        <w:t>STRP National Focal Points</w:t>
      </w:r>
    </w:p>
    <w:p w14:paraId="2D6CEE1D" w14:textId="77777777" w:rsidR="00BC2A89" w:rsidRPr="00786EB1" w:rsidRDefault="00BC2A89" w:rsidP="00BC2A89">
      <w:pPr>
        <w:kinsoku w:val="0"/>
        <w:overflowPunct w:val="0"/>
        <w:autoSpaceDE w:val="0"/>
        <w:autoSpaceDN w:val="0"/>
        <w:adjustRightInd w:val="0"/>
        <w:ind w:left="1134" w:hanging="1134"/>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WEC:</w:t>
      </w:r>
      <w:r w:rsidRPr="00786EB1">
        <w:rPr>
          <w:rFonts w:eastAsia="Times New Roman" w:cs="Times New Roman"/>
          <w:kern w:val="0"/>
          <w:sz w:val="22"/>
          <w:szCs w:val="22"/>
          <w:lang w:eastAsia="en-GB"/>
          <w14:ligatures w14:val="none"/>
        </w:rPr>
        <w:tab/>
        <w:t>Wetland education/visitor centres</w:t>
      </w:r>
    </w:p>
    <w:p w14:paraId="101C6EDD" w14:textId="77777777" w:rsidR="00BC2A89" w:rsidRPr="00786EB1" w:rsidRDefault="00BC2A89" w:rsidP="00BC2A89">
      <w:pPr>
        <w:kinsoku w:val="0"/>
        <w:overflowPunct w:val="0"/>
        <w:autoSpaceDE w:val="0"/>
        <w:autoSpaceDN w:val="0"/>
        <w:adjustRightInd w:val="0"/>
        <w:ind w:left="1134" w:hanging="1134"/>
        <w:rPr>
          <w:rFonts w:eastAsia="Times New Roman" w:cs="Times New Roman"/>
          <w:kern w:val="0"/>
          <w:sz w:val="22"/>
          <w:szCs w:val="22"/>
          <w:lang w:eastAsia="en-GB"/>
          <w14:ligatures w14:val="none"/>
        </w:rPr>
      </w:pPr>
      <w:r>
        <w:rPr>
          <w:rFonts w:eastAsia="Times New Roman" w:cs="Times New Roman"/>
          <w:kern w:val="0"/>
          <w:sz w:val="22"/>
          <w:szCs w:val="22"/>
          <w:lang w:eastAsia="en-GB"/>
          <w14:ligatures w14:val="none"/>
        </w:rPr>
        <w:t>YFP:</w:t>
      </w:r>
      <w:r>
        <w:rPr>
          <w:rFonts w:eastAsia="Times New Roman" w:cs="Times New Roman"/>
          <w:kern w:val="0"/>
          <w:sz w:val="22"/>
          <w:szCs w:val="22"/>
          <w:lang w:eastAsia="en-GB"/>
          <w14:ligatures w14:val="none"/>
        </w:rPr>
        <w:tab/>
        <w:t xml:space="preserve">Youth Focal Points </w:t>
      </w:r>
    </w:p>
    <w:p w14:paraId="7991C90F" w14:textId="77777777" w:rsidR="00BC2A89" w:rsidRPr="00786EB1" w:rsidRDefault="00BC2A89" w:rsidP="00BC2A89">
      <w:pPr>
        <w:kinsoku w:val="0"/>
        <w:overflowPunct w:val="0"/>
        <w:autoSpaceDE w:val="0"/>
        <w:autoSpaceDN w:val="0"/>
        <w:adjustRightInd w:val="0"/>
        <w:rPr>
          <w:rFonts w:eastAsia="Times New Roman" w:cs="Times New Roman"/>
          <w:kern w:val="0"/>
          <w:sz w:val="22"/>
          <w:szCs w:val="22"/>
          <w:lang w:eastAsia="en-GB"/>
          <w14:ligatures w14:val="none"/>
        </w:rPr>
      </w:pPr>
    </w:p>
    <w:p w14:paraId="68DB4D7E" w14:textId="77777777" w:rsidR="00BC2A89" w:rsidRPr="00786EB1" w:rsidRDefault="00BC2A89" w:rsidP="00BC2A89">
      <w:pPr>
        <w:kinsoku w:val="0"/>
        <w:overflowPunct w:val="0"/>
        <w:autoSpaceDE w:val="0"/>
        <w:autoSpaceDN w:val="0"/>
        <w:adjustRightInd w:val="0"/>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This is an indicative list of key stakeholders that will vary to some extent from one country to another. As a broad guide that could contribute to achieving the results, suggested implementers of each target are indicated using the abbreviations above, for example {AA}.</w:t>
      </w:r>
    </w:p>
    <w:p w14:paraId="72766DA5" w14:textId="77777777" w:rsidR="003C5384" w:rsidRPr="00786EB1" w:rsidRDefault="003C5384" w:rsidP="000E5876">
      <w:pPr>
        <w:kinsoku w:val="0"/>
        <w:overflowPunct w:val="0"/>
        <w:autoSpaceDE w:val="0"/>
        <w:autoSpaceDN w:val="0"/>
        <w:adjustRightInd w:val="0"/>
        <w:rPr>
          <w:rFonts w:eastAsia="Times New Roman" w:cs="Times New Roman"/>
          <w:b/>
          <w:bCs/>
          <w:kern w:val="0"/>
          <w:sz w:val="22"/>
          <w:szCs w:val="22"/>
          <w:lang w:eastAsia="en-GB"/>
          <w14:ligatures w14:val="none"/>
        </w:rPr>
      </w:pPr>
    </w:p>
    <w:p w14:paraId="4459474E" w14:textId="77777777" w:rsidR="003C5384" w:rsidRPr="00786EB1" w:rsidRDefault="003C5384" w:rsidP="000E5876">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Goal 1</w:t>
      </w:r>
      <w:r w:rsidRPr="00786EB1">
        <w:rPr>
          <w:rFonts w:eastAsia="Times New Roman" w:cs="Times New Roman"/>
          <w:kern w:val="0"/>
          <w:sz w:val="22"/>
          <w:szCs w:val="22"/>
          <w:lang w:eastAsia="en-GB"/>
          <w14:ligatures w14:val="none"/>
        </w:rPr>
        <w:tab/>
        <w:t>Develop leadership to support effective implementation of the Programme by providing institutional mechanisms and establishing and supporting relevant networks.</w:t>
      </w:r>
    </w:p>
    <w:p w14:paraId="3011589F"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2481AB13" w14:textId="4579CD64" w:rsidR="003C5384" w:rsidRPr="00786EB1"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Appropriately experienced people to fill the roles of Government and Non‐governmental Organization CEPA </w:t>
      </w:r>
      <w:r w:rsidR="000E5876" w:rsidRPr="00786EB1">
        <w:rPr>
          <w:rFonts w:eastAsia="Times New Roman" w:cs="Times New Roman"/>
          <w:kern w:val="0"/>
          <w:sz w:val="22"/>
          <w:szCs w:val="22"/>
          <w:lang w:eastAsia="en-GB"/>
          <w14:ligatures w14:val="none"/>
        </w:rPr>
        <w:t xml:space="preserve">National </w:t>
      </w:r>
      <w:r w:rsidRPr="00786EB1">
        <w:rPr>
          <w:rFonts w:eastAsia="Times New Roman" w:cs="Times New Roman"/>
          <w:kern w:val="0"/>
          <w:sz w:val="22"/>
          <w:szCs w:val="22"/>
          <w:lang w:eastAsia="en-GB"/>
          <w14:ligatures w14:val="none"/>
        </w:rPr>
        <w:t>Focal Points (see Appendix 2) nominated by Contracting Parties and communicated to the Convention Secretariat. {AA , CSO}</w:t>
      </w:r>
    </w:p>
    <w:p w14:paraId="1D8CAD2E"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38DC76CF" w14:textId="77777777" w:rsidR="003C5384" w:rsidRPr="00786EB1"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lastRenderedPageBreak/>
        <w:t>National Ramsar/Wetland Committees established to collaborate with relevant government departments and institutions to mainstream wetlands and their ecosystem services. {AA, NRC}</w:t>
      </w:r>
    </w:p>
    <w:p w14:paraId="7CC6A668"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6BEAE15C" w14:textId="77777777" w:rsidR="003C5384" w:rsidRPr="00786EB1"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National Focal Points (AA, CEPA and STRP) included as members of National Ramsar/Wetland Committees where these exist. {AA, NRC}</w:t>
      </w:r>
    </w:p>
    <w:p w14:paraId="2CD470BF"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6CF61FA2" w14:textId="139D0DF5" w:rsidR="003C5384" w:rsidRPr="00786EB1"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Relationships developed and maintained with those organizations that can support Convention objectives through their expertise, their traditional knowledge, their human resources or through funding.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AA, IOPs}</w:t>
      </w:r>
    </w:p>
    <w:p w14:paraId="3928784C"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609BCB8E" w14:textId="08B1DBB4" w:rsidR="003C5384" w:rsidRPr="00786EB1"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Development and distribution of resources on conservation and wise use including World Wetlands Day and wetland education and management.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AAs, NRC, NFPs}</w:t>
      </w:r>
    </w:p>
    <w:p w14:paraId="53DCFF85" w14:textId="74F0E2A9"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7E1C229E" w14:textId="77777777" w:rsidR="002F2CA6" w:rsidRPr="00786EB1" w:rsidRDefault="002F2CA6" w:rsidP="002F2CA6">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Goal 2</w:t>
      </w:r>
      <w:r w:rsidRPr="00786EB1">
        <w:rPr>
          <w:rFonts w:eastAsia="Times New Roman" w:cs="Times New Roman"/>
          <w:kern w:val="0"/>
          <w:sz w:val="22"/>
          <w:szCs w:val="22"/>
          <w:lang w:eastAsia="en-GB"/>
          <w14:ligatures w14:val="none"/>
        </w:rPr>
        <w:tab/>
        <w:t>Integrate CEPA where appropriate into all levels of policy development, planning and implementation of the Convention.</w:t>
      </w:r>
    </w:p>
    <w:p w14:paraId="0098B9CA" w14:textId="77777777" w:rsidR="002F2CA6" w:rsidRPr="00786EB1" w:rsidRDefault="002F2CA6" w:rsidP="000E5876">
      <w:pPr>
        <w:kinsoku w:val="0"/>
        <w:overflowPunct w:val="0"/>
        <w:autoSpaceDE w:val="0"/>
        <w:autoSpaceDN w:val="0"/>
        <w:adjustRightInd w:val="0"/>
        <w:ind w:left="1276" w:hanging="1134"/>
        <w:rPr>
          <w:rFonts w:eastAsia="Times New Roman" w:cs="Times New Roman"/>
          <w:noProof/>
          <w:kern w:val="0"/>
          <w:sz w:val="22"/>
          <w:szCs w:val="22"/>
          <w:lang w:eastAsia="en-GB"/>
          <w14:ligatures w14:val="none"/>
        </w:rPr>
      </w:pPr>
    </w:p>
    <w:p w14:paraId="1669E415" w14:textId="77777777" w:rsidR="003C5384" w:rsidRPr="00786EB1" w:rsidRDefault="003C5384" w:rsidP="000E5876">
      <w:pPr>
        <w:tabs>
          <w:tab w:val="left" w:pos="1011"/>
        </w:tabs>
        <w:kinsoku w:val="0"/>
        <w:overflowPunct w:val="0"/>
        <w:autoSpaceDE w:val="0"/>
        <w:autoSpaceDN w:val="0"/>
        <w:adjustRightInd w:val="0"/>
        <w:ind w:left="1010"/>
        <w:rPr>
          <w:rFonts w:eastAsia="Times New Roman" w:cs="Times New Roman"/>
          <w:kern w:val="0"/>
          <w:sz w:val="22"/>
          <w:szCs w:val="22"/>
          <w:lang w:eastAsia="en-GB"/>
          <w14:ligatures w14:val="none"/>
        </w:rPr>
      </w:pPr>
    </w:p>
    <w:p w14:paraId="775FC9E0" w14:textId="3F83C5F4" w:rsidR="003C5384" w:rsidRPr="00786EB1" w:rsidRDefault="003C5384" w:rsidP="000E5876">
      <w:pPr>
        <w:numPr>
          <w:ilvl w:val="1"/>
          <w:numId w:val="11"/>
        </w:numPr>
        <w:kinsoku w:val="0"/>
        <w:overflowPunct w:val="0"/>
        <w:autoSpaceDE w:val="0"/>
        <w:autoSpaceDN w:val="0"/>
        <w:adjustRightInd w:val="0"/>
        <w:ind w:left="851" w:hanging="426"/>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CEPA expertise included in the development of guidance by the Convention’s bodies including the Scientific and Technical Review Panel (STRP) and Standing Committee (SC).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STRP}</w:t>
      </w:r>
    </w:p>
    <w:p w14:paraId="30D084D2"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4A843C3D" w14:textId="1A82DC6B" w:rsidR="003C5384" w:rsidRPr="00786EB1" w:rsidRDefault="003C5384" w:rsidP="000E5876">
      <w:pPr>
        <w:numPr>
          <w:ilvl w:val="1"/>
          <w:numId w:val="11"/>
        </w:numPr>
        <w:kinsoku w:val="0"/>
        <w:overflowPunct w:val="0"/>
        <w:autoSpaceDE w:val="0"/>
        <w:autoSpaceDN w:val="0"/>
        <w:adjustRightInd w:val="0"/>
        <w:ind w:left="851" w:hanging="426"/>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Wetland communication (CEPA) plans developed at the appropriate level by Parties (national, basin or site) to support implementers</w:t>
      </w:r>
      <w:r w:rsidR="001E5815">
        <w:rPr>
          <w:rFonts w:eastAsia="Times New Roman" w:cs="Times New Roman"/>
          <w:kern w:val="0"/>
          <w:sz w:val="22"/>
          <w:szCs w:val="22"/>
          <w:lang w:eastAsia="en-GB"/>
          <w14:ligatures w14:val="none"/>
        </w:rPr>
        <w:t xml:space="preserve"> of the Convention</w:t>
      </w:r>
      <w:r w:rsidRPr="00786EB1">
        <w:rPr>
          <w:rFonts w:eastAsia="Times New Roman" w:cs="Times New Roman"/>
          <w:kern w:val="0"/>
          <w:sz w:val="22"/>
          <w:szCs w:val="22"/>
          <w:lang w:eastAsia="en-GB"/>
          <w14:ligatures w14:val="none"/>
        </w:rPr>
        <w:t xml:space="preserve">. {AA, </w:t>
      </w:r>
      <w:r w:rsidR="00224968">
        <w:rPr>
          <w:rFonts w:eastAsia="Times New Roman" w:cs="Times New Roman"/>
          <w:kern w:val="0"/>
          <w:sz w:val="22"/>
          <w:szCs w:val="22"/>
          <w:lang w:eastAsia="en-GB"/>
          <w14:ligatures w14:val="none"/>
        </w:rPr>
        <w:t xml:space="preserve">YFP, </w:t>
      </w:r>
      <w:r w:rsidRPr="00786EB1">
        <w:rPr>
          <w:rFonts w:eastAsia="Times New Roman" w:cs="Times New Roman"/>
          <w:kern w:val="0"/>
          <w:sz w:val="22"/>
          <w:szCs w:val="22"/>
          <w:lang w:eastAsia="en-GB"/>
          <w14:ligatures w14:val="none"/>
        </w:rPr>
        <w:t>NRC, CSO}</w:t>
      </w:r>
    </w:p>
    <w:p w14:paraId="4E07C2BB"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1AC66038" w14:textId="6BDEB662" w:rsidR="003C5384" w:rsidRPr="00786EB1" w:rsidRDefault="003C5384" w:rsidP="000E5876">
      <w:pPr>
        <w:numPr>
          <w:ilvl w:val="1"/>
          <w:numId w:val="11"/>
        </w:numPr>
        <w:kinsoku w:val="0"/>
        <w:overflowPunct w:val="0"/>
        <w:autoSpaceDE w:val="0"/>
        <w:autoSpaceDN w:val="0"/>
        <w:adjustRightInd w:val="0"/>
        <w:ind w:left="851" w:hanging="426"/>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Where appropriate, wetland CEPA integrated into national policy and planning relevant to wetlands. {AA, </w:t>
      </w:r>
      <w:r w:rsidR="00224968">
        <w:rPr>
          <w:rFonts w:eastAsia="Times New Roman" w:cs="Times New Roman"/>
          <w:kern w:val="0"/>
          <w:sz w:val="22"/>
          <w:szCs w:val="22"/>
          <w:lang w:eastAsia="en-GB"/>
          <w14:ligatures w14:val="none"/>
        </w:rPr>
        <w:t xml:space="preserve">YFP, </w:t>
      </w:r>
      <w:r w:rsidRPr="00786EB1">
        <w:rPr>
          <w:rFonts w:eastAsia="Times New Roman" w:cs="Times New Roman"/>
          <w:kern w:val="0"/>
          <w:sz w:val="22"/>
          <w:szCs w:val="22"/>
          <w:lang w:eastAsia="en-GB"/>
          <w14:ligatures w14:val="none"/>
        </w:rPr>
        <w:t>CEPA, NRC}</w:t>
      </w:r>
    </w:p>
    <w:p w14:paraId="4766077B" w14:textId="77777777" w:rsidR="003C5384" w:rsidRPr="00786EB1" w:rsidRDefault="003C5384" w:rsidP="000E5876">
      <w:pPr>
        <w:kinsoku w:val="0"/>
        <w:overflowPunct w:val="0"/>
        <w:autoSpaceDE w:val="0"/>
        <w:autoSpaceDN w:val="0"/>
        <w:adjustRightInd w:val="0"/>
        <w:ind w:left="426" w:hanging="426"/>
        <w:rPr>
          <w:rFonts w:eastAsia="Times New Roman" w:cs="Times New Roman"/>
          <w:kern w:val="0"/>
          <w:sz w:val="22"/>
          <w:szCs w:val="22"/>
          <w:lang w:eastAsia="en-GB"/>
          <w14:ligatures w14:val="none"/>
        </w:rPr>
      </w:pPr>
    </w:p>
    <w:p w14:paraId="3039C9EF" w14:textId="77777777" w:rsidR="003C5384" w:rsidRPr="00786EB1" w:rsidRDefault="003C5384" w:rsidP="002F2CA6">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2F2CA6">
        <w:rPr>
          <w:rFonts w:eastAsia="Times New Roman" w:cs="Times New Roman"/>
          <w:kern w:val="0"/>
          <w:sz w:val="22"/>
          <w:szCs w:val="22"/>
          <w:lang w:eastAsia="en-GB"/>
          <w14:ligatures w14:val="none"/>
        </w:rPr>
        <w:t>Goal</w:t>
      </w:r>
      <w:r w:rsidRPr="00786EB1">
        <w:rPr>
          <w:rFonts w:eastAsia="Times New Roman" w:cs="Times New Roman"/>
          <w:kern w:val="0"/>
          <w:sz w:val="22"/>
          <w:szCs w:val="22"/>
          <w:lang w:eastAsia="en-GB"/>
          <w14:ligatures w14:val="none"/>
        </w:rPr>
        <w:t xml:space="preserve"> 3</w:t>
      </w:r>
      <w:r w:rsidRPr="00786EB1">
        <w:rPr>
          <w:rFonts w:eastAsia="Times New Roman" w:cs="Times New Roman"/>
          <w:kern w:val="0"/>
          <w:sz w:val="22"/>
          <w:szCs w:val="22"/>
          <w:lang w:eastAsia="en-GB"/>
          <w14:ligatures w14:val="none"/>
        </w:rPr>
        <w:tab/>
        <w:t>Provide support to implementers of wise use principles, especially those with a direct role in site management.</w:t>
      </w:r>
    </w:p>
    <w:p w14:paraId="34049DE8" w14:textId="77777777" w:rsidR="003C5384" w:rsidRPr="00786EB1" w:rsidRDefault="003C5384" w:rsidP="000E5876">
      <w:pPr>
        <w:kinsoku w:val="0"/>
        <w:overflowPunct w:val="0"/>
        <w:autoSpaceDE w:val="0"/>
        <w:autoSpaceDN w:val="0"/>
        <w:adjustRightInd w:val="0"/>
        <w:ind w:left="1276" w:hanging="1134"/>
        <w:rPr>
          <w:rFonts w:eastAsia="Times New Roman" w:cs="Times New Roman"/>
          <w:kern w:val="0"/>
          <w:sz w:val="22"/>
          <w:szCs w:val="22"/>
          <w:lang w:eastAsia="en-GB"/>
          <w14:ligatures w14:val="none"/>
        </w:rPr>
      </w:pPr>
    </w:p>
    <w:p w14:paraId="302A9D15" w14:textId="64E8910F" w:rsidR="003C5384" w:rsidRPr="00786EB1" w:rsidRDefault="003C5384" w:rsidP="000E5876">
      <w:pPr>
        <w:numPr>
          <w:ilvl w:val="1"/>
          <w:numId w:val="10"/>
        </w:numPr>
        <w:tabs>
          <w:tab w:val="left" w:pos="1011"/>
        </w:tabs>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The </w:t>
      </w:r>
      <w:r w:rsidR="001E5815">
        <w:rPr>
          <w:rFonts w:eastAsia="Times New Roman" w:cs="Times New Roman"/>
          <w:kern w:val="0"/>
          <w:sz w:val="22"/>
          <w:szCs w:val="22"/>
          <w:lang w:eastAsia="en-GB"/>
          <w14:ligatures w14:val="none"/>
        </w:rPr>
        <w:t xml:space="preserve">Fifth </w:t>
      </w:r>
      <w:r w:rsidRPr="00786EB1">
        <w:rPr>
          <w:rFonts w:eastAsia="Times New Roman" w:cs="Times New Roman"/>
          <w:kern w:val="0"/>
          <w:sz w:val="22"/>
          <w:szCs w:val="22"/>
          <w:lang w:eastAsia="en-GB"/>
          <w14:ligatures w14:val="none"/>
        </w:rPr>
        <w:t>Strategic Plan adopted by COP15 disseminated and promoted.</w:t>
      </w:r>
    </w:p>
    <w:p w14:paraId="6DD8F343" w14:textId="77777777" w:rsidR="003C5384" w:rsidRPr="00786EB1" w:rsidRDefault="003C5384" w:rsidP="000E5876">
      <w:pPr>
        <w:tabs>
          <w:tab w:val="left" w:pos="1011"/>
        </w:tabs>
        <w:kinsoku w:val="0"/>
        <w:overflowPunct w:val="0"/>
        <w:autoSpaceDE w:val="0"/>
        <w:autoSpaceDN w:val="0"/>
        <w:adjustRightInd w:val="0"/>
        <w:rPr>
          <w:rFonts w:eastAsia="Times New Roman" w:cs="Times New Roman"/>
          <w:kern w:val="0"/>
          <w:sz w:val="22"/>
          <w:szCs w:val="22"/>
          <w:lang w:eastAsia="en-GB"/>
          <w14:ligatures w14:val="none"/>
        </w:rPr>
      </w:pPr>
    </w:p>
    <w:p w14:paraId="36F939DE" w14:textId="3BB52CAA"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Appropriate guidance materials that support and encourage the wise use of wetlands produced for use at </w:t>
      </w:r>
      <w:r w:rsidR="001E5815">
        <w:rPr>
          <w:rFonts w:eastAsia="Times New Roman" w:cs="Times New Roman"/>
          <w:kern w:val="0"/>
          <w:sz w:val="22"/>
          <w:szCs w:val="22"/>
          <w:lang w:eastAsia="en-GB"/>
          <w14:ligatures w14:val="none"/>
        </w:rPr>
        <w:t>Wetlands of International Importance</w:t>
      </w:r>
      <w:r w:rsidRPr="00786EB1">
        <w:rPr>
          <w:rFonts w:eastAsia="Times New Roman" w:cs="Times New Roman"/>
          <w:kern w:val="0"/>
          <w:sz w:val="22"/>
          <w:szCs w:val="22"/>
          <w:lang w:eastAsia="en-GB"/>
          <w14:ligatures w14:val="none"/>
        </w:rPr>
        <w:t xml:space="preserve"> and other wetlands and by wetland networks.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STRP, IOPs, CSO}</w:t>
      </w:r>
    </w:p>
    <w:p w14:paraId="122DBC1D" w14:textId="77777777" w:rsidR="003C5384" w:rsidRPr="00786EB1" w:rsidRDefault="003C5384" w:rsidP="000E5876">
      <w:pPr>
        <w:kinsoku w:val="0"/>
        <w:overflowPunct w:val="0"/>
        <w:autoSpaceDE w:val="0"/>
        <w:autoSpaceDN w:val="0"/>
        <w:adjustRightInd w:val="0"/>
        <w:ind w:left="425" w:hanging="425"/>
        <w:rPr>
          <w:rFonts w:eastAsia="Times New Roman" w:cs="Times New Roman"/>
          <w:kern w:val="0"/>
          <w:sz w:val="22"/>
          <w:szCs w:val="22"/>
          <w:lang w:eastAsia="en-GB"/>
          <w14:ligatures w14:val="none"/>
        </w:rPr>
      </w:pPr>
    </w:p>
    <w:p w14:paraId="7F965C6E" w14:textId="70A2AB9B"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Websites, including the Convention’s website, to be further developed to be a useful platform for the sharing of information and resources, including the sharing of information and experiences among CEPA National Focal Points.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STRP, AA}</w:t>
      </w:r>
    </w:p>
    <w:p w14:paraId="4664D522"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255145DB" w14:textId="35D41F65"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Appropriate </w:t>
      </w:r>
      <w:r w:rsidR="008979F2">
        <w:rPr>
          <w:rFonts w:eastAsia="Times New Roman" w:cs="Times New Roman"/>
          <w:kern w:val="0"/>
          <w:sz w:val="22"/>
          <w:szCs w:val="22"/>
          <w:lang w:eastAsia="en-GB"/>
          <w14:ligatures w14:val="none"/>
        </w:rPr>
        <w:t>Wetlands of International Importance</w:t>
      </w:r>
      <w:r w:rsidRPr="00786EB1">
        <w:rPr>
          <w:rFonts w:eastAsia="Times New Roman" w:cs="Times New Roman"/>
          <w:kern w:val="0"/>
          <w:sz w:val="22"/>
          <w:szCs w:val="22"/>
          <w:lang w:eastAsia="en-GB"/>
          <w14:ligatures w14:val="none"/>
        </w:rPr>
        <w:t xml:space="preserve"> and other wetlands to be celebrated as “demonstration sites” for the wise use principle, and these sites suitably equipped in terms of capacity, signage, and interpretive materials. {AA, CEPA, IOPs, CSO, STRP NFPs}</w:t>
      </w:r>
    </w:p>
    <w:p w14:paraId="39F1A77E"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06B36AD0" w14:textId="0C568EA4"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Secretariat requested to share CEPA stories which illustrate how implementation of CEPA can improve wetland management.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w:t>
      </w:r>
    </w:p>
    <w:p w14:paraId="2C155F77"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4AFC3105" w14:textId="17EE97D5" w:rsidR="003C5384" w:rsidRPr="00786EB1"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Collaboration on CEPA with other Conventions, IOPs, NGOs, UN agencies and others through sharing of CEPA experiences and the encouragement of synergies.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xml:space="preserve">, IOPs, CSO, AA, </w:t>
      </w:r>
      <w:r w:rsidR="002E47A3">
        <w:rPr>
          <w:rFonts w:eastAsia="Times New Roman" w:cs="Times New Roman"/>
          <w:kern w:val="0"/>
          <w:sz w:val="22"/>
          <w:szCs w:val="22"/>
          <w:lang w:eastAsia="en-GB"/>
          <w14:ligatures w14:val="none"/>
        </w:rPr>
        <w:t xml:space="preserve">YFP, </w:t>
      </w:r>
      <w:r w:rsidRPr="00786EB1">
        <w:rPr>
          <w:rFonts w:eastAsia="Times New Roman" w:cs="Times New Roman"/>
          <w:kern w:val="0"/>
          <w:sz w:val="22"/>
          <w:szCs w:val="22"/>
          <w:lang w:eastAsia="en-GB"/>
          <w14:ligatures w14:val="none"/>
        </w:rPr>
        <w:t>CEPA}</w:t>
      </w:r>
    </w:p>
    <w:p w14:paraId="47F17005" w14:textId="77777777" w:rsidR="003C5384" w:rsidRPr="00786EB1" w:rsidRDefault="003C5384" w:rsidP="000E5876">
      <w:pPr>
        <w:kinsoku w:val="0"/>
        <w:overflowPunct w:val="0"/>
        <w:autoSpaceDE w:val="0"/>
        <w:autoSpaceDN w:val="0"/>
        <w:adjustRightInd w:val="0"/>
        <w:ind w:left="425" w:hanging="425"/>
        <w:rPr>
          <w:rFonts w:eastAsia="Times New Roman" w:cs="Times New Roman"/>
          <w:kern w:val="0"/>
          <w:sz w:val="22"/>
          <w:szCs w:val="22"/>
          <w:lang w:eastAsia="en-GB"/>
          <w14:ligatures w14:val="none"/>
        </w:rPr>
      </w:pPr>
    </w:p>
    <w:p w14:paraId="14635C8A" w14:textId="77777777" w:rsidR="003C5384" w:rsidRPr="00786EB1" w:rsidRDefault="003C5384" w:rsidP="002F2CA6">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2F2CA6">
        <w:rPr>
          <w:rFonts w:eastAsia="Times New Roman" w:cs="Times New Roman"/>
          <w:kern w:val="0"/>
          <w:sz w:val="22"/>
          <w:szCs w:val="22"/>
          <w:lang w:eastAsia="en-GB"/>
          <w14:ligatures w14:val="none"/>
        </w:rPr>
        <w:t>Goal 4</w:t>
      </w:r>
      <w:r w:rsidRPr="002F2CA6">
        <w:rPr>
          <w:rFonts w:eastAsia="Times New Roman" w:cs="Times New Roman"/>
          <w:kern w:val="0"/>
          <w:sz w:val="22"/>
          <w:szCs w:val="22"/>
          <w:lang w:eastAsia="en-GB"/>
          <w14:ligatures w14:val="none"/>
        </w:rPr>
        <w:tab/>
        <w:t>Build the individual, institutional and collective capacity of people with a direct responsibility for Convention on Wetlands implementation.</w:t>
      </w:r>
    </w:p>
    <w:p w14:paraId="42E1E31D"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ED2A63A" w14:textId="44785659" w:rsidR="003C5384" w:rsidRPr="00786EB1"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Site managers supported to incorporate communication, education, participation and awareness elements into their management plans.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STRP, AA, CEPA, SM, RRCs, CSO, STRP NFP}</w:t>
      </w:r>
    </w:p>
    <w:p w14:paraId="223FDEFB" w14:textId="77777777" w:rsidR="003C5384" w:rsidRPr="00786EB1" w:rsidRDefault="003C5384" w:rsidP="000E5876">
      <w:pPr>
        <w:kinsoku w:val="0"/>
        <w:overflowPunct w:val="0"/>
        <w:autoSpaceDE w:val="0"/>
        <w:autoSpaceDN w:val="0"/>
        <w:adjustRightInd w:val="0"/>
        <w:ind w:left="851"/>
        <w:rPr>
          <w:rFonts w:eastAsia="Times New Roman" w:cs="Times New Roman"/>
          <w:kern w:val="0"/>
          <w:sz w:val="22"/>
          <w:szCs w:val="22"/>
          <w:lang w:eastAsia="en-GB"/>
          <w14:ligatures w14:val="none"/>
        </w:rPr>
      </w:pPr>
    </w:p>
    <w:p w14:paraId="075A09D8" w14:textId="73770679" w:rsidR="003C5384" w:rsidRPr="00786EB1"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Resources provided to produce wetland management training and capacity building materials and carry out training and capacity building.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AA, CEPA, STRP, SM, RRCs, CSO, STRP NFP}</w:t>
      </w:r>
    </w:p>
    <w:p w14:paraId="243861F6"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2212E094" w14:textId="4D444C7B" w:rsidR="003C5384" w:rsidRPr="00786EB1"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Partnerships with tertiary education institutions and other relevant organisations are developed to support the production and delivery of wetland management training and capacity building materials and programmes.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STRP, RRCs, CSO, PS, AA, CEPA, STRP NFP}</w:t>
      </w:r>
    </w:p>
    <w:p w14:paraId="493E48CF"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757C0C21" w14:textId="77777777" w:rsidR="003C5384" w:rsidRPr="00786EB1"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Arial"/>
          <w:kern w:val="0"/>
          <w:sz w:val="22"/>
          <w:szCs w:val="22"/>
          <w:lang w:eastAsia="en-GB"/>
          <w14:ligatures w14:val="none"/>
        </w:rPr>
        <w:t>National strategic plans that strengthen the technical capacity and management of local authorities to incorporate environmental benefits and services of wetlands as strategies for local and regional development promoted.</w:t>
      </w:r>
      <w:r w:rsidRPr="00786EB1">
        <w:rPr>
          <w:rFonts w:eastAsia="Times New Roman" w:cs="Times New Roman"/>
          <w:kern w:val="0"/>
          <w:sz w:val="22"/>
          <w:szCs w:val="22"/>
          <w:lang w:eastAsia="en-GB"/>
          <w14:ligatures w14:val="none"/>
        </w:rPr>
        <w:t xml:space="preserve"> {AA, CEPA}</w:t>
      </w:r>
    </w:p>
    <w:p w14:paraId="32EA5383"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62929670" w14:textId="77777777" w:rsidR="003C5384" w:rsidRPr="00786EB1" w:rsidRDefault="003C5384" w:rsidP="002F2CA6">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Goal 5</w:t>
      </w:r>
      <w:r w:rsidRPr="00786EB1">
        <w:rPr>
          <w:rFonts w:eastAsia="Times New Roman" w:cs="Times New Roman"/>
          <w:kern w:val="0"/>
          <w:sz w:val="22"/>
          <w:szCs w:val="22"/>
          <w:lang w:eastAsia="en-GB"/>
          <w14:ligatures w14:val="none"/>
        </w:rPr>
        <w:tab/>
        <w:t>Develop and support mechanisms to ensure multi-stakeholder participation in wetland management.</w:t>
      </w:r>
    </w:p>
    <w:p w14:paraId="2CA23C54"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6F11CBC" w14:textId="0493974B" w:rsidR="003C5384" w:rsidRPr="00786EB1"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Participation of major stakeholders and others as an effective process for selection of new </w:t>
      </w:r>
      <w:r w:rsidR="00905911">
        <w:rPr>
          <w:rFonts w:eastAsia="Times New Roman" w:cs="Times New Roman"/>
          <w:kern w:val="0"/>
          <w:sz w:val="22"/>
          <w:szCs w:val="22"/>
          <w:lang w:eastAsia="en-GB"/>
          <w14:ligatures w14:val="none"/>
        </w:rPr>
        <w:t>Wetlands of International Importance</w:t>
      </w:r>
      <w:r w:rsidRPr="00786EB1">
        <w:rPr>
          <w:rFonts w:eastAsia="Times New Roman" w:cs="Times New Roman"/>
          <w:kern w:val="0"/>
          <w:sz w:val="22"/>
          <w:szCs w:val="22"/>
          <w:lang w:eastAsia="en-GB"/>
          <w14:ligatures w14:val="none"/>
        </w:rPr>
        <w:t xml:space="preserve"> and management of all wetlands. {AA,</w:t>
      </w:r>
      <w:r w:rsidR="00245078">
        <w:rPr>
          <w:rFonts w:eastAsia="Times New Roman" w:cs="Times New Roman"/>
          <w:kern w:val="0"/>
          <w:sz w:val="22"/>
          <w:szCs w:val="22"/>
          <w:lang w:eastAsia="en-GB"/>
          <w14:ligatures w14:val="none"/>
        </w:rPr>
        <w:t xml:space="preserve"> YFP,</w:t>
      </w:r>
      <w:r w:rsidRPr="00786EB1">
        <w:rPr>
          <w:rFonts w:eastAsia="Times New Roman" w:cs="Times New Roman"/>
          <w:kern w:val="0"/>
          <w:sz w:val="22"/>
          <w:szCs w:val="22"/>
          <w:lang w:eastAsia="en-GB"/>
          <w14:ligatures w14:val="none"/>
        </w:rPr>
        <w:t xml:space="preserve"> SM, CEPA, CSO, STRP NFP}</w:t>
      </w:r>
    </w:p>
    <w:p w14:paraId="4AE8374E" w14:textId="77777777" w:rsidR="003C5384" w:rsidRPr="00786EB1" w:rsidRDefault="003C5384" w:rsidP="000E5876">
      <w:pPr>
        <w:kinsoku w:val="0"/>
        <w:overflowPunct w:val="0"/>
        <w:autoSpaceDE w:val="0"/>
        <w:autoSpaceDN w:val="0"/>
        <w:adjustRightInd w:val="0"/>
        <w:ind w:left="426" w:hanging="426"/>
        <w:rPr>
          <w:rFonts w:eastAsia="Times New Roman" w:cs="Times New Roman"/>
          <w:kern w:val="0"/>
          <w:sz w:val="22"/>
          <w:szCs w:val="22"/>
          <w:lang w:eastAsia="en-GB"/>
          <w14:ligatures w14:val="none"/>
        </w:rPr>
      </w:pPr>
    </w:p>
    <w:p w14:paraId="499E9177" w14:textId="66F1BB9A" w:rsidR="003C5384" w:rsidRPr="00786EB1"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Participation in wetland management of stakeholder groups with cultural, spiritual, customary, traditional, historical and socio‐economic links to wetlands or those communities who depend on wetlands for their livelihoods is given a high priority. {AA, </w:t>
      </w:r>
      <w:r w:rsidR="00245078">
        <w:rPr>
          <w:rFonts w:eastAsia="Times New Roman" w:cs="Times New Roman"/>
          <w:kern w:val="0"/>
          <w:sz w:val="22"/>
          <w:szCs w:val="22"/>
          <w:lang w:eastAsia="en-GB"/>
          <w14:ligatures w14:val="none"/>
        </w:rPr>
        <w:t xml:space="preserve">YFP, </w:t>
      </w:r>
      <w:r w:rsidRPr="00786EB1">
        <w:rPr>
          <w:rFonts w:eastAsia="Times New Roman" w:cs="Times New Roman"/>
          <w:kern w:val="0"/>
          <w:sz w:val="22"/>
          <w:szCs w:val="22"/>
          <w:lang w:eastAsia="en-GB"/>
          <w14:ligatures w14:val="none"/>
        </w:rPr>
        <w:t>SM, CEPA, CSO, RRI}</w:t>
      </w:r>
    </w:p>
    <w:p w14:paraId="633F4BCF"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0E4C2C47" w14:textId="77777777" w:rsidR="003C5384" w:rsidRPr="00786EB1" w:rsidRDefault="003C5384" w:rsidP="000E5876">
      <w:pPr>
        <w:numPr>
          <w:ilvl w:val="1"/>
          <w:numId w:val="8"/>
        </w:numPr>
        <w:kinsoku w:val="0"/>
        <w:overflowPunct w:val="0"/>
        <w:autoSpaceDE w:val="0"/>
        <w:autoSpaceDN w:val="0"/>
        <w:adjustRightInd w:val="0"/>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The use of practices and traditional knowledge systems that embody appropriate wetland cultural management by indigenous peoples and local communities</w:t>
      </w:r>
      <w:r w:rsidRPr="00786EB1" w:rsidDel="00E4116E">
        <w:rPr>
          <w:rFonts w:eastAsia="Times New Roman" w:cs="Times New Roman"/>
          <w:kern w:val="0"/>
          <w:sz w:val="22"/>
          <w:szCs w:val="22"/>
          <w:lang w:eastAsia="en-GB"/>
          <w14:ligatures w14:val="none"/>
        </w:rPr>
        <w:t xml:space="preserve"> </w:t>
      </w:r>
      <w:r w:rsidRPr="00786EB1">
        <w:rPr>
          <w:rFonts w:eastAsia="Times New Roman" w:cs="Times New Roman"/>
          <w:kern w:val="0"/>
          <w:sz w:val="22"/>
          <w:szCs w:val="22"/>
          <w:lang w:eastAsia="en-GB"/>
          <w14:ligatures w14:val="none"/>
        </w:rPr>
        <w:t>recovered, strengthened and encouraged. {AA, CEPA}</w:t>
      </w:r>
    </w:p>
    <w:p w14:paraId="1B4B5EBC"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357E1BF4" w14:textId="24021065" w:rsidR="003C5384" w:rsidRPr="00786EB1"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Encourage community participation in wetlands through volunteer programmes which support the delivery of management objectives. {AA, </w:t>
      </w:r>
      <w:r w:rsidR="003E535F">
        <w:rPr>
          <w:rFonts w:eastAsia="Times New Roman" w:cs="Times New Roman"/>
          <w:kern w:val="0"/>
          <w:sz w:val="22"/>
          <w:szCs w:val="22"/>
          <w:lang w:eastAsia="en-GB"/>
          <w14:ligatures w14:val="none"/>
        </w:rPr>
        <w:t xml:space="preserve">YFP, </w:t>
      </w:r>
      <w:r w:rsidRPr="00786EB1">
        <w:rPr>
          <w:rFonts w:eastAsia="Times New Roman" w:cs="Times New Roman"/>
          <w:kern w:val="0"/>
          <w:sz w:val="22"/>
          <w:szCs w:val="22"/>
          <w:lang w:eastAsia="en-GB"/>
          <w14:ligatures w14:val="none"/>
        </w:rPr>
        <w:t>SM, CSO}</w:t>
      </w:r>
    </w:p>
    <w:p w14:paraId="42032852" w14:textId="77777777" w:rsidR="003C5384" w:rsidRPr="00786EB1" w:rsidRDefault="003C5384" w:rsidP="000E5876">
      <w:pPr>
        <w:autoSpaceDE w:val="0"/>
        <w:autoSpaceDN w:val="0"/>
        <w:adjustRightInd w:val="0"/>
        <w:rPr>
          <w:rFonts w:eastAsia="Times New Roman" w:cs="Times New Roman"/>
          <w:kern w:val="0"/>
          <w:sz w:val="22"/>
          <w:szCs w:val="22"/>
          <w:lang w:eastAsia="en-GB"/>
          <w14:ligatures w14:val="none"/>
        </w:rPr>
      </w:pPr>
    </w:p>
    <w:p w14:paraId="0E2EB2F9" w14:textId="77777777" w:rsidR="003C5384" w:rsidRPr="00786EB1"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Relationships with the private sector are sought and developed, including non‐traditional sectors and those sectors whose activities have a major impact on wise use of wetlands. {AA, NRC, SM, PS}</w:t>
      </w:r>
    </w:p>
    <w:p w14:paraId="3094C47D" w14:textId="77777777" w:rsidR="003C5384" w:rsidRPr="00786EB1"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5642B491" w14:textId="14108D80" w:rsidR="003C5384" w:rsidRPr="00786EB1" w:rsidRDefault="003C5384" w:rsidP="002F2CA6">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2F2CA6">
        <w:rPr>
          <w:rFonts w:eastAsia="Times New Roman" w:cs="Times New Roman"/>
          <w:kern w:val="0"/>
          <w:sz w:val="22"/>
          <w:szCs w:val="22"/>
          <w:lang w:eastAsia="en-GB"/>
          <w14:ligatures w14:val="none"/>
        </w:rPr>
        <w:t>Goal</w:t>
      </w:r>
      <w:r w:rsidRPr="00786EB1">
        <w:rPr>
          <w:rFonts w:eastAsia="Times New Roman" w:cs="Times New Roman"/>
          <w:kern w:val="0"/>
          <w:sz w:val="22"/>
          <w:szCs w:val="22"/>
          <w:lang w:eastAsia="en-GB"/>
          <w14:ligatures w14:val="none"/>
        </w:rPr>
        <w:t xml:space="preserve"> 6</w:t>
      </w:r>
      <w:r w:rsidRPr="00786EB1">
        <w:rPr>
          <w:rFonts w:eastAsia="Times New Roman" w:cs="Times New Roman"/>
          <w:kern w:val="0"/>
          <w:sz w:val="22"/>
          <w:szCs w:val="22"/>
          <w:lang w:eastAsia="en-GB"/>
          <w14:ligatures w14:val="none"/>
        </w:rPr>
        <w:tab/>
        <w:t>Implement programmes, projects and campaigns targeting diverse sectors of society to increase awareness, appreciation and understanding of wetlands and the ecosystem services they provide.</w:t>
      </w:r>
    </w:p>
    <w:p w14:paraId="5816119D" w14:textId="77777777" w:rsidR="003C5384" w:rsidRPr="00786EB1" w:rsidRDefault="003C5384" w:rsidP="000E5876">
      <w:pPr>
        <w:tabs>
          <w:tab w:val="left" w:pos="1011"/>
        </w:tabs>
        <w:kinsoku w:val="0"/>
        <w:overflowPunct w:val="0"/>
        <w:autoSpaceDE w:val="0"/>
        <w:autoSpaceDN w:val="0"/>
        <w:adjustRightInd w:val="0"/>
        <w:rPr>
          <w:rFonts w:eastAsia="Times New Roman" w:cs="Times New Roman"/>
          <w:kern w:val="0"/>
          <w:sz w:val="22"/>
          <w:szCs w:val="22"/>
          <w:lang w:eastAsia="en-GB"/>
          <w14:ligatures w14:val="none"/>
        </w:rPr>
      </w:pPr>
    </w:p>
    <w:p w14:paraId="61AEA64D" w14:textId="0E7FC811" w:rsidR="003C5384" w:rsidRPr="00786EB1"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Wide-reaching programmes, projects and campaigns, including World Wetlands Day, undertaken with diverse partners to raise awareness, build community support, and </w:t>
      </w:r>
      <w:r w:rsidRPr="00786EB1">
        <w:rPr>
          <w:rFonts w:eastAsia="Times New Roman" w:cs="Times New Roman"/>
          <w:kern w:val="0"/>
          <w:sz w:val="22"/>
          <w:szCs w:val="22"/>
          <w:lang w:eastAsia="en-GB"/>
          <w14:ligatures w14:val="none"/>
        </w:rPr>
        <w:lastRenderedPageBreak/>
        <w:t>promote stewardship approaches and attitudes towards wetlands, in particular through the use of social media.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xml:space="preserve">, AA, </w:t>
      </w:r>
      <w:r w:rsidR="003E535F">
        <w:rPr>
          <w:rFonts w:eastAsia="Times New Roman" w:cs="Times New Roman"/>
          <w:kern w:val="0"/>
          <w:sz w:val="22"/>
          <w:szCs w:val="22"/>
          <w:lang w:eastAsia="en-GB"/>
          <w14:ligatures w14:val="none"/>
        </w:rPr>
        <w:t xml:space="preserve">YFP, </w:t>
      </w:r>
      <w:r w:rsidRPr="00786EB1">
        <w:rPr>
          <w:rFonts w:eastAsia="Times New Roman" w:cs="Times New Roman"/>
          <w:kern w:val="0"/>
          <w:sz w:val="22"/>
          <w:szCs w:val="22"/>
          <w:lang w:eastAsia="en-GB"/>
          <w14:ligatures w14:val="none"/>
        </w:rPr>
        <w:t>NRC, CEPA, SM, IOPs, RRCs, PS, CSO}</w:t>
      </w:r>
    </w:p>
    <w:p w14:paraId="042EB1E4"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0E6B2A1C" w14:textId="7580CF22" w:rsidR="003C5384" w:rsidRPr="00786EB1"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Awareness enhanced on the monetary and non‐monetary values of wetlands and their ecosystem services to improve understanding of the benefits which wetlands provide.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STRP, AA, CEPA, SM, STRP NFP}</w:t>
      </w:r>
    </w:p>
    <w:p w14:paraId="403B2314"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37BD84DE" w14:textId="22CC9DE0" w:rsidR="003C5384" w:rsidRPr="00786EB1"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Photo libraries, promotional videos and other similar tools developed and/or maintained to support awareness raising and appreciation of wetlands and their ecosystem services.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AA, CEPA}</w:t>
      </w:r>
    </w:p>
    <w:p w14:paraId="7C9F00E0"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7AF19578" w14:textId="3A20A71E" w:rsidR="003C5384"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Collaboration with the media, including social media, carried out to promote the conservation and wise use of wetlands and recognition of their ecosystem services to decision</w:t>
      </w:r>
      <w:r w:rsidR="00905911">
        <w:rPr>
          <w:rFonts w:eastAsia="Times New Roman" w:cs="Times New Roman"/>
          <w:kern w:val="0"/>
          <w:sz w:val="22"/>
          <w:szCs w:val="22"/>
          <w:lang w:eastAsia="en-GB"/>
          <w14:ligatures w14:val="none"/>
        </w:rPr>
        <w:t xml:space="preserve"> </w:t>
      </w:r>
      <w:r w:rsidRPr="00786EB1">
        <w:rPr>
          <w:rFonts w:eastAsia="Times New Roman" w:cs="Times New Roman"/>
          <w:kern w:val="0"/>
          <w:sz w:val="22"/>
          <w:szCs w:val="22"/>
          <w:lang w:eastAsia="en-GB"/>
          <w14:ligatures w14:val="none"/>
        </w:rPr>
        <w:t>makers, key wetland users and the broad public.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AA, CEPA}</w:t>
      </w:r>
    </w:p>
    <w:p w14:paraId="4C7EE338" w14:textId="77777777" w:rsidR="00271BCD" w:rsidRDefault="00271BCD" w:rsidP="000E5876">
      <w:pPr>
        <w:pStyle w:val="ListParagraph"/>
        <w:rPr>
          <w:rFonts w:eastAsia="Times New Roman" w:cs="Times New Roman"/>
          <w:kern w:val="0"/>
          <w:sz w:val="22"/>
          <w:szCs w:val="22"/>
          <w:lang w:eastAsia="en-GB"/>
          <w14:ligatures w14:val="none"/>
        </w:rPr>
      </w:pPr>
    </w:p>
    <w:p w14:paraId="12F4982E" w14:textId="57F3ACED" w:rsidR="00271BCD" w:rsidRPr="00786EB1" w:rsidRDefault="00340881" w:rsidP="000E5876">
      <w:pPr>
        <w:numPr>
          <w:ilvl w:val="1"/>
          <w:numId w:val="7"/>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Pr>
          <w:rFonts w:eastAsia="Times New Roman" w:cs="Times New Roman"/>
          <w:kern w:val="0"/>
          <w:sz w:val="22"/>
          <w:szCs w:val="22"/>
          <w:lang w:eastAsia="en-GB"/>
          <w14:ligatures w14:val="none"/>
        </w:rPr>
        <w:t xml:space="preserve">Wetland City Accreditation scheme is </w:t>
      </w:r>
      <w:r w:rsidR="008731A6">
        <w:rPr>
          <w:rFonts w:eastAsia="Times New Roman" w:cs="Times New Roman"/>
          <w:kern w:val="0"/>
          <w:sz w:val="22"/>
          <w:szCs w:val="22"/>
          <w:lang w:eastAsia="en-GB"/>
          <w14:ligatures w14:val="none"/>
        </w:rPr>
        <w:t>promoted,</w:t>
      </w:r>
      <w:r>
        <w:rPr>
          <w:rFonts w:eastAsia="Times New Roman" w:cs="Times New Roman"/>
          <w:kern w:val="0"/>
          <w:sz w:val="22"/>
          <w:szCs w:val="22"/>
          <w:lang w:eastAsia="en-GB"/>
          <w14:ligatures w14:val="none"/>
        </w:rPr>
        <w:t xml:space="preserve"> </w:t>
      </w:r>
      <w:r w:rsidR="008731A6">
        <w:rPr>
          <w:rFonts w:eastAsia="Times New Roman" w:cs="Times New Roman"/>
          <w:kern w:val="0"/>
          <w:sz w:val="22"/>
          <w:szCs w:val="22"/>
          <w:lang w:eastAsia="en-GB"/>
          <w14:ligatures w14:val="none"/>
        </w:rPr>
        <w:t>and cities encouraged to seek accreditation. Accredited Wetland Cities</w:t>
      </w:r>
      <w:r w:rsidR="00073A52">
        <w:rPr>
          <w:rFonts w:eastAsia="Times New Roman" w:cs="Times New Roman"/>
          <w:kern w:val="0"/>
          <w:sz w:val="22"/>
          <w:szCs w:val="22"/>
          <w:lang w:eastAsia="en-GB"/>
          <w14:ligatures w14:val="none"/>
        </w:rPr>
        <w:t xml:space="preserve"> are acknowledged and celebrated </w:t>
      </w:r>
      <w:r w:rsidR="00454FF7">
        <w:rPr>
          <w:rFonts w:eastAsia="Times New Roman" w:cs="Times New Roman"/>
          <w:kern w:val="0"/>
          <w:sz w:val="22"/>
          <w:szCs w:val="22"/>
          <w:lang w:eastAsia="en-GB"/>
          <w14:ligatures w14:val="none"/>
        </w:rPr>
        <w:t xml:space="preserve">as an example of wetland protection and wise use to encourage other cities to take positive actions for wetlands. </w:t>
      </w:r>
    </w:p>
    <w:p w14:paraId="210025CA" w14:textId="77777777" w:rsidR="003C5384" w:rsidRPr="00786EB1" w:rsidRDefault="003C5384" w:rsidP="000E5876">
      <w:pPr>
        <w:kinsoku w:val="0"/>
        <w:overflowPunct w:val="0"/>
        <w:autoSpaceDE w:val="0"/>
        <w:autoSpaceDN w:val="0"/>
        <w:adjustRightInd w:val="0"/>
        <w:ind w:left="1276" w:hanging="1134"/>
        <w:rPr>
          <w:rFonts w:eastAsia="Times New Roman" w:cs="Times New Roman"/>
          <w:noProof/>
          <w:kern w:val="0"/>
          <w:sz w:val="22"/>
          <w:szCs w:val="22"/>
          <w:lang w:eastAsia="en-GB"/>
          <w14:ligatures w14:val="none"/>
        </w:rPr>
      </w:pPr>
    </w:p>
    <w:p w14:paraId="1DB68057" w14:textId="7661A610" w:rsidR="003C5384" w:rsidRPr="00786EB1" w:rsidRDefault="003C5384" w:rsidP="002F2CA6">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2F2CA6">
        <w:rPr>
          <w:rFonts w:eastAsia="Times New Roman" w:cs="Times New Roman"/>
          <w:kern w:val="0"/>
          <w:sz w:val="22"/>
          <w:szCs w:val="22"/>
          <w:lang w:eastAsia="en-GB"/>
          <w14:ligatures w14:val="none"/>
        </w:rPr>
        <w:t>Goal</w:t>
      </w:r>
      <w:r w:rsidRPr="00786EB1">
        <w:rPr>
          <w:rFonts w:eastAsia="Times New Roman" w:cs="Times New Roman"/>
          <w:kern w:val="0"/>
          <w:sz w:val="22"/>
          <w:szCs w:val="22"/>
          <w:lang w:eastAsia="en-GB"/>
          <w14:ligatures w14:val="none"/>
        </w:rPr>
        <w:t xml:space="preserve"> 7</w:t>
      </w:r>
      <w:r w:rsidRPr="00786EB1">
        <w:rPr>
          <w:rFonts w:eastAsia="Times New Roman" w:cs="Times New Roman"/>
          <w:kern w:val="0"/>
          <w:sz w:val="22"/>
          <w:szCs w:val="22"/>
          <w:lang w:eastAsia="en-GB"/>
          <w14:ligatures w14:val="none"/>
        </w:rPr>
        <w:tab/>
        <w:t>Recognize and support the role of wetland centres and other environmental centres as catalysts and key actors for activities that promote Convention objectives.</w:t>
      </w:r>
    </w:p>
    <w:p w14:paraId="7D6647CB" w14:textId="77777777" w:rsidR="003C5384" w:rsidRPr="00786EB1" w:rsidRDefault="003C5384" w:rsidP="000E5876">
      <w:pPr>
        <w:tabs>
          <w:tab w:val="left" w:pos="101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57DD2DCE" w14:textId="77777777" w:rsidR="003C5384" w:rsidRPr="00786EB1" w:rsidRDefault="003C5384" w:rsidP="000E5876">
      <w:pPr>
        <w:numPr>
          <w:ilvl w:val="1"/>
          <w:numId w:val="6"/>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Wetland education/interpretation or visitor centres and similar facilities established in all countries as resources permit. {AA, IOPs, WEC}</w:t>
      </w:r>
    </w:p>
    <w:p w14:paraId="5B3329CD" w14:textId="77777777" w:rsidR="003C5384" w:rsidRPr="00786EB1" w:rsidRDefault="003C5384" w:rsidP="000E5876">
      <w:pPr>
        <w:rPr>
          <w:kern w:val="0"/>
          <w:sz w:val="22"/>
          <w:szCs w:val="22"/>
          <w14:ligatures w14:val="none"/>
        </w:rPr>
      </w:pPr>
    </w:p>
    <w:p w14:paraId="54D781E0" w14:textId="091D8E80" w:rsidR="003C5384" w:rsidRPr="00786EB1" w:rsidRDefault="003C5384" w:rsidP="000E5876">
      <w:pPr>
        <w:numPr>
          <w:ilvl w:val="1"/>
          <w:numId w:val="6"/>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Wetland education/visitor centres linked nationally and internationally through global mechanisms and national expertise in CEPA, to share experience and resources, for example through the Wetland Link International (WLI) programme of the Wildfowl &amp; Wetlands Trust, WWT (UK) and other initiatives. {AA, CEPA, WEC}</w:t>
      </w:r>
    </w:p>
    <w:p w14:paraId="6A9E577F"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578F9D45" w14:textId="77777777" w:rsidR="003C5384" w:rsidRPr="00786EB1" w:rsidRDefault="003C5384" w:rsidP="000E5876">
      <w:pPr>
        <w:numPr>
          <w:ilvl w:val="1"/>
          <w:numId w:val="6"/>
        </w:num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Partnerships established with other education centres that could play a role in promoting wetlands and Convention objectives. {AA, CEPA, RRCs,WEC}</w:t>
      </w:r>
    </w:p>
    <w:p w14:paraId="3B913CC1" w14:textId="4C43E423" w:rsidR="003C5384" w:rsidRPr="00786EB1" w:rsidRDefault="003C5384" w:rsidP="000E5876">
      <w:pPr>
        <w:autoSpaceDE w:val="0"/>
        <w:autoSpaceDN w:val="0"/>
        <w:adjustRightInd w:val="0"/>
        <w:ind w:left="851" w:hanging="425"/>
        <w:rPr>
          <w:rFonts w:eastAsia="Times New Roman" w:cs="Times New Roman"/>
          <w:kern w:val="0"/>
          <w:sz w:val="22"/>
          <w:szCs w:val="22"/>
          <w:lang w:eastAsia="en-GB"/>
          <w14:ligatures w14:val="none"/>
        </w:rPr>
      </w:pPr>
    </w:p>
    <w:p w14:paraId="6D2703DF" w14:textId="484CDDD8" w:rsidR="003C5384" w:rsidRPr="002F2CA6" w:rsidRDefault="003C5384" w:rsidP="002F2CA6">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2F2CA6">
        <w:rPr>
          <w:rFonts w:eastAsia="Times New Roman" w:cs="Times New Roman"/>
          <w:kern w:val="0"/>
          <w:sz w:val="22"/>
          <w:szCs w:val="22"/>
          <w:lang w:eastAsia="en-GB"/>
          <w14:ligatures w14:val="none"/>
        </w:rPr>
        <w:t>Goal 8</w:t>
      </w:r>
      <w:r w:rsidRPr="002F2CA6">
        <w:rPr>
          <w:rFonts w:eastAsia="Times New Roman" w:cs="Times New Roman"/>
          <w:kern w:val="0"/>
          <w:sz w:val="22"/>
          <w:szCs w:val="22"/>
          <w:lang w:eastAsia="en-GB"/>
          <w14:ligatures w14:val="none"/>
        </w:rPr>
        <w:tab/>
        <w:t xml:space="preserve">Support the development and distribution of education materials that build awareness of ecosystem values and services and the value of wetlands for use in formal education settings, at </w:t>
      </w:r>
      <w:r w:rsidR="00905911" w:rsidRPr="002F2CA6">
        <w:rPr>
          <w:rFonts w:eastAsia="Times New Roman" w:cs="Times New Roman"/>
          <w:kern w:val="0"/>
          <w:sz w:val="22"/>
          <w:szCs w:val="22"/>
          <w:lang w:eastAsia="en-GB"/>
          <w14:ligatures w14:val="none"/>
        </w:rPr>
        <w:t>Wetlands of International Importance</w:t>
      </w:r>
      <w:r w:rsidRPr="002F2CA6">
        <w:rPr>
          <w:rFonts w:eastAsia="Times New Roman" w:cs="Times New Roman"/>
          <w:kern w:val="0"/>
          <w:sz w:val="22"/>
          <w:szCs w:val="22"/>
          <w:lang w:eastAsia="en-GB"/>
          <w14:ligatures w14:val="none"/>
        </w:rPr>
        <w:t xml:space="preserve"> and by all Convention stakeholders. </w:t>
      </w:r>
    </w:p>
    <w:p w14:paraId="0CCC84D7" w14:textId="77777777" w:rsidR="003C5384" w:rsidRPr="00786EB1" w:rsidRDefault="003C5384" w:rsidP="000E5876">
      <w:pPr>
        <w:tabs>
          <w:tab w:val="left" w:pos="96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1D10E547" w14:textId="22834F3E" w:rsidR="003C5384" w:rsidRPr="00786EB1"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 xml:space="preserve">Wetland education materials that build awareness of the values of wetlands and their ecosystem services developed, promoted and distributed among relevant target audiences. {STRP, AA, </w:t>
      </w:r>
      <w:r w:rsidR="000828C8">
        <w:rPr>
          <w:rFonts w:eastAsia="Times New Roman" w:cs="Times New Roman"/>
          <w:kern w:val="0"/>
          <w:sz w:val="22"/>
          <w:szCs w:val="22"/>
          <w:lang w:eastAsia="en-GB"/>
          <w14:ligatures w14:val="none"/>
        </w:rPr>
        <w:t>YFP</w:t>
      </w:r>
      <w:r w:rsidR="005F519D">
        <w:rPr>
          <w:rFonts w:eastAsia="Times New Roman" w:cs="Times New Roman"/>
          <w:kern w:val="0"/>
          <w:sz w:val="22"/>
          <w:szCs w:val="22"/>
          <w:lang w:eastAsia="en-GB"/>
          <w14:ligatures w14:val="none"/>
        </w:rPr>
        <w:t xml:space="preserve">, </w:t>
      </w:r>
      <w:r w:rsidRPr="00786EB1">
        <w:rPr>
          <w:rFonts w:eastAsia="Times New Roman" w:cs="Times New Roman"/>
          <w:kern w:val="0"/>
          <w:sz w:val="22"/>
          <w:szCs w:val="22"/>
          <w:lang w:eastAsia="en-GB"/>
          <w14:ligatures w14:val="none"/>
        </w:rPr>
        <w:t>CEPA, WEC, STRP NFP}</w:t>
      </w:r>
    </w:p>
    <w:p w14:paraId="2C389EF9"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1337898E" w14:textId="77777777" w:rsidR="003C5384" w:rsidRPr="00786EB1"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Tertiary education institutions, especially those with water and wetland programmes, contribute to the production of targeted wetland education materials. {STRP, AA, CEPA, WEC}</w:t>
      </w:r>
    </w:p>
    <w:p w14:paraId="54A4D0EB"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51EFBA63" w14:textId="77777777" w:rsidR="003C5384" w:rsidRPr="00786EB1"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Cultural and traditional wetland knowledge and practices are incorporated into wetland education materials. {WEC, CEPA}</w:t>
      </w:r>
    </w:p>
    <w:p w14:paraId="74CE3AD5" w14:textId="77777777" w:rsidR="003C5384" w:rsidRPr="00786EB1"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26B3F989" w14:textId="78ED90A6" w:rsidR="003C5384" w:rsidRPr="00786EB1"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Key messages about wetlands and their ecosystem services regularly reviewed through dialogue and feedback with all Convention stakeholders.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AA</w:t>
      </w:r>
      <w:r w:rsidR="005F519D">
        <w:rPr>
          <w:rFonts w:eastAsia="Times New Roman" w:cs="Times New Roman"/>
          <w:kern w:val="0"/>
          <w:sz w:val="22"/>
          <w:szCs w:val="22"/>
          <w:lang w:eastAsia="en-GB"/>
          <w14:ligatures w14:val="none"/>
        </w:rPr>
        <w:t>, YFP</w:t>
      </w:r>
      <w:r w:rsidRPr="00786EB1">
        <w:rPr>
          <w:rFonts w:eastAsia="Times New Roman" w:cs="Times New Roman"/>
          <w:kern w:val="0"/>
          <w:sz w:val="22"/>
          <w:szCs w:val="22"/>
          <w:lang w:eastAsia="en-GB"/>
          <w14:ligatures w14:val="none"/>
        </w:rPr>
        <w:t>}.</w:t>
      </w:r>
    </w:p>
    <w:p w14:paraId="6178D5DC" w14:textId="77777777" w:rsidR="003C5384" w:rsidRPr="00786EB1" w:rsidRDefault="003C5384" w:rsidP="000E5876">
      <w:pPr>
        <w:tabs>
          <w:tab w:val="left" w:pos="90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6FCA1673" w14:textId="77777777" w:rsidR="003C5384" w:rsidRPr="00786EB1" w:rsidRDefault="003C5384" w:rsidP="002F2CA6">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851" w:hanging="851"/>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Goal 9</w:t>
      </w:r>
      <w:r w:rsidRPr="00786EB1">
        <w:rPr>
          <w:rFonts w:eastAsia="Times New Roman" w:cs="Times New Roman"/>
          <w:kern w:val="0"/>
          <w:sz w:val="22"/>
          <w:szCs w:val="22"/>
          <w:lang w:eastAsia="en-GB"/>
          <w14:ligatures w14:val="none"/>
        </w:rPr>
        <w:tab/>
        <w:t>Guidance and information provided by the STRP is developed in collaboration with the CEPA programme and dissemination to identified target audiences is achieved through the most effective communications channels.</w:t>
      </w:r>
    </w:p>
    <w:p w14:paraId="36CC2AB2" w14:textId="77777777" w:rsidR="003C5384" w:rsidRPr="00786EB1" w:rsidRDefault="003C5384" w:rsidP="000E5876">
      <w:pPr>
        <w:tabs>
          <w:tab w:val="left" w:pos="90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518EBE50" w14:textId="589667E3"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r w:rsidRPr="00786EB1">
        <w:rPr>
          <w:rFonts w:eastAsia="Times New Roman" w:cs="Times New Roman"/>
          <w:kern w:val="0"/>
          <w:sz w:val="22"/>
          <w:szCs w:val="22"/>
          <w:lang w:eastAsia="en-GB"/>
          <w14:ligatures w14:val="none"/>
        </w:rPr>
        <w:t>9.1</w:t>
      </w:r>
      <w:r w:rsidRPr="00786EB1">
        <w:rPr>
          <w:rFonts w:eastAsia="Times New Roman" w:cs="Times New Roman"/>
          <w:kern w:val="0"/>
          <w:sz w:val="22"/>
          <w:szCs w:val="22"/>
          <w:lang w:eastAsia="en-GB"/>
          <w14:ligatures w14:val="none"/>
        </w:rPr>
        <w:tab/>
        <w:t xml:space="preserve">A series of information fact sheets developed based on identified and agreed </w:t>
      </w:r>
      <w:r w:rsidR="00905911" w:rsidRPr="00786EB1">
        <w:rPr>
          <w:rFonts w:eastAsia="Times New Roman" w:cs="Times New Roman"/>
          <w:kern w:val="0"/>
          <w:sz w:val="22"/>
          <w:szCs w:val="22"/>
          <w:lang w:eastAsia="en-GB"/>
          <w14:ligatures w14:val="none"/>
        </w:rPr>
        <w:t>large</w:t>
      </w:r>
      <w:r w:rsidR="00905911">
        <w:rPr>
          <w:rFonts w:eastAsia="Times New Roman" w:cs="Times New Roman"/>
          <w:kern w:val="0"/>
          <w:sz w:val="22"/>
          <w:szCs w:val="22"/>
          <w:lang w:eastAsia="en-GB"/>
          <w14:ligatures w14:val="none"/>
        </w:rPr>
        <w:t>-</w:t>
      </w:r>
      <w:r w:rsidRPr="00786EB1">
        <w:rPr>
          <w:rFonts w:eastAsia="Times New Roman" w:cs="Times New Roman"/>
          <w:kern w:val="0"/>
          <w:sz w:val="22"/>
          <w:szCs w:val="22"/>
          <w:lang w:eastAsia="en-GB"/>
          <w14:ligatures w14:val="none"/>
        </w:rPr>
        <w:t>scale questions as key awareness raising outreach tools. {</w:t>
      </w:r>
      <w:r w:rsidR="00BE3FD6">
        <w:rPr>
          <w:rFonts w:eastAsia="Times New Roman" w:cs="Times New Roman"/>
          <w:kern w:val="0"/>
          <w:sz w:val="22"/>
          <w:szCs w:val="22"/>
          <w:lang w:eastAsia="en-GB"/>
          <w14:ligatures w14:val="none"/>
        </w:rPr>
        <w:t>Sec</w:t>
      </w:r>
      <w:r w:rsidRPr="00786EB1">
        <w:rPr>
          <w:rFonts w:eastAsia="Times New Roman" w:cs="Times New Roman"/>
          <w:kern w:val="0"/>
          <w:sz w:val="22"/>
          <w:szCs w:val="22"/>
          <w:lang w:eastAsia="en-GB"/>
          <w14:ligatures w14:val="none"/>
        </w:rPr>
        <w:t>, STRP}.</w:t>
      </w:r>
    </w:p>
    <w:p w14:paraId="6C27E01F" w14:textId="77777777" w:rsidR="003C5384" w:rsidRPr="00786EB1"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50CDF607" w14:textId="1D3338CF" w:rsidR="003C5384" w:rsidRPr="00786EB1" w:rsidRDefault="003C5384" w:rsidP="000E5876">
      <w:pPr>
        <w:ind w:left="851" w:hanging="425"/>
        <w:rPr>
          <w:kern w:val="0"/>
          <w:sz w:val="22"/>
          <w:szCs w:val="22"/>
          <w14:ligatures w14:val="none"/>
        </w:rPr>
      </w:pPr>
      <w:r w:rsidRPr="00786EB1">
        <w:rPr>
          <w:kern w:val="0"/>
          <w:sz w:val="22"/>
          <w:szCs w:val="22"/>
          <w14:ligatures w14:val="none"/>
        </w:rPr>
        <w:t>9.2</w:t>
      </w:r>
      <w:r w:rsidRPr="00786EB1">
        <w:rPr>
          <w:kern w:val="0"/>
          <w:sz w:val="22"/>
          <w:szCs w:val="22"/>
          <w14:ligatures w14:val="none"/>
        </w:rPr>
        <w:tab/>
        <w:t>The Ramsar Briefing Notes and Ramsar Technical Reports developed and disseminated as pragmatic, working advisory documents targeting policy-makers or wetland practitioners and to ensure consistency and Convention branding. {</w:t>
      </w:r>
      <w:r w:rsidR="00BE3FD6">
        <w:rPr>
          <w:kern w:val="0"/>
          <w:sz w:val="22"/>
          <w:szCs w:val="22"/>
          <w14:ligatures w14:val="none"/>
        </w:rPr>
        <w:t>Sec</w:t>
      </w:r>
      <w:r w:rsidRPr="00786EB1">
        <w:rPr>
          <w:kern w:val="0"/>
          <w:sz w:val="22"/>
          <w:szCs w:val="22"/>
          <w14:ligatures w14:val="none"/>
        </w:rPr>
        <w:t>, STRP}</w:t>
      </w:r>
    </w:p>
    <w:p w14:paraId="0864529F" w14:textId="77777777" w:rsidR="003C5384" w:rsidRPr="00786EB1" w:rsidRDefault="003C5384" w:rsidP="000E5876">
      <w:pPr>
        <w:ind w:left="851" w:hanging="425"/>
        <w:rPr>
          <w:kern w:val="0"/>
          <w:sz w:val="22"/>
          <w:szCs w:val="22"/>
          <w14:ligatures w14:val="none"/>
        </w:rPr>
      </w:pPr>
    </w:p>
    <w:p w14:paraId="36FF0D11" w14:textId="16B3A3BF" w:rsidR="003C5384" w:rsidRDefault="003C5384" w:rsidP="000E5876"/>
    <w:p w14:paraId="23100037" w14:textId="37E50E3B" w:rsidR="00F91DE1" w:rsidRDefault="00185E39" w:rsidP="000E5876">
      <w:pPr>
        <w:spacing w:after="160" w:line="259" w:lineRule="auto"/>
      </w:pPr>
      <w:r>
        <w:br w:type="page"/>
      </w:r>
    </w:p>
    <w:p w14:paraId="06261808" w14:textId="5A972779" w:rsidR="00905911" w:rsidRPr="00B61F52" w:rsidRDefault="008C1103" w:rsidP="000E5876">
      <w:pPr>
        <w:rPr>
          <w:rFonts w:cstheme="minorHAnsi"/>
          <w:b/>
          <w:szCs w:val="22"/>
        </w:rPr>
      </w:pPr>
      <w:r w:rsidRPr="00B61F52">
        <w:rPr>
          <w:rFonts w:cstheme="minorHAnsi"/>
          <w:b/>
          <w:szCs w:val="22"/>
        </w:rPr>
        <w:lastRenderedPageBreak/>
        <w:t xml:space="preserve">Annex </w:t>
      </w:r>
      <w:r w:rsidR="00F635E4" w:rsidRPr="00B61F52">
        <w:rPr>
          <w:rFonts w:cstheme="minorHAnsi"/>
          <w:b/>
          <w:szCs w:val="22"/>
        </w:rPr>
        <w:t>2</w:t>
      </w:r>
    </w:p>
    <w:p w14:paraId="16E207DC" w14:textId="17C1347A" w:rsidR="00F91DE1" w:rsidRPr="00B61F52" w:rsidRDefault="001D7AAE" w:rsidP="00AB06F3">
      <w:pPr>
        <w:rPr>
          <w:rFonts w:cstheme="minorHAnsi"/>
          <w:b/>
          <w:szCs w:val="22"/>
        </w:rPr>
      </w:pPr>
      <w:r w:rsidRPr="00B61F52">
        <w:rPr>
          <w:rFonts w:cstheme="minorHAnsi"/>
          <w:b/>
          <w:szCs w:val="22"/>
        </w:rPr>
        <w:t>The</w:t>
      </w:r>
      <w:r w:rsidR="00F91DE1" w:rsidRPr="00B61F52">
        <w:rPr>
          <w:rFonts w:cstheme="minorHAnsi"/>
          <w:b/>
          <w:szCs w:val="22"/>
        </w:rPr>
        <w:t xml:space="preserve"> future operations of the CEPA Oversight Panel</w:t>
      </w:r>
    </w:p>
    <w:p w14:paraId="7854399E" w14:textId="77777777" w:rsidR="00F91DE1" w:rsidRDefault="00F91DE1" w:rsidP="000E5876">
      <w:pPr>
        <w:pStyle w:val="NoSpacing"/>
        <w:tabs>
          <w:tab w:val="left" w:pos="1330"/>
        </w:tabs>
      </w:pPr>
    </w:p>
    <w:p w14:paraId="5233532A" w14:textId="77777777" w:rsidR="00F91DE1" w:rsidRPr="00AD1D4B" w:rsidRDefault="00F91DE1" w:rsidP="000E5876">
      <w:pPr>
        <w:pStyle w:val="NoSpacing"/>
        <w:tabs>
          <w:tab w:val="left" w:pos="1330"/>
        </w:tabs>
        <w:rPr>
          <w:rFonts w:asciiTheme="minorHAnsi" w:hAnsiTheme="minorHAnsi" w:cstheme="minorHAnsi"/>
        </w:rPr>
      </w:pPr>
    </w:p>
    <w:p w14:paraId="160A5A56" w14:textId="6AD27EC4" w:rsidR="00F91DE1" w:rsidRPr="00AD1D4B" w:rsidRDefault="00F91DE1" w:rsidP="000E5876">
      <w:pPr>
        <w:pStyle w:val="NoSpacing"/>
        <w:tabs>
          <w:tab w:val="left" w:pos="1330"/>
        </w:tabs>
        <w:ind w:left="0" w:firstLine="0"/>
        <w:rPr>
          <w:rFonts w:asciiTheme="minorHAnsi" w:hAnsiTheme="minorHAnsi" w:cstheme="minorHAnsi"/>
        </w:rPr>
      </w:pPr>
      <w:r w:rsidRPr="00AD1D4B">
        <w:rPr>
          <w:rFonts w:asciiTheme="minorHAnsi" w:hAnsiTheme="minorHAnsi" w:cstheme="minorHAnsi"/>
        </w:rPr>
        <w:t xml:space="preserve">The Convention on Wetland’s Programme on communication, capacity building, education, participation and awareness (CEPA) is an instrument to provide guidance to Contracting Parties, the Convention Secretariat, </w:t>
      </w:r>
      <w:r w:rsidR="007C1CBC">
        <w:rPr>
          <w:rFonts w:asciiTheme="minorHAnsi" w:hAnsiTheme="minorHAnsi" w:cstheme="minorHAnsi"/>
        </w:rPr>
        <w:t xml:space="preserve">the </w:t>
      </w:r>
      <w:r w:rsidRPr="00AD1D4B">
        <w:rPr>
          <w:rFonts w:asciiTheme="minorHAnsi" w:hAnsiTheme="minorHAnsi" w:cstheme="minorHAnsi"/>
        </w:rPr>
        <w:t>Convention</w:t>
      </w:r>
      <w:r w:rsidR="007C1CBC">
        <w:rPr>
          <w:rFonts w:asciiTheme="minorHAnsi" w:hAnsiTheme="minorHAnsi" w:cstheme="minorHAnsi"/>
        </w:rPr>
        <w:t>’s</w:t>
      </w:r>
      <w:r w:rsidRPr="00AD1D4B">
        <w:rPr>
          <w:rFonts w:asciiTheme="minorHAnsi" w:hAnsiTheme="minorHAnsi" w:cstheme="minorHAnsi"/>
        </w:rPr>
        <w:t xml:space="preserve"> International Organization Partners (IOPs), </w:t>
      </w:r>
      <w:r w:rsidR="00F15A5C">
        <w:rPr>
          <w:rFonts w:asciiTheme="minorHAnsi" w:hAnsiTheme="minorHAnsi" w:cstheme="minorHAnsi"/>
        </w:rPr>
        <w:t>non-governmental organizations (</w:t>
      </w:r>
      <w:r w:rsidRPr="00AD1D4B">
        <w:rPr>
          <w:rFonts w:asciiTheme="minorHAnsi" w:hAnsiTheme="minorHAnsi" w:cstheme="minorHAnsi"/>
        </w:rPr>
        <w:t>NGOs</w:t>
      </w:r>
      <w:r w:rsidR="00F15A5C">
        <w:rPr>
          <w:rFonts w:asciiTheme="minorHAnsi" w:hAnsiTheme="minorHAnsi" w:cstheme="minorHAnsi"/>
        </w:rPr>
        <w:t>)</w:t>
      </w:r>
      <w:r w:rsidRPr="00AD1D4B">
        <w:rPr>
          <w:rFonts w:asciiTheme="minorHAnsi" w:hAnsiTheme="minorHAnsi" w:cstheme="minorHAnsi"/>
        </w:rPr>
        <w:t xml:space="preserve">, community-based organizations and other stakeholders in the appropriate actions to engage, enlist and enable people to act for the conservation and wise use of wetlands. </w:t>
      </w:r>
    </w:p>
    <w:p w14:paraId="2638542F" w14:textId="77777777" w:rsidR="00F91DE1" w:rsidRPr="00AD1D4B" w:rsidRDefault="00F91DE1" w:rsidP="000E5876">
      <w:pPr>
        <w:pStyle w:val="NoSpacing"/>
        <w:tabs>
          <w:tab w:val="left" w:pos="1330"/>
        </w:tabs>
        <w:ind w:left="0" w:firstLine="0"/>
        <w:rPr>
          <w:rFonts w:asciiTheme="minorHAnsi" w:hAnsiTheme="minorHAnsi" w:cstheme="minorHAnsi"/>
        </w:rPr>
      </w:pPr>
    </w:p>
    <w:p w14:paraId="5A0258BA" w14:textId="695FB583" w:rsidR="00F91DE1" w:rsidRPr="00AD1D4B" w:rsidRDefault="00F91DE1" w:rsidP="000E5876">
      <w:pPr>
        <w:pStyle w:val="NoSpacing"/>
        <w:tabs>
          <w:tab w:val="left" w:pos="1330"/>
        </w:tabs>
        <w:ind w:left="0" w:firstLine="0"/>
        <w:rPr>
          <w:rFonts w:asciiTheme="minorHAnsi" w:hAnsiTheme="minorHAnsi" w:cstheme="minorHAnsi"/>
        </w:rPr>
      </w:pPr>
      <w:r w:rsidRPr="00AD1D4B">
        <w:rPr>
          <w:rFonts w:asciiTheme="minorHAnsi" w:hAnsiTheme="minorHAnsi" w:cstheme="minorHAnsi"/>
        </w:rPr>
        <w:t>The main role of the CEPA Oversight Panel is to oversee preparation and implementation of CEPA within the Convention and in particular to advise the Standing Committee and the Secretariat on national and international CEPA activities, including the CEPA priorities of the Scientific and Technical Review Panel (STRP). Specific functions include:</w:t>
      </w:r>
    </w:p>
    <w:p w14:paraId="2712C69E" w14:textId="77777777" w:rsidR="00F91DE1" w:rsidRPr="00AD1D4B" w:rsidRDefault="00F91DE1" w:rsidP="000E5876">
      <w:pPr>
        <w:pStyle w:val="NoSpacing"/>
        <w:tabs>
          <w:tab w:val="left" w:pos="1330"/>
        </w:tabs>
        <w:ind w:left="0" w:firstLine="0"/>
        <w:rPr>
          <w:rFonts w:asciiTheme="minorHAnsi" w:hAnsiTheme="minorHAnsi" w:cstheme="minorHAnsi"/>
        </w:rPr>
      </w:pPr>
    </w:p>
    <w:p w14:paraId="165A5638" w14:textId="457CDEE3" w:rsidR="00F91DE1" w:rsidRPr="00AD1D4B" w:rsidRDefault="00F91DE1" w:rsidP="000E5876">
      <w:pPr>
        <w:ind w:left="426" w:hanging="426"/>
        <w:contextualSpacing/>
        <w:rPr>
          <w:rFonts w:cstheme="minorHAnsi"/>
          <w:color w:val="000000"/>
          <w:sz w:val="22"/>
          <w:szCs w:val="22"/>
          <w:lang w:val="en-US"/>
        </w:rPr>
      </w:pPr>
      <w:r w:rsidRPr="00AD1D4B">
        <w:rPr>
          <w:rFonts w:cstheme="minorHAnsi"/>
          <w:color w:val="000000"/>
          <w:sz w:val="22"/>
          <w:szCs w:val="22"/>
          <w:lang w:val="en-US"/>
        </w:rPr>
        <w:t>i.</w:t>
      </w:r>
      <w:r w:rsidRPr="00AD1D4B">
        <w:rPr>
          <w:rFonts w:cstheme="minorHAnsi"/>
          <w:color w:val="000000"/>
          <w:sz w:val="22"/>
          <w:szCs w:val="22"/>
          <w:lang w:val="en-US"/>
        </w:rPr>
        <w:tab/>
        <w:t xml:space="preserve">delivering results originating from specific </w:t>
      </w:r>
      <w:r w:rsidRPr="00AD1D4B">
        <w:rPr>
          <w:rFonts w:cstheme="minorHAnsi"/>
          <w:sz w:val="22"/>
          <w:szCs w:val="22"/>
        </w:rPr>
        <w:t xml:space="preserve">CEPA </w:t>
      </w:r>
      <w:r w:rsidRPr="00AD1D4B">
        <w:rPr>
          <w:rFonts w:cstheme="minorHAnsi"/>
          <w:color w:val="000000"/>
          <w:sz w:val="22"/>
          <w:szCs w:val="22"/>
          <w:lang w:val="en-US"/>
        </w:rPr>
        <w:t xml:space="preserve">requests included in Resolutions of the Conference of the Contracting Parties (COP) and the Strategic Plan; </w:t>
      </w:r>
    </w:p>
    <w:p w14:paraId="22AA6C60" w14:textId="77777777" w:rsidR="00F91DE1" w:rsidRPr="00AD1D4B" w:rsidRDefault="00F91DE1" w:rsidP="000E5876">
      <w:pPr>
        <w:ind w:left="426" w:hanging="426"/>
        <w:contextualSpacing/>
        <w:rPr>
          <w:rFonts w:cstheme="minorHAnsi"/>
          <w:color w:val="000000"/>
          <w:sz w:val="22"/>
          <w:szCs w:val="22"/>
          <w:lang w:val="en-US"/>
        </w:rPr>
      </w:pPr>
    </w:p>
    <w:p w14:paraId="7F0C6408" w14:textId="0568214F" w:rsidR="00F91DE1" w:rsidRPr="00AD1D4B" w:rsidRDefault="00F91DE1" w:rsidP="000E5876">
      <w:pPr>
        <w:ind w:left="426" w:hanging="426"/>
        <w:contextualSpacing/>
        <w:rPr>
          <w:rFonts w:cstheme="minorHAnsi"/>
          <w:color w:val="000000"/>
          <w:sz w:val="22"/>
          <w:szCs w:val="22"/>
          <w:lang w:val="en-US"/>
        </w:rPr>
      </w:pPr>
      <w:r w:rsidRPr="00AD1D4B">
        <w:rPr>
          <w:rFonts w:cstheme="minorHAnsi"/>
          <w:color w:val="000000"/>
          <w:sz w:val="22"/>
          <w:szCs w:val="22"/>
          <w:lang w:val="en-US"/>
        </w:rPr>
        <w:t>ii.</w:t>
      </w:r>
      <w:r w:rsidRPr="00AD1D4B">
        <w:rPr>
          <w:rFonts w:cstheme="minorHAnsi"/>
          <w:color w:val="000000"/>
          <w:sz w:val="22"/>
          <w:szCs w:val="22"/>
          <w:lang w:val="en-US"/>
        </w:rPr>
        <w:tab/>
        <w:t xml:space="preserve">examining CEPA needs and gaps in implementation in order to identify CEPA activities </w:t>
      </w:r>
      <w:r w:rsidRPr="00AD1D4B">
        <w:rPr>
          <w:rFonts w:cstheme="minorHAnsi"/>
          <w:color w:val="000000"/>
          <w:sz w:val="22"/>
          <w:szCs w:val="22"/>
          <w:lang w:val="en-US"/>
        </w:rPr>
        <w:br/>
        <w:t>to be integrated in</w:t>
      </w:r>
      <w:r w:rsidR="00CE6856">
        <w:rPr>
          <w:rFonts w:cstheme="minorHAnsi"/>
          <w:color w:val="000000"/>
          <w:sz w:val="22"/>
          <w:szCs w:val="22"/>
          <w:lang w:val="en-US"/>
        </w:rPr>
        <w:t>to</w:t>
      </w:r>
      <w:r w:rsidRPr="00AD1D4B">
        <w:rPr>
          <w:rFonts w:cstheme="minorHAnsi"/>
          <w:color w:val="000000"/>
          <w:sz w:val="22"/>
          <w:szCs w:val="22"/>
          <w:lang w:val="en-US"/>
        </w:rPr>
        <w:t xml:space="preserve"> the Strategic Plan;</w:t>
      </w:r>
    </w:p>
    <w:p w14:paraId="196679D9" w14:textId="77777777" w:rsidR="00F91DE1" w:rsidRPr="00AD1D4B" w:rsidRDefault="00F91DE1" w:rsidP="000E5876">
      <w:pPr>
        <w:ind w:left="426" w:hanging="426"/>
        <w:contextualSpacing/>
        <w:rPr>
          <w:rFonts w:cstheme="minorHAnsi"/>
          <w:color w:val="000000"/>
          <w:sz w:val="22"/>
          <w:szCs w:val="22"/>
          <w:lang w:val="en-US"/>
        </w:rPr>
      </w:pPr>
    </w:p>
    <w:p w14:paraId="0B5D45BD" w14:textId="77777777" w:rsidR="00F91DE1" w:rsidRPr="00AD1D4B" w:rsidRDefault="00F91DE1" w:rsidP="000E5876">
      <w:pPr>
        <w:ind w:left="426" w:hanging="426"/>
        <w:contextualSpacing/>
        <w:rPr>
          <w:rFonts w:cstheme="minorHAnsi"/>
          <w:color w:val="000000"/>
          <w:sz w:val="22"/>
          <w:szCs w:val="22"/>
          <w:lang w:val="en-US"/>
        </w:rPr>
      </w:pPr>
      <w:r w:rsidRPr="00AD1D4B">
        <w:rPr>
          <w:rFonts w:cstheme="minorHAnsi"/>
          <w:color w:val="000000"/>
          <w:sz w:val="22"/>
          <w:szCs w:val="22"/>
          <w:lang w:val="en-US"/>
        </w:rPr>
        <w:t>iii.</w:t>
      </w:r>
      <w:r w:rsidRPr="00AD1D4B">
        <w:rPr>
          <w:rFonts w:cstheme="minorHAnsi"/>
          <w:color w:val="000000"/>
          <w:sz w:val="22"/>
          <w:szCs w:val="22"/>
          <w:lang w:val="en-US"/>
        </w:rPr>
        <w:tab/>
        <w:t xml:space="preserve">monitoring and reporting on current CEPA issues within the Convention and the progress </w:t>
      </w:r>
      <w:r w:rsidRPr="00AD1D4B">
        <w:rPr>
          <w:rFonts w:cstheme="minorHAnsi"/>
          <w:color w:val="000000"/>
          <w:sz w:val="22"/>
          <w:szCs w:val="22"/>
          <w:lang w:val="en-US"/>
        </w:rPr>
        <w:br/>
        <w:t>of implementation of current CEPA priorities, especially with reference to the CEPA activities included in the Strategic Plan as well as COP Resolutions; and</w:t>
      </w:r>
    </w:p>
    <w:p w14:paraId="14491737" w14:textId="77777777" w:rsidR="00F91DE1" w:rsidRPr="00AD1D4B" w:rsidRDefault="00F91DE1" w:rsidP="000E5876">
      <w:pPr>
        <w:ind w:left="426"/>
        <w:contextualSpacing/>
        <w:rPr>
          <w:rFonts w:cstheme="minorHAnsi"/>
          <w:color w:val="000000"/>
          <w:sz w:val="22"/>
          <w:szCs w:val="22"/>
          <w:lang w:val="en-US"/>
        </w:rPr>
      </w:pPr>
    </w:p>
    <w:p w14:paraId="530C4B42" w14:textId="1D851BDA" w:rsidR="00F91DE1" w:rsidRPr="00AD1D4B" w:rsidRDefault="00F91DE1" w:rsidP="000E5876">
      <w:pPr>
        <w:ind w:left="426" w:hanging="426"/>
        <w:contextualSpacing/>
        <w:rPr>
          <w:rFonts w:cstheme="minorHAnsi"/>
          <w:color w:val="000000"/>
          <w:sz w:val="22"/>
          <w:szCs w:val="22"/>
          <w:lang w:val="en-US"/>
        </w:rPr>
      </w:pPr>
      <w:r w:rsidRPr="00AD1D4B">
        <w:rPr>
          <w:rFonts w:cstheme="minorHAnsi"/>
          <w:color w:val="000000"/>
          <w:sz w:val="22"/>
          <w:szCs w:val="22"/>
          <w:lang w:val="en-US"/>
        </w:rPr>
        <w:t>iv.</w:t>
      </w:r>
      <w:r w:rsidRPr="00AD1D4B">
        <w:rPr>
          <w:rFonts w:cstheme="minorHAnsi"/>
          <w:color w:val="000000"/>
          <w:sz w:val="22"/>
          <w:szCs w:val="22"/>
          <w:lang w:val="en-US"/>
        </w:rPr>
        <w:tab/>
        <w:t>liaising with other multilateral environmental agreements to improve CEPA synergies among Conventions.</w:t>
      </w:r>
    </w:p>
    <w:p w14:paraId="19AFF83F" w14:textId="77777777" w:rsidR="00F91DE1" w:rsidRPr="00AD1D4B" w:rsidRDefault="00F91DE1" w:rsidP="000E5876">
      <w:pPr>
        <w:pStyle w:val="NoSpacing"/>
        <w:tabs>
          <w:tab w:val="left" w:pos="1330"/>
        </w:tabs>
        <w:ind w:left="0" w:firstLine="0"/>
        <w:rPr>
          <w:rFonts w:asciiTheme="minorHAnsi" w:hAnsiTheme="minorHAnsi" w:cstheme="minorHAnsi"/>
          <w:lang w:val="en-US"/>
        </w:rPr>
      </w:pPr>
    </w:p>
    <w:p w14:paraId="0ED3577D" w14:textId="7B9ED287" w:rsidR="00F91DE1" w:rsidRPr="00AD1D4B" w:rsidRDefault="00F91DE1" w:rsidP="000E5876">
      <w:pPr>
        <w:pStyle w:val="NoSpacing"/>
        <w:tabs>
          <w:tab w:val="left" w:pos="1330"/>
        </w:tabs>
        <w:ind w:left="0" w:firstLine="0"/>
        <w:rPr>
          <w:rFonts w:asciiTheme="minorHAnsi" w:hAnsiTheme="minorHAnsi" w:cstheme="minorHAnsi"/>
        </w:rPr>
      </w:pPr>
      <w:r w:rsidRPr="00AD1D4B">
        <w:rPr>
          <w:rFonts w:asciiTheme="minorHAnsi" w:hAnsiTheme="minorHAnsi" w:cstheme="minorHAnsi"/>
        </w:rPr>
        <w:t xml:space="preserve">This </w:t>
      </w:r>
      <w:r w:rsidR="00EA3C27">
        <w:rPr>
          <w:rFonts w:asciiTheme="minorHAnsi" w:hAnsiTheme="minorHAnsi" w:cstheme="minorHAnsi"/>
        </w:rPr>
        <w:t xml:space="preserve">document </w:t>
      </w:r>
      <w:r w:rsidRPr="00AD1D4B">
        <w:rPr>
          <w:rFonts w:asciiTheme="minorHAnsi" w:hAnsiTheme="minorHAnsi" w:cstheme="minorHAnsi"/>
        </w:rPr>
        <w:t xml:space="preserve">on the operations of the Panel aims to provide guidance on its operations </w:t>
      </w:r>
      <w:r w:rsidR="00EA3C27">
        <w:rPr>
          <w:rFonts w:asciiTheme="minorHAnsi" w:hAnsiTheme="minorHAnsi" w:cstheme="minorHAnsi"/>
        </w:rPr>
        <w:t>to</w:t>
      </w:r>
      <w:r w:rsidRPr="00AD1D4B">
        <w:rPr>
          <w:rFonts w:asciiTheme="minorHAnsi" w:hAnsiTheme="minorHAnsi" w:cstheme="minorHAnsi"/>
        </w:rPr>
        <w:t xml:space="preserve"> provide greater clarity and enable the Panel to operate more effectively and efficiently. This </w:t>
      </w:r>
      <w:r w:rsidR="008E6371">
        <w:rPr>
          <w:rFonts w:asciiTheme="minorHAnsi" w:hAnsiTheme="minorHAnsi" w:cstheme="minorHAnsi"/>
        </w:rPr>
        <w:t xml:space="preserve">document </w:t>
      </w:r>
      <w:r w:rsidR="00EA3C27">
        <w:rPr>
          <w:rFonts w:asciiTheme="minorHAnsi" w:hAnsiTheme="minorHAnsi" w:cstheme="minorHAnsi"/>
        </w:rPr>
        <w:t xml:space="preserve">takes account of the </w:t>
      </w:r>
      <w:r w:rsidRPr="00AD1D4B">
        <w:rPr>
          <w:rFonts w:asciiTheme="minorHAnsi" w:hAnsiTheme="minorHAnsi" w:cstheme="minorHAnsi"/>
        </w:rPr>
        <w:t xml:space="preserve">instructions and guidance provided by relevant Resolutions, Decisions of the Standing Committee and recommendations of the current and past Panels.  </w:t>
      </w:r>
    </w:p>
    <w:p w14:paraId="5CD01EA4" w14:textId="77777777" w:rsidR="00F91DE1" w:rsidRPr="00AD1D4B" w:rsidRDefault="00F91DE1" w:rsidP="000E5876">
      <w:pPr>
        <w:pStyle w:val="NoSpacing"/>
        <w:tabs>
          <w:tab w:val="left" w:pos="1330"/>
        </w:tabs>
        <w:ind w:left="0" w:firstLine="0"/>
        <w:rPr>
          <w:rFonts w:asciiTheme="minorHAnsi" w:hAnsiTheme="minorHAnsi" w:cstheme="minorHAnsi"/>
        </w:rPr>
      </w:pPr>
    </w:p>
    <w:p w14:paraId="37345750" w14:textId="77777777" w:rsidR="00F91DE1" w:rsidRPr="00AD1D4B" w:rsidRDefault="00F91DE1" w:rsidP="000E5876">
      <w:pPr>
        <w:pStyle w:val="NoSpacing"/>
        <w:tabs>
          <w:tab w:val="left" w:pos="1330"/>
        </w:tabs>
        <w:ind w:left="0" w:firstLine="0"/>
        <w:rPr>
          <w:rFonts w:asciiTheme="minorHAnsi" w:hAnsiTheme="minorHAnsi" w:cstheme="minorHAnsi"/>
          <w:u w:val="single"/>
        </w:rPr>
      </w:pPr>
      <w:r w:rsidRPr="00AD1D4B">
        <w:rPr>
          <w:rFonts w:asciiTheme="minorHAnsi" w:hAnsiTheme="minorHAnsi" w:cstheme="minorHAnsi"/>
          <w:u w:val="single"/>
        </w:rPr>
        <w:t>Membership of the Panel</w:t>
      </w:r>
    </w:p>
    <w:p w14:paraId="6E067AD1" w14:textId="77777777" w:rsidR="00F91DE1" w:rsidRPr="00AD1D4B" w:rsidRDefault="00F91DE1" w:rsidP="000E5876">
      <w:pPr>
        <w:contextualSpacing/>
        <w:rPr>
          <w:rFonts w:cstheme="minorHAnsi"/>
          <w:sz w:val="22"/>
          <w:szCs w:val="22"/>
        </w:rPr>
      </w:pPr>
    </w:p>
    <w:p w14:paraId="09A28D34" w14:textId="39376E53" w:rsidR="00F91DE1" w:rsidRPr="00AD1D4B" w:rsidRDefault="00F91DE1" w:rsidP="000E5876">
      <w:pPr>
        <w:rPr>
          <w:rFonts w:cstheme="minorHAnsi"/>
          <w:color w:val="000000"/>
          <w:sz w:val="22"/>
          <w:szCs w:val="22"/>
          <w:lang w:val="en-US"/>
        </w:rPr>
      </w:pPr>
      <w:r w:rsidRPr="00AD1D4B">
        <w:rPr>
          <w:rFonts w:cstheme="minorHAnsi"/>
          <w:color w:val="000000"/>
          <w:sz w:val="22"/>
          <w:szCs w:val="22"/>
          <w:lang w:val="en-US"/>
        </w:rPr>
        <w:t xml:space="preserve">As CEPA activities are diverse and require a range of expertise, diversity of expertise should be reflected in the composition of the Panel. The Panel should have balanced representation from all regions of the Convention. To ensure institutional memory, it is recommended that </w:t>
      </w:r>
      <w:r w:rsidR="00CB0C8B">
        <w:rPr>
          <w:rFonts w:cstheme="minorHAnsi"/>
          <w:color w:val="000000"/>
          <w:sz w:val="22"/>
          <w:szCs w:val="22"/>
          <w:lang w:val="en-US"/>
        </w:rPr>
        <w:t>the membership of the Panel should alway</w:t>
      </w:r>
      <w:r w:rsidR="002F2CA6">
        <w:rPr>
          <w:rFonts w:cstheme="minorHAnsi"/>
          <w:color w:val="000000"/>
          <w:sz w:val="22"/>
          <w:szCs w:val="22"/>
          <w:lang w:val="en-US"/>
        </w:rPr>
        <w:t>s</w:t>
      </w:r>
      <w:r w:rsidR="00CB0C8B">
        <w:rPr>
          <w:rFonts w:cstheme="minorHAnsi"/>
          <w:color w:val="000000"/>
          <w:sz w:val="22"/>
          <w:szCs w:val="22"/>
          <w:lang w:val="en-US"/>
        </w:rPr>
        <w:t xml:space="preserve"> include </w:t>
      </w:r>
      <w:r w:rsidRPr="00AD1D4B">
        <w:rPr>
          <w:rFonts w:cstheme="minorHAnsi"/>
          <w:color w:val="000000"/>
          <w:sz w:val="22"/>
          <w:szCs w:val="22"/>
          <w:lang w:val="en-US"/>
        </w:rPr>
        <w:t xml:space="preserve">at least one </w:t>
      </w:r>
      <w:r w:rsidR="00CB0C8B">
        <w:rPr>
          <w:rFonts w:cstheme="minorHAnsi"/>
          <w:color w:val="000000"/>
          <w:sz w:val="22"/>
          <w:szCs w:val="22"/>
          <w:lang w:val="en-US"/>
        </w:rPr>
        <w:t>person who</w:t>
      </w:r>
      <w:r w:rsidRPr="00AD1D4B">
        <w:rPr>
          <w:rFonts w:cstheme="minorHAnsi"/>
          <w:color w:val="000000"/>
          <w:sz w:val="22"/>
          <w:szCs w:val="22"/>
          <w:lang w:val="en-US"/>
        </w:rPr>
        <w:t xml:space="preserve"> has served as a Panel member during the previous triennium. The Panel may invite additional CEPA experts as required. </w:t>
      </w:r>
    </w:p>
    <w:p w14:paraId="3C0FBF4F" w14:textId="77777777" w:rsidR="00F91DE1" w:rsidRPr="00AD1D4B" w:rsidRDefault="00F91DE1" w:rsidP="000E5876">
      <w:pPr>
        <w:contextualSpacing/>
        <w:rPr>
          <w:rFonts w:cstheme="minorHAnsi"/>
          <w:color w:val="000000"/>
          <w:sz w:val="22"/>
          <w:szCs w:val="22"/>
          <w:lang w:val="en-US"/>
        </w:rPr>
      </w:pPr>
    </w:p>
    <w:p w14:paraId="432B151D" w14:textId="77777777" w:rsidR="00F91DE1" w:rsidRPr="00AD1D4B" w:rsidRDefault="00F91DE1" w:rsidP="007C1CBC">
      <w:pPr>
        <w:ind w:left="426" w:hanging="426"/>
        <w:contextualSpacing/>
        <w:rPr>
          <w:rFonts w:cstheme="minorHAnsi"/>
          <w:color w:val="000000"/>
          <w:sz w:val="22"/>
          <w:szCs w:val="22"/>
          <w:lang w:val="en-US"/>
        </w:rPr>
      </w:pPr>
      <w:r w:rsidRPr="00AD1D4B">
        <w:rPr>
          <w:rFonts w:cstheme="minorHAnsi"/>
          <w:color w:val="000000"/>
          <w:sz w:val="22"/>
          <w:szCs w:val="22"/>
          <w:lang w:val="en-US"/>
        </w:rPr>
        <w:t xml:space="preserve">The membership of the Panel should include: </w:t>
      </w:r>
    </w:p>
    <w:p w14:paraId="31D075EE" w14:textId="18F24E26" w:rsidR="00F91DE1" w:rsidRPr="00AD1D4B" w:rsidRDefault="00F91DE1" w:rsidP="00AB06F3">
      <w:pPr>
        <w:pStyle w:val="NoSpacing"/>
        <w:ind w:left="426" w:hanging="426"/>
        <w:rPr>
          <w:rFonts w:asciiTheme="minorHAnsi" w:hAnsiTheme="minorHAnsi" w:cstheme="minorHAnsi"/>
        </w:rPr>
      </w:pPr>
      <w:r w:rsidRPr="00AD1D4B">
        <w:rPr>
          <w:rFonts w:asciiTheme="minorHAnsi" w:hAnsiTheme="minorHAnsi" w:cstheme="minorHAnsi"/>
        </w:rPr>
        <w:t>i.</w:t>
      </w:r>
      <w:r w:rsidRPr="00AD1D4B">
        <w:rPr>
          <w:rFonts w:asciiTheme="minorHAnsi" w:hAnsiTheme="minorHAnsi" w:cstheme="minorHAnsi"/>
        </w:rPr>
        <w:tab/>
        <w:t>The Chair or Vice-Chair of the Standing Committee</w:t>
      </w:r>
      <w:r w:rsidR="007C1CBC">
        <w:rPr>
          <w:rFonts w:asciiTheme="minorHAnsi" w:hAnsiTheme="minorHAnsi" w:cstheme="minorHAnsi"/>
        </w:rPr>
        <w:t>;</w:t>
      </w:r>
    </w:p>
    <w:p w14:paraId="2549018E" w14:textId="38F739E6" w:rsidR="00F91DE1" w:rsidRPr="00AD1D4B" w:rsidRDefault="00F91DE1" w:rsidP="00AB06F3">
      <w:pPr>
        <w:pStyle w:val="NoSpacing"/>
        <w:ind w:left="426" w:hanging="426"/>
        <w:rPr>
          <w:rFonts w:asciiTheme="minorHAnsi" w:hAnsiTheme="minorHAnsi" w:cstheme="minorHAnsi"/>
        </w:rPr>
      </w:pPr>
      <w:r w:rsidRPr="00AD1D4B">
        <w:rPr>
          <w:rFonts w:asciiTheme="minorHAnsi" w:hAnsiTheme="minorHAnsi" w:cstheme="minorHAnsi"/>
        </w:rPr>
        <w:t>ii.</w:t>
      </w:r>
      <w:r w:rsidRPr="00AD1D4B">
        <w:rPr>
          <w:rFonts w:asciiTheme="minorHAnsi" w:hAnsiTheme="minorHAnsi" w:cstheme="minorHAnsi"/>
        </w:rPr>
        <w:tab/>
        <w:t>Two national CEPA Government Focal Points</w:t>
      </w:r>
      <w:r w:rsidR="007C1CBC">
        <w:rPr>
          <w:rFonts w:asciiTheme="minorHAnsi" w:hAnsiTheme="minorHAnsi" w:cstheme="minorHAnsi"/>
        </w:rPr>
        <w:t>;</w:t>
      </w:r>
    </w:p>
    <w:p w14:paraId="7CCD731B" w14:textId="02CF459A" w:rsidR="00F91DE1" w:rsidRPr="00AD1D4B" w:rsidRDefault="00F91DE1" w:rsidP="00AB06F3">
      <w:pPr>
        <w:pStyle w:val="NoSpacing"/>
        <w:ind w:left="426" w:hanging="426"/>
        <w:rPr>
          <w:rFonts w:asciiTheme="minorHAnsi" w:hAnsiTheme="minorHAnsi" w:cstheme="minorHAnsi"/>
        </w:rPr>
      </w:pPr>
      <w:r w:rsidRPr="00AD1D4B">
        <w:rPr>
          <w:rFonts w:asciiTheme="minorHAnsi" w:hAnsiTheme="minorHAnsi" w:cstheme="minorHAnsi"/>
          <w:color w:val="000000"/>
        </w:rPr>
        <w:t>iii.</w:t>
      </w:r>
      <w:r w:rsidRPr="00AD1D4B">
        <w:rPr>
          <w:rFonts w:asciiTheme="minorHAnsi" w:hAnsiTheme="minorHAnsi" w:cstheme="minorHAnsi"/>
          <w:color w:val="000000"/>
        </w:rPr>
        <w:tab/>
        <w:t>Two CEPA NGO Focal Points</w:t>
      </w:r>
      <w:r w:rsidR="007C1CBC">
        <w:rPr>
          <w:rFonts w:asciiTheme="minorHAnsi" w:hAnsiTheme="minorHAnsi" w:cstheme="minorHAnsi"/>
          <w:color w:val="000000"/>
        </w:rPr>
        <w:t>;</w:t>
      </w:r>
    </w:p>
    <w:p w14:paraId="70C5E0CC" w14:textId="7B0DBA0C" w:rsidR="00F91DE1" w:rsidRPr="00AD1D4B" w:rsidRDefault="00F91DE1" w:rsidP="00AB06F3">
      <w:pPr>
        <w:pStyle w:val="NoSpacing"/>
        <w:ind w:left="426" w:hanging="426"/>
        <w:rPr>
          <w:rFonts w:asciiTheme="minorHAnsi" w:hAnsiTheme="minorHAnsi" w:cstheme="minorHAnsi"/>
        </w:rPr>
      </w:pPr>
      <w:r w:rsidRPr="00AD1D4B">
        <w:rPr>
          <w:rFonts w:asciiTheme="minorHAnsi" w:hAnsiTheme="minorHAnsi" w:cstheme="minorHAnsi"/>
        </w:rPr>
        <w:t>iv.</w:t>
      </w:r>
      <w:r w:rsidRPr="00AD1D4B">
        <w:rPr>
          <w:rFonts w:asciiTheme="minorHAnsi" w:hAnsiTheme="minorHAnsi" w:cstheme="minorHAnsi"/>
        </w:rPr>
        <w:tab/>
        <w:t>STRP Vice-Chair (or STRP representative)</w:t>
      </w:r>
      <w:r w:rsidR="007C1CBC">
        <w:rPr>
          <w:rFonts w:asciiTheme="minorHAnsi" w:hAnsiTheme="minorHAnsi" w:cstheme="minorHAnsi"/>
        </w:rPr>
        <w:t>;</w:t>
      </w:r>
    </w:p>
    <w:p w14:paraId="724DD40A" w14:textId="7B4DB9C3" w:rsidR="00F91DE1" w:rsidRPr="00AD1D4B" w:rsidRDefault="00F91DE1" w:rsidP="00AB06F3">
      <w:pPr>
        <w:pStyle w:val="NoSpacing"/>
        <w:ind w:left="426" w:hanging="426"/>
        <w:rPr>
          <w:rFonts w:asciiTheme="minorHAnsi" w:hAnsiTheme="minorHAnsi" w:cstheme="minorHAnsi"/>
        </w:rPr>
      </w:pPr>
      <w:r w:rsidRPr="00AD1D4B">
        <w:rPr>
          <w:rFonts w:asciiTheme="minorHAnsi" w:hAnsiTheme="minorHAnsi" w:cstheme="minorHAnsi"/>
          <w:color w:val="000000"/>
          <w:lang w:val="en-US"/>
        </w:rPr>
        <w:t>v.</w:t>
      </w:r>
      <w:r w:rsidRPr="00AD1D4B">
        <w:rPr>
          <w:rFonts w:asciiTheme="minorHAnsi" w:hAnsiTheme="minorHAnsi" w:cstheme="minorHAnsi"/>
          <w:color w:val="000000"/>
          <w:lang w:val="en-US"/>
        </w:rPr>
        <w:tab/>
      </w:r>
      <w:r w:rsidR="006E11CC">
        <w:rPr>
          <w:rFonts w:asciiTheme="minorHAnsi" w:hAnsiTheme="minorHAnsi" w:cstheme="minorHAnsi"/>
          <w:color w:val="000000"/>
          <w:lang w:val="en-US"/>
        </w:rPr>
        <w:t xml:space="preserve">One representative of the </w:t>
      </w:r>
      <w:r w:rsidRPr="00AD1D4B">
        <w:rPr>
          <w:rFonts w:asciiTheme="minorHAnsi" w:hAnsiTheme="minorHAnsi" w:cstheme="minorHAnsi"/>
          <w:color w:val="000000"/>
          <w:lang w:val="en-US"/>
        </w:rPr>
        <w:t>International Organization Partners</w:t>
      </w:r>
      <w:r w:rsidR="006E11CC">
        <w:rPr>
          <w:rFonts w:asciiTheme="minorHAnsi" w:hAnsiTheme="minorHAnsi" w:cstheme="minorHAnsi"/>
          <w:color w:val="000000"/>
          <w:lang w:val="en-US"/>
        </w:rPr>
        <w:t>,</w:t>
      </w:r>
      <w:r w:rsidRPr="00AD1D4B">
        <w:rPr>
          <w:rFonts w:asciiTheme="minorHAnsi" w:hAnsiTheme="minorHAnsi" w:cstheme="minorHAnsi"/>
          <w:color w:val="000000"/>
          <w:lang w:val="en-US"/>
        </w:rPr>
        <w:t xml:space="preserve"> </w:t>
      </w:r>
      <w:r w:rsidR="006E11CC">
        <w:rPr>
          <w:rFonts w:asciiTheme="minorHAnsi" w:hAnsiTheme="minorHAnsi" w:cstheme="minorHAnsi"/>
          <w:color w:val="000000"/>
          <w:lang w:val="en-US"/>
        </w:rPr>
        <w:t>who is selected to</w:t>
      </w:r>
      <w:r w:rsidRPr="00AD1D4B">
        <w:rPr>
          <w:rFonts w:asciiTheme="minorHAnsi" w:hAnsiTheme="minorHAnsi" w:cstheme="minorHAnsi"/>
          <w:color w:val="000000"/>
          <w:lang w:val="en-US"/>
        </w:rPr>
        <w:t xml:space="preserve"> act as the liaison between the Panel and the six IOPs</w:t>
      </w:r>
      <w:r w:rsidR="007C1CBC">
        <w:rPr>
          <w:rFonts w:asciiTheme="minorHAnsi" w:hAnsiTheme="minorHAnsi" w:cstheme="minorHAnsi"/>
          <w:color w:val="000000"/>
          <w:lang w:val="en-US"/>
        </w:rPr>
        <w:t>;</w:t>
      </w:r>
    </w:p>
    <w:p w14:paraId="2ECC6D0F" w14:textId="7282F19B" w:rsidR="00F91DE1" w:rsidRPr="00AD1D4B" w:rsidRDefault="00F91DE1" w:rsidP="00AB06F3">
      <w:pPr>
        <w:pStyle w:val="NoSpacing"/>
        <w:ind w:left="426" w:hanging="426"/>
        <w:rPr>
          <w:rFonts w:asciiTheme="minorHAnsi" w:hAnsiTheme="minorHAnsi" w:cstheme="minorHAnsi"/>
        </w:rPr>
      </w:pPr>
      <w:r w:rsidRPr="00AD1D4B">
        <w:rPr>
          <w:rFonts w:asciiTheme="minorHAnsi" w:hAnsiTheme="minorHAnsi" w:cstheme="minorHAnsi"/>
          <w:color w:val="000000"/>
          <w:lang w:val="en-US"/>
        </w:rPr>
        <w:t>vi.</w:t>
      </w:r>
      <w:r w:rsidRPr="00AD1D4B">
        <w:rPr>
          <w:rFonts w:asciiTheme="minorHAnsi" w:hAnsiTheme="minorHAnsi" w:cstheme="minorHAnsi"/>
          <w:color w:val="000000"/>
          <w:lang w:val="en-US"/>
        </w:rPr>
        <w:tab/>
        <w:t>A youth representative</w:t>
      </w:r>
      <w:r w:rsidR="007C1CBC">
        <w:rPr>
          <w:rFonts w:asciiTheme="minorHAnsi" w:hAnsiTheme="minorHAnsi" w:cstheme="minorHAnsi"/>
          <w:color w:val="000000"/>
          <w:lang w:val="en-US"/>
        </w:rPr>
        <w:t>;</w:t>
      </w:r>
    </w:p>
    <w:p w14:paraId="7380A1CD" w14:textId="2BBB5048" w:rsidR="00F91DE1" w:rsidRPr="00AD1D4B" w:rsidRDefault="00F91DE1" w:rsidP="00AB06F3">
      <w:pPr>
        <w:ind w:left="426" w:hanging="426"/>
        <w:rPr>
          <w:rFonts w:cstheme="minorHAnsi"/>
          <w:sz w:val="22"/>
          <w:szCs w:val="22"/>
        </w:rPr>
      </w:pPr>
      <w:r w:rsidRPr="00AD1D4B">
        <w:rPr>
          <w:rFonts w:cstheme="minorHAnsi"/>
          <w:color w:val="000000"/>
          <w:sz w:val="22"/>
          <w:szCs w:val="22"/>
          <w:lang w:val="en-US"/>
        </w:rPr>
        <w:t>vii.</w:t>
      </w:r>
      <w:r w:rsidRPr="00AD1D4B">
        <w:rPr>
          <w:rFonts w:cstheme="minorHAnsi"/>
          <w:color w:val="000000"/>
          <w:sz w:val="22"/>
          <w:szCs w:val="22"/>
          <w:lang w:val="en-US"/>
        </w:rPr>
        <w:tab/>
        <w:t>A</w:t>
      </w:r>
      <w:r w:rsidR="006E11CC">
        <w:rPr>
          <w:rFonts w:cstheme="minorHAnsi"/>
          <w:color w:val="000000"/>
          <w:sz w:val="22"/>
          <w:szCs w:val="22"/>
          <w:lang w:val="en-US"/>
        </w:rPr>
        <w:t xml:space="preserve"> representative of</w:t>
      </w:r>
      <w:r w:rsidRPr="00AD1D4B">
        <w:rPr>
          <w:rFonts w:cstheme="minorHAnsi"/>
          <w:color w:val="000000"/>
          <w:sz w:val="22"/>
          <w:szCs w:val="22"/>
          <w:lang w:val="en-US"/>
        </w:rPr>
        <w:t xml:space="preserve"> </w:t>
      </w:r>
      <w:r w:rsidRPr="00AD1D4B">
        <w:rPr>
          <w:rFonts w:cstheme="minorHAnsi"/>
          <w:sz w:val="22"/>
          <w:szCs w:val="22"/>
        </w:rPr>
        <w:t>Indigenous Peoples</w:t>
      </w:r>
      <w:r w:rsidR="007C1CBC">
        <w:rPr>
          <w:rFonts w:cstheme="minorHAnsi"/>
          <w:sz w:val="22"/>
          <w:szCs w:val="22"/>
        </w:rPr>
        <w:t>;</w:t>
      </w:r>
    </w:p>
    <w:p w14:paraId="28CC2F02" w14:textId="6F9B2F6D" w:rsidR="00F91DE1" w:rsidRPr="00AD1D4B" w:rsidRDefault="00F91DE1" w:rsidP="00AB06F3">
      <w:pPr>
        <w:pStyle w:val="NoSpacing"/>
        <w:ind w:left="426" w:hanging="426"/>
        <w:rPr>
          <w:rFonts w:asciiTheme="minorHAnsi" w:hAnsiTheme="minorHAnsi" w:cstheme="minorHAnsi"/>
        </w:rPr>
      </w:pPr>
      <w:r w:rsidRPr="00AD1D4B">
        <w:rPr>
          <w:rFonts w:asciiTheme="minorHAnsi" w:hAnsiTheme="minorHAnsi" w:cstheme="minorHAnsi"/>
        </w:rPr>
        <w:lastRenderedPageBreak/>
        <w:t>viii.</w:t>
      </w:r>
      <w:r w:rsidRPr="00AD1D4B">
        <w:rPr>
          <w:rFonts w:asciiTheme="minorHAnsi" w:hAnsiTheme="minorHAnsi" w:cstheme="minorHAnsi"/>
        </w:rPr>
        <w:tab/>
        <w:t>Contracting Parties (one per region separate from any regional representation from the members listed above)</w:t>
      </w:r>
      <w:r w:rsidR="007C1CBC">
        <w:rPr>
          <w:rFonts w:asciiTheme="minorHAnsi" w:hAnsiTheme="minorHAnsi" w:cstheme="minorHAnsi"/>
        </w:rPr>
        <w:t>; and</w:t>
      </w:r>
    </w:p>
    <w:p w14:paraId="3C342B08" w14:textId="34130E2B" w:rsidR="00F91DE1" w:rsidRPr="00AD1D4B" w:rsidRDefault="00F91DE1" w:rsidP="00AB06F3">
      <w:pPr>
        <w:pStyle w:val="NoSpacing"/>
        <w:ind w:left="426" w:hanging="426"/>
        <w:rPr>
          <w:rFonts w:asciiTheme="minorHAnsi" w:hAnsiTheme="minorHAnsi" w:cstheme="minorHAnsi"/>
        </w:rPr>
      </w:pPr>
      <w:r w:rsidRPr="00AD1D4B">
        <w:rPr>
          <w:rFonts w:asciiTheme="minorHAnsi" w:hAnsiTheme="minorHAnsi" w:cstheme="minorHAnsi"/>
        </w:rPr>
        <w:t>ix.</w:t>
      </w:r>
      <w:r w:rsidRPr="00AD1D4B">
        <w:rPr>
          <w:rFonts w:asciiTheme="minorHAnsi" w:hAnsiTheme="minorHAnsi" w:cstheme="minorHAnsi"/>
        </w:rPr>
        <w:tab/>
        <w:t>A representative of the Secretariat of the Convention (</w:t>
      </w:r>
      <w:r w:rsidRPr="00AD1D4B">
        <w:rPr>
          <w:rFonts w:asciiTheme="minorHAnsi" w:hAnsiTheme="minorHAnsi" w:cstheme="minorHAnsi"/>
          <w:i/>
        </w:rPr>
        <w:t>ex officio</w:t>
      </w:r>
      <w:r w:rsidRPr="00AD1D4B">
        <w:rPr>
          <w:rFonts w:asciiTheme="minorHAnsi" w:hAnsiTheme="minorHAnsi" w:cstheme="minorHAnsi"/>
        </w:rPr>
        <w:t>)</w:t>
      </w:r>
      <w:r w:rsidR="007C1CBC">
        <w:rPr>
          <w:rFonts w:asciiTheme="minorHAnsi" w:hAnsiTheme="minorHAnsi" w:cstheme="minorHAnsi"/>
        </w:rPr>
        <w:t>.</w:t>
      </w:r>
    </w:p>
    <w:p w14:paraId="38639A70" w14:textId="77777777" w:rsidR="00F91DE1" w:rsidRPr="00AD1D4B" w:rsidRDefault="00F91DE1" w:rsidP="000E5876">
      <w:pPr>
        <w:rPr>
          <w:rFonts w:cstheme="minorHAnsi"/>
          <w:color w:val="000000"/>
          <w:sz w:val="22"/>
          <w:szCs w:val="22"/>
        </w:rPr>
      </w:pPr>
    </w:p>
    <w:p w14:paraId="60288DEE" w14:textId="77777777" w:rsidR="00F91DE1" w:rsidRPr="00AD1D4B" w:rsidRDefault="00F91DE1" w:rsidP="000E5876">
      <w:pPr>
        <w:rPr>
          <w:rFonts w:cstheme="minorHAnsi"/>
          <w:sz w:val="22"/>
          <w:szCs w:val="22"/>
          <w:u w:val="single"/>
        </w:rPr>
      </w:pPr>
      <w:r w:rsidRPr="00AD1D4B">
        <w:rPr>
          <w:rFonts w:cstheme="minorHAnsi"/>
          <w:sz w:val="22"/>
          <w:szCs w:val="22"/>
          <w:u w:val="single"/>
        </w:rPr>
        <w:t>Nomination procedure</w:t>
      </w:r>
    </w:p>
    <w:p w14:paraId="0ED9DC19" w14:textId="77777777" w:rsidR="00F91DE1" w:rsidRPr="00AD1D4B" w:rsidRDefault="00F91DE1" w:rsidP="000E5876">
      <w:pPr>
        <w:rPr>
          <w:rFonts w:cstheme="minorHAnsi"/>
          <w:sz w:val="22"/>
          <w:szCs w:val="22"/>
        </w:rPr>
      </w:pPr>
    </w:p>
    <w:p w14:paraId="56DD6F7E" w14:textId="705405D1" w:rsidR="00F91DE1" w:rsidRPr="00AD1D4B" w:rsidRDefault="00E44C34" w:rsidP="000E5876">
      <w:pPr>
        <w:rPr>
          <w:rFonts w:cstheme="minorHAnsi"/>
          <w:sz w:val="22"/>
          <w:szCs w:val="22"/>
        </w:rPr>
      </w:pPr>
      <w:r>
        <w:rPr>
          <w:rFonts w:cstheme="minorHAnsi"/>
          <w:sz w:val="22"/>
          <w:szCs w:val="22"/>
        </w:rPr>
        <w:t>The process for nomination of members is as follows:</w:t>
      </w:r>
    </w:p>
    <w:p w14:paraId="080B0866" w14:textId="77777777" w:rsidR="00F91DE1" w:rsidRPr="00AD1D4B" w:rsidRDefault="00F91DE1" w:rsidP="000E5876">
      <w:pPr>
        <w:rPr>
          <w:rFonts w:cstheme="minorHAnsi"/>
          <w:sz w:val="22"/>
          <w:szCs w:val="22"/>
        </w:rPr>
      </w:pPr>
    </w:p>
    <w:p w14:paraId="2A4DD971" w14:textId="5A7E75AE" w:rsidR="00F91DE1" w:rsidRPr="00AD1D4B" w:rsidRDefault="00F91DE1" w:rsidP="000E5876">
      <w:pPr>
        <w:pStyle w:val="ListParagraph"/>
        <w:numPr>
          <w:ilvl w:val="0"/>
          <w:numId w:val="4"/>
        </w:numPr>
        <w:ind w:left="426" w:hanging="426"/>
        <w:rPr>
          <w:rFonts w:cstheme="minorHAnsi"/>
          <w:sz w:val="22"/>
          <w:szCs w:val="22"/>
        </w:rPr>
      </w:pPr>
      <w:r w:rsidRPr="00AD1D4B">
        <w:rPr>
          <w:rFonts w:cstheme="minorHAnsi"/>
          <w:sz w:val="22"/>
          <w:szCs w:val="22"/>
        </w:rPr>
        <w:t xml:space="preserve">During </w:t>
      </w:r>
      <w:r w:rsidR="00E44C34">
        <w:rPr>
          <w:rFonts w:cstheme="minorHAnsi"/>
          <w:sz w:val="22"/>
          <w:szCs w:val="22"/>
        </w:rPr>
        <w:t xml:space="preserve">the </w:t>
      </w:r>
      <w:r w:rsidRPr="00AD1D4B">
        <w:rPr>
          <w:rFonts w:cstheme="minorHAnsi"/>
          <w:sz w:val="22"/>
          <w:szCs w:val="22"/>
        </w:rPr>
        <w:t xml:space="preserve">regional meetings </w:t>
      </w:r>
      <w:r w:rsidR="00E44C34">
        <w:rPr>
          <w:rFonts w:cstheme="minorHAnsi"/>
          <w:sz w:val="22"/>
          <w:szCs w:val="22"/>
        </w:rPr>
        <w:t xml:space="preserve">that take place at the last </w:t>
      </w:r>
      <w:r w:rsidR="000D4014">
        <w:rPr>
          <w:rFonts w:cstheme="minorHAnsi"/>
          <w:sz w:val="22"/>
          <w:szCs w:val="22"/>
        </w:rPr>
        <w:t xml:space="preserve">full meeting of the </w:t>
      </w:r>
      <w:r w:rsidR="00E44C34">
        <w:rPr>
          <w:rFonts w:cstheme="minorHAnsi"/>
          <w:sz w:val="22"/>
          <w:szCs w:val="22"/>
        </w:rPr>
        <w:t xml:space="preserve">Standing Committee before each meeting of the Conference of the </w:t>
      </w:r>
      <w:r w:rsidRPr="00AD1D4B">
        <w:rPr>
          <w:rFonts w:cstheme="minorHAnsi"/>
          <w:sz w:val="22"/>
          <w:szCs w:val="22"/>
        </w:rPr>
        <w:t>Contracting Parties</w:t>
      </w:r>
      <w:r w:rsidR="00146800">
        <w:rPr>
          <w:rFonts w:cstheme="minorHAnsi"/>
          <w:sz w:val="22"/>
          <w:szCs w:val="22"/>
        </w:rPr>
        <w:t xml:space="preserve"> (COP)</w:t>
      </w:r>
      <w:r w:rsidR="00E44C34">
        <w:rPr>
          <w:rFonts w:cstheme="minorHAnsi"/>
          <w:sz w:val="22"/>
          <w:szCs w:val="22"/>
        </w:rPr>
        <w:t>, the Parties</w:t>
      </w:r>
      <w:r w:rsidRPr="00AD1D4B">
        <w:rPr>
          <w:rFonts w:cstheme="minorHAnsi"/>
          <w:sz w:val="22"/>
          <w:szCs w:val="22"/>
        </w:rPr>
        <w:t xml:space="preserve"> are informed of the membership of the CEPA Oversight Panel and </w:t>
      </w:r>
      <w:r w:rsidR="00975571">
        <w:rPr>
          <w:rFonts w:cstheme="minorHAnsi"/>
          <w:sz w:val="22"/>
          <w:szCs w:val="22"/>
        </w:rPr>
        <w:t xml:space="preserve">are </w:t>
      </w:r>
      <w:r w:rsidRPr="00AD1D4B">
        <w:rPr>
          <w:rFonts w:cstheme="minorHAnsi"/>
          <w:sz w:val="22"/>
          <w:szCs w:val="22"/>
        </w:rPr>
        <w:t>encouraged to identify potential interested and qualified members.</w:t>
      </w:r>
    </w:p>
    <w:p w14:paraId="079B9A39" w14:textId="77777777" w:rsidR="00F91DE1" w:rsidRPr="00AD1D4B" w:rsidRDefault="00F91DE1" w:rsidP="000E5876">
      <w:pPr>
        <w:rPr>
          <w:rFonts w:cstheme="minorHAnsi"/>
          <w:sz w:val="22"/>
          <w:szCs w:val="22"/>
        </w:rPr>
      </w:pPr>
    </w:p>
    <w:p w14:paraId="77782BD5" w14:textId="77777777" w:rsidR="00F91DE1" w:rsidRPr="00AD1D4B" w:rsidRDefault="00F91DE1" w:rsidP="000E5876">
      <w:pPr>
        <w:pStyle w:val="ListParagraph"/>
        <w:numPr>
          <w:ilvl w:val="0"/>
          <w:numId w:val="4"/>
        </w:numPr>
        <w:ind w:left="426" w:hanging="426"/>
        <w:rPr>
          <w:rFonts w:cstheme="minorHAnsi"/>
          <w:sz w:val="22"/>
          <w:szCs w:val="22"/>
        </w:rPr>
      </w:pPr>
      <w:r w:rsidRPr="00AD1D4B">
        <w:rPr>
          <w:rFonts w:cstheme="minorHAnsi"/>
          <w:sz w:val="22"/>
          <w:szCs w:val="22"/>
        </w:rPr>
        <w:t>Four months in advance of the COP, the Secretariat issues a call for nominations to all Contracting Parties for the following categories:</w:t>
      </w:r>
    </w:p>
    <w:p w14:paraId="5836943F" w14:textId="77777777" w:rsidR="00F91DE1" w:rsidRPr="00AD1D4B" w:rsidRDefault="00F91DE1" w:rsidP="000E5876">
      <w:pPr>
        <w:pStyle w:val="ListParagraph"/>
        <w:numPr>
          <w:ilvl w:val="1"/>
          <w:numId w:val="4"/>
        </w:numPr>
        <w:ind w:left="851" w:hanging="425"/>
        <w:rPr>
          <w:rFonts w:cstheme="minorHAnsi"/>
          <w:sz w:val="22"/>
          <w:szCs w:val="22"/>
        </w:rPr>
      </w:pPr>
      <w:r w:rsidRPr="00AD1D4B">
        <w:rPr>
          <w:rFonts w:cstheme="minorHAnsi"/>
          <w:sz w:val="22"/>
          <w:szCs w:val="22"/>
        </w:rPr>
        <w:t>CEPA Government Focal Point;</w:t>
      </w:r>
    </w:p>
    <w:p w14:paraId="40E2171E" w14:textId="77777777" w:rsidR="00F91DE1" w:rsidRPr="00AD1D4B" w:rsidRDefault="00F91DE1" w:rsidP="000E5876">
      <w:pPr>
        <w:pStyle w:val="ListParagraph"/>
        <w:numPr>
          <w:ilvl w:val="1"/>
          <w:numId w:val="4"/>
        </w:numPr>
        <w:ind w:left="851" w:hanging="425"/>
        <w:rPr>
          <w:rFonts w:cstheme="minorHAnsi"/>
          <w:sz w:val="22"/>
          <w:szCs w:val="22"/>
        </w:rPr>
      </w:pPr>
      <w:r w:rsidRPr="00AD1D4B">
        <w:rPr>
          <w:rFonts w:cstheme="minorHAnsi"/>
          <w:sz w:val="22"/>
          <w:szCs w:val="22"/>
        </w:rPr>
        <w:t>CEPA NGO Focal Point;</w:t>
      </w:r>
    </w:p>
    <w:p w14:paraId="3C9DB8C2" w14:textId="1C177B68" w:rsidR="00F91DE1" w:rsidRPr="00AD1D4B" w:rsidRDefault="00F91DE1" w:rsidP="000E5876">
      <w:pPr>
        <w:pStyle w:val="ListParagraph"/>
        <w:numPr>
          <w:ilvl w:val="1"/>
          <w:numId w:val="4"/>
        </w:numPr>
        <w:ind w:left="851" w:hanging="425"/>
        <w:rPr>
          <w:rFonts w:cstheme="minorHAnsi"/>
          <w:sz w:val="22"/>
          <w:szCs w:val="22"/>
        </w:rPr>
      </w:pPr>
      <w:r w:rsidRPr="00AD1D4B">
        <w:rPr>
          <w:rFonts w:cstheme="minorHAnsi"/>
          <w:sz w:val="22"/>
          <w:szCs w:val="22"/>
        </w:rPr>
        <w:t xml:space="preserve">Indigenous </w:t>
      </w:r>
      <w:r w:rsidR="00C16676" w:rsidRPr="00AD1D4B">
        <w:rPr>
          <w:rFonts w:cstheme="minorHAnsi"/>
          <w:sz w:val="22"/>
          <w:szCs w:val="22"/>
        </w:rPr>
        <w:t>Peoples</w:t>
      </w:r>
      <w:r w:rsidR="00C16676">
        <w:rPr>
          <w:rFonts w:cstheme="minorHAnsi"/>
          <w:sz w:val="22"/>
          <w:szCs w:val="22"/>
        </w:rPr>
        <w:t>’</w:t>
      </w:r>
      <w:r w:rsidR="00C16676" w:rsidRPr="00AD1D4B">
        <w:rPr>
          <w:rFonts w:cstheme="minorHAnsi"/>
          <w:sz w:val="22"/>
          <w:szCs w:val="22"/>
        </w:rPr>
        <w:t xml:space="preserve"> </w:t>
      </w:r>
      <w:r w:rsidRPr="00AD1D4B">
        <w:rPr>
          <w:rFonts w:cstheme="minorHAnsi"/>
          <w:sz w:val="22"/>
          <w:szCs w:val="22"/>
        </w:rPr>
        <w:t>representative; and</w:t>
      </w:r>
    </w:p>
    <w:p w14:paraId="09C5C2AC" w14:textId="77777777" w:rsidR="00F91DE1" w:rsidRPr="00AD1D4B" w:rsidRDefault="00F91DE1" w:rsidP="000E5876">
      <w:pPr>
        <w:pStyle w:val="ListParagraph"/>
        <w:numPr>
          <w:ilvl w:val="1"/>
          <w:numId w:val="4"/>
        </w:numPr>
        <w:ind w:left="851" w:hanging="425"/>
        <w:rPr>
          <w:rFonts w:cstheme="minorHAnsi"/>
          <w:sz w:val="22"/>
          <w:szCs w:val="22"/>
        </w:rPr>
      </w:pPr>
      <w:r w:rsidRPr="00AD1D4B">
        <w:rPr>
          <w:rFonts w:cstheme="minorHAnsi"/>
          <w:sz w:val="22"/>
          <w:szCs w:val="22"/>
        </w:rPr>
        <w:t>Youth representative.</w:t>
      </w:r>
    </w:p>
    <w:p w14:paraId="02C9EBF2" w14:textId="77777777" w:rsidR="00F91DE1" w:rsidRPr="00AD1D4B" w:rsidRDefault="00F91DE1" w:rsidP="000E5876">
      <w:pPr>
        <w:pStyle w:val="ListParagraph"/>
        <w:ind w:left="0"/>
        <w:rPr>
          <w:rFonts w:cstheme="minorHAnsi"/>
          <w:sz w:val="22"/>
          <w:szCs w:val="22"/>
        </w:rPr>
      </w:pPr>
    </w:p>
    <w:p w14:paraId="176D63E1" w14:textId="4DD59D90" w:rsidR="00F91DE1" w:rsidRPr="00AD1D4B" w:rsidRDefault="00F91DE1" w:rsidP="000E5876">
      <w:pPr>
        <w:pStyle w:val="ListParagraph"/>
        <w:numPr>
          <w:ilvl w:val="0"/>
          <w:numId w:val="4"/>
        </w:numPr>
        <w:ind w:left="426" w:hanging="426"/>
        <w:rPr>
          <w:rFonts w:cstheme="minorHAnsi"/>
          <w:sz w:val="22"/>
          <w:szCs w:val="22"/>
        </w:rPr>
      </w:pPr>
      <w:r w:rsidRPr="00AD1D4B">
        <w:rPr>
          <w:rFonts w:cstheme="minorHAnsi"/>
          <w:sz w:val="22"/>
          <w:szCs w:val="22"/>
        </w:rPr>
        <w:t>Four months in advance of the COP</w:t>
      </w:r>
      <w:r w:rsidR="00146800">
        <w:rPr>
          <w:rFonts w:cstheme="minorHAnsi"/>
          <w:sz w:val="22"/>
          <w:szCs w:val="22"/>
        </w:rPr>
        <w:t>,</w:t>
      </w:r>
      <w:r w:rsidRPr="00AD1D4B">
        <w:rPr>
          <w:rFonts w:cstheme="minorHAnsi"/>
          <w:sz w:val="22"/>
          <w:szCs w:val="22"/>
        </w:rPr>
        <w:t xml:space="preserve"> the Secretariat invites IOPs to select a representative to jointly represent IOPs on the Panel.</w:t>
      </w:r>
    </w:p>
    <w:p w14:paraId="5A9D74B9" w14:textId="77777777" w:rsidR="00F91DE1" w:rsidRPr="00AD1D4B" w:rsidRDefault="00F91DE1" w:rsidP="000E5876">
      <w:pPr>
        <w:rPr>
          <w:rFonts w:cstheme="minorHAnsi"/>
          <w:sz w:val="22"/>
          <w:szCs w:val="22"/>
        </w:rPr>
      </w:pPr>
    </w:p>
    <w:p w14:paraId="6593C0B6" w14:textId="77777777" w:rsidR="00F91DE1" w:rsidRPr="00AD1D4B" w:rsidRDefault="00F91DE1" w:rsidP="000E5876">
      <w:pPr>
        <w:pStyle w:val="ListParagraph"/>
        <w:numPr>
          <w:ilvl w:val="0"/>
          <w:numId w:val="4"/>
        </w:numPr>
        <w:ind w:left="426" w:hanging="426"/>
        <w:rPr>
          <w:rFonts w:cstheme="minorHAnsi"/>
          <w:sz w:val="22"/>
          <w:szCs w:val="22"/>
        </w:rPr>
      </w:pPr>
      <w:r w:rsidRPr="00AD1D4B">
        <w:rPr>
          <w:rFonts w:cstheme="minorHAnsi"/>
          <w:sz w:val="22"/>
          <w:szCs w:val="22"/>
        </w:rPr>
        <w:t xml:space="preserve">During regional meetings at the COP, each region identifies a Contracting Party from the region as a member of the Panel. </w:t>
      </w:r>
    </w:p>
    <w:p w14:paraId="7054E858" w14:textId="77777777" w:rsidR="00F91DE1" w:rsidRPr="00AD1D4B" w:rsidRDefault="00F91DE1" w:rsidP="000E5876">
      <w:pPr>
        <w:jc w:val="both"/>
        <w:rPr>
          <w:rFonts w:cstheme="minorHAnsi"/>
          <w:sz w:val="22"/>
          <w:szCs w:val="22"/>
        </w:rPr>
      </w:pPr>
    </w:p>
    <w:p w14:paraId="04627D32" w14:textId="702F74BD" w:rsidR="00F91DE1" w:rsidRPr="00DE66BB" w:rsidRDefault="00F91DE1" w:rsidP="000E5876">
      <w:pPr>
        <w:pStyle w:val="ListParagraph"/>
        <w:numPr>
          <w:ilvl w:val="0"/>
          <w:numId w:val="4"/>
        </w:numPr>
        <w:ind w:left="426" w:hanging="426"/>
        <w:rPr>
          <w:rFonts w:cstheme="minorHAnsi"/>
          <w:sz w:val="22"/>
          <w:szCs w:val="22"/>
        </w:rPr>
      </w:pPr>
      <w:r w:rsidRPr="00DE66BB">
        <w:rPr>
          <w:rFonts w:cstheme="minorHAnsi"/>
          <w:sz w:val="22"/>
          <w:szCs w:val="22"/>
        </w:rPr>
        <w:t>At the first meeting of the Standing Committee immediately after the COP</w:t>
      </w:r>
      <w:r w:rsidR="00727FC7" w:rsidRPr="00DE66BB">
        <w:rPr>
          <w:rFonts w:cstheme="minorHAnsi"/>
          <w:sz w:val="22"/>
          <w:szCs w:val="22"/>
        </w:rPr>
        <w:t>,</w:t>
      </w:r>
      <w:r w:rsidRPr="00DE66BB">
        <w:rPr>
          <w:rFonts w:cstheme="minorHAnsi"/>
          <w:sz w:val="22"/>
          <w:szCs w:val="22"/>
        </w:rPr>
        <w:t xml:space="preserve"> </w:t>
      </w:r>
      <w:r w:rsidR="00DE66BB">
        <w:rPr>
          <w:rFonts w:cstheme="minorHAnsi"/>
          <w:sz w:val="22"/>
          <w:szCs w:val="22"/>
        </w:rPr>
        <w:t xml:space="preserve">the Standing Committee </w:t>
      </w:r>
      <w:r w:rsidR="00060360">
        <w:rPr>
          <w:rFonts w:cstheme="minorHAnsi"/>
          <w:sz w:val="22"/>
          <w:szCs w:val="22"/>
        </w:rPr>
        <w:t xml:space="preserve">agrees on the </w:t>
      </w:r>
      <w:r w:rsidR="00480BDE">
        <w:rPr>
          <w:rFonts w:cstheme="minorHAnsi"/>
          <w:sz w:val="22"/>
          <w:szCs w:val="22"/>
        </w:rPr>
        <w:t xml:space="preserve">Contracting Party representatives from each region </w:t>
      </w:r>
      <w:r w:rsidR="00FF1B0F">
        <w:rPr>
          <w:rFonts w:cstheme="minorHAnsi"/>
          <w:sz w:val="22"/>
          <w:szCs w:val="22"/>
        </w:rPr>
        <w:t xml:space="preserve">to be members of the </w:t>
      </w:r>
      <w:r w:rsidR="0081678E">
        <w:rPr>
          <w:rFonts w:cstheme="minorHAnsi"/>
          <w:sz w:val="22"/>
          <w:szCs w:val="22"/>
        </w:rPr>
        <w:t xml:space="preserve">Oversight </w:t>
      </w:r>
      <w:r w:rsidR="00FF1B0F">
        <w:rPr>
          <w:rFonts w:cstheme="minorHAnsi"/>
          <w:sz w:val="22"/>
          <w:szCs w:val="22"/>
        </w:rPr>
        <w:t>Panel</w:t>
      </w:r>
      <w:r w:rsidR="00D40BD3">
        <w:rPr>
          <w:rFonts w:cstheme="minorHAnsi"/>
          <w:sz w:val="22"/>
          <w:szCs w:val="22"/>
        </w:rPr>
        <w:t xml:space="preserve">. </w:t>
      </w:r>
      <w:r w:rsidR="00FA3153">
        <w:rPr>
          <w:rFonts w:cstheme="minorHAnsi"/>
          <w:sz w:val="22"/>
          <w:szCs w:val="22"/>
        </w:rPr>
        <w:t xml:space="preserve">The regional representatives </w:t>
      </w:r>
      <w:r w:rsidR="003F1F8F">
        <w:rPr>
          <w:rFonts w:cstheme="minorHAnsi"/>
          <w:sz w:val="22"/>
          <w:szCs w:val="22"/>
        </w:rPr>
        <w:t xml:space="preserve">and the Chair of the Panel (the Chair or Vice-Chair of the Standing Committee) </w:t>
      </w:r>
      <w:r w:rsidR="00BB4762">
        <w:rPr>
          <w:rFonts w:cstheme="minorHAnsi"/>
          <w:sz w:val="22"/>
          <w:szCs w:val="22"/>
        </w:rPr>
        <w:t>will meet intersessiona</w:t>
      </w:r>
      <w:r w:rsidR="00C16676">
        <w:rPr>
          <w:rFonts w:cstheme="minorHAnsi"/>
          <w:sz w:val="22"/>
          <w:szCs w:val="22"/>
        </w:rPr>
        <w:t>l</w:t>
      </w:r>
      <w:r w:rsidR="00BB4762">
        <w:rPr>
          <w:rFonts w:cstheme="minorHAnsi"/>
          <w:sz w:val="22"/>
          <w:szCs w:val="22"/>
        </w:rPr>
        <w:t>ly following the Standing Committee meeting</w:t>
      </w:r>
      <w:r w:rsidR="00480BDE">
        <w:rPr>
          <w:rFonts w:cstheme="minorHAnsi"/>
          <w:sz w:val="22"/>
          <w:szCs w:val="22"/>
        </w:rPr>
        <w:t xml:space="preserve"> </w:t>
      </w:r>
      <w:r w:rsidR="00BB4762">
        <w:rPr>
          <w:rFonts w:cstheme="minorHAnsi"/>
          <w:sz w:val="22"/>
          <w:szCs w:val="22"/>
        </w:rPr>
        <w:t xml:space="preserve">to review </w:t>
      </w:r>
      <w:r w:rsidRPr="00DE66BB">
        <w:rPr>
          <w:rFonts w:cstheme="minorHAnsi"/>
          <w:sz w:val="22"/>
          <w:szCs w:val="22"/>
        </w:rPr>
        <w:t xml:space="preserve">a summary </w:t>
      </w:r>
      <w:r w:rsidR="0081678E">
        <w:rPr>
          <w:rFonts w:cstheme="minorHAnsi"/>
          <w:sz w:val="22"/>
          <w:szCs w:val="22"/>
        </w:rPr>
        <w:t xml:space="preserve">prepared by the Secretariat </w:t>
      </w:r>
      <w:r w:rsidRPr="00DE66BB">
        <w:rPr>
          <w:rFonts w:cstheme="minorHAnsi"/>
          <w:sz w:val="22"/>
          <w:szCs w:val="22"/>
        </w:rPr>
        <w:t>of the nominations received for the CEPA Government Focal Point, CEPA NGO Focal Point, Indigenous Peoples</w:t>
      </w:r>
      <w:r w:rsidR="00C16676">
        <w:rPr>
          <w:rFonts w:cstheme="minorHAnsi"/>
          <w:sz w:val="22"/>
          <w:szCs w:val="22"/>
        </w:rPr>
        <w:t>’</w:t>
      </w:r>
      <w:r w:rsidRPr="00DE66BB">
        <w:rPr>
          <w:rFonts w:cstheme="minorHAnsi"/>
          <w:sz w:val="22"/>
          <w:szCs w:val="22"/>
        </w:rPr>
        <w:t xml:space="preserve"> representative and Youth representative categories. </w:t>
      </w:r>
      <w:r w:rsidR="009F37BD">
        <w:rPr>
          <w:rFonts w:cstheme="minorHAnsi"/>
          <w:sz w:val="22"/>
          <w:szCs w:val="22"/>
        </w:rPr>
        <w:t xml:space="preserve">The </w:t>
      </w:r>
      <w:r w:rsidR="00204FEE">
        <w:rPr>
          <w:rFonts w:cstheme="minorHAnsi"/>
          <w:sz w:val="22"/>
          <w:szCs w:val="22"/>
        </w:rPr>
        <w:t>regional representatives and the Chair</w:t>
      </w:r>
      <w:r w:rsidR="00EC3474">
        <w:rPr>
          <w:rFonts w:cstheme="minorHAnsi"/>
          <w:sz w:val="22"/>
          <w:szCs w:val="22"/>
        </w:rPr>
        <w:t xml:space="preserve"> review the nominations and</w:t>
      </w:r>
      <w:r w:rsidR="00074908">
        <w:rPr>
          <w:rFonts w:cstheme="minorHAnsi"/>
          <w:sz w:val="22"/>
          <w:szCs w:val="22"/>
        </w:rPr>
        <w:t xml:space="preserve"> prepare a list of recommended membership</w:t>
      </w:r>
      <w:r w:rsidR="00EC3474">
        <w:rPr>
          <w:rFonts w:cstheme="minorHAnsi"/>
          <w:sz w:val="22"/>
          <w:szCs w:val="22"/>
        </w:rPr>
        <w:t xml:space="preserve"> of the Oversight Panel</w:t>
      </w:r>
      <w:r w:rsidR="00F0297C">
        <w:rPr>
          <w:rFonts w:cstheme="minorHAnsi"/>
          <w:sz w:val="22"/>
          <w:szCs w:val="22"/>
        </w:rPr>
        <w:t>, with an alternative for each position in case of non-endorsement of the primary recommendation</w:t>
      </w:r>
      <w:r w:rsidR="00EC3474">
        <w:rPr>
          <w:rFonts w:cstheme="minorHAnsi"/>
          <w:sz w:val="22"/>
          <w:szCs w:val="22"/>
        </w:rPr>
        <w:t xml:space="preserve">. The list is provided to the Standing Committee for endorsement. </w:t>
      </w:r>
      <w:r w:rsidR="00F0297C">
        <w:rPr>
          <w:rFonts w:cstheme="minorHAnsi"/>
          <w:sz w:val="22"/>
          <w:szCs w:val="22"/>
        </w:rPr>
        <w:t>The Secretariat informs the Parties of the membership.</w:t>
      </w:r>
    </w:p>
    <w:p w14:paraId="516998FE" w14:textId="77777777" w:rsidR="00F91DE1" w:rsidRPr="00AD1D4B" w:rsidRDefault="00F91DE1" w:rsidP="000E5876">
      <w:pPr>
        <w:rPr>
          <w:rFonts w:cstheme="minorHAnsi"/>
          <w:sz w:val="22"/>
          <w:szCs w:val="22"/>
        </w:rPr>
      </w:pPr>
    </w:p>
    <w:p w14:paraId="1AE8AF97" w14:textId="0A49DDC5" w:rsidR="00EB270E" w:rsidRPr="00EB270E" w:rsidRDefault="00F91DE1" w:rsidP="000E5876">
      <w:pPr>
        <w:pStyle w:val="ListParagraph"/>
        <w:numPr>
          <w:ilvl w:val="0"/>
          <w:numId w:val="4"/>
        </w:numPr>
        <w:ind w:left="426" w:hanging="426"/>
        <w:rPr>
          <w:rFonts w:cstheme="minorHAnsi"/>
          <w:sz w:val="22"/>
          <w:szCs w:val="22"/>
        </w:rPr>
      </w:pPr>
      <w:r w:rsidRPr="00AD1D4B">
        <w:rPr>
          <w:rFonts w:cstheme="minorHAnsi"/>
          <w:sz w:val="22"/>
          <w:szCs w:val="22"/>
        </w:rPr>
        <w:t xml:space="preserve">Within </w:t>
      </w:r>
      <w:r w:rsidR="00EC3474">
        <w:rPr>
          <w:rFonts w:cstheme="minorHAnsi"/>
          <w:sz w:val="22"/>
          <w:szCs w:val="22"/>
        </w:rPr>
        <w:t>two</w:t>
      </w:r>
      <w:r w:rsidRPr="00AD1D4B">
        <w:rPr>
          <w:rFonts w:cstheme="minorHAnsi"/>
          <w:sz w:val="22"/>
          <w:szCs w:val="22"/>
        </w:rPr>
        <w:t xml:space="preserve"> months of the end of </w:t>
      </w:r>
      <w:r w:rsidR="00727FC7">
        <w:rPr>
          <w:rFonts w:cstheme="minorHAnsi"/>
          <w:sz w:val="22"/>
          <w:szCs w:val="22"/>
        </w:rPr>
        <w:t>each</w:t>
      </w:r>
      <w:r w:rsidRPr="00AD1D4B">
        <w:rPr>
          <w:rFonts w:cstheme="minorHAnsi"/>
          <w:sz w:val="22"/>
          <w:szCs w:val="22"/>
        </w:rPr>
        <w:t xml:space="preserve"> COP, the CEPA Oversight Panel holds its first meeting</w:t>
      </w:r>
      <w:r w:rsidR="00727FC7">
        <w:rPr>
          <w:rFonts w:cstheme="minorHAnsi"/>
          <w:sz w:val="22"/>
          <w:szCs w:val="22"/>
        </w:rPr>
        <w:t>,</w:t>
      </w:r>
      <w:r w:rsidRPr="00AD1D4B">
        <w:rPr>
          <w:rFonts w:cstheme="minorHAnsi"/>
          <w:sz w:val="22"/>
          <w:szCs w:val="22"/>
        </w:rPr>
        <w:t xml:space="preserve"> to select its Vice-Chair and begin the development of its work plan for the triennium in accordance with the instructions received from the COP.</w:t>
      </w:r>
    </w:p>
    <w:p w14:paraId="09710879" w14:textId="77777777" w:rsidR="00F91DE1" w:rsidRPr="00AD1D4B" w:rsidRDefault="00F91DE1" w:rsidP="000E5876">
      <w:pPr>
        <w:rPr>
          <w:rFonts w:cstheme="minorHAnsi"/>
          <w:color w:val="000000"/>
          <w:sz w:val="22"/>
          <w:szCs w:val="22"/>
        </w:rPr>
      </w:pPr>
    </w:p>
    <w:p w14:paraId="505ECEE4" w14:textId="77777777" w:rsidR="00F91DE1" w:rsidRPr="00AD1D4B" w:rsidRDefault="00F91DE1" w:rsidP="000E5876">
      <w:pPr>
        <w:keepNext/>
        <w:rPr>
          <w:rFonts w:cstheme="minorHAnsi"/>
          <w:sz w:val="22"/>
          <w:szCs w:val="22"/>
          <w:u w:val="single"/>
        </w:rPr>
      </w:pPr>
      <w:r w:rsidRPr="00AD1D4B">
        <w:rPr>
          <w:rFonts w:cstheme="minorHAnsi"/>
          <w:sz w:val="22"/>
          <w:szCs w:val="22"/>
          <w:u w:val="single"/>
        </w:rPr>
        <w:t>Modus operandi</w:t>
      </w:r>
    </w:p>
    <w:p w14:paraId="6033DEDD" w14:textId="77777777" w:rsidR="00F91DE1" w:rsidRPr="00AD1D4B" w:rsidRDefault="00F91DE1" w:rsidP="000E5876">
      <w:pPr>
        <w:keepNext/>
        <w:rPr>
          <w:rFonts w:cstheme="minorHAnsi"/>
          <w:sz w:val="22"/>
          <w:szCs w:val="22"/>
          <w:u w:val="single"/>
        </w:rPr>
      </w:pPr>
    </w:p>
    <w:p w14:paraId="40F99C8D" w14:textId="77777777" w:rsidR="00F91DE1" w:rsidRPr="00AD1D4B" w:rsidRDefault="00F91DE1" w:rsidP="000E5876">
      <w:pPr>
        <w:ind w:left="426" w:hanging="426"/>
        <w:rPr>
          <w:rFonts w:cstheme="minorHAnsi"/>
          <w:color w:val="000000"/>
          <w:sz w:val="22"/>
          <w:szCs w:val="22"/>
          <w:lang w:val="en-US"/>
        </w:rPr>
      </w:pPr>
      <w:r w:rsidRPr="00AD1D4B">
        <w:rPr>
          <w:rFonts w:cstheme="minorHAnsi"/>
          <w:sz w:val="22"/>
          <w:szCs w:val="22"/>
        </w:rPr>
        <w:t>i.</w:t>
      </w:r>
      <w:r w:rsidRPr="00AD1D4B">
        <w:rPr>
          <w:rFonts w:cstheme="minorHAnsi"/>
          <w:sz w:val="22"/>
          <w:szCs w:val="22"/>
        </w:rPr>
        <w:tab/>
        <w:t>The main working language of the Panel is English</w:t>
      </w:r>
      <w:r w:rsidRPr="00AD1D4B">
        <w:rPr>
          <w:rFonts w:cstheme="minorHAnsi"/>
          <w:color w:val="000000"/>
          <w:sz w:val="22"/>
          <w:szCs w:val="22"/>
          <w:lang w:val="en-US"/>
        </w:rPr>
        <w:t xml:space="preserve">. Reports of the CEPA Oversight Panel to the Standing Committee will be translated into the official languages of the Convention. </w:t>
      </w:r>
    </w:p>
    <w:p w14:paraId="42F7A603" w14:textId="77777777" w:rsidR="00F91DE1" w:rsidRPr="00AD1D4B" w:rsidRDefault="00F91DE1" w:rsidP="000E5876">
      <w:pPr>
        <w:ind w:left="426" w:hanging="426"/>
        <w:rPr>
          <w:rFonts w:cstheme="minorHAnsi"/>
          <w:color w:val="000000"/>
          <w:sz w:val="22"/>
          <w:szCs w:val="22"/>
          <w:lang w:val="en-US"/>
        </w:rPr>
      </w:pPr>
    </w:p>
    <w:p w14:paraId="31A8A44C" w14:textId="1E68D14A" w:rsidR="00F91DE1" w:rsidRPr="00AD1D4B" w:rsidRDefault="00F91DE1" w:rsidP="000E5876">
      <w:pPr>
        <w:ind w:left="426" w:hanging="426"/>
        <w:rPr>
          <w:rFonts w:cstheme="minorHAnsi"/>
          <w:color w:val="000000"/>
          <w:sz w:val="22"/>
          <w:szCs w:val="22"/>
          <w:lang w:val="en-US"/>
        </w:rPr>
      </w:pPr>
      <w:r w:rsidRPr="00AD1D4B">
        <w:rPr>
          <w:rFonts w:cstheme="minorHAnsi"/>
          <w:color w:val="000000"/>
          <w:sz w:val="22"/>
          <w:szCs w:val="22"/>
          <w:lang w:val="en-US"/>
        </w:rPr>
        <w:t>ii.</w:t>
      </w:r>
      <w:r w:rsidRPr="00AD1D4B">
        <w:rPr>
          <w:rFonts w:cstheme="minorHAnsi"/>
          <w:color w:val="000000"/>
          <w:sz w:val="22"/>
          <w:szCs w:val="22"/>
          <w:lang w:val="en-US"/>
        </w:rPr>
        <w:tab/>
        <w:t xml:space="preserve">The Panel will operate as far as possible through electronic means (email, video meetings, collaborative online tools, etc.). If it is thought necessary, and if funding permits, the Panel may seek to meet face-to-face. </w:t>
      </w:r>
    </w:p>
    <w:p w14:paraId="2DB3BDF8" w14:textId="77777777" w:rsidR="00F91DE1" w:rsidRPr="00AD1D4B" w:rsidRDefault="00F91DE1" w:rsidP="000E5876">
      <w:pPr>
        <w:ind w:left="426" w:hanging="426"/>
        <w:rPr>
          <w:rFonts w:cstheme="minorHAnsi"/>
          <w:color w:val="000000"/>
          <w:sz w:val="22"/>
          <w:szCs w:val="22"/>
          <w:lang w:val="en-US"/>
        </w:rPr>
      </w:pPr>
    </w:p>
    <w:p w14:paraId="638B9C12" w14:textId="3631D1BC" w:rsidR="00F91DE1" w:rsidRPr="00AD1D4B" w:rsidRDefault="00F91DE1" w:rsidP="000E5876">
      <w:pPr>
        <w:ind w:left="426" w:hanging="426"/>
        <w:rPr>
          <w:rFonts w:cstheme="minorHAnsi"/>
          <w:color w:val="000000"/>
          <w:sz w:val="22"/>
          <w:szCs w:val="22"/>
          <w:lang w:val="en-US"/>
        </w:rPr>
      </w:pPr>
      <w:r w:rsidRPr="00AD1D4B">
        <w:rPr>
          <w:rFonts w:cstheme="minorHAnsi"/>
          <w:color w:val="000000"/>
          <w:sz w:val="22"/>
          <w:szCs w:val="22"/>
          <w:lang w:val="en-US"/>
        </w:rPr>
        <w:lastRenderedPageBreak/>
        <w:t>iii.</w:t>
      </w:r>
      <w:r w:rsidRPr="00AD1D4B">
        <w:rPr>
          <w:rFonts w:cstheme="minorHAnsi"/>
          <w:color w:val="000000"/>
          <w:sz w:val="22"/>
          <w:szCs w:val="22"/>
          <w:lang w:val="en-US"/>
        </w:rPr>
        <w:tab/>
        <w:t xml:space="preserve">The Panel will report on its activities </w:t>
      </w:r>
      <w:r w:rsidR="00D433A6">
        <w:rPr>
          <w:rFonts w:cstheme="minorHAnsi"/>
          <w:color w:val="000000"/>
          <w:sz w:val="22"/>
          <w:szCs w:val="22"/>
          <w:lang w:val="en-US"/>
        </w:rPr>
        <w:t>at</w:t>
      </w:r>
      <w:r w:rsidRPr="00AD1D4B">
        <w:rPr>
          <w:rFonts w:cstheme="minorHAnsi"/>
          <w:color w:val="000000"/>
          <w:sz w:val="22"/>
          <w:szCs w:val="22"/>
          <w:lang w:val="en-US"/>
        </w:rPr>
        <w:t xml:space="preserve"> each meeting of the Standing Committee.</w:t>
      </w:r>
    </w:p>
    <w:p w14:paraId="7DEF5B97" w14:textId="77777777" w:rsidR="00F91DE1" w:rsidRPr="00AD1D4B" w:rsidRDefault="00F91DE1" w:rsidP="000E5876">
      <w:pPr>
        <w:ind w:left="426" w:hanging="426"/>
        <w:rPr>
          <w:rFonts w:cstheme="minorHAnsi"/>
          <w:color w:val="000000"/>
          <w:sz w:val="22"/>
          <w:szCs w:val="22"/>
          <w:lang w:val="en-US"/>
        </w:rPr>
      </w:pPr>
    </w:p>
    <w:p w14:paraId="6299B620" w14:textId="346BAA77" w:rsidR="00F91DE1" w:rsidRPr="00AD1D4B" w:rsidRDefault="00F91DE1" w:rsidP="000E5876">
      <w:pPr>
        <w:ind w:left="426" w:hanging="426"/>
        <w:rPr>
          <w:rFonts w:cstheme="minorHAnsi"/>
          <w:color w:val="000000"/>
          <w:sz w:val="22"/>
          <w:szCs w:val="22"/>
          <w:lang w:val="en-US"/>
        </w:rPr>
      </w:pPr>
      <w:r w:rsidRPr="00AD1D4B">
        <w:rPr>
          <w:rFonts w:cstheme="minorHAnsi"/>
          <w:color w:val="000000"/>
          <w:sz w:val="22"/>
          <w:szCs w:val="22"/>
          <w:lang w:val="en-US"/>
        </w:rPr>
        <w:t>iv.</w:t>
      </w:r>
      <w:r w:rsidRPr="00AD1D4B">
        <w:rPr>
          <w:rFonts w:cstheme="minorHAnsi"/>
          <w:color w:val="000000"/>
          <w:sz w:val="22"/>
          <w:szCs w:val="22"/>
          <w:lang w:val="en-US"/>
        </w:rPr>
        <w:tab/>
        <w:t xml:space="preserve">The CEPA Government Focal Point representatives and the NGO CEPA Focal Points </w:t>
      </w:r>
      <w:r w:rsidR="004238BD">
        <w:rPr>
          <w:rFonts w:cstheme="minorHAnsi"/>
          <w:color w:val="000000"/>
          <w:sz w:val="22"/>
          <w:szCs w:val="22"/>
          <w:lang w:val="en-US"/>
        </w:rPr>
        <w:t xml:space="preserve">on the Panel </w:t>
      </w:r>
      <w:r w:rsidRPr="00AD1D4B">
        <w:rPr>
          <w:rFonts w:cstheme="minorHAnsi"/>
          <w:color w:val="000000"/>
          <w:sz w:val="22"/>
          <w:szCs w:val="22"/>
          <w:lang w:val="en-US"/>
        </w:rPr>
        <w:t>should, as far as possible</w:t>
      </w:r>
      <w:r w:rsidR="00D433A6">
        <w:rPr>
          <w:rFonts w:cstheme="minorHAnsi"/>
          <w:color w:val="000000"/>
          <w:sz w:val="22"/>
          <w:szCs w:val="22"/>
          <w:lang w:val="en-US"/>
        </w:rPr>
        <w:t>,</w:t>
      </w:r>
      <w:r w:rsidRPr="00AD1D4B">
        <w:rPr>
          <w:rFonts w:cstheme="minorHAnsi"/>
          <w:color w:val="000000"/>
          <w:sz w:val="22"/>
          <w:szCs w:val="22"/>
          <w:lang w:val="en-US"/>
        </w:rPr>
        <w:t xml:space="preserve"> and as necessary, consult with and seek input from their counterparts.</w:t>
      </w:r>
    </w:p>
    <w:p w14:paraId="3DECD6A5" w14:textId="77777777" w:rsidR="00F91DE1" w:rsidRPr="00AD1D4B" w:rsidRDefault="00F91DE1" w:rsidP="000E5876">
      <w:pPr>
        <w:ind w:left="426" w:hanging="426"/>
        <w:rPr>
          <w:rFonts w:cstheme="minorHAnsi"/>
          <w:color w:val="000000"/>
          <w:sz w:val="22"/>
          <w:szCs w:val="22"/>
          <w:lang w:val="en-US"/>
        </w:rPr>
      </w:pPr>
    </w:p>
    <w:p w14:paraId="41F35CCC" w14:textId="72C09F17" w:rsidR="00F91DE1" w:rsidRPr="00AD1D4B" w:rsidRDefault="00F91DE1" w:rsidP="000E5876">
      <w:pPr>
        <w:ind w:left="426" w:hanging="426"/>
        <w:rPr>
          <w:rFonts w:cstheme="minorHAnsi"/>
          <w:color w:val="000000"/>
          <w:sz w:val="22"/>
          <w:szCs w:val="22"/>
          <w:lang w:val="en-US"/>
        </w:rPr>
      </w:pPr>
      <w:r w:rsidRPr="00AD1D4B">
        <w:rPr>
          <w:rFonts w:cstheme="minorHAnsi"/>
          <w:color w:val="000000"/>
          <w:sz w:val="22"/>
          <w:szCs w:val="22"/>
          <w:lang w:val="en-US"/>
        </w:rPr>
        <w:t>v.</w:t>
      </w:r>
      <w:r w:rsidRPr="00AD1D4B">
        <w:rPr>
          <w:rFonts w:cstheme="minorHAnsi"/>
          <w:color w:val="000000"/>
          <w:sz w:val="22"/>
          <w:szCs w:val="22"/>
          <w:lang w:val="en-US"/>
        </w:rPr>
        <w:tab/>
        <w:t xml:space="preserve">Oversight Panel members who represent governments are encouraged to join established working groups </w:t>
      </w:r>
      <w:r w:rsidR="0009019C">
        <w:rPr>
          <w:rFonts w:cstheme="minorHAnsi"/>
          <w:color w:val="000000"/>
          <w:sz w:val="22"/>
          <w:szCs w:val="22"/>
          <w:lang w:val="en-US"/>
        </w:rPr>
        <w:t xml:space="preserve">of the Convention </w:t>
      </w:r>
      <w:r w:rsidRPr="00AD1D4B">
        <w:rPr>
          <w:rFonts w:cstheme="minorHAnsi"/>
          <w:color w:val="000000"/>
          <w:sz w:val="22"/>
          <w:szCs w:val="22"/>
          <w:lang w:val="en-US"/>
        </w:rPr>
        <w:t xml:space="preserve">to contribute CEPA knowledge and expertise to the work plans of the groups. </w:t>
      </w:r>
    </w:p>
    <w:p w14:paraId="303BC452" w14:textId="77777777" w:rsidR="00F91DE1" w:rsidRPr="00AD1D4B" w:rsidRDefault="00F91DE1" w:rsidP="000E5876">
      <w:pPr>
        <w:rPr>
          <w:rFonts w:cstheme="minorHAnsi"/>
          <w:color w:val="000000"/>
          <w:sz w:val="22"/>
          <w:szCs w:val="22"/>
        </w:rPr>
      </w:pPr>
    </w:p>
    <w:p w14:paraId="7FE738D4" w14:textId="77777777" w:rsidR="00F91DE1" w:rsidRPr="00AD1D4B" w:rsidRDefault="00F91DE1" w:rsidP="000E5876">
      <w:pPr>
        <w:rPr>
          <w:rFonts w:cstheme="minorHAnsi"/>
          <w:sz w:val="22"/>
          <w:szCs w:val="22"/>
          <w:u w:val="single"/>
        </w:rPr>
      </w:pPr>
      <w:r w:rsidRPr="00AD1D4B">
        <w:rPr>
          <w:rFonts w:cstheme="minorHAnsi"/>
          <w:sz w:val="22"/>
          <w:szCs w:val="22"/>
          <w:u w:val="single"/>
        </w:rPr>
        <w:t>Towards a more strategic, integrated and effective CEPA programme</w:t>
      </w:r>
    </w:p>
    <w:p w14:paraId="647C2250" w14:textId="77777777" w:rsidR="00F91DE1" w:rsidRPr="00AD1D4B" w:rsidRDefault="00F91DE1" w:rsidP="000E5876">
      <w:pPr>
        <w:rPr>
          <w:rFonts w:cstheme="minorHAnsi"/>
          <w:sz w:val="22"/>
          <w:szCs w:val="22"/>
          <w:u w:val="single"/>
        </w:rPr>
      </w:pPr>
    </w:p>
    <w:p w14:paraId="093D364D" w14:textId="6EEA7CBB" w:rsidR="00F91DE1" w:rsidRPr="00AD1D4B" w:rsidRDefault="007A3DAD" w:rsidP="000E5876">
      <w:pPr>
        <w:rPr>
          <w:rFonts w:cstheme="minorHAnsi"/>
          <w:sz w:val="22"/>
          <w:szCs w:val="22"/>
        </w:rPr>
      </w:pPr>
      <w:r>
        <w:rPr>
          <w:rFonts w:cstheme="minorHAnsi"/>
          <w:sz w:val="22"/>
          <w:szCs w:val="22"/>
        </w:rPr>
        <w:t xml:space="preserve">In seeking to ensure that the needs of the CEPA programme are fulfilled, </w:t>
      </w:r>
      <w:r w:rsidR="00F91DE1" w:rsidRPr="00AD1D4B">
        <w:rPr>
          <w:rFonts w:cstheme="minorHAnsi"/>
          <w:sz w:val="22"/>
          <w:szCs w:val="22"/>
        </w:rPr>
        <w:t>the CEPA Oversight Panel</w:t>
      </w:r>
      <w:r w:rsidR="00FB6BA9">
        <w:rPr>
          <w:rFonts w:cstheme="minorHAnsi"/>
          <w:sz w:val="22"/>
          <w:szCs w:val="22"/>
        </w:rPr>
        <w:t xml:space="preserve"> will prepare an action plan</w:t>
      </w:r>
      <w:r w:rsidR="00F91DE1" w:rsidRPr="00AD1D4B">
        <w:rPr>
          <w:rFonts w:cstheme="minorHAnsi"/>
          <w:sz w:val="22"/>
          <w:szCs w:val="22"/>
        </w:rPr>
        <w:t xml:space="preserve"> clearly linked to the Strategic Plan that will lead to a more strategic, integrated and effective CEPA </w:t>
      </w:r>
      <w:r w:rsidR="000E3D74">
        <w:rPr>
          <w:rFonts w:cstheme="minorHAnsi"/>
          <w:sz w:val="22"/>
          <w:szCs w:val="22"/>
        </w:rPr>
        <w:t>P</w:t>
      </w:r>
      <w:r w:rsidR="00F91DE1" w:rsidRPr="00AD1D4B">
        <w:rPr>
          <w:rFonts w:cstheme="minorHAnsi"/>
          <w:sz w:val="22"/>
          <w:szCs w:val="22"/>
        </w:rPr>
        <w:t>rogramme. Proposed actions include:</w:t>
      </w:r>
    </w:p>
    <w:p w14:paraId="0C58D648" w14:textId="77777777" w:rsidR="00F91DE1" w:rsidRPr="00AD1D4B" w:rsidRDefault="00F91DE1" w:rsidP="000E5876">
      <w:pPr>
        <w:rPr>
          <w:rFonts w:cstheme="minorHAnsi"/>
          <w:sz w:val="22"/>
          <w:szCs w:val="22"/>
          <w:u w:val="single"/>
        </w:rPr>
      </w:pPr>
    </w:p>
    <w:p w14:paraId="4721455F" w14:textId="46904587" w:rsidR="00F91DE1" w:rsidRPr="00AD1D4B" w:rsidRDefault="00F91DE1" w:rsidP="000E5876">
      <w:pPr>
        <w:ind w:left="426" w:hanging="426"/>
        <w:rPr>
          <w:rFonts w:cstheme="minorHAnsi"/>
          <w:color w:val="000000"/>
          <w:sz w:val="22"/>
          <w:szCs w:val="22"/>
        </w:rPr>
      </w:pPr>
      <w:r w:rsidRPr="00AD1D4B">
        <w:rPr>
          <w:rFonts w:cstheme="minorHAnsi"/>
          <w:color w:val="000000"/>
          <w:sz w:val="22"/>
          <w:szCs w:val="22"/>
        </w:rPr>
        <w:t>i.</w:t>
      </w:r>
      <w:r w:rsidRPr="00AD1D4B">
        <w:rPr>
          <w:rFonts w:cstheme="minorHAnsi"/>
          <w:color w:val="000000"/>
          <w:sz w:val="22"/>
          <w:szCs w:val="22"/>
        </w:rPr>
        <w:tab/>
        <w:t>Strengthening the CEPA Focal Point network</w:t>
      </w:r>
      <w:r w:rsidR="000E3D74">
        <w:rPr>
          <w:rFonts w:cstheme="minorHAnsi"/>
          <w:color w:val="000000"/>
          <w:sz w:val="22"/>
          <w:szCs w:val="22"/>
        </w:rPr>
        <w:t>; t</w:t>
      </w:r>
      <w:r w:rsidRPr="00AD1D4B">
        <w:rPr>
          <w:rFonts w:cstheme="minorHAnsi"/>
          <w:color w:val="000000"/>
          <w:sz w:val="22"/>
          <w:szCs w:val="22"/>
        </w:rPr>
        <w:t>he CEPA Oversight Panel</w:t>
      </w:r>
      <w:r w:rsidR="00FB6BA9">
        <w:rPr>
          <w:rFonts w:cstheme="minorHAnsi"/>
          <w:color w:val="000000"/>
          <w:sz w:val="22"/>
          <w:szCs w:val="22"/>
        </w:rPr>
        <w:t xml:space="preserve"> should continue to</w:t>
      </w:r>
      <w:r w:rsidRPr="00AD1D4B">
        <w:rPr>
          <w:rFonts w:cstheme="minorHAnsi"/>
          <w:color w:val="000000"/>
          <w:sz w:val="22"/>
          <w:szCs w:val="22"/>
        </w:rPr>
        <w:t xml:space="preserve"> review how the CEPA Focal Point network is supported, and make recommendations to strengthen the network through improved communication, information sharing and capacity building. </w:t>
      </w:r>
    </w:p>
    <w:p w14:paraId="626F36B6" w14:textId="77777777" w:rsidR="00F91DE1" w:rsidRPr="00AD1D4B" w:rsidRDefault="00F91DE1" w:rsidP="000E5876">
      <w:pPr>
        <w:ind w:left="426" w:hanging="426"/>
        <w:rPr>
          <w:rFonts w:cstheme="minorHAnsi"/>
          <w:color w:val="000000"/>
          <w:sz w:val="22"/>
          <w:szCs w:val="22"/>
        </w:rPr>
      </w:pPr>
    </w:p>
    <w:p w14:paraId="5F92BEDB" w14:textId="4CB8B2BB" w:rsidR="00F91DE1" w:rsidRPr="00AD1D4B" w:rsidRDefault="00F91DE1" w:rsidP="000E5876">
      <w:pPr>
        <w:ind w:left="426" w:hanging="426"/>
        <w:rPr>
          <w:rFonts w:cstheme="minorHAnsi"/>
          <w:color w:val="000000"/>
          <w:sz w:val="22"/>
          <w:szCs w:val="22"/>
        </w:rPr>
      </w:pPr>
      <w:r w:rsidRPr="00AD1D4B">
        <w:rPr>
          <w:rFonts w:cstheme="minorHAnsi"/>
          <w:color w:val="000000"/>
          <w:sz w:val="22"/>
          <w:szCs w:val="22"/>
        </w:rPr>
        <w:t>ii.</w:t>
      </w:r>
      <w:r w:rsidRPr="00AD1D4B">
        <w:rPr>
          <w:rFonts w:cstheme="minorHAnsi"/>
          <w:color w:val="000000"/>
          <w:sz w:val="22"/>
          <w:szCs w:val="22"/>
        </w:rPr>
        <w:tab/>
      </w:r>
      <w:r w:rsidR="00ED2176">
        <w:rPr>
          <w:rFonts w:cstheme="minorHAnsi"/>
          <w:color w:val="000000"/>
          <w:sz w:val="22"/>
          <w:szCs w:val="22"/>
        </w:rPr>
        <w:t>Preparation of a</w:t>
      </w:r>
      <w:r w:rsidRPr="00AD1D4B">
        <w:rPr>
          <w:rFonts w:cstheme="minorHAnsi"/>
          <w:color w:val="000000"/>
          <w:sz w:val="22"/>
          <w:szCs w:val="22"/>
        </w:rPr>
        <w:t xml:space="preserve"> guide to roles and responsibilities for CEPA Focal Points</w:t>
      </w:r>
      <w:r w:rsidR="000E3D74">
        <w:rPr>
          <w:rFonts w:cstheme="minorHAnsi"/>
          <w:color w:val="000000"/>
          <w:sz w:val="22"/>
          <w:szCs w:val="22"/>
        </w:rPr>
        <w:t>; t</w:t>
      </w:r>
      <w:r w:rsidRPr="00AD1D4B">
        <w:rPr>
          <w:rFonts w:cstheme="minorHAnsi"/>
          <w:color w:val="000000"/>
          <w:sz w:val="22"/>
          <w:szCs w:val="22"/>
        </w:rPr>
        <w:t>he Secretariat</w:t>
      </w:r>
      <w:r w:rsidR="00ED2176">
        <w:rPr>
          <w:rFonts w:cstheme="minorHAnsi"/>
          <w:color w:val="000000"/>
          <w:sz w:val="22"/>
          <w:szCs w:val="22"/>
        </w:rPr>
        <w:t>,</w:t>
      </w:r>
      <w:r w:rsidRPr="00AD1D4B">
        <w:rPr>
          <w:rFonts w:cstheme="minorHAnsi"/>
          <w:color w:val="000000"/>
          <w:sz w:val="22"/>
          <w:szCs w:val="22"/>
        </w:rPr>
        <w:t xml:space="preserve"> in consultation with the Oversight Panel</w:t>
      </w:r>
      <w:r w:rsidR="00ED2176">
        <w:rPr>
          <w:rFonts w:cstheme="minorHAnsi"/>
          <w:color w:val="000000"/>
          <w:sz w:val="22"/>
          <w:szCs w:val="22"/>
        </w:rPr>
        <w:t>,</w:t>
      </w:r>
      <w:r w:rsidRPr="00AD1D4B">
        <w:rPr>
          <w:rFonts w:cstheme="minorHAnsi"/>
          <w:color w:val="000000"/>
          <w:sz w:val="22"/>
          <w:szCs w:val="22"/>
        </w:rPr>
        <w:t xml:space="preserve"> will produce a digital brochure on the roles and responsibilities of CEPA Government and NGO Focal Points. </w:t>
      </w:r>
    </w:p>
    <w:p w14:paraId="1BB0B020" w14:textId="77777777" w:rsidR="00F91DE1" w:rsidRPr="00AD1D4B" w:rsidRDefault="00F91DE1" w:rsidP="000E5876">
      <w:pPr>
        <w:ind w:left="426" w:hanging="426"/>
        <w:rPr>
          <w:rFonts w:cstheme="minorHAnsi"/>
          <w:color w:val="000000"/>
          <w:sz w:val="22"/>
          <w:szCs w:val="22"/>
        </w:rPr>
      </w:pPr>
    </w:p>
    <w:p w14:paraId="646189EC" w14:textId="02325C7E" w:rsidR="00F91DE1" w:rsidRPr="00AD1D4B" w:rsidRDefault="00F91DE1" w:rsidP="000E5876">
      <w:pPr>
        <w:ind w:left="426" w:hanging="426"/>
        <w:rPr>
          <w:rFonts w:cstheme="minorHAnsi"/>
          <w:color w:val="000000"/>
          <w:sz w:val="22"/>
          <w:szCs w:val="22"/>
        </w:rPr>
      </w:pPr>
      <w:r w:rsidRPr="00AD1D4B">
        <w:rPr>
          <w:rFonts w:cstheme="minorHAnsi"/>
          <w:color w:val="000000"/>
          <w:sz w:val="22"/>
          <w:szCs w:val="22"/>
        </w:rPr>
        <w:t>iii.</w:t>
      </w:r>
      <w:r w:rsidRPr="00AD1D4B">
        <w:rPr>
          <w:rFonts w:cstheme="minorHAnsi"/>
          <w:color w:val="000000"/>
          <w:sz w:val="22"/>
          <w:szCs w:val="22"/>
        </w:rPr>
        <w:tab/>
      </w:r>
      <w:r w:rsidR="007A0ABA">
        <w:rPr>
          <w:rFonts w:cstheme="minorHAnsi"/>
          <w:color w:val="000000"/>
          <w:sz w:val="22"/>
          <w:szCs w:val="22"/>
        </w:rPr>
        <w:t>Preparation of u</w:t>
      </w:r>
      <w:r w:rsidRPr="00AD1D4B">
        <w:rPr>
          <w:rFonts w:cstheme="minorHAnsi"/>
          <w:color w:val="000000"/>
          <w:sz w:val="22"/>
          <w:szCs w:val="22"/>
        </w:rPr>
        <w:t>pdated CEPA guidance</w:t>
      </w:r>
      <w:r w:rsidR="000E3D74">
        <w:rPr>
          <w:rFonts w:cstheme="minorHAnsi"/>
          <w:color w:val="000000"/>
          <w:sz w:val="22"/>
          <w:szCs w:val="22"/>
        </w:rPr>
        <w:t>; t</w:t>
      </w:r>
      <w:r w:rsidRPr="00AD1D4B">
        <w:rPr>
          <w:rFonts w:cstheme="minorHAnsi"/>
          <w:color w:val="000000"/>
          <w:sz w:val="22"/>
          <w:szCs w:val="22"/>
        </w:rPr>
        <w:t xml:space="preserve">he Secretariat </w:t>
      </w:r>
      <w:r w:rsidR="007A0ABA">
        <w:rPr>
          <w:rFonts w:cstheme="minorHAnsi"/>
          <w:color w:val="000000"/>
          <w:sz w:val="22"/>
          <w:szCs w:val="22"/>
        </w:rPr>
        <w:t xml:space="preserve">will </w:t>
      </w:r>
      <w:r w:rsidRPr="00AD1D4B">
        <w:rPr>
          <w:rFonts w:cstheme="minorHAnsi"/>
          <w:color w:val="000000"/>
          <w:sz w:val="22"/>
          <w:szCs w:val="22"/>
        </w:rPr>
        <w:t>develop guidance for CEPA Focal Points to replace the outdated 2010 Handbook on Wetland CEPA.</w:t>
      </w:r>
    </w:p>
    <w:p w14:paraId="0CF51BD2" w14:textId="77777777" w:rsidR="00F91DE1" w:rsidRPr="00AD1D4B" w:rsidRDefault="00F91DE1" w:rsidP="000E5876">
      <w:pPr>
        <w:ind w:left="426" w:hanging="426"/>
        <w:rPr>
          <w:rFonts w:cstheme="minorHAnsi"/>
          <w:color w:val="000000"/>
          <w:sz w:val="22"/>
          <w:szCs w:val="22"/>
        </w:rPr>
      </w:pPr>
    </w:p>
    <w:p w14:paraId="35D47895" w14:textId="5A3AFB77" w:rsidR="00F91DE1" w:rsidRDefault="00F91DE1" w:rsidP="000E5876">
      <w:pPr>
        <w:ind w:left="426" w:hanging="426"/>
        <w:rPr>
          <w:rFonts w:cstheme="minorHAnsi"/>
          <w:color w:val="000000"/>
          <w:sz w:val="22"/>
          <w:szCs w:val="22"/>
        </w:rPr>
      </w:pPr>
      <w:r w:rsidRPr="00AD1D4B">
        <w:rPr>
          <w:rFonts w:cstheme="minorHAnsi"/>
          <w:color w:val="000000"/>
          <w:sz w:val="22"/>
          <w:szCs w:val="22"/>
        </w:rPr>
        <w:t>iv.</w:t>
      </w:r>
      <w:r w:rsidRPr="00AD1D4B">
        <w:rPr>
          <w:rFonts w:cstheme="minorHAnsi"/>
          <w:color w:val="000000"/>
          <w:sz w:val="22"/>
          <w:szCs w:val="22"/>
        </w:rPr>
        <w:tab/>
        <w:t>Training and information sharing for CEPA Focal Points</w:t>
      </w:r>
      <w:r w:rsidR="000E3D74">
        <w:rPr>
          <w:rFonts w:cstheme="minorHAnsi"/>
          <w:color w:val="000000"/>
          <w:sz w:val="22"/>
          <w:szCs w:val="22"/>
        </w:rPr>
        <w:t>; t</w:t>
      </w:r>
      <w:r w:rsidRPr="00AD1D4B">
        <w:rPr>
          <w:rFonts w:cstheme="minorHAnsi"/>
          <w:color w:val="000000"/>
          <w:sz w:val="22"/>
          <w:szCs w:val="22"/>
        </w:rPr>
        <w:t>he Secretariat</w:t>
      </w:r>
      <w:r w:rsidR="00A51D34">
        <w:rPr>
          <w:rFonts w:cstheme="minorHAnsi"/>
          <w:color w:val="000000"/>
          <w:sz w:val="22"/>
          <w:szCs w:val="22"/>
        </w:rPr>
        <w:t>,</w:t>
      </w:r>
      <w:r w:rsidRPr="00AD1D4B">
        <w:rPr>
          <w:rFonts w:cstheme="minorHAnsi"/>
          <w:color w:val="000000"/>
          <w:sz w:val="22"/>
          <w:szCs w:val="22"/>
        </w:rPr>
        <w:t xml:space="preserve"> in collaboration with the Oversight Panel</w:t>
      </w:r>
      <w:r w:rsidR="00A51D34">
        <w:rPr>
          <w:rFonts w:cstheme="minorHAnsi"/>
          <w:color w:val="000000"/>
          <w:sz w:val="22"/>
          <w:szCs w:val="22"/>
        </w:rPr>
        <w:t>,</w:t>
      </w:r>
      <w:r w:rsidRPr="00AD1D4B">
        <w:rPr>
          <w:rFonts w:cstheme="minorHAnsi"/>
          <w:color w:val="000000"/>
          <w:sz w:val="22"/>
          <w:szCs w:val="22"/>
        </w:rPr>
        <w:t xml:space="preserve"> will prepare a training webinar for Government and NGO Focal Points. The webinar will be delivered in the official languages of the Convention</w:t>
      </w:r>
      <w:r w:rsidR="00F75F59">
        <w:rPr>
          <w:rFonts w:cstheme="minorHAnsi"/>
          <w:color w:val="000000"/>
          <w:sz w:val="22"/>
          <w:szCs w:val="22"/>
        </w:rPr>
        <w:t>,</w:t>
      </w:r>
      <w:r w:rsidRPr="00AD1D4B">
        <w:rPr>
          <w:rFonts w:cstheme="minorHAnsi"/>
          <w:color w:val="000000"/>
          <w:sz w:val="22"/>
          <w:szCs w:val="22"/>
        </w:rPr>
        <w:t xml:space="preserve"> with a recording of the webinar available on the CEPA section of the Convention website.  </w:t>
      </w:r>
    </w:p>
    <w:p w14:paraId="2AF74943" w14:textId="77777777" w:rsidR="00973F7F" w:rsidRPr="00AD1D4B" w:rsidRDefault="00973F7F" w:rsidP="000E5876">
      <w:pPr>
        <w:ind w:left="426" w:hanging="426"/>
        <w:rPr>
          <w:rFonts w:cstheme="minorHAnsi"/>
          <w:color w:val="000000"/>
          <w:sz w:val="22"/>
          <w:szCs w:val="22"/>
        </w:rPr>
      </w:pPr>
    </w:p>
    <w:p w14:paraId="3322B915" w14:textId="2D233AD3" w:rsidR="00F91DE1" w:rsidRPr="00AD1D4B" w:rsidRDefault="00F91DE1" w:rsidP="000E5876">
      <w:pPr>
        <w:ind w:left="426" w:hanging="426"/>
        <w:rPr>
          <w:rFonts w:cstheme="minorHAnsi"/>
          <w:color w:val="000000"/>
          <w:sz w:val="22"/>
          <w:szCs w:val="22"/>
        </w:rPr>
      </w:pPr>
      <w:r w:rsidRPr="00AD1D4B">
        <w:rPr>
          <w:rFonts w:cstheme="minorHAnsi"/>
          <w:color w:val="000000"/>
          <w:sz w:val="22"/>
          <w:szCs w:val="22"/>
        </w:rPr>
        <w:t>v.</w:t>
      </w:r>
      <w:r w:rsidRPr="00AD1D4B">
        <w:rPr>
          <w:rFonts w:cstheme="minorHAnsi"/>
          <w:color w:val="000000"/>
          <w:sz w:val="22"/>
          <w:szCs w:val="22"/>
        </w:rPr>
        <w:tab/>
        <w:t>Reporting on select CEPA activities and achievements identified in the National Report form</w:t>
      </w:r>
      <w:r w:rsidR="000E3D74">
        <w:rPr>
          <w:rFonts w:cstheme="minorHAnsi"/>
          <w:color w:val="000000"/>
          <w:sz w:val="22"/>
          <w:szCs w:val="22"/>
        </w:rPr>
        <w:t>, through i</w:t>
      </w:r>
      <w:r w:rsidRPr="00AD1D4B">
        <w:rPr>
          <w:rFonts w:cstheme="minorHAnsi"/>
          <w:color w:val="000000"/>
          <w:sz w:val="22"/>
          <w:szCs w:val="22"/>
        </w:rPr>
        <w:t xml:space="preserve">nclusion </w:t>
      </w:r>
      <w:r w:rsidR="00A51D34">
        <w:rPr>
          <w:rFonts w:cstheme="minorHAnsi"/>
          <w:color w:val="000000"/>
          <w:sz w:val="22"/>
          <w:szCs w:val="22"/>
        </w:rPr>
        <w:t xml:space="preserve">of the CEPA activities </w:t>
      </w:r>
      <w:r w:rsidRPr="00AD1D4B">
        <w:rPr>
          <w:rFonts w:cstheme="minorHAnsi"/>
          <w:color w:val="000000"/>
          <w:sz w:val="22"/>
          <w:szCs w:val="22"/>
        </w:rPr>
        <w:t xml:space="preserve">in the new National Report form to be developed following the adoption in the Fifth Strategic Plan of a set of indicators to monitor and evaluate CEPA implementation at the national level. </w:t>
      </w:r>
    </w:p>
    <w:p w14:paraId="56232302" w14:textId="77777777" w:rsidR="00F91DE1" w:rsidRPr="00AD1D4B" w:rsidRDefault="00F91DE1" w:rsidP="000E5876">
      <w:pPr>
        <w:ind w:left="426" w:hanging="426"/>
        <w:rPr>
          <w:rFonts w:cstheme="minorHAnsi"/>
          <w:color w:val="000000"/>
          <w:sz w:val="22"/>
          <w:szCs w:val="22"/>
        </w:rPr>
      </w:pPr>
      <w:r w:rsidRPr="00AD1D4B">
        <w:rPr>
          <w:rFonts w:cstheme="minorHAnsi"/>
          <w:color w:val="000000"/>
          <w:sz w:val="22"/>
          <w:szCs w:val="22"/>
        </w:rPr>
        <w:t xml:space="preserve"> </w:t>
      </w:r>
    </w:p>
    <w:p w14:paraId="1D02EF67" w14:textId="676CD5F3" w:rsidR="00F91DE1" w:rsidRPr="00AD1D4B" w:rsidRDefault="00F91DE1" w:rsidP="000E5876">
      <w:pPr>
        <w:ind w:left="426" w:hanging="426"/>
        <w:rPr>
          <w:rFonts w:cstheme="minorHAnsi"/>
          <w:color w:val="000000"/>
          <w:sz w:val="22"/>
          <w:szCs w:val="22"/>
        </w:rPr>
      </w:pPr>
      <w:r w:rsidRPr="00AD1D4B">
        <w:rPr>
          <w:rFonts w:cstheme="minorHAnsi"/>
          <w:color w:val="000000"/>
          <w:sz w:val="22"/>
          <w:szCs w:val="22"/>
        </w:rPr>
        <w:t>vi.</w:t>
      </w:r>
      <w:r w:rsidRPr="00AD1D4B">
        <w:rPr>
          <w:rFonts w:cstheme="minorHAnsi"/>
          <w:color w:val="000000"/>
          <w:sz w:val="22"/>
          <w:szCs w:val="22"/>
        </w:rPr>
        <w:tab/>
      </w:r>
      <w:r w:rsidR="00680EE8">
        <w:rPr>
          <w:rFonts w:cstheme="minorHAnsi"/>
          <w:color w:val="000000"/>
          <w:sz w:val="22"/>
          <w:szCs w:val="22"/>
        </w:rPr>
        <w:t>Preparation of a l</w:t>
      </w:r>
      <w:r w:rsidRPr="00AD1D4B">
        <w:rPr>
          <w:rFonts w:cstheme="minorHAnsi"/>
          <w:color w:val="000000"/>
          <w:sz w:val="22"/>
          <w:szCs w:val="22"/>
        </w:rPr>
        <w:t>ist of Convention resources that support CEPA implementation</w:t>
      </w:r>
      <w:r w:rsidR="000E3D74">
        <w:rPr>
          <w:rFonts w:cstheme="minorHAnsi"/>
          <w:color w:val="000000"/>
          <w:sz w:val="22"/>
          <w:szCs w:val="22"/>
        </w:rPr>
        <w:t>; t</w:t>
      </w:r>
      <w:r w:rsidR="00680EE8">
        <w:rPr>
          <w:rFonts w:cstheme="minorHAnsi"/>
          <w:color w:val="000000"/>
          <w:sz w:val="22"/>
          <w:szCs w:val="22"/>
        </w:rPr>
        <w:t xml:space="preserve">he Secretariat will </w:t>
      </w:r>
      <w:r w:rsidR="00453E48">
        <w:rPr>
          <w:rFonts w:cstheme="minorHAnsi"/>
          <w:color w:val="000000"/>
          <w:sz w:val="22"/>
          <w:szCs w:val="22"/>
        </w:rPr>
        <w:t xml:space="preserve">make available, </w:t>
      </w:r>
      <w:r w:rsidRPr="00AD1D4B">
        <w:rPr>
          <w:rFonts w:cstheme="minorHAnsi"/>
          <w:sz w:val="22"/>
          <w:szCs w:val="22"/>
        </w:rPr>
        <w:t xml:space="preserve">in the CEPA section of the </w:t>
      </w:r>
      <w:r w:rsidR="00453E48">
        <w:rPr>
          <w:rFonts w:cstheme="minorHAnsi"/>
          <w:sz w:val="22"/>
          <w:szCs w:val="22"/>
        </w:rPr>
        <w:t xml:space="preserve">Convention </w:t>
      </w:r>
      <w:r w:rsidRPr="00AD1D4B">
        <w:rPr>
          <w:rFonts w:cstheme="minorHAnsi"/>
          <w:sz w:val="22"/>
          <w:szCs w:val="22"/>
        </w:rPr>
        <w:t>website</w:t>
      </w:r>
      <w:r w:rsidR="00453E48">
        <w:rPr>
          <w:rFonts w:cstheme="minorHAnsi"/>
          <w:sz w:val="22"/>
          <w:szCs w:val="22"/>
        </w:rPr>
        <w:t>,</w:t>
      </w:r>
      <w:r w:rsidRPr="00AD1D4B">
        <w:rPr>
          <w:rFonts w:cstheme="minorHAnsi"/>
          <w:sz w:val="22"/>
          <w:szCs w:val="22"/>
        </w:rPr>
        <w:t xml:space="preserve"> links to </w:t>
      </w:r>
      <w:r w:rsidRPr="00AD1D4B">
        <w:rPr>
          <w:rFonts w:cstheme="minorHAnsi"/>
          <w:color w:val="000000"/>
          <w:sz w:val="22"/>
          <w:szCs w:val="22"/>
        </w:rPr>
        <w:t>resources that support implementation of CEPA.</w:t>
      </w:r>
    </w:p>
    <w:p w14:paraId="3045EFE5" w14:textId="77777777" w:rsidR="00F91DE1" w:rsidRPr="00AD1D4B" w:rsidRDefault="00F91DE1" w:rsidP="000E5876">
      <w:pPr>
        <w:rPr>
          <w:rFonts w:cstheme="minorHAnsi"/>
          <w:sz w:val="22"/>
          <w:szCs w:val="22"/>
        </w:rPr>
      </w:pPr>
    </w:p>
    <w:sectPr w:rsidR="00F91DE1" w:rsidRPr="00AD1D4B" w:rsidSect="00137702">
      <w:footerReference w:type="even"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4FE9D" w14:textId="77777777" w:rsidR="00BC04FB" w:rsidRDefault="00BC04FB">
      <w:r>
        <w:separator/>
      </w:r>
    </w:p>
  </w:endnote>
  <w:endnote w:type="continuationSeparator" w:id="0">
    <w:p w14:paraId="7F5AA4A1" w14:textId="77777777" w:rsidR="00BC04FB" w:rsidRDefault="00BC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6367370"/>
      <w:docPartObj>
        <w:docPartGallery w:val="Page Numbers (Bottom of Page)"/>
        <w:docPartUnique/>
      </w:docPartObj>
    </w:sdtPr>
    <w:sdtEndPr>
      <w:rPr>
        <w:rStyle w:val="PageNumber"/>
      </w:rPr>
    </w:sdtEndPr>
    <w:sdtContent>
      <w:p w14:paraId="469980A4" w14:textId="77777777" w:rsidR="005B0D10" w:rsidRDefault="00717566"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8E76D" w14:textId="77777777" w:rsidR="005B0D10" w:rsidRDefault="005B0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2DDA2" w14:textId="09A8E1BA" w:rsidR="005B0D10" w:rsidRPr="00137702" w:rsidRDefault="00137702" w:rsidP="00137702">
    <w:pPr>
      <w:tabs>
        <w:tab w:val="center" w:pos="4513"/>
        <w:tab w:val="right" w:pos="9026"/>
      </w:tabs>
      <w:ind w:left="432" w:hanging="432"/>
      <w:rPr>
        <w:rFonts w:ascii="Calibri" w:eastAsia="Calibri" w:hAnsi="Calibri" w:cs="Times New Roman"/>
        <w:noProof/>
        <w:kern w:val="0"/>
        <w14:ligatures w14:val="none"/>
      </w:rPr>
    </w:pPr>
    <w:r w:rsidRPr="001666E3">
      <w:rPr>
        <w:rFonts w:ascii="Calibri" w:eastAsia="Calibri" w:hAnsi="Calibri" w:cs="Times New Roman"/>
        <w:kern w:val="0"/>
        <w:sz w:val="20"/>
        <w:szCs w:val="20"/>
        <w14:ligatures w14:val="none"/>
      </w:rPr>
      <w:t>SC6</w:t>
    </w:r>
    <w:r>
      <w:rPr>
        <w:rFonts w:ascii="Calibri" w:eastAsia="Calibri" w:hAnsi="Calibri" w:cs="Times New Roman"/>
        <w:kern w:val="0"/>
        <w:sz w:val="20"/>
        <w:szCs w:val="20"/>
        <w14:ligatures w14:val="none"/>
      </w:rPr>
      <w:t>4</w:t>
    </w:r>
    <w:r w:rsidRPr="001666E3">
      <w:rPr>
        <w:rFonts w:ascii="Calibri" w:eastAsia="Calibri" w:hAnsi="Calibri" w:cs="Times New Roman"/>
        <w:kern w:val="0"/>
        <w:sz w:val="20"/>
        <w:szCs w:val="20"/>
        <w14:ligatures w14:val="none"/>
      </w:rPr>
      <w:t xml:space="preserve"> Doc</w:t>
    </w:r>
    <w:r>
      <w:rPr>
        <w:rFonts w:ascii="Calibri" w:eastAsia="Calibri" w:hAnsi="Calibri" w:cs="Times New Roman"/>
        <w:kern w:val="0"/>
        <w:sz w:val="20"/>
        <w:szCs w:val="20"/>
        <w14:ligatures w14:val="none"/>
      </w:rPr>
      <w:t>.15.2</w:t>
    </w:r>
    <w:r w:rsidRPr="001666E3">
      <w:rPr>
        <w:rFonts w:ascii="Calibri" w:eastAsia="Calibri" w:hAnsi="Calibri" w:cs="Times New Roman"/>
        <w:kern w:val="0"/>
        <w:sz w:val="20"/>
        <w:szCs w:val="20"/>
        <w14:ligatures w14:val="none"/>
      </w:rPr>
      <w:t xml:space="preserve"> </w:t>
    </w:r>
    <w:r w:rsidRPr="001666E3">
      <w:rPr>
        <w:rFonts w:ascii="Calibri" w:eastAsia="Calibri" w:hAnsi="Calibri" w:cs="Times New Roman"/>
        <w:kern w:val="0"/>
        <w14:ligatures w14:val="none"/>
      </w:rPr>
      <w:tab/>
    </w:r>
    <w:r w:rsidRPr="001666E3">
      <w:rPr>
        <w:rFonts w:ascii="Calibri" w:eastAsia="Calibri" w:hAnsi="Calibri" w:cs="Times New Roman"/>
        <w:kern w:val="0"/>
        <w14:ligatures w14:val="none"/>
      </w:rPr>
      <w:tab/>
    </w:r>
    <w:sdt>
      <w:sdtPr>
        <w:rPr>
          <w:rFonts w:ascii="Calibri" w:eastAsia="Calibri" w:hAnsi="Calibri" w:cs="Times New Roman"/>
          <w:kern w:val="0"/>
          <w14:ligatures w14:val="none"/>
        </w:rPr>
        <w:id w:val="-637723370"/>
        <w:docPartObj>
          <w:docPartGallery w:val="Page Numbers (Top of Page)"/>
          <w:docPartUnique/>
        </w:docPartObj>
      </w:sdtPr>
      <w:sdtEndPr>
        <w:rPr>
          <w:noProof/>
        </w:rPr>
      </w:sdtEndPr>
      <w:sdtContent>
        <w:r w:rsidRPr="001666E3">
          <w:rPr>
            <w:rFonts w:ascii="Calibri" w:eastAsia="Calibri" w:hAnsi="Calibri" w:cs="Times New Roman"/>
            <w:kern w:val="0"/>
            <w:sz w:val="20"/>
            <w:szCs w:val="20"/>
            <w14:ligatures w14:val="none"/>
          </w:rPr>
          <w:fldChar w:fldCharType="begin"/>
        </w:r>
        <w:r w:rsidRPr="001666E3">
          <w:rPr>
            <w:rFonts w:ascii="Calibri" w:eastAsia="Calibri" w:hAnsi="Calibri" w:cs="Times New Roman"/>
            <w:kern w:val="0"/>
            <w:sz w:val="20"/>
            <w:szCs w:val="20"/>
            <w14:ligatures w14:val="none"/>
          </w:rPr>
          <w:instrText xml:space="preserve"> PAGE   \* MERGEFORMAT </w:instrText>
        </w:r>
        <w:r w:rsidRPr="001666E3">
          <w:rPr>
            <w:rFonts w:ascii="Calibri" w:eastAsia="Calibri" w:hAnsi="Calibri" w:cs="Times New Roman"/>
            <w:kern w:val="0"/>
            <w:sz w:val="20"/>
            <w:szCs w:val="20"/>
            <w14:ligatures w14:val="none"/>
          </w:rPr>
          <w:fldChar w:fldCharType="separate"/>
        </w:r>
        <w:r>
          <w:rPr>
            <w:rFonts w:ascii="Calibri" w:eastAsia="Calibri" w:hAnsi="Calibri" w:cs="Times New Roman"/>
            <w:kern w:val="0"/>
            <w:sz w:val="20"/>
            <w:szCs w:val="20"/>
            <w14:ligatures w14:val="none"/>
          </w:rPr>
          <w:t>1</w:t>
        </w:r>
        <w:r w:rsidRPr="001666E3">
          <w:rPr>
            <w:rFonts w:ascii="Calibri" w:eastAsia="Calibri" w:hAnsi="Calibri" w:cs="Times New Roman"/>
            <w:noProof/>
            <w:kern w:val="0"/>
            <w:sz w:val="20"/>
            <w:szCs w:val="20"/>
            <w14:ligatures w14:val="none"/>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1292" w14:textId="69EC7008" w:rsidR="00137702" w:rsidRPr="00137702" w:rsidRDefault="00137702" w:rsidP="00137702">
    <w:pPr>
      <w:tabs>
        <w:tab w:val="center" w:pos="4513"/>
        <w:tab w:val="right" w:pos="9026"/>
      </w:tabs>
      <w:rPr>
        <w:rFonts w:ascii="Calibri" w:eastAsia="Calibri" w:hAnsi="Calibri" w:cs="Times New Roman"/>
        <w:noProof/>
        <w:kern w:val="0"/>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68631" w14:textId="77777777" w:rsidR="00BC04FB" w:rsidRDefault="00BC04FB">
      <w:r>
        <w:separator/>
      </w:r>
    </w:p>
  </w:footnote>
  <w:footnote w:type="continuationSeparator" w:id="0">
    <w:p w14:paraId="175A23CD" w14:textId="77777777" w:rsidR="00BC04FB" w:rsidRDefault="00BC0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149E3C52"/>
    <w:lvl w:ilvl="0">
      <w:start w:val="2"/>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1" w15:restartNumberingAfterBreak="0">
    <w:nsid w:val="00000405"/>
    <w:multiLevelType w:val="multilevel"/>
    <w:tmpl w:val="03A42C3E"/>
    <w:lvl w:ilvl="0">
      <w:start w:val="3"/>
      <w:numFmt w:val="decimal"/>
      <w:lvlText w:val="%1"/>
      <w:lvlJc w:val="left"/>
      <w:pPr>
        <w:ind w:left="1010" w:hanging="567"/>
      </w:pPr>
    </w:lvl>
    <w:lvl w:ilvl="1">
      <w:start w:val="1"/>
      <w:numFmt w:val="decimal"/>
      <w:lvlText w:val="%1.%2"/>
      <w:lvlJc w:val="left"/>
      <w:pPr>
        <w:ind w:left="567"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2" w15:restartNumberingAfterBreak="0">
    <w:nsid w:val="00000407"/>
    <w:multiLevelType w:val="multilevel"/>
    <w:tmpl w:val="3F167F62"/>
    <w:lvl w:ilvl="0">
      <w:start w:val="4"/>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3" w15:restartNumberingAfterBreak="0">
    <w:nsid w:val="00000408"/>
    <w:multiLevelType w:val="multilevel"/>
    <w:tmpl w:val="504851E8"/>
    <w:lvl w:ilvl="0">
      <w:start w:val="5"/>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4" w15:restartNumberingAfterBreak="0">
    <w:nsid w:val="00000409"/>
    <w:multiLevelType w:val="multilevel"/>
    <w:tmpl w:val="EA5A175E"/>
    <w:lvl w:ilvl="0">
      <w:start w:val="6"/>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5" w15:restartNumberingAfterBreak="0">
    <w:nsid w:val="0000040A"/>
    <w:multiLevelType w:val="multilevel"/>
    <w:tmpl w:val="A030006C"/>
    <w:lvl w:ilvl="0">
      <w:start w:val="7"/>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6" w15:restartNumberingAfterBreak="0">
    <w:nsid w:val="0000040B"/>
    <w:multiLevelType w:val="multilevel"/>
    <w:tmpl w:val="BC9EB13A"/>
    <w:lvl w:ilvl="0">
      <w:start w:val="8"/>
      <w:numFmt w:val="decimal"/>
      <w:lvlText w:val="%1"/>
      <w:lvlJc w:val="left"/>
      <w:pPr>
        <w:ind w:left="1010" w:hanging="516"/>
      </w:pPr>
    </w:lvl>
    <w:lvl w:ilvl="1">
      <w:start w:val="1"/>
      <w:numFmt w:val="decimal"/>
      <w:lvlText w:val="%1.%2"/>
      <w:lvlJc w:val="left"/>
      <w:pPr>
        <w:ind w:left="1010" w:hanging="516"/>
      </w:pPr>
      <w:rPr>
        <w:rFonts w:ascii="Calibri" w:hAnsi="Calibri" w:cs="Calibri"/>
        <w:b w:val="0"/>
        <w:bCs w:val="0"/>
        <w:w w:val="100"/>
        <w:sz w:val="22"/>
        <w:szCs w:val="22"/>
      </w:rPr>
    </w:lvl>
    <w:lvl w:ilvl="2">
      <w:start w:val="1"/>
      <w:numFmt w:val="lowerLetter"/>
      <w:lvlText w:val="%3."/>
      <w:lvlJc w:val="left"/>
      <w:pPr>
        <w:ind w:left="1538" w:hanging="448"/>
      </w:pPr>
      <w:rPr>
        <w:rFonts w:ascii="Calibri" w:hAnsi="Calibri" w:cs="Calibri"/>
        <w:b w:val="0"/>
        <w:bCs w:val="0"/>
        <w:sz w:val="22"/>
        <w:szCs w:val="22"/>
      </w:rPr>
    </w:lvl>
    <w:lvl w:ilvl="3">
      <w:numFmt w:val="bullet"/>
      <w:lvlText w:val="•"/>
      <w:lvlJc w:val="left"/>
      <w:pPr>
        <w:ind w:left="3250" w:hanging="448"/>
      </w:pPr>
    </w:lvl>
    <w:lvl w:ilvl="4">
      <w:numFmt w:val="bullet"/>
      <w:lvlText w:val="•"/>
      <w:lvlJc w:val="left"/>
      <w:pPr>
        <w:ind w:left="4107" w:hanging="448"/>
      </w:pPr>
    </w:lvl>
    <w:lvl w:ilvl="5">
      <w:numFmt w:val="bullet"/>
      <w:lvlText w:val="•"/>
      <w:lvlJc w:val="left"/>
      <w:pPr>
        <w:ind w:left="4963" w:hanging="448"/>
      </w:pPr>
    </w:lvl>
    <w:lvl w:ilvl="6">
      <w:numFmt w:val="bullet"/>
      <w:lvlText w:val="•"/>
      <w:lvlJc w:val="left"/>
      <w:pPr>
        <w:ind w:left="5819" w:hanging="448"/>
      </w:pPr>
    </w:lvl>
    <w:lvl w:ilvl="7">
      <w:numFmt w:val="bullet"/>
      <w:lvlText w:val="•"/>
      <w:lvlJc w:val="left"/>
      <w:pPr>
        <w:ind w:left="6675" w:hanging="448"/>
      </w:pPr>
    </w:lvl>
    <w:lvl w:ilvl="8">
      <w:numFmt w:val="bullet"/>
      <w:lvlText w:val="•"/>
      <w:lvlJc w:val="left"/>
      <w:pPr>
        <w:ind w:left="7531" w:hanging="448"/>
      </w:pPr>
    </w:lvl>
  </w:abstractNum>
  <w:abstractNum w:abstractNumId="7" w15:restartNumberingAfterBreak="0">
    <w:nsid w:val="00000410"/>
    <w:multiLevelType w:val="multilevel"/>
    <w:tmpl w:val="00000893"/>
    <w:lvl w:ilvl="0">
      <w:start w:val="5"/>
      <w:numFmt w:val="decimal"/>
      <w:lvlText w:val="%1."/>
      <w:lvlJc w:val="left"/>
      <w:pPr>
        <w:ind w:left="659" w:hanging="540"/>
      </w:pPr>
      <w:rPr>
        <w:rFonts w:ascii="Calibri" w:hAnsi="Calibri" w:cs="Calibri"/>
        <w:b w:val="0"/>
        <w:bCs w:val="0"/>
        <w:w w:val="99"/>
        <w:sz w:val="22"/>
        <w:szCs w:val="22"/>
      </w:rPr>
    </w:lvl>
    <w:lvl w:ilvl="1">
      <w:numFmt w:val="bullet"/>
      <w:lvlText w:val=""/>
      <w:lvlJc w:val="left"/>
      <w:pPr>
        <w:ind w:left="1179" w:hanging="540"/>
      </w:pPr>
      <w:rPr>
        <w:rFonts w:ascii="Symbol" w:hAnsi="Symbol" w:cs="Symbol"/>
        <w:b w:val="0"/>
        <w:bCs w:val="0"/>
        <w:w w:val="99"/>
        <w:sz w:val="22"/>
        <w:szCs w:val="22"/>
      </w:rPr>
    </w:lvl>
    <w:lvl w:ilvl="2">
      <w:numFmt w:val="bullet"/>
      <w:lvlText w:val="•"/>
      <w:lvlJc w:val="left"/>
      <w:pPr>
        <w:ind w:left="2071" w:hanging="540"/>
      </w:pPr>
    </w:lvl>
    <w:lvl w:ilvl="3">
      <w:numFmt w:val="bullet"/>
      <w:lvlText w:val="•"/>
      <w:lvlJc w:val="left"/>
      <w:pPr>
        <w:ind w:left="2963" w:hanging="540"/>
      </w:pPr>
    </w:lvl>
    <w:lvl w:ilvl="4">
      <w:numFmt w:val="bullet"/>
      <w:lvlText w:val="•"/>
      <w:lvlJc w:val="left"/>
      <w:pPr>
        <w:ind w:left="3854" w:hanging="540"/>
      </w:pPr>
    </w:lvl>
    <w:lvl w:ilvl="5">
      <w:numFmt w:val="bullet"/>
      <w:lvlText w:val="•"/>
      <w:lvlJc w:val="left"/>
      <w:pPr>
        <w:ind w:left="4746" w:hanging="540"/>
      </w:pPr>
    </w:lvl>
    <w:lvl w:ilvl="6">
      <w:numFmt w:val="bullet"/>
      <w:lvlText w:val="•"/>
      <w:lvlJc w:val="left"/>
      <w:pPr>
        <w:ind w:left="5637" w:hanging="540"/>
      </w:pPr>
    </w:lvl>
    <w:lvl w:ilvl="7">
      <w:numFmt w:val="bullet"/>
      <w:lvlText w:val="•"/>
      <w:lvlJc w:val="left"/>
      <w:pPr>
        <w:ind w:left="6529" w:hanging="540"/>
      </w:pPr>
    </w:lvl>
    <w:lvl w:ilvl="8">
      <w:numFmt w:val="bullet"/>
      <w:lvlText w:val="•"/>
      <w:lvlJc w:val="left"/>
      <w:pPr>
        <w:ind w:left="7421" w:hanging="540"/>
      </w:pPr>
    </w:lvl>
  </w:abstractNum>
  <w:abstractNum w:abstractNumId="8" w15:restartNumberingAfterBreak="0">
    <w:nsid w:val="00EC13DE"/>
    <w:multiLevelType w:val="hybridMultilevel"/>
    <w:tmpl w:val="AAE2347E"/>
    <w:lvl w:ilvl="0" w:tplc="5A90A796">
      <w:start w:val="1"/>
      <w:numFmt w:val="decimal"/>
      <w:lvlText w:val="%1."/>
      <w:lvlJc w:val="left"/>
      <w:pPr>
        <w:ind w:left="430" w:hanging="43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9A7276"/>
    <w:multiLevelType w:val="hybridMultilevel"/>
    <w:tmpl w:val="D8F6E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10F5A"/>
    <w:multiLevelType w:val="multilevel"/>
    <w:tmpl w:val="58E4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83E2F"/>
    <w:multiLevelType w:val="hybridMultilevel"/>
    <w:tmpl w:val="C76E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D4EB3"/>
    <w:multiLevelType w:val="multilevel"/>
    <w:tmpl w:val="C43E23F2"/>
    <w:lvl w:ilvl="0">
      <w:start w:val="1"/>
      <w:numFmt w:val="decimal"/>
      <w:lvlText w:val="%1"/>
      <w:lvlJc w:val="left"/>
      <w:pPr>
        <w:ind w:left="360" w:hanging="360"/>
      </w:pPr>
      <w:rPr>
        <w:rFonts w:hint="default"/>
      </w:rPr>
    </w:lvl>
    <w:lvl w:ilvl="1">
      <w:start w:val="1"/>
      <w:numFmt w:val="decimal"/>
      <w:lvlText w:val="%1.%2"/>
      <w:lvlJc w:val="left"/>
      <w:pPr>
        <w:ind w:left="1358" w:hanging="36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num w:numId="1" w16cid:durableId="1910529657">
    <w:abstractNumId w:val="11"/>
  </w:num>
  <w:num w:numId="2" w16cid:durableId="925840269">
    <w:abstractNumId w:val="10"/>
  </w:num>
  <w:num w:numId="3" w16cid:durableId="1020740750">
    <w:abstractNumId w:val="8"/>
  </w:num>
  <w:num w:numId="4" w16cid:durableId="195968734">
    <w:abstractNumId w:val="9"/>
  </w:num>
  <w:num w:numId="5" w16cid:durableId="778644275">
    <w:abstractNumId w:val="6"/>
  </w:num>
  <w:num w:numId="6" w16cid:durableId="1909606019">
    <w:abstractNumId w:val="5"/>
  </w:num>
  <w:num w:numId="7" w16cid:durableId="1787460165">
    <w:abstractNumId w:val="4"/>
  </w:num>
  <w:num w:numId="8" w16cid:durableId="2059238387">
    <w:abstractNumId w:val="3"/>
  </w:num>
  <w:num w:numId="9" w16cid:durableId="420756952">
    <w:abstractNumId w:val="2"/>
  </w:num>
  <w:num w:numId="10" w16cid:durableId="1595238130">
    <w:abstractNumId w:val="1"/>
  </w:num>
  <w:num w:numId="11" w16cid:durableId="2006548157">
    <w:abstractNumId w:val="0"/>
  </w:num>
  <w:num w:numId="12" w16cid:durableId="611665818">
    <w:abstractNumId w:val="14"/>
  </w:num>
  <w:num w:numId="13" w16cid:durableId="1684554396">
    <w:abstractNumId w:val="7"/>
  </w:num>
  <w:num w:numId="14" w16cid:durableId="165898179">
    <w:abstractNumId w:val="13"/>
  </w:num>
  <w:num w:numId="15" w16cid:durableId="1451317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66"/>
    <w:rsid w:val="000009C3"/>
    <w:rsid w:val="00002B8D"/>
    <w:rsid w:val="000058B7"/>
    <w:rsid w:val="00013E54"/>
    <w:rsid w:val="00026868"/>
    <w:rsid w:val="00027EF3"/>
    <w:rsid w:val="0003225C"/>
    <w:rsid w:val="0003477F"/>
    <w:rsid w:val="0003717B"/>
    <w:rsid w:val="00060360"/>
    <w:rsid w:val="00066D14"/>
    <w:rsid w:val="00073A52"/>
    <w:rsid w:val="00074908"/>
    <w:rsid w:val="00075307"/>
    <w:rsid w:val="0008044F"/>
    <w:rsid w:val="000828C8"/>
    <w:rsid w:val="0009019C"/>
    <w:rsid w:val="0009203B"/>
    <w:rsid w:val="0009222E"/>
    <w:rsid w:val="000A04C6"/>
    <w:rsid w:val="000A6230"/>
    <w:rsid w:val="000B0C5A"/>
    <w:rsid w:val="000B2E85"/>
    <w:rsid w:val="000C5F3D"/>
    <w:rsid w:val="000D4014"/>
    <w:rsid w:val="000E3D74"/>
    <w:rsid w:val="000E5876"/>
    <w:rsid w:val="000F4EE4"/>
    <w:rsid w:val="001206A6"/>
    <w:rsid w:val="00123790"/>
    <w:rsid w:val="00137702"/>
    <w:rsid w:val="001432CB"/>
    <w:rsid w:val="001459FC"/>
    <w:rsid w:val="00146800"/>
    <w:rsid w:val="00151289"/>
    <w:rsid w:val="00160CCA"/>
    <w:rsid w:val="001816FA"/>
    <w:rsid w:val="00185E39"/>
    <w:rsid w:val="00191604"/>
    <w:rsid w:val="00192395"/>
    <w:rsid w:val="001A5DC7"/>
    <w:rsid w:val="001D7AAE"/>
    <w:rsid w:val="001E5815"/>
    <w:rsid w:val="001F1D91"/>
    <w:rsid w:val="00204FEE"/>
    <w:rsid w:val="002214AA"/>
    <w:rsid w:val="00224968"/>
    <w:rsid w:val="0023682C"/>
    <w:rsid w:val="00241E02"/>
    <w:rsid w:val="00245078"/>
    <w:rsid w:val="00253E93"/>
    <w:rsid w:val="00263989"/>
    <w:rsid w:val="00263B15"/>
    <w:rsid w:val="002700F8"/>
    <w:rsid w:val="00271BCD"/>
    <w:rsid w:val="002732F9"/>
    <w:rsid w:val="00282702"/>
    <w:rsid w:val="00296794"/>
    <w:rsid w:val="002A4ABD"/>
    <w:rsid w:val="002E47A3"/>
    <w:rsid w:val="002F2CA6"/>
    <w:rsid w:val="002F479D"/>
    <w:rsid w:val="003200E3"/>
    <w:rsid w:val="003232A2"/>
    <w:rsid w:val="003271EB"/>
    <w:rsid w:val="00340881"/>
    <w:rsid w:val="00342E38"/>
    <w:rsid w:val="00345ADC"/>
    <w:rsid w:val="003537B3"/>
    <w:rsid w:val="00382027"/>
    <w:rsid w:val="0039116E"/>
    <w:rsid w:val="00397517"/>
    <w:rsid w:val="003A2210"/>
    <w:rsid w:val="003A2BAE"/>
    <w:rsid w:val="003B6331"/>
    <w:rsid w:val="003C5384"/>
    <w:rsid w:val="003C578B"/>
    <w:rsid w:val="003E535F"/>
    <w:rsid w:val="003F1F8F"/>
    <w:rsid w:val="003F2C4B"/>
    <w:rsid w:val="003F55A8"/>
    <w:rsid w:val="004238BD"/>
    <w:rsid w:val="0042549D"/>
    <w:rsid w:val="004321FB"/>
    <w:rsid w:val="0043422B"/>
    <w:rsid w:val="00435E5E"/>
    <w:rsid w:val="00437EEB"/>
    <w:rsid w:val="00446D52"/>
    <w:rsid w:val="00447F01"/>
    <w:rsid w:val="00453E48"/>
    <w:rsid w:val="00454FF7"/>
    <w:rsid w:val="00462F4F"/>
    <w:rsid w:val="0046353D"/>
    <w:rsid w:val="00470315"/>
    <w:rsid w:val="00472148"/>
    <w:rsid w:val="00480BDE"/>
    <w:rsid w:val="00483F1F"/>
    <w:rsid w:val="00484B1B"/>
    <w:rsid w:val="004867F7"/>
    <w:rsid w:val="004943D0"/>
    <w:rsid w:val="00496188"/>
    <w:rsid w:val="004B1910"/>
    <w:rsid w:val="004B4836"/>
    <w:rsid w:val="004C6A7A"/>
    <w:rsid w:val="004D2F68"/>
    <w:rsid w:val="004F31B2"/>
    <w:rsid w:val="004F6D60"/>
    <w:rsid w:val="004F78C5"/>
    <w:rsid w:val="00511F6E"/>
    <w:rsid w:val="00521757"/>
    <w:rsid w:val="00525280"/>
    <w:rsid w:val="00533D6A"/>
    <w:rsid w:val="005348C0"/>
    <w:rsid w:val="00544F9D"/>
    <w:rsid w:val="00545BD5"/>
    <w:rsid w:val="00550698"/>
    <w:rsid w:val="005638C6"/>
    <w:rsid w:val="00581A35"/>
    <w:rsid w:val="005905A3"/>
    <w:rsid w:val="00590788"/>
    <w:rsid w:val="00597ED4"/>
    <w:rsid w:val="005A1AC9"/>
    <w:rsid w:val="005A3FA1"/>
    <w:rsid w:val="005B0D10"/>
    <w:rsid w:val="005B18DA"/>
    <w:rsid w:val="005C3AE2"/>
    <w:rsid w:val="005C444D"/>
    <w:rsid w:val="005D59AA"/>
    <w:rsid w:val="005E0F1A"/>
    <w:rsid w:val="005E667F"/>
    <w:rsid w:val="005E777D"/>
    <w:rsid w:val="005F519D"/>
    <w:rsid w:val="00612AA3"/>
    <w:rsid w:val="006149F5"/>
    <w:rsid w:val="0064504B"/>
    <w:rsid w:val="00671EA6"/>
    <w:rsid w:val="00680EE8"/>
    <w:rsid w:val="0068426C"/>
    <w:rsid w:val="00684410"/>
    <w:rsid w:val="00694822"/>
    <w:rsid w:val="006A4D3E"/>
    <w:rsid w:val="006B171C"/>
    <w:rsid w:val="006B5414"/>
    <w:rsid w:val="006C38D4"/>
    <w:rsid w:val="006C6D29"/>
    <w:rsid w:val="006E11CC"/>
    <w:rsid w:val="006E1CDF"/>
    <w:rsid w:val="006E321B"/>
    <w:rsid w:val="006E55A0"/>
    <w:rsid w:val="006F6416"/>
    <w:rsid w:val="006F6E96"/>
    <w:rsid w:val="00706799"/>
    <w:rsid w:val="00713D1B"/>
    <w:rsid w:val="00717566"/>
    <w:rsid w:val="0072587F"/>
    <w:rsid w:val="00727FC7"/>
    <w:rsid w:val="007366F9"/>
    <w:rsid w:val="0074467D"/>
    <w:rsid w:val="00746A2C"/>
    <w:rsid w:val="00746DE4"/>
    <w:rsid w:val="00752C0D"/>
    <w:rsid w:val="00761CDF"/>
    <w:rsid w:val="00774985"/>
    <w:rsid w:val="0077728B"/>
    <w:rsid w:val="00786EB1"/>
    <w:rsid w:val="00795C84"/>
    <w:rsid w:val="007A0ABA"/>
    <w:rsid w:val="007A3DAD"/>
    <w:rsid w:val="007C1CBC"/>
    <w:rsid w:val="007C4E7E"/>
    <w:rsid w:val="007D6C17"/>
    <w:rsid w:val="007F02D9"/>
    <w:rsid w:val="007F3F08"/>
    <w:rsid w:val="00801E07"/>
    <w:rsid w:val="0081487F"/>
    <w:rsid w:val="0081678E"/>
    <w:rsid w:val="00821FFF"/>
    <w:rsid w:val="00822E25"/>
    <w:rsid w:val="00831AC1"/>
    <w:rsid w:val="00843110"/>
    <w:rsid w:val="00854700"/>
    <w:rsid w:val="00871B7E"/>
    <w:rsid w:val="008731A6"/>
    <w:rsid w:val="00875395"/>
    <w:rsid w:val="00887541"/>
    <w:rsid w:val="008979F2"/>
    <w:rsid w:val="008A20E9"/>
    <w:rsid w:val="008A35A8"/>
    <w:rsid w:val="008B4AF2"/>
    <w:rsid w:val="008C1103"/>
    <w:rsid w:val="008C29ED"/>
    <w:rsid w:val="008C2B77"/>
    <w:rsid w:val="008D2504"/>
    <w:rsid w:val="008D769D"/>
    <w:rsid w:val="008E1EFD"/>
    <w:rsid w:val="008E6371"/>
    <w:rsid w:val="008F5804"/>
    <w:rsid w:val="00905911"/>
    <w:rsid w:val="00913034"/>
    <w:rsid w:val="00914ED7"/>
    <w:rsid w:val="00917178"/>
    <w:rsid w:val="00917A17"/>
    <w:rsid w:val="00922057"/>
    <w:rsid w:val="00935BCD"/>
    <w:rsid w:val="00940234"/>
    <w:rsid w:val="00955FB7"/>
    <w:rsid w:val="00961536"/>
    <w:rsid w:val="0096479D"/>
    <w:rsid w:val="00973F7F"/>
    <w:rsid w:val="00975571"/>
    <w:rsid w:val="00987EB6"/>
    <w:rsid w:val="0099515A"/>
    <w:rsid w:val="009B2614"/>
    <w:rsid w:val="009B776F"/>
    <w:rsid w:val="009D0D0B"/>
    <w:rsid w:val="009D5EBA"/>
    <w:rsid w:val="009E0DD1"/>
    <w:rsid w:val="009E3563"/>
    <w:rsid w:val="009E7C69"/>
    <w:rsid w:val="009F0A5D"/>
    <w:rsid w:val="009F323E"/>
    <w:rsid w:val="009F37BD"/>
    <w:rsid w:val="009F4EBF"/>
    <w:rsid w:val="00A0113D"/>
    <w:rsid w:val="00A022F0"/>
    <w:rsid w:val="00A03C2B"/>
    <w:rsid w:val="00A05EA3"/>
    <w:rsid w:val="00A10569"/>
    <w:rsid w:val="00A133AE"/>
    <w:rsid w:val="00A25C41"/>
    <w:rsid w:val="00A319CA"/>
    <w:rsid w:val="00A3650A"/>
    <w:rsid w:val="00A4084C"/>
    <w:rsid w:val="00A51D34"/>
    <w:rsid w:val="00A74ECE"/>
    <w:rsid w:val="00A82ECA"/>
    <w:rsid w:val="00A846E7"/>
    <w:rsid w:val="00AB06F3"/>
    <w:rsid w:val="00AB3C1B"/>
    <w:rsid w:val="00AB76BC"/>
    <w:rsid w:val="00AD0411"/>
    <w:rsid w:val="00AD1D4B"/>
    <w:rsid w:val="00AD5FA8"/>
    <w:rsid w:val="00AE0E2E"/>
    <w:rsid w:val="00B21228"/>
    <w:rsid w:val="00B22CC0"/>
    <w:rsid w:val="00B24CDD"/>
    <w:rsid w:val="00B270DA"/>
    <w:rsid w:val="00B44E15"/>
    <w:rsid w:val="00B61F52"/>
    <w:rsid w:val="00B74959"/>
    <w:rsid w:val="00B91A20"/>
    <w:rsid w:val="00B92726"/>
    <w:rsid w:val="00BA6B97"/>
    <w:rsid w:val="00BB3969"/>
    <w:rsid w:val="00BB4762"/>
    <w:rsid w:val="00BC04FB"/>
    <w:rsid w:val="00BC2A89"/>
    <w:rsid w:val="00BC34E3"/>
    <w:rsid w:val="00BD47C0"/>
    <w:rsid w:val="00BD7C5B"/>
    <w:rsid w:val="00BE3FD6"/>
    <w:rsid w:val="00BE4F3C"/>
    <w:rsid w:val="00BE55D7"/>
    <w:rsid w:val="00BF1385"/>
    <w:rsid w:val="00BF3A9B"/>
    <w:rsid w:val="00BF401F"/>
    <w:rsid w:val="00BF68E9"/>
    <w:rsid w:val="00C16676"/>
    <w:rsid w:val="00C21160"/>
    <w:rsid w:val="00C25093"/>
    <w:rsid w:val="00C432BB"/>
    <w:rsid w:val="00C472F9"/>
    <w:rsid w:val="00C53527"/>
    <w:rsid w:val="00C7274A"/>
    <w:rsid w:val="00C75CBB"/>
    <w:rsid w:val="00C80D10"/>
    <w:rsid w:val="00C87F9E"/>
    <w:rsid w:val="00CA718B"/>
    <w:rsid w:val="00CB0C8B"/>
    <w:rsid w:val="00CD0841"/>
    <w:rsid w:val="00CD591E"/>
    <w:rsid w:val="00CD7B63"/>
    <w:rsid w:val="00CE6856"/>
    <w:rsid w:val="00CE7511"/>
    <w:rsid w:val="00CE7592"/>
    <w:rsid w:val="00CF256B"/>
    <w:rsid w:val="00D11799"/>
    <w:rsid w:val="00D129EA"/>
    <w:rsid w:val="00D20FDE"/>
    <w:rsid w:val="00D22468"/>
    <w:rsid w:val="00D2382D"/>
    <w:rsid w:val="00D40BD3"/>
    <w:rsid w:val="00D433A6"/>
    <w:rsid w:val="00D742DD"/>
    <w:rsid w:val="00D76ACA"/>
    <w:rsid w:val="00D809F9"/>
    <w:rsid w:val="00D87AE4"/>
    <w:rsid w:val="00D9218E"/>
    <w:rsid w:val="00DA6399"/>
    <w:rsid w:val="00DB7C22"/>
    <w:rsid w:val="00DC1C68"/>
    <w:rsid w:val="00DC6CD2"/>
    <w:rsid w:val="00DC774D"/>
    <w:rsid w:val="00DC7CE7"/>
    <w:rsid w:val="00DD169C"/>
    <w:rsid w:val="00DD2940"/>
    <w:rsid w:val="00DE1A01"/>
    <w:rsid w:val="00DE4302"/>
    <w:rsid w:val="00DE66BB"/>
    <w:rsid w:val="00E0491C"/>
    <w:rsid w:val="00E273BD"/>
    <w:rsid w:val="00E32C3B"/>
    <w:rsid w:val="00E3351F"/>
    <w:rsid w:val="00E35918"/>
    <w:rsid w:val="00E4431D"/>
    <w:rsid w:val="00E44C34"/>
    <w:rsid w:val="00E45897"/>
    <w:rsid w:val="00E475ED"/>
    <w:rsid w:val="00E47911"/>
    <w:rsid w:val="00E63037"/>
    <w:rsid w:val="00E728EB"/>
    <w:rsid w:val="00E7577F"/>
    <w:rsid w:val="00E94BA2"/>
    <w:rsid w:val="00EA3C27"/>
    <w:rsid w:val="00EB270E"/>
    <w:rsid w:val="00EC3474"/>
    <w:rsid w:val="00ED2176"/>
    <w:rsid w:val="00EF1673"/>
    <w:rsid w:val="00F020DE"/>
    <w:rsid w:val="00F0297C"/>
    <w:rsid w:val="00F15308"/>
    <w:rsid w:val="00F15A5C"/>
    <w:rsid w:val="00F171BF"/>
    <w:rsid w:val="00F25A17"/>
    <w:rsid w:val="00F370D7"/>
    <w:rsid w:val="00F46816"/>
    <w:rsid w:val="00F51E47"/>
    <w:rsid w:val="00F605BC"/>
    <w:rsid w:val="00F61AA4"/>
    <w:rsid w:val="00F635E4"/>
    <w:rsid w:val="00F75F59"/>
    <w:rsid w:val="00F905E8"/>
    <w:rsid w:val="00F91DE1"/>
    <w:rsid w:val="00F97489"/>
    <w:rsid w:val="00FA178C"/>
    <w:rsid w:val="00FA3153"/>
    <w:rsid w:val="00FA687B"/>
    <w:rsid w:val="00FB6BA9"/>
    <w:rsid w:val="00FC4F30"/>
    <w:rsid w:val="00FD1D84"/>
    <w:rsid w:val="00FD29C0"/>
    <w:rsid w:val="00FD4D85"/>
    <w:rsid w:val="00FD5214"/>
    <w:rsid w:val="00FE4280"/>
    <w:rsid w:val="00FF1B0F"/>
    <w:rsid w:val="00FF4E1B"/>
    <w:rsid w:val="084BA120"/>
    <w:rsid w:val="37A58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41B58"/>
  <w15:chartTrackingRefBased/>
  <w15:docId w15:val="{2FE5FD14-EFEB-4566-AB83-A09BB57E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66"/>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566"/>
    <w:pPr>
      <w:tabs>
        <w:tab w:val="center" w:pos="4513"/>
        <w:tab w:val="right" w:pos="9026"/>
      </w:tabs>
    </w:pPr>
  </w:style>
  <w:style w:type="character" w:customStyle="1" w:styleId="FooterChar">
    <w:name w:val="Footer Char"/>
    <w:basedOn w:val="DefaultParagraphFont"/>
    <w:link w:val="Footer"/>
    <w:uiPriority w:val="99"/>
    <w:rsid w:val="00717566"/>
    <w:rPr>
      <w:kern w:val="2"/>
      <w:sz w:val="24"/>
      <w:szCs w:val="24"/>
      <w14:ligatures w14:val="standardContextual"/>
    </w:rPr>
  </w:style>
  <w:style w:type="character" w:styleId="PageNumber">
    <w:name w:val="page number"/>
    <w:basedOn w:val="DefaultParagraphFont"/>
    <w:uiPriority w:val="99"/>
    <w:semiHidden/>
    <w:unhideWhenUsed/>
    <w:rsid w:val="00717566"/>
  </w:style>
  <w:style w:type="paragraph" w:styleId="ListParagraph">
    <w:name w:val="List Paragraph"/>
    <w:basedOn w:val="Normal"/>
    <w:uiPriority w:val="34"/>
    <w:qFormat/>
    <w:rsid w:val="00717566"/>
    <w:pPr>
      <w:ind w:left="720"/>
      <w:contextualSpacing/>
    </w:pPr>
  </w:style>
  <w:style w:type="character" w:styleId="CommentReference">
    <w:name w:val="annotation reference"/>
    <w:basedOn w:val="DefaultParagraphFont"/>
    <w:uiPriority w:val="99"/>
    <w:semiHidden/>
    <w:unhideWhenUsed/>
    <w:rsid w:val="00F51E47"/>
    <w:rPr>
      <w:sz w:val="16"/>
      <w:szCs w:val="16"/>
    </w:rPr>
  </w:style>
  <w:style w:type="paragraph" w:styleId="CommentText">
    <w:name w:val="annotation text"/>
    <w:basedOn w:val="Normal"/>
    <w:link w:val="CommentTextChar"/>
    <w:uiPriority w:val="99"/>
    <w:unhideWhenUsed/>
    <w:rsid w:val="00F51E47"/>
    <w:rPr>
      <w:sz w:val="20"/>
      <w:szCs w:val="20"/>
    </w:rPr>
  </w:style>
  <w:style w:type="character" w:customStyle="1" w:styleId="CommentTextChar">
    <w:name w:val="Comment Text Char"/>
    <w:basedOn w:val="DefaultParagraphFont"/>
    <w:link w:val="CommentText"/>
    <w:uiPriority w:val="99"/>
    <w:rsid w:val="00F51E4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51E47"/>
    <w:rPr>
      <w:b/>
      <w:bCs/>
    </w:rPr>
  </w:style>
  <w:style w:type="character" w:customStyle="1" w:styleId="CommentSubjectChar">
    <w:name w:val="Comment Subject Char"/>
    <w:basedOn w:val="CommentTextChar"/>
    <w:link w:val="CommentSubject"/>
    <w:uiPriority w:val="99"/>
    <w:semiHidden/>
    <w:rsid w:val="00F51E47"/>
    <w:rPr>
      <w:b/>
      <w:bCs/>
      <w:kern w:val="2"/>
      <w:sz w:val="20"/>
      <w:szCs w:val="20"/>
      <w14:ligatures w14:val="standardContextual"/>
    </w:rPr>
  </w:style>
  <w:style w:type="paragraph" w:styleId="BalloonText">
    <w:name w:val="Balloon Text"/>
    <w:basedOn w:val="Normal"/>
    <w:link w:val="BalloonTextChar"/>
    <w:uiPriority w:val="99"/>
    <w:semiHidden/>
    <w:unhideWhenUsed/>
    <w:rsid w:val="00F51E47"/>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F51E47"/>
    <w:rPr>
      <w:rFonts w:ascii="MS Shell Dlg" w:hAnsi="MS Shell Dlg" w:cs="MS Shell Dlg"/>
      <w:kern w:val="2"/>
      <w:sz w:val="18"/>
      <w:szCs w:val="18"/>
      <w14:ligatures w14:val="standardContextual"/>
    </w:rPr>
  </w:style>
  <w:style w:type="paragraph" w:styleId="Revision">
    <w:name w:val="Revision"/>
    <w:hidden/>
    <w:uiPriority w:val="99"/>
    <w:semiHidden/>
    <w:rsid w:val="00581A35"/>
    <w:pPr>
      <w:spacing w:after="0" w:line="240" w:lineRule="auto"/>
    </w:pPr>
    <w:rPr>
      <w:kern w:val="2"/>
      <w:sz w:val="24"/>
      <w:szCs w:val="24"/>
      <w14:ligatures w14:val="standardContextual"/>
    </w:rPr>
  </w:style>
  <w:style w:type="paragraph" w:styleId="FootnoteText">
    <w:name w:val="footnote text"/>
    <w:basedOn w:val="Normal"/>
    <w:link w:val="FootnoteTextChar"/>
    <w:uiPriority w:val="99"/>
    <w:semiHidden/>
    <w:unhideWhenUsed/>
    <w:rsid w:val="00F91DE1"/>
    <w:pPr>
      <w:ind w:left="425" w:hanging="425"/>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F91DE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91DE1"/>
    <w:rPr>
      <w:vertAlign w:val="superscript"/>
    </w:rPr>
  </w:style>
  <w:style w:type="character" w:styleId="Hyperlink">
    <w:name w:val="Hyperlink"/>
    <w:basedOn w:val="DefaultParagraphFont"/>
    <w:uiPriority w:val="99"/>
    <w:unhideWhenUsed/>
    <w:rsid w:val="00F91DE1"/>
    <w:rPr>
      <w:color w:val="0563C1" w:themeColor="hyperlink"/>
      <w:u w:val="single"/>
    </w:rPr>
  </w:style>
  <w:style w:type="paragraph" w:styleId="NoSpacing">
    <w:name w:val="No Spacing"/>
    <w:uiPriority w:val="1"/>
    <w:qFormat/>
    <w:rsid w:val="00F91DE1"/>
    <w:pPr>
      <w:spacing w:after="0" w:line="240" w:lineRule="auto"/>
      <w:ind w:left="425" w:hanging="425"/>
    </w:pPr>
    <w:rPr>
      <w:rFonts w:ascii="Calibri" w:eastAsia="Calibri" w:hAnsi="Calibri" w:cs="Times New Roman"/>
    </w:rPr>
  </w:style>
  <w:style w:type="paragraph" w:styleId="Header">
    <w:name w:val="header"/>
    <w:basedOn w:val="Normal"/>
    <w:link w:val="HeaderChar"/>
    <w:uiPriority w:val="99"/>
    <w:unhideWhenUsed/>
    <w:rsid w:val="0009222E"/>
    <w:pPr>
      <w:tabs>
        <w:tab w:val="center" w:pos="4513"/>
        <w:tab w:val="right" w:pos="9026"/>
      </w:tabs>
    </w:pPr>
  </w:style>
  <w:style w:type="character" w:customStyle="1" w:styleId="HeaderChar">
    <w:name w:val="Header Char"/>
    <w:basedOn w:val="DefaultParagraphFont"/>
    <w:link w:val="Header"/>
    <w:uiPriority w:val="99"/>
    <w:rsid w:val="0009222E"/>
    <w:rPr>
      <w:kern w:val="2"/>
      <w:sz w:val="24"/>
      <w:szCs w:val="24"/>
      <w14:ligatures w14:val="standardContextual"/>
    </w:rPr>
  </w:style>
  <w:style w:type="table" w:styleId="TableGrid">
    <w:name w:val="Table Grid"/>
    <w:basedOn w:val="TableNormal"/>
    <w:uiPriority w:val="59"/>
    <w:rsid w:val="00137702"/>
    <w:pPr>
      <w:spacing w:after="0" w:line="240" w:lineRule="auto"/>
      <w:ind w:left="432" w:hanging="43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771003">
      <w:bodyDiv w:val="1"/>
      <w:marLeft w:val="0"/>
      <w:marRight w:val="0"/>
      <w:marTop w:val="0"/>
      <w:marBottom w:val="0"/>
      <w:divBdr>
        <w:top w:val="none" w:sz="0" w:space="0" w:color="auto"/>
        <w:left w:val="none" w:sz="0" w:space="0" w:color="auto"/>
        <w:bottom w:val="none" w:sz="0" w:space="0" w:color="auto"/>
        <w:right w:val="none" w:sz="0" w:space="0" w:color="auto"/>
      </w:divBdr>
      <w:divsChild>
        <w:div w:id="1796559431">
          <w:marLeft w:val="0"/>
          <w:marRight w:val="0"/>
          <w:marTop w:val="0"/>
          <w:marBottom w:val="0"/>
          <w:divBdr>
            <w:top w:val="none" w:sz="0" w:space="0" w:color="auto"/>
            <w:left w:val="none" w:sz="0" w:space="0" w:color="auto"/>
            <w:bottom w:val="none" w:sz="0" w:space="0" w:color="auto"/>
            <w:right w:val="none" w:sz="0" w:space="0" w:color="auto"/>
          </w:divBdr>
          <w:divsChild>
            <w:div w:id="1599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753">
      <w:bodyDiv w:val="1"/>
      <w:marLeft w:val="0"/>
      <w:marRight w:val="0"/>
      <w:marTop w:val="0"/>
      <w:marBottom w:val="0"/>
      <w:divBdr>
        <w:top w:val="none" w:sz="0" w:space="0" w:color="auto"/>
        <w:left w:val="none" w:sz="0" w:space="0" w:color="auto"/>
        <w:bottom w:val="none" w:sz="0" w:space="0" w:color="auto"/>
        <w:right w:val="none" w:sz="0" w:space="0" w:color="auto"/>
      </w:divBdr>
      <w:divsChild>
        <w:div w:id="527836101">
          <w:marLeft w:val="0"/>
          <w:marRight w:val="0"/>
          <w:marTop w:val="0"/>
          <w:marBottom w:val="0"/>
          <w:divBdr>
            <w:top w:val="none" w:sz="0" w:space="0" w:color="auto"/>
            <w:left w:val="none" w:sz="0" w:space="0" w:color="auto"/>
            <w:bottom w:val="none" w:sz="0" w:space="0" w:color="auto"/>
            <w:right w:val="none" w:sz="0" w:space="0" w:color="auto"/>
          </w:divBdr>
          <w:divsChild>
            <w:div w:id="16612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5466B-7187-442F-9938-7D393B806013}">
  <ds:schemaRefs>
    <ds:schemaRef ds:uri="http://schemas.microsoft.com/sharepoint/v3/contenttype/forms"/>
  </ds:schemaRefs>
</ds:datastoreItem>
</file>

<file path=customXml/itemProps2.xml><?xml version="1.0" encoding="utf-8"?>
<ds:datastoreItem xmlns:ds="http://schemas.openxmlformats.org/officeDocument/2006/customXml" ds:itemID="{2A63EF89-5A0D-480C-B6B4-3F16870590D6}">
  <ds:schemaRefs>
    <ds:schemaRef ds:uri="http://schemas.microsoft.com/office/2006/documentManagement/types"/>
    <ds:schemaRef ds:uri="http://purl.org/dc/dcmitype/"/>
    <ds:schemaRef ds:uri="http://purl.org/dc/elements/1.1/"/>
    <ds:schemaRef ds:uri="http://www.w3.org/XML/1998/namespace"/>
    <ds:schemaRef ds:uri="ecaa2b1f-0678-4421-92e9-1090174541bd"/>
    <ds:schemaRef ds:uri="http://schemas.openxmlformats.org/package/2006/metadata/core-properties"/>
    <ds:schemaRef ds:uri="http://purl.org/dc/terms/"/>
    <ds:schemaRef ds:uri="http://schemas.microsoft.com/office/2006/metadata/properties"/>
    <ds:schemaRef ds:uri="http://schemas.microsoft.com/office/infopath/2007/PartnerControls"/>
    <ds:schemaRef ds:uri="a3a2dff7-4331-4a95-9af9-6b2cd4e65ac3"/>
  </ds:schemaRefs>
</ds:datastoreItem>
</file>

<file path=customXml/itemProps3.xml><?xml version="1.0" encoding="utf-8"?>
<ds:datastoreItem xmlns:ds="http://schemas.openxmlformats.org/officeDocument/2006/customXml" ds:itemID="{90972D42-60E3-43EB-AB22-CE694F5ADEB5}">
  <ds:schemaRefs>
    <ds:schemaRef ds:uri="http://schemas.openxmlformats.org/officeDocument/2006/bibliography"/>
  </ds:schemaRefs>
</ds:datastoreItem>
</file>

<file path=customXml/itemProps4.xml><?xml version="1.0" encoding="utf-8"?>
<ds:datastoreItem xmlns:ds="http://schemas.openxmlformats.org/officeDocument/2006/customXml" ds:itemID="{90098A57-0163-40DC-9E21-37AEE5701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5292</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dcterms:created xsi:type="dcterms:W3CDTF">2024-10-29T14:51:00Z</dcterms:created>
  <dcterms:modified xsi:type="dcterms:W3CDTF">2024-10-29T15:04:00Z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