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B3C6" w14:textId="77777777" w:rsidR="001C5B02" w:rsidRPr="00C43C55" w:rsidRDefault="001C5B02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  <w:lang w:val="en-GB"/>
        </w:rPr>
      </w:pPr>
      <w:r w:rsidRPr="00C43C55">
        <w:rPr>
          <w:rFonts w:cstheme="minorHAnsi"/>
          <w:bCs/>
          <w:sz w:val="22"/>
          <w:szCs w:val="22"/>
          <w:lang w:val="en-GB"/>
        </w:rPr>
        <w:t>THE CONVENTION ON WETLANDS</w:t>
      </w:r>
    </w:p>
    <w:p w14:paraId="5AC29070" w14:textId="21EAC4AB" w:rsidR="001C5B02" w:rsidRPr="00C43C55" w:rsidRDefault="001C5B02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  <w:lang w:val="en-GB"/>
        </w:rPr>
      </w:pPr>
      <w:r w:rsidRPr="00C43C55">
        <w:rPr>
          <w:rFonts w:cstheme="minorHAnsi"/>
          <w:bCs/>
          <w:sz w:val="22"/>
          <w:szCs w:val="22"/>
          <w:lang w:val="en-GB"/>
        </w:rPr>
        <w:t>6</w:t>
      </w:r>
      <w:r w:rsidR="001E20AA">
        <w:rPr>
          <w:rFonts w:cstheme="minorHAnsi"/>
          <w:bCs/>
          <w:sz w:val="22"/>
          <w:szCs w:val="22"/>
          <w:lang w:val="en-GB"/>
        </w:rPr>
        <w:t>4th</w:t>
      </w:r>
      <w:r w:rsidRPr="00C43C55">
        <w:rPr>
          <w:rFonts w:cstheme="minorHAnsi"/>
          <w:bCs/>
          <w:sz w:val="22"/>
          <w:szCs w:val="22"/>
          <w:lang w:val="en-GB"/>
        </w:rPr>
        <w:t xml:space="preserve"> meeting of the Standing Committee</w:t>
      </w:r>
    </w:p>
    <w:p w14:paraId="752C0CE6" w14:textId="1C334D6C" w:rsidR="001C5B02" w:rsidRPr="00C43C55" w:rsidRDefault="001C5B02" w:rsidP="00061A5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sz w:val="22"/>
          <w:szCs w:val="22"/>
          <w:lang w:val="de-DE"/>
        </w:rPr>
      </w:pPr>
      <w:r w:rsidRPr="00C43C55">
        <w:rPr>
          <w:rFonts w:cstheme="minorHAnsi"/>
          <w:bCs/>
          <w:sz w:val="22"/>
          <w:szCs w:val="22"/>
          <w:lang w:val="de-DE"/>
        </w:rPr>
        <w:t xml:space="preserve">Gland, </w:t>
      </w:r>
      <w:proofErr w:type="spellStart"/>
      <w:r w:rsidRPr="00C43C55">
        <w:rPr>
          <w:rFonts w:cstheme="minorHAnsi"/>
          <w:bCs/>
          <w:sz w:val="22"/>
          <w:szCs w:val="22"/>
          <w:lang w:val="de-DE"/>
        </w:rPr>
        <w:t>Switzerland</w:t>
      </w:r>
      <w:proofErr w:type="spellEnd"/>
      <w:r w:rsidRPr="00C43C55">
        <w:rPr>
          <w:rFonts w:cstheme="minorHAnsi"/>
          <w:bCs/>
          <w:sz w:val="22"/>
          <w:szCs w:val="22"/>
          <w:lang w:val="de-DE"/>
        </w:rPr>
        <w:t xml:space="preserve">, </w:t>
      </w:r>
      <w:r w:rsidR="001E20AA">
        <w:rPr>
          <w:rFonts w:cstheme="minorHAnsi"/>
          <w:bCs/>
          <w:sz w:val="22"/>
          <w:szCs w:val="22"/>
          <w:lang w:val="de-DE"/>
        </w:rPr>
        <w:t>20-24</w:t>
      </w:r>
      <w:r w:rsidRPr="00C43C55">
        <w:rPr>
          <w:rFonts w:cstheme="minorHAnsi"/>
          <w:bCs/>
          <w:sz w:val="22"/>
          <w:szCs w:val="22"/>
          <w:lang w:val="de-DE"/>
        </w:rPr>
        <w:t xml:space="preserve"> </w:t>
      </w:r>
      <w:proofErr w:type="spellStart"/>
      <w:r w:rsidRPr="00C43C55">
        <w:rPr>
          <w:rFonts w:cstheme="minorHAnsi"/>
          <w:bCs/>
          <w:sz w:val="22"/>
          <w:szCs w:val="22"/>
          <w:lang w:val="de-DE"/>
        </w:rPr>
        <w:t>J</w:t>
      </w:r>
      <w:r w:rsidR="001E20AA">
        <w:rPr>
          <w:rFonts w:cstheme="minorHAnsi"/>
          <w:bCs/>
          <w:sz w:val="22"/>
          <w:szCs w:val="22"/>
          <w:lang w:val="de-DE"/>
        </w:rPr>
        <w:t>anuary</w:t>
      </w:r>
      <w:proofErr w:type="spellEnd"/>
      <w:r w:rsidRPr="00C43C55">
        <w:rPr>
          <w:rFonts w:cstheme="minorHAnsi"/>
          <w:bCs/>
          <w:sz w:val="22"/>
          <w:szCs w:val="22"/>
          <w:lang w:val="de-DE"/>
        </w:rPr>
        <w:t xml:space="preserve"> 202</w:t>
      </w:r>
      <w:r w:rsidR="001E20AA">
        <w:rPr>
          <w:rFonts w:cstheme="minorHAnsi"/>
          <w:bCs/>
          <w:sz w:val="22"/>
          <w:szCs w:val="22"/>
          <w:lang w:val="de-DE"/>
        </w:rPr>
        <w:t>5</w:t>
      </w:r>
    </w:p>
    <w:p w14:paraId="35F7C931" w14:textId="77777777" w:rsidR="006C4071" w:rsidRPr="001C5B02" w:rsidRDefault="006C4071" w:rsidP="00061A53">
      <w:pPr>
        <w:tabs>
          <w:tab w:val="left" w:pos="8789"/>
        </w:tabs>
        <w:ind w:right="4490"/>
        <w:rPr>
          <w:sz w:val="28"/>
          <w:szCs w:val="28"/>
          <w:lang w:val="en-US"/>
        </w:rPr>
      </w:pPr>
    </w:p>
    <w:p w14:paraId="7DEE3D88" w14:textId="5C7CC107" w:rsidR="006C4071" w:rsidRPr="002F22EE" w:rsidRDefault="006C4071" w:rsidP="00061A53">
      <w:pPr>
        <w:jc w:val="right"/>
        <w:rPr>
          <w:rFonts w:cstheme="minorHAnsi"/>
          <w:b/>
          <w:sz w:val="28"/>
          <w:szCs w:val="28"/>
          <w:lang w:val="en-US"/>
        </w:rPr>
      </w:pPr>
      <w:r w:rsidRPr="002F22EE">
        <w:rPr>
          <w:rFonts w:cstheme="minorHAnsi"/>
          <w:b/>
          <w:sz w:val="28"/>
          <w:szCs w:val="28"/>
          <w:lang w:val="en-US"/>
        </w:rPr>
        <w:t>SC</w:t>
      </w:r>
      <w:r>
        <w:rPr>
          <w:rFonts w:cstheme="minorHAnsi"/>
          <w:b/>
          <w:sz w:val="28"/>
          <w:szCs w:val="28"/>
          <w:lang w:val="en-US"/>
        </w:rPr>
        <w:t>6</w:t>
      </w:r>
      <w:r w:rsidR="001E20AA">
        <w:rPr>
          <w:rFonts w:cstheme="minorHAnsi"/>
          <w:b/>
          <w:sz w:val="28"/>
          <w:szCs w:val="28"/>
          <w:lang w:val="en-US"/>
        </w:rPr>
        <w:t>4</w:t>
      </w:r>
      <w:r>
        <w:rPr>
          <w:rFonts w:cstheme="minorHAnsi"/>
          <w:b/>
          <w:sz w:val="28"/>
          <w:szCs w:val="28"/>
          <w:lang w:val="en-US"/>
        </w:rPr>
        <w:t xml:space="preserve"> </w:t>
      </w:r>
      <w:r w:rsidRPr="002F22EE">
        <w:rPr>
          <w:rFonts w:cstheme="minorHAnsi"/>
          <w:b/>
          <w:sz w:val="28"/>
          <w:szCs w:val="28"/>
          <w:lang w:val="en-US"/>
        </w:rPr>
        <w:t>Doc.</w:t>
      </w:r>
      <w:r>
        <w:rPr>
          <w:rFonts w:cstheme="minorHAnsi"/>
          <w:b/>
          <w:sz w:val="28"/>
          <w:szCs w:val="28"/>
          <w:lang w:val="en-US"/>
        </w:rPr>
        <w:t>1</w:t>
      </w:r>
      <w:r w:rsidR="001E20AA">
        <w:rPr>
          <w:rFonts w:cstheme="minorHAnsi"/>
          <w:b/>
          <w:sz w:val="28"/>
          <w:szCs w:val="28"/>
          <w:lang w:val="en-US"/>
        </w:rPr>
        <w:t>5</w:t>
      </w:r>
      <w:r w:rsidR="00884E62">
        <w:rPr>
          <w:rFonts w:cstheme="minorHAnsi"/>
          <w:b/>
          <w:sz w:val="28"/>
          <w:szCs w:val="28"/>
          <w:lang w:val="en-US"/>
        </w:rPr>
        <w:t>.</w:t>
      </w:r>
      <w:r>
        <w:rPr>
          <w:rFonts w:cstheme="minorHAnsi"/>
          <w:b/>
          <w:sz w:val="28"/>
          <w:szCs w:val="28"/>
          <w:lang w:val="en-US"/>
        </w:rPr>
        <w:t>1</w:t>
      </w:r>
    </w:p>
    <w:p w14:paraId="37BB775A" w14:textId="77777777" w:rsidR="006C4071" w:rsidRPr="001C5B02" w:rsidRDefault="006C4071" w:rsidP="00061A53">
      <w:pPr>
        <w:jc w:val="center"/>
        <w:rPr>
          <w:rFonts w:cstheme="minorHAnsi"/>
          <w:bCs/>
          <w:sz w:val="28"/>
          <w:szCs w:val="28"/>
          <w:lang w:val="en-US"/>
        </w:rPr>
      </w:pPr>
    </w:p>
    <w:p w14:paraId="2DDE95BB" w14:textId="77777777" w:rsidR="006C4071" w:rsidRPr="006C4071" w:rsidRDefault="006C4071" w:rsidP="00061A53">
      <w:pPr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6C4071">
        <w:rPr>
          <w:rFonts w:cstheme="minorHAnsi"/>
          <w:b/>
          <w:bCs/>
          <w:sz w:val="28"/>
          <w:szCs w:val="28"/>
          <w:lang w:val="en-GB"/>
        </w:rPr>
        <w:t xml:space="preserve">Communication, capacity building, education, participation </w:t>
      </w:r>
      <w:r w:rsidRPr="006C4071">
        <w:rPr>
          <w:rFonts w:cstheme="minorHAnsi"/>
          <w:b/>
          <w:bCs/>
          <w:sz w:val="28"/>
          <w:szCs w:val="28"/>
          <w:lang w:val="en-GB"/>
        </w:rPr>
        <w:br/>
        <w:t>and awareness (CEPA):</w:t>
      </w:r>
    </w:p>
    <w:p w14:paraId="4F22FF33" w14:textId="77777777" w:rsidR="00CF5664" w:rsidRDefault="000C7AC5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0C7AC5">
        <w:rPr>
          <w:rFonts w:ascii="Calibri" w:hAnsi="Calibri" w:cs="Calibri"/>
          <w:b/>
          <w:bCs/>
          <w:sz w:val="28"/>
          <w:szCs w:val="28"/>
          <w:lang w:val="en-US"/>
        </w:rPr>
        <w:t>Report of the Chair</w:t>
      </w:r>
      <w:r w:rsidR="006C407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0C7AC5">
        <w:rPr>
          <w:rFonts w:ascii="Calibri" w:hAnsi="Calibri" w:cs="Calibri"/>
          <w:b/>
          <w:bCs/>
          <w:sz w:val="28"/>
          <w:szCs w:val="28"/>
          <w:lang w:val="en-US"/>
        </w:rPr>
        <w:t xml:space="preserve">of the </w:t>
      </w:r>
      <w:r w:rsidR="00582A42">
        <w:rPr>
          <w:rFonts w:ascii="Calibri" w:hAnsi="Calibri" w:cs="Calibri"/>
          <w:b/>
          <w:bCs/>
          <w:sz w:val="28"/>
          <w:szCs w:val="28"/>
          <w:lang w:val="en-US"/>
        </w:rPr>
        <w:t xml:space="preserve">CEPA </w:t>
      </w:r>
      <w:r w:rsidR="002B57D1" w:rsidRPr="002B57D1">
        <w:rPr>
          <w:rFonts w:ascii="Calibri" w:hAnsi="Calibri" w:cs="Calibri"/>
          <w:b/>
          <w:bCs/>
          <w:sz w:val="28"/>
          <w:szCs w:val="28"/>
          <w:lang w:val="en-US"/>
        </w:rPr>
        <w:t>Oversight Panel</w:t>
      </w:r>
    </w:p>
    <w:p w14:paraId="0CA52052" w14:textId="77777777" w:rsidR="006C4071" w:rsidRDefault="006C4071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5D5A6A2" w14:textId="77777777" w:rsidR="002B57D1" w:rsidRPr="002B57D1" w:rsidRDefault="002B57D1" w:rsidP="00061A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"/>
          <w:szCs w:val="2"/>
          <w:lang w:val="en-US"/>
        </w:rPr>
      </w:pPr>
    </w:p>
    <w:p w14:paraId="60665B35" w14:textId="77777777" w:rsidR="006C4071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val="en-US" w:eastAsia="fr-CA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8027CC3" wp14:editId="6C59D97E">
                <wp:extent cx="5731510" cy="847725"/>
                <wp:effectExtent l="0" t="0" r="215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6774" w14:textId="20AC7EE9" w:rsidR="001C5B02" w:rsidRPr="001C5B02" w:rsidRDefault="001C5B02" w:rsidP="001C5B02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C5B02">
                              <w:rPr>
                                <w:b/>
                                <w:bCs/>
                                <w:lang w:val="en-GB"/>
                              </w:rPr>
                              <w:t xml:space="preserve">Action requested: </w:t>
                            </w:r>
                          </w:p>
                          <w:p w14:paraId="3E51A16F" w14:textId="77777777" w:rsidR="001C5B02" w:rsidRDefault="001C5B02" w:rsidP="001C5B02">
                            <w:pPr>
                              <w:pStyle w:val="ColorfulList-Accent11"/>
                              <w:ind w:left="0"/>
                            </w:pPr>
                          </w:p>
                          <w:p w14:paraId="519E884C" w14:textId="7701B50B" w:rsidR="001C5B02" w:rsidRPr="00211A70" w:rsidRDefault="001C5B02" w:rsidP="00537B8D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  <w:r>
                              <w:t xml:space="preserve">The Standing Committee is </w:t>
                            </w:r>
                            <w:r>
                              <w:rPr>
                                <w:rFonts w:cs="Calibri"/>
                              </w:rPr>
                              <w:t>invited to</w:t>
                            </w:r>
                            <w:r w:rsidR="00537B8D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1C5B02">
                              <w:rPr>
                                <w:rFonts w:cs="Calibri"/>
                              </w:rPr>
                              <w:t>note the present report of the Chair of the CEPA Oversight Panel</w:t>
                            </w:r>
                            <w:r w:rsidR="00537B8D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49DFBB54" w14:textId="77777777" w:rsidR="001C5B02" w:rsidRDefault="001C5B02" w:rsidP="001C5B02">
                            <w:pPr>
                              <w:pStyle w:val="ColorfulList-Accent11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027C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">
                <v:textbox>
                  <w:txbxContent>
                    <w:p w14:paraId="1E946774" w14:textId="20AC7EE9" w:rsidR="001C5B02" w:rsidRPr="001C5B02" w:rsidRDefault="001C5B02" w:rsidP="001C5B02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1C5B02">
                        <w:rPr>
                          <w:b/>
                          <w:bCs/>
                          <w:lang w:val="en-GB"/>
                        </w:rPr>
                        <w:t xml:space="preserve">Action requested: </w:t>
                      </w:r>
                    </w:p>
                    <w:p w14:paraId="3E51A16F" w14:textId="77777777" w:rsidR="001C5B02" w:rsidRDefault="001C5B02" w:rsidP="001C5B02">
                      <w:pPr>
                        <w:pStyle w:val="ColorfulList-Accent11"/>
                        <w:ind w:left="0"/>
                      </w:pPr>
                    </w:p>
                    <w:p w14:paraId="519E884C" w14:textId="7701B50B" w:rsidR="001C5B02" w:rsidRPr="00211A70" w:rsidRDefault="001C5B02" w:rsidP="00537B8D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  <w:r>
                        <w:t xml:space="preserve">The Standing Committee is </w:t>
                      </w:r>
                      <w:r>
                        <w:rPr>
                          <w:rFonts w:cs="Calibri"/>
                        </w:rPr>
                        <w:t>invited to</w:t>
                      </w:r>
                      <w:r w:rsidR="00537B8D">
                        <w:rPr>
                          <w:rFonts w:cs="Calibri"/>
                        </w:rPr>
                        <w:t xml:space="preserve"> </w:t>
                      </w:r>
                      <w:r w:rsidRPr="001C5B02">
                        <w:rPr>
                          <w:rFonts w:cs="Calibri"/>
                        </w:rPr>
                        <w:t>note the present report of the Chair of the CEPA Oversight Panel</w:t>
                      </w:r>
                      <w:r w:rsidR="00537B8D">
                        <w:rPr>
                          <w:rFonts w:cs="Calibri"/>
                        </w:rPr>
                        <w:t>.</w:t>
                      </w:r>
                    </w:p>
                    <w:p w14:paraId="49DFBB54" w14:textId="77777777" w:rsidR="001C5B02" w:rsidRDefault="001C5B02" w:rsidP="001C5B02">
                      <w:pPr>
                        <w:pStyle w:val="ColorfulList-Accent11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5EF99" w14:textId="77777777" w:rsidR="001C5B02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val="en-US" w:eastAsia="fr-CA"/>
        </w:rPr>
      </w:pPr>
    </w:p>
    <w:p w14:paraId="31859746" w14:textId="77777777" w:rsidR="001C5B02" w:rsidRPr="00F30A19" w:rsidRDefault="001C5B02" w:rsidP="00061A53">
      <w:pPr>
        <w:rPr>
          <w:rFonts w:ascii="Calibri" w:eastAsia="Times New Roman" w:hAnsi="Calibri" w:cs="Calibri"/>
          <w:b/>
          <w:bCs/>
          <w:sz w:val="22"/>
          <w:szCs w:val="22"/>
          <w:lang w:val="en-US" w:eastAsia="fr-CA"/>
        </w:rPr>
      </w:pPr>
    </w:p>
    <w:p w14:paraId="6D093856" w14:textId="77777777" w:rsidR="00CF5664" w:rsidRPr="00F30A19" w:rsidRDefault="00CF5664" w:rsidP="00061A53">
      <w:pPr>
        <w:rPr>
          <w:rFonts w:ascii="Calibri" w:eastAsia="Times New Roman" w:hAnsi="Calibri" w:cs="Calibri"/>
          <w:b/>
          <w:bCs/>
          <w:sz w:val="22"/>
          <w:szCs w:val="22"/>
          <w:lang w:val="en-US" w:eastAsia="fr-CA"/>
        </w:rPr>
      </w:pPr>
      <w:r w:rsidRPr="00F30A19">
        <w:rPr>
          <w:rFonts w:ascii="Calibri" w:eastAsia="Times New Roman" w:hAnsi="Calibri" w:cs="Calibri"/>
          <w:b/>
          <w:bCs/>
          <w:sz w:val="22"/>
          <w:szCs w:val="22"/>
          <w:lang w:val="en-US" w:eastAsia="fr-CA"/>
        </w:rPr>
        <w:t xml:space="preserve">Background </w:t>
      </w:r>
    </w:p>
    <w:p w14:paraId="15C32844" w14:textId="77777777" w:rsidR="006C4071" w:rsidRPr="00F30A19" w:rsidRDefault="006C4071" w:rsidP="00061A53">
      <w:pPr>
        <w:rPr>
          <w:rFonts w:eastAsia="Times New Roman" w:cstheme="minorHAnsi"/>
          <w:sz w:val="22"/>
          <w:szCs w:val="22"/>
          <w:lang w:val="en-US" w:eastAsia="fr-CA"/>
        </w:rPr>
      </w:pPr>
    </w:p>
    <w:p w14:paraId="5CA85F3E" w14:textId="6D8E442A" w:rsidR="006C4071" w:rsidRPr="00850803" w:rsidRDefault="006C4071" w:rsidP="00061A53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>1.</w:t>
      </w:r>
      <w:r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ab/>
      </w:r>
      <w:r w:rsidR="00CF5664"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This report provides an overview of the work which </w:t>
      </w:r>
      <w:r w:rsidR="00582A42"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>has been</w:t>
      </w:r>
      <w:r w:rsidR="00CF5664"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 carried out</w:t>
      </w:r>
      <w:r w:rsidR="00582A42"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 by the CEPA Oversight Panel</w:t>
      </w:r>
      <w:r w:rsidR="00CF5664"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 since </w:t>
      </w:r>
      <w:r w:rsidR="00A628B5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the </w:t>
      </w:r>
      <w:r w:rsidR="00A628B5" w:rsidRPr="00F1508F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>6</w:t>
      </w:r>
      <w:r w:rsidR="001E20AA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>3rd</w:t>
      </w:r>
      <w:r w:rsidR="00A628B5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 meeting of the Standing Committee</w:t>
      </w:r>
      <w:r w:rsidR="00D63601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 (SC63)</w:t>
      </w:r>
      <w:r w:rsidR="00582A42" w:rsidRPr="00F30A19">
        <w:rPr>
          <w:rFonts w:asciiTheme="minorHAnsi" w:eastAsia="Times New Roman" w:hAnsiTheme="minorHAnsi" w:cstheme="minorHAnsi"/>
          <w:sz w:val="22"/>
          <w:szCs w:val="22"/>
          <w:lang w:val="en-US" w:eastAsia="fr-CA"/>
        </w:rPr>
        <w:t xml:space="preserve">. </w:t>
      </w:r>
    </w:p>
    <w:p w14:paraId="2B5D6640" w14:textId="77777777" w:rsidR="006C4071" w:rsidRPr="00F30A19" w:rsidRDefault="006C4071" w:rsidP="00061A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392878A5" w14:textId="05D9FEDD" w:rsidR="0030364B" w:rsidRDefault="00F1508F" w:rsidP="00061A53">
      <w:pPr>
        <w:ind w:left="426" w:hanging="426"/>
        <w:rPr>
          <w:rFonts w:eastAsia="Times New Roman"/>
          <w:sz w:val="22"/>
          <w:szCs w:val="22"/>
          <w:lang w:val="en-US" w:eastAsia="fr-CA"/>
        </w:rPr>
      </w:pPr>
      <w:r w:rsidRPr="3EE6700D">
        <w:rPr>
          <w:rFonts w:eastAsia="Times New Roman"/>
          <w:sz w:val="22"/>
          <w:szCs w:val="22"/>
          <w:lang w:val="en-US" w:eastAsia="fr-CA"/>
        </w:rPr>
        <w:t>2</w:t>
      </w:r>
      <w:r w:rsidR="00625BC9" w:rsidRPr="3EE6700D">
        <w:rPr>
          <w:rFonts w:eastAsia="Times New Roman"/>
          <w:sz w:val="22"/>
          <w:szCs w:val="22"/>
          <w:lang w:val="en-US" w:eastAsia="fr-CA"/>
        </w:rPr>
        <w:t>.</w:t>
      </w:r>
      <w:r w:rsidRPr="00400A1B">
        <w:rPr>
          <w:lang w:val="en-GB"/>
        </w:rPr>
        <w:tab/>
      </w:r>
      <w:r w:rsidR="00DD24BF" w:rsidRPr="3EE6700D">
        <w:rPr>
          <w:rFonts w:eastAsia="Times New Roman"/>
          <w:sz w:val="22"/>
          <w:szCs w:val="22"/>
          <w:lang w:val="en-US" w:eastAsia="fr-CA"/>
        </w:rPr>
        <w:t>V</w:t>
      </w:r>
      <w:r w:rsidR="00B05AAC" w:rsidRPr="3EE6700D">
        <w:rPr>
          <w:rFonts w:eastAsia="Times New Roman"/>
          <w:sz w:val="22"/>
          <w:szCs w:val="22"/>
          <w:lang w:val="en-US" w:eastAsia="fr-CA"/>
        </w:rPr>
        <w:t>irtual meeting</w:t>
      </w:r>
      <w:r w:rsidR="00DD24BF" w:rsidRPr="3EE6700D">
        <w:rPr>
          <w:rFonts w:eastAsia="Times New Roman"/>
          <w:sz w:val="22"/>
          <w:szCs w:val="22"/>
          <w:lang w:val="en-US" w:eastAsia="fr-CA"/>
        </w:rPr>
        <w:t>s</w:t>
      </w:r>
      <w:r w:rsidR="00B05AAC" w:rsidRPr="3EE6700D">
        <w:rPr>
          <w:rFonts w:eastAsia="Times New Roman"/>
          <w:sz w:val="22"/>
          <w:szCs w:val="22"/>
          <w:lang w:val="en-US" w:eastAsia="fr-CA"/>
        </w:rPr>
        <w:t xml:space="preserve"> of the Panel took place on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 xml:space="preserve"> 2</w:t>
      </w:r>
      <w:r w:rsidR="00DD24BF" w:rsidRPr="3EE6700D">
        <w:rPr>
          <w:rFonts w:eastAsia="Times New Roman"/>
          <w:sz w:val="22"/>
          <w:szCs w:val="22"/>
          <w:lang w:val="en-US" w:eastAsia="fr-CA"/>
        </w:rPr>
        <w:t>7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DD24BF" w:rsidRPr="3EE6700D">
        <w:rPr>
          <w:rFonts w:eastAsia="Times New Roman"/>
          <w:sz w:val="22"/>
          <w:szCs w:val="22"/>
          <w:lang w:val="en-US" w:eastAsia="fr-CA"/>
        </w:rPr>
        <w:t>June and 11 September 202</w:t>
      </w:r>
      <w:r w:rsidR="5E517BD1" w:rsidRPr="3EE6700D">
        <w:rPr>
          <w:rFonts w:eastAsia="Times New Roman"/>
          <w:sz w:val="22"/>
          <w:szCs w:val="22"/>
          <w:lang w:val="en-US" w:eastAsia="fr-CA"/>
        </w:rPr>
        <w:t>4</w:t>
      </w:r>
      <w:r w:rsidR="00B05AAC" w:rsidRPr="3EE6700D">
        <w:rPr>
          <w:rFonts w:eastAsia="Times New Roman"/>
          <w:sz w:val="22"/>
          <w:szCs w:val="22"/>
          <w:lang w:val="en-US" w:eastAsia="fr-CA"/>
        </w:rPr>
        <w:t>. During th</w:t>
      </w:r>
      <w:r w:rsidR="00DD24BF" w:rsidRPr="3EE6700D">
        <w:rPr>
          <w:rFonts w:eastAsia="Times New Roman"/>
          <w:sz w:val="22"/>
          <w:szCs w:val="22"/>
          <w:lang w:val="en-US" w:eastAsia="fr-CA"/>
        </w:rPr>
        <w:t>ese</w:t>
      </w:r>
      <w:r w:rsidR="00B05AAC" w:rsidRPr="3EE6700D">
        <w:rPr>
          <w:rFonts w:eastAsia="Times New Roman"/>
          <w:sz w:val="22"/>
          <w:szCs w:val="22"/>
          <w:lang w:val="en-US" w:eastAsia="fr-CA"/>
        </w:rPr>
        <w:t xml:space="preserve"> meeting</w:t>
      </w:r>
      <w:r w:rsidR="00DD24BF" w:rsidRPr="3EE6700D">
        <w:rPr>
          <w:rFonts w:eastAsia="Times New Roman"/>
          <w:sz w:val="22"/>
          <w:szCs w:val="22"/>
          <w:lang w:val="en-US" w:eastAsia="fr-CA"/>
        </w:rPr>
        <w:t>s</w:t>
      </w:r>
      <w:r w:rsidR="00D63601">
        <w:rPr>
          <w:rFonts w:eastAsia="Times New Roman"/>
          <w:sz w:val="22"/>
          <w:szCs w:val="22"/>
          <w:lang w:val="en-US" w:eastAsia="fr-CA"/>
        </w:rPr>
        <w:t>,</w:t>
      </w:r>
      <w:r w:rsidR="00B05AAC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945D06" w:rsidRPr="3EE6700D">
        <w:rPr>
          <w:rFonts w:eastAsia="Times New Roman"/>
          <w:sz w:val="22"/>
          <w:szCs w:val="22"/>
          <w:lang w:val="en-US" w:eastAsia="fr-CA"/>
        </w:rPr>
        <w:t>activities and deliverables with</w:t>
      </w:r>
      <w:r w:rsidR="1A8F201F" w:rsidRPr="3EE6700D">
        <w:rPr>
          <w:rFonts w:eastAsia="Times New Roman"/>
          <w:sz w:val="22"/>
          <w:szCs w:val="22"/>
          <w:lang w:val="en-US" w:eastAsia="fr-CA"/>
        </w:rPr>
        <w:t>in</w:t>
      </w:r>
      <w:r w:rsidR="00945D06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>the workplan of the CEPA Oversight Panel</w:t>
      </w:r>
      <w:r w:rsidRPr="3EE6700D">
        <w:rPr>
          <w:rFonts w:eastAsia="Times New Roman"/>
          <w:sz w:val="22"/>
          <w:szCs w:val="22"/>
          <w:lang w:val="en-US" w:eastAsia="fr-CA"/>
        </w:rPr>
        <w:t>,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 xml:space="preserve"> which </w:t>
      </w:r>
      <w:r w:rsidR="005369CC">
        <w:rPr>
          <w:rFonts w:eastAsia="Times New Roman"/>
          <w:sz w:val="22"/>
          <w:szCs w:val="22"/>
          <w:lang w:val="en-US" w:eastAsia="fr-CA"/>
        </w:rPr>
        <w:t>had been</w:t>
      </w:r>
      <w:r w:rsidR="005369CC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>approved in Decision SC62-</w:t>
      </w:r>
      <w:r w:rsidR="006C73C3" w:rsidRPr="3EE6700D">
        <w:rPr>
          <w:rFonts w:eastAsia="Times New Roman"/>
          <w:sz w:val="22"/>
          <w:szCs w:val="22"/>
          <w:lang w:val="en-US" w:eastAsia="fr-CA"/>
        </w:rPr>
        <w:t>27</w:t>
      </w:r>
      <w:r w:rsidRPr="3EE6700D">
        <w:rPr>
          <w:rFonts w:eastAsia="Times New Roman"/>
          <w:sz w:val="22"/>
          <w:szCs w:val="22"/>
          <w:lang w:val="en-US" w:eastAsia="fr-CA"/>
        </w:rPr>
        <w:t>,</w:t>
      </w:r>
      <w:r w:rsidR="00EB3829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>w</w:t>
      </w:r>
      <w:r w:rsidR="00BB42C2" w:rsidRPr="3EE6700D">
        <w:rPr>
          <w:rFonts w:eastAsia="Times New Roman"/>
          <w:sz w:val="22"/>
          <w:szCs w:val="22"/>
          <w:lang w:val="en-US" w:eastAsia="fr-CA"/>
        </w:rPr>
        <w:t>ere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 xml:space="preserve"> reviewed</w:t>
      </w:r>
      <w:r w:rsidR="00BB42C2" w:rsidRPr="3EE6700D">
        <w:rPr>
          <w:rFonts w:eastAsia="Times New Roman"/>
          <w:sz w:val="22"/>
          <w:szCs w:val="22"/>
          <w:lang w:val="en-US" w:eastAsia="fr-CA"/>
        </w:rPr>
        <w:t xml:space="preserve"> and discussed. </w:t>
      </w:r>
      <w:r w:rsidR="00A628B5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</w:p>
    <w:p w14:paraId="09C8AF7F" w14:textId="77777777" w:rsidR="002A760C" w:rsidRDefault="002A760C" w:rsidP="00061A53">
      <w:pPr>
        <w:ind w:left="426" w:hanging="426"/>
        <w:rPr>
          <w:rFonts w:eastAsia="Times New Roman" w:cstheme="minorHAnsi"/>
          <w:sz w:val="22"/>
          <w:szCs w:val="22"/>
          <w:lang w:val="en-US" w:eastAsia="fr-CA"/>
        </w:rPr>
      </w:pPr>
    </w:p>
    <w:p w14:paraId="146E0BFF" w14:textId="251BED49" w:rsidR="002A760C" w:rsidRDefault="002A760C" w:rsidP="00061A53">
      <w:pPr>
        <w:ind w:left="426" w:hanging="426"/>
        <w:rPr>
          <w:rFonts w:eastAsia="Times New Roman"/>
          <w:sz w:val="22"/>
          <w:szCs w:val="22"/>
          <w:lang w:val="en-US" w:eastAsia="fr-CA"/>
        </w:rPr>
      </w:pPr>
      <w:r w:rsidRPr="3EE6700D">
        <w:rPr>
          <w:rFonts w:eastAsia="Times New Roman"/>
          <w:sz w:val="22"/>
          <w:szCs w:val="22"/>
          <w:lang w:val="en-US" w:eastAsia="fr-CA"/>
        </w:rPr>
        <w:t>3.</w:t>
      </w:r>
      <w:r w:rsidRPr="00400A1B">
        <w:rPr>
          <w:lang w:val="en-GB"/>
        </w:rPr>
        <w:tab/>
      </w:r>
      <w:r w:rsidR="00930657" w:rsidRPr="3EE6700D">
        <w:rPr>
          <w:rFonts w:eastAsia="Times New Roman"/>
          <w:sz w:val="22"/>
          <w:szCs w:val="22"/>
          <w:lang w:val="en-US" w:eastAsia="fr-CA"/>
        </w:rPr>
        <w:t>At the 11 September meeting</w:t>
      </w:r>
      <w:r w:rsidR="529C8F23" w:rsidRPr="3EE6700D">
        <w:rPr>
          <w:rFonts w:eastAsia="Times New Roman"/>
          <w:sz w:val="22"/>
          <w:szCs w:val="22"/>
          <w:lang w:val="en-US" w:eastAsia="fr-CA"/>
        </w:rPr>
        <w:t>,</w:t>
      </w:r>
      <w:r w:rsidR="00930657" w:rsidRPr="3EE6700D">
        <w:rPr>
          <w:rFonts w:eastAsia="Times New Roman"/>
          <w:sz w:val="22"/>
          <w:szCs w:val="22"/>
          <w:lang w:val="en-US" w:eastAsia="fr-CA"/>
        </w:rPr>
        <w:t xml:space="preserve"> the Panel </w:t>
      </w:r>
      <w:r w:rsidR="38BFB1A5" w:rsidRPr="3EE6700D">
        <w:rPr>
          <w:rFonts w:eastAsia="Times New Roman"/>
          <w:sz w:val="22"/>
          <w:szCs w:val="22"/>
          <w:lang w:val="en-US" w:eastAsia="fr-CA"/>
        </w:rPr>
        <w:t>(</w:t>
      </w:r>
      <w:r w:rsidR="00A40DFF" w:rsidRPr="3EE6700D">
        <w:rPr>
          <w:rFonts w:eastAsia="Times New Roman"/>
          <w:sz w:val="22"/>
          <w:szCs w:val="22"/>
          <w:lang w:val="en-US" w:eastAsia="fr-CA"/>
        </w:rPr>
        <w:t>on the recommendation of the Executive Team</w:t>
      </w:r>
      <w:r w:rsidR="0281B982" w:rsidRPr="3EE6700D">
        <w:rPr>
          <w:rFonts w:eastAsia="Times New Roman"/>
          <w:sz w:val="22"/>
          <w:szCs w:val="22"/>
          <w:lang w:val="en-US" w:eastAsia="fr-CA"/>
        </w:rPr>
        <w:t>)</w:t>
      </w:r>
      <w:r w:rsidR="00A40DFF" w:rsidRPr="3EE6700D">
        <w:rPr>
          <w:rFonts w:eastAsia="Times New Roman"/>
          <w:sz w:val="22"/>
          <w:szCs w:val="22"/>
          <w:lang w:val="en-US" w:eastAsia="fr-CA"/>
        </w:rPr>
        <w:t xml:space="preserve"> selected Zambia as the Vice-Chair to replace WWT</w:t>
      </w:r>
      <w:r w:rsidR="41FDF4BA" w:rsidRPr="3EE6700D">
        <w:rPr>
          <w:rFonts w:eastAsia="Times New Roman"/>
          <w:sz w:val="22"/>
          <w:szCs w:val="22"/>
          <w:lang w:val="en-US" w:eastAsia="fr-CA"/>
        </w:rPr>
        <w:t xml:space="preserve">, </w:t>
      </w:r>
      <w:r w:rsidR="004D7D01">
        <w:rPr>
          <w:rFonts w:eastAsia="Times New Roman"/>
          <w:sz w:val="22"/>
          <w:szCs w:val="22"/>
          <w:lang w:val="en-US" w:eastAsia="fr-CA"/>
        </w:rPr>
        <w:t>which</w:t>
      </w:r>
      <w:r w:rsidR="41FDF4BA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EF40E1" w:rsidRPr="3EE6700D">
        <w:rPr>
          <w:rFonts w:eastAsia="Times New Roman"/>
          <w:sz w:val="22"/>
          <w:szCs w:val="22"/>
          <w:lang w:val="en-US" w:eastAsia="fr-CA"/>
        </w:rPr>
        <w:t>was no longer able to serve in the role due to a change in person</w:t>
      </w:r>
      <w:r w:rsidR="526068AC" w:rsidRPr="3EE6700D">
        <w:rPr>
          <w:rFonts w:eastAsia="Times New Roman"/>
          <w:sz w:val="22"/>
          <w:szCs w:val="22"/>
          <w:lang w:val="en-US" w:eastAsia="fr-CA"/>
        </w:rPr>
        <w:t>ne</w:t>
      </w:r>
      <w:r w:rsidR="00EF40E1" w:rsidRPr="3EE6700D">
        <w:rPr>
          <w:rFonts w:eastAsia="Times New Roman"/>
          <w:sz w:val="22"/>
          <w:szCs w:val="22"/>
          <w:lang w:val="en-US" w:eastAsia="fr-CA"/>
        </w:rPr>
        <w:t xml:space="preserve">l. Zambia accepted </w:t>
      </w:r>
      <w:r w:rsidR="00717E3F" w:rsidRPr="3EE6700D">
        <w:rPr>
          <w:rFonts w:eastAsia="Times New Roman"/>
          <w:sz w:val="22"/>
          <w:szCs w:val="22"/>
          <w:lang w:val="en-US" w:eastAsia="fr-CA"/>
        </w:rPr>
        <w:t>the nomination and will serve as the Vice-Chair of the Panel for the remainder of the triennium. As Zambia is a member of the Strategic Plan Working Group</w:t>
      </w:r>
      <w:r w:rsidR="09917F81" w:rsidRPr="3EE6700D">
        <w:rPr>
          <w:rFonts w:eastAsia="Times New Roman"/>
          <w:sz w:val="22"/>
          <w:szCs w:val="22"/>
          <w:lang w:val="en-US" w:eastAsia="fr-CA"/>
        </w:rPr>
        <w:t>,</w:t>
      </w:r>
      <w:r w:rsidR="00717E3F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58462D46" w:rsidRPr="3EE6700D">
        <w:rPr>
          <w:rFonts w:eastAsia="Times New Roman"/>
          <w:sz w:val="22"/>
          <w:szCs w:val="22"/>
          <w:lang w:val="en-US" w:eastAsia="fr-CA"/>
        </w:rPr>
        <w:t>it</w:t>
      </w:r>
      <w:r w:rsidR="00033997" w:rsidRPr="3EE6700D">
        <w:rPr>
          <w:rFonts w:eastAsia="Times New Roman"/>
          <w:sz w:val="22"/>
          <w:szCs w:val="22"/>
          <w:lang w:val="en-US" w:eastAsia="fr-CA"/>
        </w:rPr>
        <w:t xml:space="preserve"> will provide an important link between the CEPA </w:t>
      </w:r>
      <w:r w:rsidR="00714CFB" w:rsidRPr="3EE6700D">
        <w:rPr>
          <w:rFonts w:eastAsia="Times New Roman"/>
          <w:sz w:val="22"/>
          <w:szCs w:val="22"/>
          <w:lang w:val="en-US" w:eastAsia="fr-CA"/>
        </w:rPr>
        <w:t xml:space="preserve">Oversight Panel and the development and implementation of the </w:t>
      </w:r>
      <w:r w:rsidR="005B2BC9">
        <w:rPr>
          <w:rFonts w:eastAsia="Times New Roman"/>
          <w:sz w:val="22"/>
          <w:szCs w:val="22"/>
          <w:lang w:val="en-US" w:eastAsia="fr-CA"/>
        </w:rPr>
        <w:t>Fifth</w:t>
      </w:r>
      <w:r w:rsidR="005B2BC9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714CFB" w:rsidRPr="3EE6700D">
        <w:rPr>
          <w:rFonts w:eastAsia="Times New Roman"/>
          <w:sz w:val="22"/>
          <w:szCs w:val="22"/>
          <w:lang w:val="en-US" w:eastAsia="fr-CA"/>
        </w:rPr>
        <w:t>Strategic Plan.</w:t>
      </w:r>
    </w:p>
    <w:p w14:paraId="002913E4" w14:textId="77777777" w:rsidR="00850803" w:rsidRPr="00F30A19" w:rsidRDefault="00850803" w:rsidP="00061A53">
      <w:pPr>
        <w:ind w:left="426" w:hanging="426"/>
        <w:rPr>
          <w:rFonts w:eastAsia="Times New Roman" w:cstheme="minorHAnsi"/>
          <w:sz w:val="22"/>
          <w:szCs w:val="22"/>
          <w:lang w:val="en-US" w:eastAsia="fr-CA"/>
        </w:rPr>
      </w:pPr>
    </w:p>
    <w:p w14:paraId="7E4AAA3C" w14:textId="77777777" w:rsidR="00850803" w:rsidRPr="00F30A19" w:rsidRDefault="00850803" w:rsidP="00061A5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30A1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Work undertaken by the Panel </w:t>
      </w:r>
    </w:p>
    <w:p w14:paraId="60A93226" w14:textId="77777777" w:rsidR="0030364B" w:rsidRPr="00F30A19" w:rsidRDefault="0030364B" w:rsidP="00061A53">
      <w:pPr>
        <w:ind w:left="426" w:hanging="426"/>
        <w:rPr>
          <w:rFonts w:eastAsia="Times New Roman" w:cstheme="minorHAnsi"/>
          <w:sz w:val="22"/>
          <w:szCs w:val="22"/>
          <w:lang w:val="en-US" w:eastAsia="fr-CA"/>
        </w:rPr>
      </w:pPr>
    </w:p>
    <w:p w14:paraId="15825B23" w14:textId="490C7361" w:rsidR="00FE6720" w:rsidRPr="00FE6720" w:rsidRDefault="002A760C" w:rsidP="00061A53">
      <w:pPr>
        <w:ind w:left="426" w:hanging="426"/>
        <w:rPr>
          <w:rFonts w:ascii="Calibri" w:hAnsi="Calibri" w:cs="Calibri"/>
          <w:i/>
          <w:iCs/>
          <w:sz w:val="22"/>
          <w:szCs w:val="22"/>
          <w:lang w:val="en-GB"/>
        </w:rPr>
      </w:pPr>
      <w:r w:rsidRPr="3EE6700D">
        <w:rPr>
          <w:rFonts w:eastAsia="Times New Roman"/>
          <w:sz w:val="22"/>
          <w:szCs w:val="22"/>
          <w:lang w:val="en-US" w:eastAsia="fr-CA"/>
        </w:rPr>
        <w:t>4</w:t>
      </w:r>
      <w:r w:rsidR="00625BC9" w:rsidRPr="3EE6700D">
        <w:rPr>
          <w:rFonts w:eastAsia="Times New Roman"/>
          <w:sz w:val="22"/>
          <w:szCs w:val="22"/>
          <w:lang w:val="en-US" w:eastAsia="fr-CA"/>
        </w:rPr>
        <w:t>.</w:t>
      </w:r>
      <w:r w:rsidRPr="00400A1B">
        <w:rPr>
          <w:lang w:val="en-GB"/>
        </w:rPr>
        <w:tab/>
      </w:r>
      <w:r w:rsidR="00D65DB2" w:rsidRPr="3EE6700D">
        <w:rPr>
          <w:rFonts w:eastAsia="Times New Roman"/>
          <w:sz w:val="22"/>
          <w:szCs w:val="22"/>
          <w:lang w:val="en-US" w:eastAsia="fr-CA"/>
        </w:rPr>
        <w:t>Since SC63</w:t>
      </w:r>
      <w:r w:rsidR="3A8E8373" w:rsidRPr="3EE6700D">
        <w:rPr>
          <w:rFonts w:eastAsia="Times New Roman"/>
          <w:sz w:val="22"/>
          <w:szCs w:val="22"/>
          <w:lang w:val="en-US" w:eastAsia="fr-CA"/>
        </w:rPr>
        <w:t>,</w:t>
      </w:r>
      <w:r w:rsidR="00D65DB2" w:rsidRPr="3EE6700D">
        <w:rPr>
          <w:rFonts w:eastAsia="Times New Roman"/>
          <w:sz w:val="22"/>
          <w:szCs w:val="22"/>
          <w:lang w:val="en-US" w:eastAsia="fr-CA"/>
        </w:rPr>
        <w:t xml:space="preserve"> a number </w:t>
      </w:r>
      <w:r w:rsidR="00C601D7" w:rsidRPr="3EE6700D">
        <w:rPr>
          <w:rFonts w:eastAsia="Times New Roman"/>
          <w:sz w:val="22"/>
          <w:szCs w:val="22"/>
          <w:lang w:val="en-US" w:eastAsia="fr-CA"/>
        </w:rPr>
        <w:t>of CEPA resources have been developed and updated. Notably</w:t>
      </w:r>
      <w:r w:rsidR="151E5C17" w:rsidRPr="3EE6700D">
        <w:rPr>
          <w:rFonts w:eastAsia="Times New Roman"/>
          <w:sz w:val="22"/>
          <w:szCs w:val="22"/>
          <w:lang w:val="en-US" w:eastAsia="fr-CA"/>
        </w:rPr>
        <w:t>,</w:t>
      </w:r>
      <w:r w:rsidR="00C601D7" w:rsidRPr="3EE6700D">
        <w:rPr>
          <w:rFonts w:eastAsia="Times New Roman"/>
          <w:sz w:val="22"/>
          <w:szCs w:val="22"/>
          <w:lang w:val="en-US" w:eastAsia="fr-CA"/>
        </w:rPr>
        <w:t xml:space="preserve"> the CEPA handbook has been revised by the Secretariat</w:t>
      </w:r>
      <w:r w:rsidR="1850C6F1" w:rsidRPr="3EE6700D">
        <w:rPr>
          <w:rFonts w:eastAsia="Times New Roman"/>
          <w:sz w:val="22"/>
          <w:szCs w:val="22"/>
          <w:lang w:val="en-US" w:eastAsia="fr-CA"/>
        </w:rPr>
        <w:t>,</w:t>
      </w:r>
      <w:r w:rsidR="2A2FAAA0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5EF12327" w:rsidRPr="3EE6700D">
        <w:rPr>
          <w:rFonts w:eastAsia="Times New Roman"/>
          <w:sz w:val="22"/>
          <w:szCs w:val="22"/>
          <w:lang w:val="en-US" w:eastAsia="fr-CA"/>
        </w:rPr>
        <w:t xml:space="preserve">and </w:t>
      </w:r>
      <w:r w:rsidR="000C0BCB" w:rsidRPr="3EE6700D">
        <w:rPr>
          <w:rFonts w:eastAsia="Times New Roman"/>
          <w:sz w:val="22"/>
          <w:szCs w:val="22"/>
          <w:lang w:val="en-US" w:eastAsia="fr-CA"/>
        </w:rPr>
        <w:t xml:space="preserve">will be </w:t>
      </w:r>
      <w:r w:rsidR="00914B97">
        <w:rPr>
          <w:rFonts w:eastAsia="Times New Roman"/>
          <w:sz w:val="22"/>
          <w:szCs w:val="22"/>
          <w:lang w:val="en-US" w:eastAsia="fr-CA"/>
        </w:rPr>
        <w:t>published</w:t>
      </w:r>
      <w:r w:rsidR="00914B97" w:rsidRPr="3EE6700D">
        <w:rPr>
          <w:rFonts w:eastAsia="Times New Roman"/>
          <w:sz w:val="22"/>
          <w:szCs w:val="22"/>
          <w:lang w:val="en-US" w:eastAsia="fr-CA"/>
        </w:rPr>
        <w:t xml:space="preserve"> on the Convention’s website </w:t>
      </w:r>
      <w:r w:rsidR="000C0BCB" w:rsidRPr="3EE6700D">
        <w:rPr>
          <w:rFonts w:eastAsia="Times New Roman"/>
          <w:sz w:val="22"/>
          <w:szCs w:val="22"/>
          <w:lang w:val="en-US" w:eastAsia="fr-CA"/>
        </w:rPr>
        <w:t xml:space="preserve">in the three languages before the end of the year. The revised handbook provides </w:t>
      </w:r>
      <w:r w:rsidR="0065641A" w:rsidRPr="3EE6700D">
        <w:rPr>
          <w:rFonts w:eastAsia="Times New Roman"/>
          <w:sz w:val="22"/>
          <w:szCs w:val="22"/>
          <w:lang w:val="en-US" w:eastAsia="fr-CA"/>
        </w:rPr>
        <w:t xml:space="preserve">actionable guidance for CEPA </w:t>
      </w:r>
      <w:r w:rsidR="00914B97">
        <w:rPr>
          <w:rFonts w:eastAsia="Times New Roman"/>
          <w:sz w:val="22"/>
          <w:szCs w:val="22"/>
          <w:lang w:val="en-US" w:eastAsia="fr-CA"/>
        </w:rPr>
        <w:t>F</w:t>
      </w:r>
      <w:r w:rsidR="00914B97" w:rsidRPr="3EE6700D">
        <w:rPr>
          <w:rFonts w:eastAsia="Times New Roman"/>
          <w:sz w:val="22"/>
          <w:szCs w:val="22"/>
          <w:lang w:val="en-US" w:eastAsia="fr-CA"/>
        </w:rPr>
        <w:t xml:space="preserve">ocal </w:t>
      </w:r>
      <w:r w:rsidR="00914B97">
        <w:rPr>
          <w:rFonts w:eastAsia="Times New Roman"/>
          <w:sz w:val="22"/>
          <w:szCs w:val="22"/>
          <w:lang w:val="en-US" w:eastAsia="fr-CA"/>
        </w:rPr>
        <w:t>P</w:t>
      </w:r>
      <w:r w:rsidR="0065641A" w:rsidRPr="3EE6700D">
        <w:rPr>
          <w:rFonts w:eastAsia="Times New Roman"/>
          <w:sz w:val="22"/>
          <w:szCs w:val="22"/>
          <w:lang w:val="en-US" w:eastAsia="fr-CA"/>
        </w:rPr>
        <w:t xml:space="preserve">oints and practitioners. </w:t>
      </w:r>
      <w:r w:rsidR="00D60C9E" w:rsidRPr="3EE6700D">
        <w:rPr>
          <w:rFonts w:eastAsia="Times New Roman"/>
          <w:sz w:val="22"/>
          <w:szCs w:val="22"/>
          <w:lang w:val="en-US" w:eastAsia="fr-CA"/>
        </w:rPr>
        <w:t xml:space="preserve">A </w:t>
      </w:r>
      <w:r w:rsidR="00914B97">
        <w:rPr>
          <w:rFonts w:eastAsia="Times New Roman"/>
          <w:sz w:val="22"/>
          <w:szCs w:val="22"/>
          <w:lang w:val="en-US" w:eastAsia="fr-CA"/>
        </w:rPr>
        <w:t>“</w:t>
      </w:r>
      <w:r w:rsidR="00D60C9E" w:rsidRPr="3EE6700D">
        <w:rPr>
          <w:rFonts w:eastAsia="Times New Roman"/>
          <w:sz w:val="22"/>
          <w:szCs w:val="22"/>
          <w:lang w:val="en-US" w:eastAsia="fr-CA"/>
        </w:rPr>
        <w:t>welcome brochure</w:t>
      </w:r>
      <w:r w:rsidR="00914B97">
        <w:rPr>
          <w:rFonts w:eastAsia="Times New Roman"/>
          <w:sz w:val="22"/>
          <w:szCs w:val="22"/>
          <w:lang w:val="en-US" w:eastAsia="fr-CA"/>
        </w:rPr>
        <w:t>”</w:t>
      </w:r>
      <w:r w:rsidR="00D60C9E" w:rsidRPr="3EE6700D">
        <w:rPr>
          <w:rFonts w:eastAsia="Times New Roman"/>
          <w:sz w:val="22"/>
          <w:szCs w:val="22"/>
          <w:lang w:val="en-US" w:eastAsia="fr-CA"/>
        </w:rPr>
        <w:t xml:space="preserve"> for new CEPA government and NGO </w:t>
      </w:r>
      <w:r w:rsidR="005F08C7">
        <w:rPr>
          <w:rFonts w:eastAsia="Times New Roman"/>
          <w:sz w:val="22"/>
          <w:szCs w:val="22"/>
          <w:lang w:val="en-US" w:eastAsia="fr-CA"/>
        </w:rPr>
        <w:t>F</w:t>
      </w:r>
      <w:r w:rsidR="005F08C7" w:rsidRPr="3EE6700D">
        <w:rPr>
          <w:rFonts w:eastAsia="Times New Roman"/>
          <w:sz w:val="22"/>
          <w:szCs w:val="22"/>
          <w:lang w:val="en-US" w:eastAsia="fr-CA"/>
        </w:rPr>
        <w:t xml:space="preserve">ocal </w:t>
      </w:r>
      <w:r w:rsidR="005F08C7">
        <w:rPr>
          <w:rFonts w:eastAsia="Times New Roman"/>
          <w:sz w:val="22"/>
          <w:szCs w:val="22"/>
          <w:lang w:val="en-US" w:eastAsia="fr-CA"/>
        </w:rPr>
        <w:t>P</w:t>
      </w:r>
      <w:r w:rsidR="00D60C9E" w:rsidRPr="3EE6700D">
        <w:rPr>
          <w:rFonts w:eastAsia="Times New Roman"/>
          <w:sz w:val="22"/>
          <w:szCs w:val="22"/>
          <w:lang w:val="en-US" w:eastAsia="fr-CA"/>
        </w:rPr>
        <w:t xml:space="preserve">oints has </w:t>
      </w:r>
      <w:r w:rsidR="00945023" w:rsidRPr="3EE6700D">
        <w:rPr>
          <w:rFonts w:eastAsia="Times New Roman"/>
          <w:sz w:val="22"/>
          <w:szCs w:val="22"/>
          <w:lang w:val="en-US" w:eastAsia="fr-CA"/>
        </w:rPr>
        <w:t xml:space="preserve">been </w:t>
      </w:r>
      <w:r w:rsidR="00BA4D0E" w:rsidRPr="3EE6700D">
        <w:rPr>
          <w:rFonts w:eastAsia="Times New Roman"/>
          <w:sz w:val="22"/>
          <w:szCs w:val="22"/>
          <w:lang w:val="en-US" w:eastAsia="fr-CA"/>
        </w:rPr>
        <w:t xml:space="preserve">developed </w:t>
      </w:r>
      <w:r w:rsidR="07F2AE6B" w:rsidRPr="3EE6700D">
        <w:rPr>
          <w:rFonts w:eastAsia="Times New Roman"/>
          <w:sz w:val="22"/>
          <w:szCs w:val="22"/>
          <w:lang w:val="en-US" w:eastAsia="fr-CA"/>
        </w:rPr>
        <w:t>and</w:t>
      </w:r>
      <w:r w:rsidR="00BA4D0E" w:rsidRPr="3EE6700D">
        <w:rPr>
          <w:rFonts w:eastAsia="Times New Roman"/>
          <w:sz w:val="22"/>
          <w:szCs w:val="22"/>
          <w:lang w:val="en-US" w:eastAsia="fr-CA"/>
        </w:rPr>
        <w:t xml:space="preserve"> is available in the three languages both online and in print format. When the Secretariat is notified by a Contracting Party of a change in </w:t>
      </w:r>
      <w:r w:rsidR="00175975" w:rsidRPr="3EE6700D">
        <w:rPr>
          <w:rFonts w:eastAsia="Times New Roman"/>
          <w:sz w:val="22"/>
          <w:szCs w:val="22"/>
          <w:lang w:val="en-US" w:eastAsia="fr-CA"/>
        </w:rPr>
        <w:t xml:space="preserve">a </w:t>
      </w:r>
      <w:r w:rsidR="00BA4D0E" w:rsidRPr="3EE6700D">
        <w:rPr>
          <w:rFonts w:eastAsia="Times New Roman"/>
          <w:sz w:val="22"/>
          <w:szCs w:val="22"/>
          <w:lang w:val="en-US" w:eastAsia="fr-CA"/>
        </w:rPr>
        <w:t xml:space="preserve">CEPA </w:t>
      </w:r>
      <w:r w:rsidR="005F08C7">
        <w:rPr>
          <w:rFonts w:eastAsia="Times New Roman"/>
          <w:sz w:val="22"/>
          <w:szCs w:val="22"/>
          <w:lang w:val="en-US" w:eastAsia="fr-CA"/>
        </w:rPr>
        <w:t>F</w:t>
      </w:r>
      <w:r w:rsidR="005F08C7" w:rsidRPr="3EE6700D">
        <w:rPr>
          <w:rFonts w:eastAsia="Times New Roman"/>
          <w:sz w:val="22"/>
          <w:szCs w:val="22"/>
          <w:lang w:val="en-US" w:eastAsia="fr-CA"/>
        </w:rPr>
        <w:t xml:space="preserve">ocal </w:t>
      </w:r>
      <w:r w:rsidR="005F08C7">
        <w:rPr>
          <w:rFonts w:eastAsia="Times New Roman"/>
          <w:sz w:val="22"/>
          <w:szCs w:val="22"/>
          <w:lang w:val="en-US" w:eastAsia="fr-CA"/>
        </w:rPr>
        <w:t>P</w:t>
      </w:r>
      <w:r w:rsidR="00175975" w:rsidRPr="3EE6700D">
        <w:rPr>
          <w:rFonts w:eastAsia="Times New Roman"/>
          <w:sz w:val="22"/>
          <w:szCs w:val="22"/>
          <w:lang w:val="en-US" w:eastAsia="fr-CA"/>
        </w:rPr>
        <w:t xml:space="preserve">oint, the new </w:t>
      </w:r>
      <w:r w:rsidR="005F08C7">
        <w:rPr>
          <w:rFonts w:eastAsia="Times New Roman"/>
          <w:sz w:val="22"/>
          <w:szCs w:val="22"/>
          <w:lang w:val="en-US" w:eastAsia="fr-CA"/>
        </w:rPr>
        <w:t>F</w:t>
      </w:r>
      <w:r w:rsidR="005F08C7" w:rsidRPr="3EE6700D">
        <w:rPr>
          <w:rFonts w:eastAsia="Times New Roman"/>
          <w:sz w:val="22"/>
          <w:szCs w:val="22"/>
          <w:lang w:val="en-US" w:eastAsia="fr-CA"/>
        </w:rPr>
        <w:t xml:space="preserve">ocal </w:t>
      </w:r>
      <w:r w:rsidR="005F08C7">
        <w:rPr>
          <w:rFonts w:eastAsia="Times New Roman"/>
          <w:sz w:val="22"/>
          <w:szCs w:val="22"/>
          <w:lang w:val="en-US" w:eastAsia="fr-CA"/>
        </w:rPr>
        <w:t>P</w:t>
      </w:r>
      <w:r w:rsidR="00175975" w:rsidRPr="3EE6700D">
        <w:rPr>
          <w:rFonts w:eastAsia="Times New Roman"/>
          <w:sz w:val="22"/>
          <w:szCs w:val="22"/>
          <w:lang w:val="en-US" w:eastAsia="fr-CA"/>
        </w:rPr>
        <w:t xml:space="preserve">oint will receive this brochure along with information about other CEPA resources. </w:t>
      </w:r>
      <w:r w:rsidR="00CC74A6" w:rsidRPr="3EE6700D">
        <w:rPr>
          <w:rFonts w:eastAsia="Times New Roman"/>
          <w:sz w:val="22"/>
          <w:szCs w:val="22"/>
          <w:lang w:val="en-US" w:eastAsia="fr-CA"/>
        </w:rPr>
        <w:t xml:space="preserve">A suite of digital assets that </w:t>
      </w:r>
      <w:r w:rsidR="00015704" w:rsidRPr="3EE6700D">
        <w:rPr>
          <w:rFonts w:eastAsia="Times New Roman"/>
          <w:sz w:val="22"/>
          <w:szCs w:val="22"/>
          <w:lang w:val="en-US" w:eastAsia="fr-CA"/>
        </w:rPr>
        <w:t xml:space="preserve">provide an overview of the CEPA </w:t>
      </w:r>
      <w:proofErr w:type="spellStart"/>
      <w:r w:rsidR="0068753D">
        <w:rPr>
          <w:rFonts w:eastAsia="Times New Roman"/>
          <w:sz w:val="22"/>
          <w:szCs w:val="22"/>
          <w:lang w:val="en-US" w:eastAsia="fr-CA"/>
        </w:rPr>
        <w:t>P</w:t>
      </w:r>
      <w:r w:rsidR="0068753D" w:rsidRPr="3EE6700D">
        <w:rPr>
          <w:rFonts w:eastAsia="Times New Roman"/>
          <w:sz w:val="22"/>
          <w:szCs w:val="22"/>
          <w:lang w:val="en-US" w:eastAsia="fr-CA"/>
        </w:rPr>
        <w:t>rogramme</w:t>
      </w:r>
      <w:proofErr w:type="spellEnd"/>
      <w:r w:rsidR="0068753D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015704" w:rsidRPr="3EE6700D">
        <w:rPr>
          <w:rFonts w:eastAsia="Times New Roman"/>
          <w:sz w:val="22"/>
          <w:szCs w:val="22"/>
          <w:lang w:val="en-US" w:eastAsia="fr-CA"/>
        </w:rPr>
        <w:t xml:space="preserve">and </w:t>
      </w:r>
      <w:r w:rsidR="00CB3BA7" w:rsidRPr="3EE6700D">
        <w:rPr>
          <w:rFonts w:eastAsia="Times New Roman"/>
          <w:sz w:val="22"/>
          <w:szCs w:val="22"/>
          <w:lang w:val="en-US" w:eastAsia="fr-CA"/>
        </w:rPr>
        <w:t xml:space="preserve">explain the different CEPA elements (communication, capacity building, education, participation and awareness) </w:t>
      </w:r>
      <w:r w:rsidR="0068753D" w:rsidRPr="3EE6700D">
        <w:rPr>
          <w:rFonts w:eastAsia="Times New Roman"/>
          <w:sz w:val="22"/>
          <w:szCs w:val="22"/>
          <w:lang w:val="en-US" w:eastAsia="fr-CA"/>
        </w:rPr>
        <w:t>ha</w:t>
      </w:r>
      <w:r w:rsidR="0068753D">
        <w:rPr>
          <w:rFonts w:eastAsia="Times New Roman"/>
          <w:sz w:val="22"/>
          <w:szCs w:val="22"/>
          <w:lang w:val="en-US" w:eastAsia="fr-CA"/>
        </w:rPr>
        <w:t>s</w:t>
      </w:r>
      <w:r w:rsidR="0068753D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5F29EC" w:rsidRPr="3EE6700D">
        <w:rPr>
          <w:rFonts w:eastAsia="Times New Roman"/>
          <w:sz w:val="22"/>
          <w:szCs w:val="22"/>
          <w:lang w:val="en-US" w:eastAsia="fr-CA"/>
        </w:rPr>
        <w:t xml:space="preserve">been developed. </w:t>
      </w:r>
      <w:r w:rsidR="0068753D">
        <w:rPr>
          <w:rFonts w:eastAsia="Times New Roman"/>
          <w:sz w:val="22"/>
          <w:szCs w:val="22"/>
          <w:lang w:val="en-US" w:eastAsia="fr-CA"/>
        </w:rPr>
        <w:t>A</w:t>
      </w:r>
      <w:r w:rsidR="0068753D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C37F82" w:rsidRPr="3EE6700D">
        <w:rPr>
          <w:rFonts w:eastAsia="Times New Roman"/>
          <w:sz w:val="22"/>
          <w:szCs w:val="22"/>
          <w:lang w:val="en-US" w:eastAsia="fr-CA"/>
        </w:rPr>
        <w:t>poster, infographics and social media cards</w:t>
      </w:r>
      <w:r w:rsidR="57BB6C9B" w:rsidRPr="3EE6700D">
        <w:rPr>
          <w:rFonts w:eastAsia="Times New Roman"/>
          <w:sz w:val="22"/>
          <w:szCs w:val="22"/>
          <w:lang w:val="en-US" w:eastAsia="fr-CA"/>
        </w:rPr>
        <w:t xml:space="preserve"> are accessible on the Convention’s website and</w:t>
      </w:r>
      <w:r w:rsidR="00C37F82" w:rsidRPr="3EE6700D">
        <w:rPr>
          <w:rFonts w:eastAsia="Times New Roman"/>
          <w:sz w:val="22"/>
          <w:szCs w:val="22"/>
          <w:lang w:val="en-US" w:eastAsia="fr-CA"/>
        </w:rPr>
        <w:t xml:space="preserve"> can be </w:t>
      </w:r>
      <w:r w:rsidR="008F05DB" w:rsidRPr="3EE6700D">
        <w:rPr>
          <w:rFonts w:eastAsia="Times New Roman"/>
          <w:sz w:val="22"/>
          <w:szCs w:val="22"/>
          <w:lang w:val="en-US" w:eastAsia="fr-CA"/>
        </w:rPr>
        <w:t xml:space="preserve">downloaded and </w:t>
      </w:r>
      <w:r w:rsidR="00C37F82" w:rsidRPr="3EE6700D">
        <w:rPr>
          <w:rFonts w:eastAsia="Times New Roman"/>
          <w:sz w:val="22"/>
          <w:szCs w:val="22"/>
          <w:lang w:val="en-US" w:eastAsia="fr-CA"/>
        </w:rPr>
        <w:t xml:space="preserve">customized </w:t>
      </w:r>
      <w:r w:rsidR="008F05DB" w:rsidRPr="3EE6700D">
        <w:rPr>
          <w:rFonts w:eastAsia="Times New Roman"/>
          <w:sz w:val="22"/>
          <w:szCs w:val="22"/>
          <w:lang w:val="en-US" w:eastAsia="fr-CA"/>
        </w:rPr>
        <w:t xml:space="preserve">by Contracting Parties and </w:t>
      </w:r>
      <w:r w:rsidR="00757609">
        <w:rPr>
          <w:rFonts w:eastAsia="Times New Roman"/>
          <w:sz w:val="22"/>
          <w:szCs w:val="22"/>
          <w:lang w:val="en-US" w:eastAsia="fr-CA"/>
        </w:rPr>
        <w:t xml:space="preserve">other </w:t>
      </w:r>
      <w:r w:rsidR="008F05DB" w:rsidRPr="3EE6700D">
        <w:rPr>
          <w:rFonts w:eastAsia="Times New Roman"/>
          <w:sz w:val="22"/>
          <w:szCs w:val="22"/>
          <w:lang w:val="en-US" w:eastAsia="fr-CA"/>
        </w:rPr>
        <w:t>CEPA practitioners.</w:t>
      </w:r>
    </w:p>
    <w:p w14:paraId="1B252A71" w14:textId="58B317A2" w:rsidR="00FE6720" w:rsidRPr="00FE6720" w:rsidRDefault="00FE6720" w:rsidP="00061A53">
      <w:pPr>
        <w:ind w:left="426" w:hanging="426"/>
        <w:rPr>
          <w:rFonts w:eastAsia="Times New Roman"/>
          <w:sz w:val="22"/>
          <w:szCs w:val="22"/>
          <w:lang w:val="en-US" w:eastAsia="fr-CA"/>
        </w:rPr>
      </w:pPr>
    </w:p>
    <w:p w14:paraId="51651DCF" w14:textId="2AF0A8C9" w:rsidR="00FE6720" w:rsidRPr="00FE6720" w:rsidRDefault="764EA28E" w:rsidP="00061A53">
      <w:pPr>
        <w:ind w:left="426" w:hanging="426"/>
        <w:rPr>
          <w:rFonts w:ascii="Calibri" w:hAnsi="Calibri" w:cs="Calibri"/>
          <w:i/>
          <w:iCs/>
          <w:sz w:val="22"/>
          <w:szCs w:val="22"/>
          <w:lang w:val="en-GB"/>
        </w:rPr>
      </w:pPr>
      <w:r w:rsidRPr="3EE6700D">
        <w:rPr>
          <w:rFonts w:eastAsia="Times New Roman"/>
          <w:sz w:val="22"/>
          <w:szCs w:val="22"/>
          <w:lang w:val="en-US" w:eastAsia="fr-CA"/>
        </w:rPr>
        <w:lastRenderedPageBreak/>
        <w:t xml:space="preserve">5. </w:t>
      </w:r>
      <w:r w:rsidR="00536086">
        <w:rPr>
          <w:rFonts w:eastAsia="Times New Roman"/>
          <w:sz w:val="22"/>
          <w:szCs w:val="22"/>
          <w:lang w:val="en-US" w:eastAsia="fr-CA"/>
        </w:rPr>
        <w:tab/>
      </w:r>
      <w:r w:rsidR="008F05DB" w:rsidRPr="3EE6700D">
        <w:rPr>
          <w:rFonts w:eastAsia="Times New Roman"/>
          <w:sz w:val="22"/>
          <w:szCs w:val="22"/>
          <w:lang w:val="en-US" w:eastAsia="fr-CA"/>
        </w:rPr>
        <w:t xml:space="preserve">As instructed by </w:t>
      </w:r>
      <w:r w:rsidR="00FE6720" w:rsidRPr="3EE6700D">
        <w:rPr>
          <w:rFonts w:eastAsia="Times New Roman"/>
          <w:sz w:val="22"/>
          <w:szCs w:val="22"/>
          <w:lang w:val="en-US" w:eastAsia="fr-CA"/>
        </w:rPr>
        <w:t xml:space="preserve">the Standing Committee in </w:t>
      </w:r>
      <w:r w:rsidR="00FE6720" w:rsidRPr="3EE6700D">
        <w:rPr>
          <w:rFonts w:ascii="Calibri" w:hAnsi="Calibri" w:cs="Calibri"/>
          <w:sz w:val="22"/>
          <w:szCs w:val="22"/>
          <w:lang w:val="en-GB"/>
        </w:rPr>
        <w:t>Decision SC63-24</w:t>
      </w:r>
      <w:r w:rsidR="275EDD7E" w:rsidRPr="3EE6700D">
        <w:rPr>
          <w:rFonts w:ascii="Calibri" w:hAnsi="Calibri" w:cs="Calibri"/>
          <w:sz w:val="22"/>
          <w:szCs w:val="22"/>
          <w:lang w:val="en-GB"/>
        </w:rPr>
        <w:t>,</w:t>
      </w:r>
      <w:r w:rsidR="00FE6720" w:rsidRPr="3EE6700D">
        <w:rPr>
          <w:rFonts w:ascii="Calibri" w:hAnsi="Calibri" w:cs="Calibri"/>
          <w:sz w:val="22"/>
          <w:szCs w:val="22"/>
          <w:lang w:val="en-GB"/>
        </w:rPr>
        <w:t xml:space="preserve"> the Secretariat has prepared a draft resolution reflecting the consolidation of Recommendations and Resolutions on CEPA submitted in Document SC63 Doc.16 and approved through Decision SC63-22, and the views of the Standing Committee on the process and timeline for nominating the Panel for the 2025-2028 triennium.</w:t>
      </w:r>
      <w:r w:rsidR="00C50716" w:rsidRPr="3EE6700D">
        <w:rPr>
          <w:rFonts w:ascii="Calibri" w:hAnsi="Calibri" w:cs="Calibri"/>
          <w:sz w:val="22"/>
          <w:szCs w:val="22"/>
          <w:lang w:val="en-GB"/>
        </w:rPr>
        <w:t xml:space="preserve"> This draft resolution has been reviewed by the CEPA Oversight Panel and their comments reflected in the </w:t>
      </w:r>
      <w:r w:rsidR="00A834C7" w:rsidRPr="3EE6700D">
        <w:rPr>
          <w:rFonts w:ascii="Calibri" w:hAnsi="Calibri" w:cs="Calibri"/>
          <w:sz w:val="22"/>
          <w:szCs w:val="22"/>
          <w:lang w:val="en-GB"/>
        </w:rPr>
        <w:t xml:space="preserve">draft resolution on CEPA submitted to SC64 for consideration. </w:t>
      </w:r>
    </w:p>
    <w:p w14:paraId="17A87575" w14:textId="37D75E6B" w:rsidR="00C601D7" w:rsidRDefault="00C601D7" w:rsidP="00061A53">
      <w:pPr>
        <w:ind w:left="426" w:hanging="426"/>
        <w:rPr>
          <w:rFonts w:eastAsia="Times New Roman"/>
          <w:sz w:val="22"/>
          <w:szCs w:val="22"/>
          <w:lang w:val="en-GB" w:eastAsia="fr-CA"/>
        </w:rPr>
      </w:pPr>
    </w:p>
    <w:p w14:paraId="2DCE63C8" w14:textId="1E69FBFE" w:rsidR="00C601D7" w:rsidRDefault="002A760C" w:rsidP="00061A53">
      <w:pPr>
        <w:ind w:left="426" w:hanging="426"/>
        <w:rPr>
          <w:rFonts w:eastAsia="Times New Roman"/>
          <w:sz w:val="22"/>
          <w:szCs w:val="22"/>
          <w:lang w:val="en-US" w:eastAsia="fr-CA"/>
        </w:rPr>
      </w:pPr>
      <w:r w:rsidRPr="3EE6700D">
        <w:rPr>
          <w:rFonts w:eastAsia="Times New Roman"/>
          <w:sz w:val="22"/>
          <w:szCs w:val="22"/>
          <w:lang w:val="en-US" w:eastAsia="fr-CA"/>
        </w:rPr>
        <w:t>6</w:t>
      </w:r>
      <w:r w:rsidR="00C601D7" w:rsidRPr="3EE6700D">
        <w:rPr>
          <w:rFonts w:eastAsia="Times New Roman"/>
          <w:sz w:val="22"/>
          <w:szCs w:val="22"/>
          <w:lang w:val="en-US" w:eastAsia="fr-CA"/>
        </w:rPr>
        <w:t xml:space="preserve">. </w:t>
      </w:r>
      <w:r w:rsidRPr="00400A1B">
        <w:rPr>
          <w:lang w:val="en-GB"/>
        </w:rPr>
        <w:tab/>
      </w:r>
      <w:r w:rsidR="00DE04DD" w:rsidRPr="3EE6700D">
        <w:rPr>
          <w:rFonts w:eastAsia="Times New Roman"/>
          <w:sz w:val="22"/>
          <w:szCs w:val="22"/>
          <w:lang w:val="en-US" w:eastAsia="fr-CA"/>
        </w:rPr>
        <w:t>The Panel has discussed on several occasions</w:t>
      </w:r>
      <w:r w:rsidR="009076CB" w:rsidRPr="3EE6700D">
        <w:rPr>
          <w:rFonts w:eastAsia="Times New Roman"/>
          <w:sz w:val="22"/>
          <w:szCs w:val="22"/>
          <w:lang w:val="en-US" w:eastAsia="fr-CA"/>
        </w:rPr>
        <w:t xml:space="preserve"> that the name </w:t>
      </w:r>
      <w:r w:rsidR="009A3C67">
        <w:rPr>
          <w:rFonts w:eastAsia="Times New Roman"/>
          <w:sz w:val="22"/>
          <w:szCs w:val="22"/>
          <w:lang w:val="en-US" w:eastAsia="fr-CA"/>
        </w:rPr>
        <w:t>“</w:t>
      </w:r>
      <w:r w:rsidR="009076CB" w:rsidRPr="3EE6700D">
        <w:rPr>
          <w:rFonts w:eastAsia="Times New Roman"/>
          <w:sz w:val="22"/>
          <w:szCs w:val="22"/>
          <w:lang w:val="en-US" w:eastAsia="fr-CA"/>
        </w:rPr>
        <w:t>CEPA</w:t>
      </w:r>
      <w:r w:rsidR="009A3C67">
        <w:rPr>
          <w:rFonts w:eastAsia="Times New Roman"/>
          <w:sz w:val="22"/>
          <w:szCs w:val="22"/>
          <w:lang w:val="en-US" w:eastAsia="fr-CA"/>
        </w:rPr>
        <w:t>”</w:t>
      </w:r>
      <w:r w:rsidR="009076CB" w:rsidRPr="3EE6700D">
        <w:rPr>
          <w:rFonts w:eastAsia="Times New Roman"/>
          <w:sz w:val="22"/>
          <w:szCs w:val="22"/>
          <w:lang w:val="en-US" w:eastAsia="fr-CA"/>
        </w:rPr>
        <w:t xml:space="preserve"> is difficult to understand </w:t>
      </w:r>
      <w:r w:rsidR="00373EBB" w:rsidRPr="3EE6700D">
        <w:rPr>
          <w:rFonts w:eastAsia="Times New Roman"/>
          <w:sz w:val="22"/>
          <w:szCs w:val="22"/>
          <w:lang w:val="en-US" w:eastAsia="fr-CA"/>
        </w:rPr>
        <w:t xml:space="preserve">and </w:t>
      </w:r>
      <w:r w:rsidR="009076CB" w:rsidRPr="3EE6700D">
        <w:rPr>
          <w:rFonts w:eastAsia="Times New Roman"/>
          <w:sz w:val="22"/>
          <w:szCs w:val="22"/>
          <w:lang w:val="en-US" w:eastAsia="fr-CA"/>
        </w:rPr>
        <w:t>lacks relevance</w:t>
      </w:r>
      <w:r w:rsidR="009A3C67">
        <w:rPr>
          <w:rFonts w:eastAsia="Times New Roman"/>
          <w:sz w:val="22"/>
          <w:szCs w:val="22"/>
          <w:lang w:val="en-US" w:eastAsia="fr-CA"/>
        </w:rPr>
        <w:t>,</w:t>
      </w:r>
      <w:r w:rsidR="00DE04DD" w:rsidRPr="3EE6700D">
        <w:rPr>
          <w:rFonts w:eastAsia="Times New Roman"/>
          <w:sz w:val="22"/>
          <w:szCs w:val="22"/>
          <w:lang w:val="en-US" w:eastAsia="fr-CA"/>
        </w:rPr>
        <w:t xml:space="preserve"> </w:t>
      </w:r>
      <w:r w:rsidR="00373EBB" w:rsidRPr="3EE6700D">
        <w:rPr>
          <w:rFonts w:eastAsia="Times New Roman"/>
          <w:sz w:val="22"/>
          <w:szCs w:val="22"/>
          <w:lang w:val="en-US" w:eastAsia="fr-CA"/>
        </w:rPr>
        <w:t xml:space="preserve">and that referring to the </w:t>
      </w:r>
      <w:proofErr w:type="spellStart"/>
      <w:r w:rsidR="00373EBB" w:rsidRPr="3EE6700D">
        <w:rPr>
          <w:rFonts w:eastAsia="Times New Roman"/>
          <w:sz w:val="22"/>
          <w:szCs w:val="22"/>
          <w:lang w:val="en-US" w:eastAsia="fr-CA"/>
        </w:rPr>
        <w:t>programme</w:t>
      </w:r>
      <w:proofErr w:type="spellEnd"/>
      <w:r w:rsidR="00373EBB" w:rsidRPr="3EE6700D">
        <w:rPr>
          <w:rFonts w:eastAsia="Times New Roman"/>
          <w:sz w:val="22"/>
          <w:szCs w:val="22"/>
          <w:lang w:val="en-US" w:eastAsia="fr-CA"/>
        </w:rPr>
        <w:t xml:space="preserve"> differently could have benefit</w:t>
      </w:r>
      <w:r w:rsidR="009A3C67">
        <w:rPr>
          <w:rFonts w:eastAsia="Times New Roman"/>
          <w:sz w:val="22"/>
          <w:szCs w:val="22"/>
          <w:lang w:val="en-US" w:eastAsia="fr-CA"/>
        </w:rPr>
        <w:t>s</w:t>
      </w:r>
      <w:r w:rsidR="00373EBB" w:rsidRPr="3EE6700D">
        <w:rPr>
          <w:rFonts w:eastAsia="Times New Roman"/>
          <w:sz w:val="22"/>
          <w:szCs w:val="22"/>
          <w:lang w:val="en-US" w:eastAsia="fr-CA"/>
        </w:rPr>
        <w:t xml:space="preserve">. </w:t>
      </w:r>
      <w:r w:rsidR="001F5ADC" w:rsidRPr="3EE6700D">
        <w:rPr>
          <w:rFonts w:eastAsia="Times New Roman"/>
          <w:sz w:val="22"/>
          <w:szCs w:val="22"/>
          <w:lang w:val="en-US" w:eastAsia="fr-CA"/>
        </w:rPr>
        <w:t xml:space="preserve">While the elements of CEPA would remain the same, </w:t>
      </w:r>
      <w:r w:rsidR="001F5ADC">
        <w:rPr>
          <w:rFonts w:eastAsia="Times New Roman"/>
          <w:sz w:val="22"/>
          <w:szCs w:val="22"/>
          <w:lang w:val="en-US" w:eastAsia="fr-CA"/>
        </w:rPr>
        <w:t>t</w:t>
      </w:r>
      <w:r w:rsidR="001F5ADC" w:rsidRPr="3EE6700D">
        <w:rPr>
          <w:rFonts w:eastAsia="Times New Roman"/>
          <w:sz w:val="22"/>
          <w:szCs w:val="22"/>
          <w:lang w:val="en-US" w:eastAsia="fr-CA"/>
        </w:rPr>
        <w:t xml:space="preserve">he Panel is proposing referring to CEPA as the “People and Wetlands </w:t>
      </w:r>
      <w:proofErr w:type="spellStart"/>
      <w:r w:rsidR="001F5ADC">
        <w:rPr>
          <w:rFonts w:eastAsia="Times New Roman"/>
          <w:sz w:val="22"/>
          <w:szCs w:val="22"/>
          <w:lang w:val="en-US" w:eastAsia="fr-CA"/>
        </w:rPr>
        <w:t>P</w:t>
      </w:r>
      <w:r w:rsidR="001F5ADC" w:rsidRPr="3EE6700D">
        <w:rPr>
          <w:rFonts w:eastAsia="Times New Roman"/>
          <w:sz w:val="22"/>
          <w:szCs w:val="22"/>
          <w:lang w:val="en-US" w:eastAsia="fr-CA"/>
        </w:rPr>
        <w:t>rogramme</w:t>
      </w:r>
      <w:proofErr w:type="spellEnd"/>
      <w:r w:rsidR="001F5ADC" w:rsidRPr="3EE6700D">
        <w:rPr>
          <w:rFonts w:eastAsia="Times New Roman"/>
          <w:sz w:val="22"/>
          <w:szCs w:val="22"/>
          <w:lang w:val="en-US" w:eastAsia="fr-CA"/>
        </w:rPr>
        <w:t>”</w:t>
      </w:r>
      <w:r w:rsidR="001F5ADC">
        <w:rPr>
          <w:rFonts w:eastAsia="Times New Roman"/>
          <w:sz w:val="22"/>
          <w:szCs w:val="22"/>
          <w:lang w:val="en-US" w:eastAsia="fr-CA"/>
        </w:rPr>
        <w:t xml:space="preserve"> or the “</w:t>
      </w:r>
      <w:r w:rsidR="001F5ADC" w:rsidRPr="3EE6700D">
        <w:rPr>
          <w:rFonts w:eastAsia="Times New Roman"/>
          <w:sz w:val="22"/>
          <w:szCs w:val="22"/>
          <w:lang w:val="en-US" w:eastAsia="fr-CA"/>
        </w:rPr>
        <w:t xml:space="preserve">People and Wetlands </w:t>
      </w:r>
      <w:proofErr w:type="spellStart"/>
      <w:r w:rsidR="001F5ADC">
        <w:rPr>
          <w:rFonts w:eastAsia="Times New Roman"/>
          <w:sz w:val="22"/>
          <w:szCs w:val="22"/>
          <w:lang w:val="en-US" w:eastAsia="fr-CA"/>
        </w:rPr>
        <w:t>P</w:t>
      </w:r>
      <w:r w:rsidR="001F5ADC" w:rsidRPr="3EE6700D">
        <w:rPr>
          <w:rFonts w:eastAsia="Times New Roman"/>
          <w:sz w:val="22"/>
          <w:szCs w:val="22"/>
          <w:lang w:val="en-US" w:eastAsia="fr-CA"/>
        </w:rPr>
        <w:t>rogramme</w:t>
      </w:r>
      <w:proofErr w:type="spellEnd"/>
      <w:r w:rsidR="001F5ADC">
        <w:rPr>
          <w:rFonts w:eastAsia="Times New Roman"/>
          <w:sz w:val="22"/>
          <w:szCs w:val="22"/>
          <w:lang w:val="en-US" w:eastAsia="fr-CA"/>
        </w:rPr>
        <w:t xml:space="preserve"> of the </w:t>
      </w:r>
      <w:r w:rsidR="001F5ADC" w:rsidRPr="3EE6700D">
        <w:rPr>
          <w:rFonts w:eastAsia="Times New Roman"/>
          <w:sz w:val="22"/>
          <w:szCs w:val="22"/>
          <w:lang w:val="en-US" w:eastAsia="fr-CA"/>
        </w:rPr>
        <w:t>Convention on Wetlands”</w:t>
      </w:r>
      <w:r w:rsidR="001F5ADC">
        <w:rPr>
          <w:rFonts w:eastAsia="Times New Roman"/>
          <w:sz w:val="22"/>
          <w:szCs w:val="22"/>
          <w:lang w:val="en-US" w:eastAsia="fr-CA"/>
        </w:rPr>
        <w:t>.</w:t>
      </w:r>
      <w:r w:rsidR="008B3FF8">
        <w:rPr>
          <w:rFonts w:eastAsia="Times New Roman"/>
          <w:sz w:val="22"/>
          <w:szCs w:val="22"/>
          <w:lang w:val="en-US" w:eastAsia="fr-CA"/>
        </w:rPr>
        <w:t xml:space="preserve"> </w:t>
      </w:r>
      <w:r w:rsidRPr="3EE6700D">
        <w:rPr>
          <w:rFonts w:eastAsia="Times New Roman"/>
          <w:sz w:val="22"/>
          <w:szCs w:val="22"/>
          <w:lang w:val="en-US" w:eastAsia="fr-CA"/>
        </w:rPr>
        <w:t xml:space="preserve">This new language has been included in the draft resolution to be considered by SC64. </w:t>
      </w:r>
    </w:p>
    <w:p w14:paraId="4F93BD9C" w14:textId="77777777" w:rsidR="00EB3829" w:rsidRDefault="00EB3829" w:rsidP="00061A53">
      <w:pPr>
        <w:ind w:left="426" w:hanging="426"/>
        <w:rPr>
          <w:lang w:val="en-US"/>
        </w:rPr>
      </w:pPr>
    </w:p>
    <w:p w14:paraId="7D96A9F1" w14:textId="25B8260C" w:rsidR="004F76B3" w:rsidRPr="004F78DE" w:rsidRDefault="002A760C" w:rsidP="00061A53">
      <w:pPr>
        <w:ind w:left="426" w:hanging="426"/>
        <w:rPr>
          <w:rFonts w:eastAsia="Times New Roman" w:cstheme="minorHAnsi"/>
          <w:spacing w:val="-2"/>
          <w:sz w:val="22"/>
          <w:szCs w:val="22"/>
          <w:lang w:val="en-US" w:eastAsia="fr-CA"/>
        </w:rPr>
      </w:pPr>
      <w:r>
        <w:rPr>
          <w:sz w:val="22"/>
          <w:szCs w:val="22"/>
          <w:lang w:val="en-US"/>
        </w:rPr>
        <w:t>7</w:t>
      </w:r>
      <w:r w:rsidR="00EB3829" w:rsidRPr="00F1508F">
        <w:rPr>
          <w:sz w:val="22"/>
          <w:szCs w:val="22"/>
          <w:lang w:val="en-US"/>
        </w:rPr>
        <w:t>.</w:t>
      </w:r>
      <w:r w:rsidR="00EB3829" w:rsidRPr="00F1508F">
        <w:rPr>
          <w:sz w:val="22"/>
          <w:szCs w:val="22"/>
          <w:lang w:val="en-US"/>
        </w:rPr>
        <w:tab/>
      </w:r>
      <w:r w:rsidR="00104FE5">
        <w:rPr>
          <w:sz w:val="22"/>
          <w:szCs w:val="22"/>
          <w:lang w:val="en-US"/>
        </w:rPr>
        <w:t xml:space="preserve">The Panel will convene virtually in November to review </w:t>
      </w:r>
      <w:r w:rsidR="009A7975">
        <w:rPr>
          <w:sz w:val="22"/>
          <w:szCs w:val="22"/>
          <w:lang w:val="en-US"/>
        </w:rPr>
        <w:t>materials and plans for World Wetlands Day 2025</w:t>
      </w:r>
      <w:r w:rsidR="006960A9">
        <w:rPr>
          <w:sz w:val="22"/>
          <w:szCs w:val="22"/>
          <w:lang w:val="en-US"/>
        </w:rPr>
        <w:t xml:space="preserve"> and provide their suggestions and </w:t>
      </w:r>
      <w:r w:rsidR="00694DA8">
        <w:rPr>
          <w:sz w:val="22"/>
          <w:szCs w:val="22"/>
          <w:lang w:val="en-US"/>
        </w:rPr>
        <w:t xml:space="preserve">recommendations for effective implementation of the campaign by Contracting Parties </w:t>
      </w:r>
      <w:r w:rsidR="00DE04DD">
        <w:rPr>
          <w:sz w:val="22"/>
          <w:szCs w:val="22"/>
          <w:lang w:val="en-US"/>
        </w:rPr>
        <w:t xml:space="preserve">and other stakeholders. </w:t>
      </w:r>
      <w:r w:rsidR="00E05D89">
        <w:rPr>
          <w:rFonts w:eastAsia="Times New Roman" w:cstheme="minorHAnsi"/>
          <w:spacing w:val="-2"/>
          <w:sz w:val="22"/>
          <w:szCs w:val="22"/>
          <w:lang w:val="en-US" w:eastAsia="fr-CA"/>
        </w:rPr>
        <w:t xml:space="preserve"> </w:t>
      </w:r>
    </w:p>
    <w:sectPr w:rsidR="004F76B3" w:rsidRPr="004F78DE" w:rsidSect="001743A2"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CA35" w14:textId="77777777" w:rsidR="00382CF8" w:rsidRDefault="00382CF8" w:rsidP="00625BC9">
      <w:r>
        <w:separator/>
      </w:r>
    </w:p>
  </w:endnote>
  <w:endnote w:type="continuationSeparator" w:id="0">
    <w:p w14:paraId="0813C49E" w14:textId="77777777" w:rsidR="00382CF8" w:rsidRDefault="00382CF8" w:rsidP="006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8982" w14:textId="52B9E919" w:rsidR="00F30A19" w:rsidRPr="00F30A19" w:rsidRDefault="00F30A19">
    <w:pPr>
      <w:pStyle w:val="Footer"/>
      <w:rPr>
        <w:sz w:val="20"/>
        <w:szCs w:val="20"/>
        <w:lang w:val="en-GB"/>
      </w:rPr>
    </w:pPr>
    <w:r w:rsidRPr="00F30A19">
      <w:rPr>
        <w:sz w:val="20"/>
        <w:szCs w:val="20"/>
        <w:lang w:val="en-GB"/>
      </w:rPr>
      <w:t>SC6</w:t>
    </w:r>
    <w:r w:rsidR="001E20AA">
      <w:rPr>
        <w:sz w:val="20"/>
        <w:szCs w:val="20"/>
        <w:lang w:val="en-GB"/>
      </w:rPr>
      <w:t>4</w:t>
    </w:r>
    <w:r w:rsidRPr="00F30A19">
      <w:rPr>
        <w:sz w:val="20"/>
        <w:szCs w:val="20"/>
        <w:lang w:val="en-GB"/>
      </w:rPr>
      <w:t xml:space="preserve"> Doc.1</w:t>
    </w:r>
    <w:r w:rsidR="001E20AA">
      <w:rPr>
        <w:sz w:val="20"/>
        <w:szCs w:val="20"/>
        <w:lang w:val="en-GB"/>
      </w:rPr>
      <w:t>5</w:t>
    </w:r>
    <w:r w:rsidRPr="00F30A19">
      <w:rPr>
        <w:sz w:val="20"/>
        <w:szCs w:val="20"/>
        <w:lang w:val="en-GB"/>
      </w:rPr>
      <w:t>.1</w:t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fldChar w:fldCharType="begin"/>
    </w:r>
    <w:r w:rsidRPr="00F30A19">
      <w:rPr>
        <w:sz w:val="20"/>
        <w:szCs w:val="20"/>
        <w:lang w:val="en-GB"/>
      </w:rPr>
      <w:instrText xml:space="preserve"> PAGE   \* MERGEFORMAT </w:instrText>
    </w:r>
    <w:r w:rsidRPr="00F30A19">
      <w:rPr>
        <w:sz w:val="20"/>
        <w:szCs w:val="20"/>
        <w:lang w:val="en-GB"/>
      </w:rPr>
      <w:fldChar w:fldCharType="separate"/>
    </w:r>
    <w:r w:rsidR="004F78DE">
      <w:rPr>
        <w:noProof/>
        <w:sz w:val="20"/>
        <w:szCs w:val="20"/>
        <w:lang w:val="en-GB"/>
      </w:rPr>
      <w:t>2</w:t>
    </w:r>
    <w:r w:rsidRPr="00F30A19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9ECA" w14:textId="77777777" w:rsidR="00382CF8" w:rsidRDefault="00382CF8" w:rsidP="00625BC9">
      <w:r>
        <w:separator/>
      </w:r>
    </w:p>
  </w:footnote>
  <w:footnote w:type="continuationSeparator" w:id="0">
    <w:p w14:paraId="19188E3B" w14:textId="77777777" w:rsidR="00382CF8" w:rsidRDefault="00382CF8" w:rsidP="0062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691"/>
    <w:multiLevelType w:val="multilevel"/>
    <w:tmpl w:val="20D6F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5496A"/>
    <w:multiLevelType w:val="hybridMultilevel"/>
    <w:tmpl w:val="5C44F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28F"/>
    <w:multiLevelType w:val="hybridMultilevel"/>
    <w:tmpl w:val="8530FF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408C"/>
    <w:multiLevelType w:val="hybridMultilevel"/>
    <w:tmpl w:val="8B001278"/>
    <w:lvl w:ilvl="0" w:tplc="5248E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7D54"/>
    <w:multiLevelType w:val="multilevel"/>
    <w:tmpl w:val="BCE4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D7BB5"/>
    <w:multiLevelType w:val="hybridMultilevel"/>
    <w:tmpl w:val="CA99F6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7859F5"/>
    <w:multiLevelType w:val="hybridMultilevel"/>
    <w:tmpl w:val="BA0AC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45561">
    <w:abstractNumId w:val="4"/>
  </w:num>
  <w:num w:numId="2" w16cid:durableId="1429738802">
    <w:abstractNumId w:val="5"/>
  </w:num>
  <w:num w:numId="3" w16cid:durableId="440229275">
    <w:abstractNumId w:val="2"/>
  </w:num>
  <w:num w:numId="4" w16cid:durableId="780883829">
    <w:abstractNumId w:val="0"/>
  </w:num>
  <w:num w:numId="5" w16cid:durableId="227806380">
    <w:abstractNumId w:val="6"/>
  </w:num>
  <w:num w:numId="6" w16cid:durableId="962345285">
    <w:abstractNumId w:val="1"/>
  </w:num>
  <w:num w:numId="7" w16cid:durableId="47626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59"/>
    <w:rsid w:val="000052F8"/>
    <w:rsid w:val="00015704"/>
    <w:rsid w:val="00033997"/>
    <w:rsid w:val="00035BA6"/>
    <w:rsid w:val="00045D24"/>
    <w:rsid w:val="0005454D"/>
    <w:rsid w:val="00061A53"/>
    <w:rsid w:val="0007341A"/>
    <w:rsid w:val="000A2846"/>
    <w:rsid w:val="000A3859"/>
    <w:rsid w:val="000C0BCB"/>
    <w:rsid w:val="000C7AC5"/>
    <w:rsid w:val="000E021B"/>
    <w:rsid w:val="000E5A83"/>
    <w:rsid w:val="000F6080"/>
    <w:rsid w:val="00104FE5"/>
    <w:rsid w:val="00113D45"/>
    <w:rsid w:val="00120ED8"/>
    <w:rsid w:val="00152E04"/>
    <w:rsid w:val="001743A2"/>
    <w:rsid w:val="00175975"/>
    <w:rsid w:val="0017696B"/>
    <w:rsid w:val="001B7086"/>
    <w:rsid w:val="001C5B02"/>
    <w:rsid w:val="001E0626"/>
    <w:rsid w:val="001E20AA"/>
    <w:rsid w:val="001F5ADC"/>
    <w:rsid w:val="00205575"/>
    <w:rsid w:val="00260431"/>
    <w:rsid w:val="00263657"/>
    <w:rsid w:val="002A760C"/>
    <w:rsid w:val="002B57D1"/>
    <w:rsid w:val="002E3AC3"/>
    <w:rsid w:val="002F1BB6"/>
    <w:rsid w:val="0030364B"/>
    <w:rsid w:val="00351428"/>
    <w:rsid w:val="00373EBB"/>
    <w:rsid w:val="00382CF8"/>
    <w:rsid w:val="003C620E"/>
    <w:rsid w:val="003E2BB2"/>
    <w:rsid w:val="00400A1B"/>
    <w:rsid w:val="00410E62"/>
    <w:rsid w:val="0045477D"/>
    <w:rsid w:val="004A7D78"/>
    <w:rsid w:val="004C6F51"/>
    <w:rsid w:val="004D7D01"/>
    <w:rsid w:val="004F0971"/>
    <w:rsid w:val="004F76B3"/>
    <w:rsid w:val="004F78DE"/>
    <w:rsid w:val="00510412"/>
    <w:rsid w:val="00536086"/>
    <w:rsid w:val="005369CC"/>
    <w:rsid w:val="00537B8D"/>
    <w:rsid w:val="005462C6"/>
    <w:rsid w:val="00582A42"/>
    <w:rsid w:val="005B2BC9"/>
    <w:rsid w:val="005B4A54"/>
    <w:rsid w:val="005F08C7"/>
    <w:rsid w:val="005F29EC"/>
    <w:rsid w:val="005F7139"/>
    <w:rsid w:val="00625BC9"/>
    <w:rsid w:val="0065641A"/>
    <w:rsid w:val="0068753D"/>
    <w:rsid w:val="00694DA8"/>
    <w:rsid w:val="006960A9"/>
    <w:rsid w:val="006C4071"/>
    <w:rsid w:val="006C73C3"/>
    <w:rsid w:val="006D31FA"/>
    <w:rsid w:val="006F25FC"/>
    <w:rsid w:val="006F5F2A"/>
    <w:rsid w:val="00714CFB"/>
    <w:rsid w:val="00717791"/>
    <w:rsid w:val="00717E3F"/>
    <w:rsid w:val="00757609"/>
    <w:rsid w:val="007A5383"/>
    <w:rsid w:val="008066F5"/>
    <w:rsid w:val="00817029"/>
    <w:rsid w:val="00850803"/>
    <w:rsid w:val="00870095"/>
    <w:rsid w:val="008818A2"/>
    <w:rsid w:val="0088211D"/>
    <w:rsid w:val="00884E62"/>
    <w:rsid w:val="008866AE"/>
    <w:rsid w:val="00895ACA"/>
    <w:rsid w:val="008B3FF8"/>
    <w:rsid w:val="008F05DB"/>
    <w:rsid w:val="008F3886"/>
    <w:rsid w:val="008F5A82"/>
    <w:rsid w:val="00906A96"/>
    <w:rsid w:val="009076CB"/>
    <w:rsid w:val="00914B97"/>
    <w:rsid w:val="00920027"/>
    <w:rsid w:val="00930657"/>
    <w:rsid w:val="00945023"/>
    <w:rsid w:val="00945D06"/>
    <w:rsid w:val="00983A36"/>
    <w:rsid w:val="0099703D"/>
    <w:rsid w:val="009A3C67"/>
    <w:rsid w:val="009A7975"/>
    <w:rsid w:val="00A32D44"/>
    <w:rsid w:val="00A40DFF"/>
    <w:rsid w:val="00A628B5"/>
    <w:rsid w:val="00A76193"/>
    <w:rsid w:val="00A834C7"/>
    <w:rsid w:val="00AD3F9F"/>
    <w:rsid w:val="00AF15CB"/>
    <w:rsid w:val="00B03130"/>
    <w:rsid w:val="00B05AAC"/>
    <w:rsid w:val="00B16F12"/>
    <w:rsid w:val="00B25003"/>
    <w:rsid w:val="00B2670A"/>
    <w:rsid w:val="00B6499C"/>
    <w:rsid w:val="00B76E2C"/>
    <w:rsid w:val="00B82120"/>
    <w:rsid w:val="00B901A4"/>
    <w:rsid w:val="00BA4D0E"/>
    <w:rsid w:val="00BB42C2"/>
    <w:rsid w:val="00BF0BC5"/>
    <w:rsid w:val="00C11830"/>
    <w:rsid w:val="00C16199"/>
    <w:rsid w:val="00C37F82"/>
    <w:rsid w:val="00C43C55"/>
    <w:rsid w:val="00C50716"/>
    <w:rsid w:val="00C55A68"/>
    <w:rsid w:val="00C601D7"/>
    <w:rsid w:val="00C65CF7"/>
    <w:rsid w:val="00C70CEA"/>
    <w:rsid w:val="00CB3BA7"/>
    <w:rsid w:val="00CC74A6"/>
    <w:rsid w:val="00CF5664"/>
    <w:rsid w:val="00D07033"/>
    <w:rsid w:val="00D117C9"/>
    <w:rsid w:val="00D3472D"/>
    <w:rsid w:val="00D60C9E"/>
    <w:rsid w:val="00D63601"/>
    <w:rsid w:val="00D65DB2"/>
    <w:rsid w:val="00DD0AE8"/>
    <w:rsid w:val="00DD24BF"/>
    <w:rsid w:val="00DE04DD"/>
    <w:rsid w:val="00DE2C52"/>
    <w:rsid w:val="00E05D89"/>
    <w:rsid w:val="00E33F55"/>
    <w:rsid w:val="00E45FED"/>
    <w:rsid w:val="00E63036"/>
    <w:rsid w:val="00EB3829"/>
    <w:rsid w:val="00EF40E1"/>
    <w:rsid w:val="00F1508F"/>
    <w:rsid w:val="00F30A19"/>
    <w:rsid w:val="00F946C3"/>
    <w:rsid w:val="00FE6720"/>
    <w:rsid w:val="0281B982"/>
    <w:rsid w:val="07F2AE6B"/>
    <w:rsid w:val="09917F81"/>
    <w:rsid w:val="151E5C17"/>
    <w:rsid w:val="1850C6F1"/>
    <w:rsid w:val="19A55CF3"/>
    <w:rsid w:val="1A84CF91"/>
    <w:rsid w:val="1A8F201F"/>
    <w:rsid w:val="1E4FFAB6"/>
    <w:rsid w:val="1F3F120C"/>
    <w:rsid w:val="2381E754"/>
    <w:rsid w:val="26E7921D"/>
    <w:rsid w:val="275EDD7E"/>
    <w:rsid w:val="2A2FAAA0"/>
    <w:rsid w:val="38BFB1A5"/>
    <w:rsid w:val="3A4EF257"/>
    <w:rsid w:val="3A8E8373"/>
    <w:rsid w:val="3EE6700D"/>
    <w:rsid w:val="4154F9FA"/>
    <w:rsid w:val="41FDF4BA"/>
    <w:rsid w:val="4717539E"/>
    <w:rsid w:val="49C83AAD"/>
    <w:rsid w:val="4F297026"/>
    <w:rsid w:val="526068AC"/>
    <w:rsid w:val="529C8F23"/>
    <w:rsid w:val="57BB6C9B"/>
    <w:rsid w:val="58462D46"/>
    <w:rsid w:val="5D8C7DBF"/>
    <w:rsid w:val="5E517BD1"/>
    <w:rsid w:val="5EF12327"/>
    <w:rsid w:val="6688D4A0"/>
    <w:rsid w:val="677FA8AB"/>
    <w:rsid w:val="7533164F"/>
    <w:rsid w:val="764E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F6B7"/>
  <w14:defaultImageDpi w14:val="32767"/>
  <w15:chartTrackingRefBased/>
  <w15:docId w15:val="{9EBF7F79-7C6C-684C-AC0B-9998F9E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A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table" w:styleId="TableGrid">
    <w:name w:val="Table Grid"/>
    <w:basedOn w:val="TableNormal"/>
    <w:uiPriority w:val="39"/>
    <w:rsid w:val="00CF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D44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E2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A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07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B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B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B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19"/>
  </w:style>
  <w:style w:type="paragraph" w:styleId="Footer">
    <w:name w:val="footer"/>
    <w:basedOn w:val="Normal"/>
    <w:link w:val="Foot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19"/>
  </w:style>
  <w:style w:type="character" w:customStyle="1" w:styleId="Heading1Char">
    <w:name w:val="Heading 1 Char"/>
    <w:basedOn w:val="DefaultParagraphFont"/>
    <w:link w:val="Heading1"/>
    <w:uiPriority w:val="9"/>
    <w:rsid w:val="0088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3829"/>
    <w:pPr>
      <w:ind w:left="720"/>
      <w:contextualSpacing/>
    </w:pPr>
    <w:rPr>
      <w:rFonts w:ascii="Calibri" w:hAnsi="Calibri" w:cs="Calibri"/>
      <w:sz w:val="22"/>
      <w:szCs w:val="22"/>
      <w:lang w:val="en-GB" w:eastAsia="en-GB"/>
      <w14:ligatures w14:val="standardContextual"/>
    </w:rPr>
  </w:style>
  <w:style w:type="paragraph" w:styleId="Revision">
    <w:name w:val="Revision"/>
    <w:hidden/>
    <w:uiPriority w:val="99"/>
    <w:semiHidden/>
    <w:rsid w:val="007A5383"/>
  </w:style>
  <w:style w:type="paragraph" w:customStyle="1" w:styleId="ColorfulList-Accent11">
    <w:name w:val="Colorful List - Accent 11"/>
    <w:basedOn w:val="Normal"/>
    <w:uiPriority w:val="34"/>
    <w:qFormat/>
    <w:rsid w:val="001C5B02"/>
    <w:pPr>
      <w:ind w:left="720" w:hanging="425"/>
      <w:contextualSpacing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A107-DB5F-4F3F-9E04-194389CA272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c0b6b05-eb82-4bda-97e8-cd82d0d6b453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edd258d-19a7-41ba-8260-b0918f25313d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7FD68883-9089-4CDC-8069-BFA92E5AE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079A7-6DEE-487B-AADB-CC669B83C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81CD8-F596-4BF9-A2FE-3C2AD4A3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3</cp:revision>
  <cp:lastPrinted>2024-03-04T09:34:00Z</cp:lastPrinted>
  <dcterms:created xsi:type="dcterms:W3CDTF">2024-09-18T11:01:00Z</dcterms:created>
  <dcterms:modified xsi:type="dcterms:W3CDTF">2024-10-21T11:43:00Z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