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B3C6" w14:textId="01F172A4" w:rsidR="001C5B02" w:rsidRPr="004009E5" w:rsidRDefault="001D5D2D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  <w:lang w:val="es-ES"/>
        </w:rPr>
      </w:pPr>
      <w:r w:rsidRPr="004009E5">
        <w:rPr>
          <w:rFonts w:cstheme="minorHAnsi"/>
          <w:bCs/>
          <w:sz w:val="22"/>
          <w:szCs w:val="22"/>
          <w:lang w:val="es-ES"/>
        </w:rPr>
        <w:t>LA CONVENCIÓN SOBRE LOS HUMEDALES</w:t>
      </w:r>
    </w:p>
    <w:p w14:paraId="5AC29070" w14:textId="1C325150" w:rsidR="001C5B02" w:rsidRPr="004009E5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  <w:lang w:val="es-ES"/>
        </w:rPr>
      </w:pPr>
      <w:r w:rsidRPr="004009E5">
        <w:rPr>
          <w:rFonts w:cstheme="minorHAnsi"/>
          <w:bCs/>
          <w:sz w:val="22"/>
          <w:szCs w:val="22"/>
          <w:lang w:val="es-ES"/>
        </w:rPr>
        <w:t>6</w:t>
      </w:r>
      <w:r w:rsidR="001E20AA" w:rsidRPr="004009E5">
        <w:rPr>
          <w:rFonts w:cstheme="minorHAnsi"/>
          <w:bCs/>
          <w:sz w:val="22"/>
          <w:szCs w:val="22"/>
          <w:lang w:val="es-ES"/>
        </w:rPr>
        <w:t>4</w:t>
      </w:r>
      <w:r w:rsidR="001D5D2D" w:rsidRPr="004009E5">
        <w:rPr>
          <w:rFonts w:cstheme="minorHAnsi"/>
          <w:bCs/>
          <w:sz w:val="22"/>
          <w:szCs w:val="22"/>
          <w:lang w:val="es-ES"/>
        </w:rPr>
        <w:t>ª reunión del Comité Permanente</w:t>
      </w:r>
    </w:p>
    <w:p w14:paraId="752C0CE6" w14:textId="3177C3D0" w:rsidR="001C5B02" w:rsidRPr="004009E5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  <w:lang w:val="es-ES"/>
        </w:rPr>
      </w:pPr>
      <w:r w:rsidRPr="004009E5">
        <w:rPr>
          <w:rFonts w:cstheme="minorHAnsi"/>
          <w:bCs/>
          <w:sz w:val="22"/>
          <w:szCs w:val="22"/>
          <w:lang w:val="es-ES"/>
        </w:rPr>
        <w:t>Gland, S</w:t>
      </w:r>
      <w:r w:rsidR="001D5D2D" w:rsidRPr="004009E5">
        <w:rPr>
          <w:rFonts w:cstheme="minorHAnsi"/>
          <w:bCs/>
          <w:sz w:val="22"/>
          <w:szCs w:val="22"/>
          <w:lang w:val="es-ES"/>
        </w:rPr>
        <w:t xml:space="preserve">uiza, </w:t>
      </w:r>
      <w:r w:rsidR="001E20AA" w:rsidRPr="004009E5">
        <w:rPr>
          <w:rFonts w:cstheme="minorHAnsi"/>
          <w:bCs/>
          <w:sz w:val="22"/>
          <w:szCs w:val="22"/>
          <w:lang w:val="es-ES"/>
        </w:rPr>
        <w:t>20</w:t>
      </w:r>
      <w:r w:rsidR="001D5D2D" w:rsidRPr="004009E5">
        <w:rPr>
          <w:rFonts w:cstheme="minorHAnsi"/>
          <w:bCs/>
          <w:sz w:val="22"/>
          <w:szCs w:val="22"/>
          <w:lang w:val="es-ES"/>
        </w:rPr>
        <w:t xml:space="preserve"> a </w:t>
      </w:r>
      <w:r w:rsidR="001E20AA" w:rsidRPr="004009E5">
        <w:rPr>
          <w:rFonts w:cstheme="minorHAnsi"/>
          <w:bCs/>
          <w:sz w:val="22"/>
          <w:szCs w:val="22"/>
          <w:lang w:val="es-ES"/>
        </w:rPr>
        <w:t>24</w:t>
      </w:r>
      <w:r w:rsidRPr="004009E5">
        <w:rPr>
          <w:rFonts w:cstheme="minorHAnsi"/>
          <w:bCs/>
          <w:sz w:val="22"/>
          <w:szCs w:val="22"/>
          <w:lang w:val="es-ES"/>
        </w:rPr>
        <w:t xml:space="preserve"> </w:t>
      </w:r>
      <w:r w:rsidR="001D5D2D" w:rsidRPr="004009E5">
        <w:rPr>
          <w:rFonts w:cstheme="minorHAnsi"/>
          <w:bCs/>
          <w:sz w:val="22"/>
          <w:szCs w:val="22"/>
          <w:lang w:val="es-ES"/>
        </w:rPr>
        <w:t xml:space="preserve">de enero de </w:t>
      </w:r>
      <w:r w:rsidRPr="004009E5">
        <w:rPr>
          <w:rFonts w:cstheme="minorHAnsi"/>
          <w:bCs/>
          <w:sz w:val="22"/>
          <w:szCs w:val="22"/>
          <w:lang w:val="es-ES"/>
        </w:rPr>
        <w:t>202</w:t>
      </w:r>
      <w:r w:rsidR="001E20AA" w:rsidRPr="004009E5">
        <w:rPr>
          <w:rFonts w:cstheme="minorHAnsi"/>
          <w:bCs/>
          <w:sz w:val="22"/>
          <w:szCs w:val="22"/>
          <w:lang w:val="es-ES"/>
        </w:rPr>
        <w:t>5</w:t>
      </w:r>
    </w:p>
    <w:p w14:paraId="35F7C931" w14:textId="77777777" w:rsidR="006C4071" w:rsidRPr="004009E5" w:rsidRDefault="006C4071" w:rsidP="00061A53">
      <w:pPr>
        <w:tabs>
          <w:tab w:val="left" w:pos="8789"/>
        </w:tabs>
        <w:ind w:right="4490"/>
        <w:rPr>
          <w:sz w:val="28"/>
          <w:szCs w:val="28"/>
          <w:lang w:val="es-ES"/>
        </w:rPr>
      </w:pPr>
    </w:p>
    <w:p w14:paraId="7DEE3D88" w14:textId="5C7CC107" w:rsidR="006C4071" w:rsidRPr="004009E5" w:rsidRDefault="006C4071" w:rsidP="00061A53">
      <w:pPr>
        <w:jc w:val="right"/>
        <w:rPr>
          <w:rFonts w:cstheme="minorHAnsi"/>
          <w:b/>
          <w:sz w:val="28"/>
          <w:szCs w:val="28"/>
          <w:lang w:val="es-ES"/>
        </w:rPr>
      </w:pPr>
      <w:r w:rsidRPr="004009E5">
        <w:rPr>
          <w:rFonts w:cstheme="minorHAnsi"/>
          <w:b/>
          <w:sz w:val="28"/>
          <w:szCs w:val="28"/>
          <w:lang w:val="es-ES"/>
        </w:rPr>
        <w:t>SC6</w:t>
      </w:r>
      <w:r w:rsidR="001E20AA" w:rsidRPr="004009E5">
        <w:rPr>
          <w:rFonts w:cstheme="minorHAnsi"/>
          <w:b/>
          <w:sz w:val="28"/>
          <w:szCs w:val="28"/>
          <w:lang w:val="es-ES"/>
        </w:rPr>
        <w:t>4</w:t>
      </w:r>
      <w:r w:rsidRPr="004009E5">
        <w:rPr>
          <w:rFonts w:cstheme="minorHAnsi"/>
          <w:b/>
          <w:sz w:val="28"/>
          <w:szCs w:val="28"/>
          <w:lang w:val="es-ES"/>
        </w:rPr>
        <w:t xml:space="preserve"> Doc.1</w:t>
      </w:r>
      <w:r w:rsidR="001E20AA" w:rsidRPr="004009E5">
        <w:rPr>
          <w:rFonts w:cstheme="minorHAnsi"/>
          <w:b/>
          <w:sz w:val="28"/>
          <w:szCs w:val="28"/>
          <w:lang w:val="es-ES"/>
        </w:rPr>
        <w:t>5</w:t>
      </w:r>
      <w:r w:rsidR="00884E62" w:rsidRPr="004009E5">
        <w:rPr>
          <w:rFonts w:cstheme="minorHAnsi"/>
          <w:b/>
          <w:sz w:val="28"/>
          <w:szCs w:val="28"/>
          <w:lang w:val="es-ES"/>
        </w:rPr>
        <w:t>.</w:t>
      </w:r>
      <w:r w:rsidRPr="004009E5">
        <w:rPr>
          <w:rFonts w:cstheme="minorHAnsi"/>
          <w:b/>
          <w:sz w:val="28"/>
          <w:szCs w:val="28"/>
          <w:lang w:val="es-ES"/>
        </w:rPr>
        <w:t>1</w:t>
      </w:r>
    </w:p>
    <w:p w14:paraId="37BB775A" w14:textId="77777777" w:rsidR="006C4071" w:rsidRPr="004009E5" w:rsidRDefault="006C4071" w:rsidP="00061A53">
      <w:pPr>
        <w:jc w:val="center"/>
        <w:rPr>
          <w:rFonts w:cstheme="minorHAnsi"/>
          <w:bCs/>
          <w:sz w:val="28"/>
          <w:szCs w:val="28"/>
          <w:lang w:val="es-ES"/>
        </w:rPr>
      </w:pPr>
    </w:p>
    <w:p w14:paraId="326A0F88" w14:textId="77777777" w:rsidR="00902FF5" w:rsidRDefault="006C4071" w:rsidP="00061A53">
      <w:pPr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4009E5">
        <w:rPr>
          <w:rFonts w:cstheme="minorHAnsi"/>
          <w:b/>
          <w:bCs/>
          <w:sz w:val="28"/>
          <w:szCs w:val="28"/>
          <w:lang w:val="es-ES"/>
        </w:rPr>
        <w:t>Co</w:t>
      </w:r>
      <w:r w:rsidR="0087034E" w:rsidRPr="004009E5">
        <w:rPr>
          <w:rFonts w:cstheme="minorHAnsi"/>
          <w:b/>
          <w:bCs/>
          <w:sz w:val="28"/>
          <w:szCs w:val="28"/>
          <w:lang w:val="es-ES"/>
        </w:rPr>
        <w:t>municación, fomento de capacidad, educación,</w:t>
      </w:r>
    </w:p>
    <w:p w14:paraId="2DDE95BB" w14:textId="0BD2D60B" w:rsidR="006C4071" w:rsidRPr="004009E5" w:rsidRDefault="0087034E" w:rsidP="00061A53">
      <w:pPr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4009E5">
        <w:rPr>
          <w:rFonts w:cstheme="minorHAnsi"/>
          <w:b/>
          <w:bCs/>
          <w:sz w:val="28"/>
          <w:szCs w:val="28"/>
          <w:lang w:val="es-ES"/>
        </w:rPr>
        <w:t>concienciación y participación (CECoP)</w:t>
      </w:r>
      <w:r w:rsidR="006C4071" w:rsidRPr="004009E5">
        <w:rPr>
          <w:rFonts w:cstheme="minorHAnsi"/>
          <w:b/>
          <w:bCs/>
          <w:sz w:val="28"/>
          <w:szCs w:val="28"/>
          <w:lang w:val="es-ES"/>
        </w:rPr>
        <w:t>:</w:t>
      </w:r>
    </w:p>
    <w:p w14:paraId="5FB34027" w14:textId="77777777" w:rsidR="00902FF5" w:rsidRDefault="0087034E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4009E5">
        <w:rPr>
          <w:rFonts w:ascii="Calibri" w:hAnsi="Calibri" w:cs="Calibri"/>
          <w:b/>
          <w:bCs/>
          <w:sz w:val="28"/>
          <w:szCs w:val="28"/>
          <w:lang w:val="es-ES"/>
        </w:rPr>
        <w:t>Informe de la Presidencia del Grupo de supervisión</w:t>
      </w:r>
      <w:r w:rsidR="00902FF5">
        <w:rPr>
          <w:rFonts w:ascii="Calibri" w:hAnsi="Calibri" w:cs="Calibri"/>
          <w:b/>
          <w:bCs/>
          <w:sz w:val="28"/>
          <w:szCs w:val="28"/>
          <w:lang w:val="es-ES"/>
        </w:rPr>
        <w:t xml:space="preserve"> </w:t>
      </w:r>
      <w:r w:rsidRPr="004009E5">
        <w:rPr>
          <w:rFonts w:ascii="Calibri" w:hAnsi="Calibri" w:cs="Calibri"/>
          <w:b/>
          <w:bCs/>
          <w:sz w:val="28"/>
          <w:szCs w:val="28"/>
          <w:lang w:val="es-ES"/>
        </w:rPr>
        <w:t xml:space="preserve">de las </w:t>
      </w:r>
    </w:p>
    <w:p w14:paraId="4F22FF33" w14:textId="3FA608FA" w:rsidR="00CF5664" w:rsidRPr="004009E5" w:rsidRDefault="0087034E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4009E5">
        <w:rPr>
          <w:rFonts w:ascii="Calibri" w:hAnsi="Calibri" w:cs="Calibri"/>
          <w:b/>
          <w:bCs/>
          <w:sz w:val="28"/>
          <w:szCs w:val="28"/>
          <w:lang w:val="es-ES"/>
        </w:rPr>
        <w:t>actividades de CECoP</w:t>
      </w:r>
    </w:p>
    <w:p w14:paraId="0CA52052" w14:textId="77777777" w:rsidR="006C4071" w:rsidRPr="004009E5" w:rsidRDefault="006C4071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35D5A6A2" w14:textId="77777777" w:rsidR="002B57D1" w:rsidRPr="004009E5" w:rsidRDefault="002B57D1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"/>
          <w:szCs w:val="2"/>
          <w:lang w:val="es-ES"/>
        </w:rPr>
      </w:pPr>
    </w:p>
    <w:p w14:paraId="60665B35" w14:textId="77777777" w:rsidR="006C4071" w:rsidRPr="004009E5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val="es-ES" w:eastAsia="fr-CA"/>
        </w:rPr>
      </w:pPr>
      <w:r w:rsidRPr="004009E5">
        <w:rPr>
          <w:noProof/>
          <w:lang w:val="es-ES" w:eastAsia="en-GB"/>
        </w:rPr>
        <mc:AlternateContent>
          <mc:Choice Requires="wps">
            <w:drawing>
              <wp:inline distT="0" distB="0" distL="0" distR="0" wp14:anchorId="18027CC3" wp14:editId="6C59D97E">
                <wp:extent cx="5731510" cy="84772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6774" w14:textId="0D16D8A9" w:rsidR="001C5B02" w:rsidRPr="001C5B02" w:rsidRDefault="001C5B02" w:rsidP="001C5B02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C5B02">
                              <w:rPr>
                                <w:b/>
                                <w:bCs/>
                                <w:lang w:val="en-GB"/>
                              </w:rPr>
                              <w:t>Ac</w:t>
                            </w:r>
                            <w:r w:rsidR="0087034E">
                              <w:rPr>
                                <w:b/>
                                <w:bCs/>
                                <w:lang w:val="en-GB"/>
                              </w:rPr>
                              <w:t>ción solicitada</w:t>
                            </w:r>
                            <w:r w:rsidRPr="001C5B02">
                              <w:rPr>
                                <w:b/>
                                <w:bCs/>
                                <w:lang w:val="en-GB"/>
                              </w:rPr>
                              <w:t xml:space="preserve">: </w:t>
                            </w:r>
                          </w:p>
                          <w:p w14:paraId="3E51A16F" w14:textId="77777777" w:rsidR="001C5B02" w:rsidRDefault="001C5B02" w:rsidP="001C5B02">
                            <w:pPr>
                              <w:pStyle w:val="ColorfulList-Accent11"/>
                              <w:ind w:left="0"/>
                            </w:pPr>
                          </w:p>
                          <w:p w14:paraId="519E884C" w14:textId="12595F3D" w:rsidR="001C5B02" w:rsidRPr="00211A70" w:rsidRDefault="0087034E" w:rsidP="00537B8D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  <w:r>
                              <w:t>Se invita al Comité Permanente a tomar nota del presente informe de la Presidencia del Grupo de supervisión de las actividades de CECoP.</w:t>
                            </w:r>
                          </w:p>
                          <w:p w14:paraId="49DFBB54" w14:textId="77777777" w:rsidR="001C5B02" w:rsidRDefault="001C5B02" w:rsidP="001C5B02">
                            <w:pPr>
                              <w:pStyle w:val="ColorfulList-Accent11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027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">
                <v:textbox>
                  <w:txbxContent>
                    <w:p w14:paraId="1E946774" w14:textId="0D16D8A9" w:rsidR="001C5B02" w:rsidRPr="001C5B02" w:rsidRDefault="001C5B02" w:rsidP="001C5B02">
                      <w:pPr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1C5B02">
                        <w:rPr>
                          <w:b/>
                          <w:bCs/>
                          <w:lang w:val="en-GB"/>
                        </w:rPr>
                        <w:t>Ac</w:t>
                      </w:r>
                      <w:r w:rsidR="0087034E">
                        <w:rPr>
                          <w:b/>
                          <w:bCs/>
                          <w:lang w:val="en-GB"/>
                        </w:rPr>
                        <w:t>ción</w:t>
                      </w:r>
                      <w:proofErr w:type="spellEnd"/>
                      <w:r w:rsidR="0087034E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87034E">
                        <w:rPr>
                          <w:b/>
                          <w:bCs/>
                          <w:lang w:val="en-GB"/>
                        </w:rPr>
                        <w:t>solicitada</w:t>
                      </w:r>
                      <w:proofErr w:type="spellEnd"/>
                      <w:r w:rsidRPr="001C5B02">
                        <w:rPr>
                          <w:b/>
                          <w:bCs/>
                          <w:lang w:val="en-GB"/>
                        </w:rPr>
                        <w:t xml:space="preserve">: </w:t>
                      </w:r>
                    </w:p>
                    <w:p w14:paraId="3E51A16F" w14:textId="77777777" w:rsidR="001C5B02" w:rsidRDefault="001C5B02" w:rsidP="001C5B02">
                      <w:pPr>
                        <w:pStyle w:val="ColorfulList-Accent11"/>
                        <w:ind w:left="0"/>
                      </w:pPr>
                    </w:p>
                    <w:p w14:paraId="519E884C" w14:textId="12595F3D" w:rsidR="001C5B02" w:rsidRPr="00211A70" w:rsidRDefault="0087034E" w:rsidP="00537B8D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  <w:r>
                        <w:t xml:space="preserve">Se </w:t>
                      </w:r>
                      <w:proofErr w:type="spellStart"/>
                      <w:r>
                        <w:t>invita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Comité</w:t>
                      </w:r>
                      <w:proofErr w:type="spellEnd"/>
                      <w:r>
                        <w:t xml:space="preserve"> Permanente a </w:t>
                      </w:r>
                      <w:proofErr w:type="spellStart"/>
                      <w:r>
                        <w:t>tomar</w:t>
                      </w:r>
                      <w:proofErr w:type="spellEnd"/>
                      <w:r>
                        <w:t xml:space="preserve"> nota del </w:t>
                      </w:r>
                      <w:proofErr w:type="spellStart"/>
                      <w:r>
                        <w:t>presente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informe</w:t>
                      </w:r>
                      <w:proofErr w:type="spellEnd"/>
                      <w:r>
                        <w:t xml:space="preserve"> de la Presidencia del Grupo de </w:t>
                      </w:r>
                      <w:proofErr w:type="spellStart"/>
                      <w:r>
                        <w:t>supervisión</w:t>
                      </w:r>
                      <w:proofErr w:type="spellEnd"/>
                      <w:r>
                        <w:t xml:space="preserve"> de las </w:t>
                      </w:r>
                      <w:proofErr w:type="spellStart"/>
                      <w:r>
                        <w:t>actividades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CECoP</w:t>
                      </w:r>
                      <w:proofErr w:type="spellEnd"/>
                      <w:r>
                        <w:t>.</w:t>
                      </w:r>
                    </w:p>
                    <w:p w14:paraId="49DFBB54" w14:textId="77777777" w:rsidR="001C5B02" w:rsidRDefault="001C5B02" w:rsidP="001C5B02">
                      <w:pPr>
                        <w:pStyle w:val="ColorfulList-Accent11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5EF99" w14:textId="77777777" w:rsidR="001C5B02" w:rsidRPr="004009E5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val="es-ES" w:eastAsia="fr-CA"/>
        </w:rPr>
      </w:pPr>
    </w:p>
    <w:p w14:paraId="31859746" w14:textId="77777777" w:rsidR="001C5B02" w:rsidRPr="004009E5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val="es-ES" w:eastAsia="fr-CA"/>
        </w:rPr>
      </w:pPr>
    </w:p>
    <w:p w14:paraId="6D093856" w14:textId="68194EF4" w:rsidR="00CF5664" w:rsidRPr="004009E5" w:rsidRDefault="0087034E" w:rsidP="00061A53">
      <w:pPr>
        <w:rPr>
          <w:rFonts w:ascii="Calibri" w:eastAsia="Times New Roman" w:hAnsi="Calibri" w:cs="Calibri"/>
          <w:b/>
          <w:bCs/>
          <w:sz w:val="22"/>
          <w:szCs w:val="22"/>
          <w:lang w:val="es-ES" w:eastAsia="fr-CA"/>
        </w:rPr>
      </w:pPr>
      <w:r w:rsidRPr="004009E5">
        <w:rPr>
          <w:rFonts w:ascii="Calibri" w:eastAsia="Times New Roman" w:hAnsi="Calibri" w:cs="Calibri"/>
          <w:b/>
          <w:bCs/>
          <w:sz w:val="22"/>
          <w:szCs w:val="22"/>
          <w:lang w:val="es-ES" w:eastAsia="fr-CA"/>
        </w:rPr>
        <w:t>Antecedentes</w:t>
      </w:r>
    </w:p>
    <w:p w14:paraId="15C32844" w14:textId="77777777" w:rsidR="006C4071" w:rsidRPr="004009E5" w:rsidRDefault="006C4071" w:rsidP="00061A53">
      <w:pPr>
        <w:rPr>
          <w:rFonts w:eastAsia="Times New Roman" w:cstheme="minorHAnsi"/>
          <w:sz w:val="22"/>
          <w:szCs w:val="22"/>
          <w:lang w:val="es-ES" w:eastAsia="fr-CA"/>
        </w:rPr>
      </w:pPr>
    </w:p>
    <w:p w14:paraId="5CA85F3E" w14:textId="4E1AEAD1" w:rsidR="006C4071" w:rsidRPr="004009E5" w:rsidRDefault="006C4071" w:rsidP="0087034E">
      <w:pPr>
        <w:ind w:left="426" w:hanging="426"/>
        <w:rPr>
          <w:rFonts w:eastAsia="Times New Roman"/>
          <w:sz w:val="22"/>
          <w:szCs w:val="22"/>
          <w:lang w:val="es-ES" w:eastAsia="fr-CA"/>
        </w:rPr>
      </w:pPr>
      <w:r w:rsidRPr="004009E5">
        <w:rPr>
          <w:rFonts w:eastAsia="Times New Roman" w:cstheme="minorHAnsi"/>
          <w:sz w:val="22"/>
          <w:szCs w:val="22"/>
          <w:lang w:val="es-ES" w:eastAsia="fr-CA"/>
        </w:rPr>
        <w:t>1.</w:t>
      </w:r>
      <w:r w:rsidRPr="004009E5">
        <w:rPr>
          <w:rFonts w:eastAsia="Times New Roman" w:cstheme="minorHAnsi"/>
          <w:sz w:val="22"/>
          <w:szCs w:val="22"/>
          <w:lang w:val="es-ES" w:eastAsia="fr-CA"/>
        </w:rPr>
        <w:tab/>
      </w:r>
      <w:r w:rsidR="006738F5">
        <w:rPr>
          <w:rFonts w:eastAsia="Times New Roman" w:cstheme="minorHAnsi"/>
          <w:sz w:val="22"/>
          <w:szCs w:val="22"/>
          <w:lang w:val="es-ES" w:eastAsia="fr-CA"/>
        </w:rPr>
        <w:t>En este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informe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se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resume el trabajo realizado por el Grupo de supervisión de las actividades de CECoP</w:t>
      </w:r>
      <w:r w:rsidR="00CF5664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desde la </w:t>
      </w:r>
      <w:r w:rsidR="00A628B5" w:rsidRPr="004009E5">
        <w:rPr>
          <w:rFonts w:eastAsia="Times New Roman"/>
          <w:sz w:val="22"/>
          <w:szCs w:val="22"/>
          <w:lang w:val="es-ES" w:eastAsia="fr-CA"/>
        </w:rPr>
        <w:t>6</w:t>
      </w:r>
      <w:r w:rsidR="001E20AA" w:rsidRPr="004009E5">
        <w:rPr>
          <w:rFonts w:eastAsia="Times New Roman"/>
          <w:sz w:val="22"/>
          <w:szCs w:val="22"/>
          <w:lang w:val="es-ES" w:eastAsia="fr-CA"/>
        </w:rPr>
        <w:t>3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ª reunión del Comité Permanente </w:t>
      </w:r>
      <w:r w:rsidR="00D63601" w:rsidRPr="004009E5">
        <w:rPr>
          <w:rFonts w:eastAsia="Times New Roman"/>
          <w:sz w:val="22"/>
          <w:szCs w:val="22"/>
          <w:lang w:val="es-ES" w:eastAsia="fr-CA"/>
        </w:rPr>
        <w:t>(SC63)</w:t>
      </w:r>
      <w:r w:rsidR="00582A42" w:rsidRPr="004009E5">
        <w:rPr>
          <w:rFonts w:eastAsia="Times New Roman"/>
          <w:sz w:val="22"/>
          <w:szCs w:val="22"/>
          <w:lang w:val="es-ES" w:eastAsia="fr-CA"/>
        </w:rPr>
        <w:t xml:space="preserve">. </w:t>
      </w:r>
    </w:p>
    <w:p w14:paraId="2B5D6640" w14:textId="77777777" w:rsidR="006C4071" w:rsidRPr="004009E5" w:rsidRDefault="006C4071" w:rsidP="0087034E">
      <w:pPr>
        <w:ind w:left="426" w:hanging="426"/>
        <w:rPr>
          <w:rFonts w:eastAsia="Times New Roman"/>
          <w:sz w:val="22"/>
          <w:szCs w:val="22"/>
          <w:lang w:val="es-ES" w:eastAsia="fr-CA"/>
        </w:rPr>
      </w:pPr>
    </w:p>
    <w:p w14:paraId="392878A5" w14:textId="5B2C7684" w:rsidR="0030364B" w:rsidRPr="004009E5" w:rsidRDefault="00F1508F" w:rsidP="00061A53">
      <w:pPr>
        <w:ind w:left="426" w:hanging="426"/>
        <w:rPr>
          <w:rFonts w:eastAsia="Times New Roman"/>
          <w:sz w:val="22"/>
          <w:szCs w:val="22"/>
          <w:lang w:val="es-ES" w:eastAsia="fr-CA"/>
        </w:rPr>
      </w:pPr>
      <w:r w:rsidRPr="004009E5">
        <w:rPr>
          <w:rFonts w:eastAsia="Times New Roman"/>
          <w:sz w:val="22"/>
          <w:szCs w:val="22"/>
          <w:lang w:val="es-ES" w:eastAsia="fr-CA"/>
        </w:rPr>
        <w:t>2</w:t>
      </w:r>
      <w:r w:rsidR="00625BC9" w:rsidRPr="004009E5">
        <w:rPr>
          <w:rFonts w:eastAsia="Times New Roman"/>
          <w:sz w:val="22"/>
          <w:szCs w:val="22"/>
          <w:lang w:val="es-ES" w:eastAsia="fr-CA"/>
        </w:rPr>
        <w:t>.</w:t>
      </w:r>
      <w:r w:rsidRPr="004009E5">
        <w:rPr>
          <w:rFonts w:eastAsia="Times New Roman"/>
          <w:sz w:val="22"/>
          <w:szCs w:val="22"/>
          <w:lang w:val="es-ES" w:eastAsia="fr-CA"/>
        </w:rPr>
        <w:tab/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Se celebraron reuniones virtuales del Grupo los días </w:t>
      </w:r>
      <w:r w:rsidR="00A628B5" w:rsidRPr="004009E5">
        <w:rPr>
          <w:rFonts w:eastAsia="Times New Roman"/>
          <w:sz w:val="22"/>
          <w:szCs w:val="22"/>
          <w:lang w:val="es-ES" w:eastAsia="fr-CA"/>
        </w:rPr>
        <w:t>2</w:t>
      </w:r>
      <w:r w:rsidR="00DD24BF" w:rsidRPr="004009E5">
        <w:rPr>
          <w:rFonts w:eastAsia="Times New Roman"/>
          <w:sz w:val="22"/>
          <w:szCs w:val="22"/>
          <w:lang w:val="es-ES" w:eastAsia="fr-CA"/>
        </w:rPr>
        <w:t>7</w:t>
      </w:r>
      <w:r w:rsidR="00A628B5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de junio y </w:t>
      </w:r>
      <w:r w:rsidR="00DD24BF" w:rsidRPr="004009E5">
        <w:rPr>
          <w:rFonts w:eastAsia="Times New Roman"/>
          <w:sz w:val="22"/>
          <w:szCs w:val="22"/>
          <w:lang w:val="es-ES" w:eastAsia="fr-CA"/>
        </w:rPr>
        <w:t xml:space="preserve">11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de septiembre de </w:t>
      </w:r>
      <w:r w:rsidR="00DD24BF" w:rsidRPr="004009E5">
        <w:rPr>
          <w:rFonts w:eastAsia="Times New Roman"/>
          <w:sz w:val="22"/>
          <w:szCs w:val="22"/>
          <w:lang w:val="es-ES" w:eastAsia="fr-CA"/>
        </w:rPr>
        <w:t>202</w:t>
      </w:r>
      <w:r w:rsidR="5E517BD1" w:rsidRPr="004009E5">
        <w:rPr>
          <w:rFonts w:eastAsia="Times New Roman"/>
          <w:sz w:val="22"/>
          <w:szCs w:val="22"/>
          <w:lang w:val="es-ES" w:eastAsia="fr-CA"/>
        </w:rPr>
        <w:t>4</w:t>
      </w:r>
      <w:r w:rsidR="00B05AAC" w:rsidRPr="004009E5">
        <w:rPr>
          <w:rFonts w:eastAsia="Times New Roman"/>
          <w:sz w:val="22"/>
          <w:szCs w:val="22"/>
          <w:lang w:val="es-ES" w:eastAsia="fr-CA"/>
        </w:rPr>
        <w:t>.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Durante esas reuniones, se examinaron y debatieron las actividades y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los productos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previst</w:t>
      </w:r>
      <w:r w:rsidR="006738F5">
        <w:rPr>
          <w:rFonts w:eastAsia="Times New Roman"/>
          <w:sz w:val="22"/>
          <w:szCs w:val="22"/>
          <w:lang w:val="es-ES" w:eastAsia="fr-CA"/>
        </w:rPr>
        <w:t>o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s en el plan de trabajo del Grupo, aprobad</w:t>
      </w:r>
      <w:r w:rsidR="006738F5">
        <w:rPr>
          <w:rFonts w:eastAsia="Times New Roman"/>
          <w:sz w:val="22"/>
          <w:szCs w:val="22"/>
          <w:lang w:val="es-ES" w:eastAsia="fr-CA"/>
        </w:rPr>
        <w:t>o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s en la Decisión </w:t>
      </w:r>
      <w:r w:rsidR="00A628B5" w:rsidRPr="004009E5">
        <w:rPr>
          <w:rFonts w:eastAsia="Times New Roman"/>
          <w:sz w:val="22"/>
          <w:szCs w:val="22"/>
          <w:lang w:val="es-ES" w:eastAsia="fr-CA"/>
        </w:rPr>
        <w:t>SC62-</w:t>
      </w:r>
      <w:r w:rsidR="006C73C3" w:rsidRPr="004009E5">
        <w:rPr>
          <w:rFonts w:eastAsia="Times New Roman"/>
          <w:sz w:val="22"/>
          <w:szCs w:val="22"/>
          <w:lang w:val="es-ES" w:eastAsia="fr-CA"/>
        </w:rPr>
        <w:t>27</w:t>
      </w:r>
      <w:r w:rsidR="00BB42C2" w:rsidRPr="004009E5">
        <w:rPr>
          <w:rFonts w:eastAsia="Times New Roman"/>
          <w:sz w:val="22"/>
          <w:szCs w:val="22"/>
          <w:lang w:val="es-ES" w:eastAsia="fr-CA"/>
        </w:rPr>
        <w:t xml:space="preserve">. </w:t>
      </w:r>
      <w:r w:rsidR="00A628B5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</w:p>
    <w:p w14:paraId="09C8AF7F" w14:textId="77777777" w:rsidR="002A760C" w:rsidRPr="004009E5" w:rsidRDefault="002A760C" w:rsidP="00061A53">
      <w:pPr>
        <w:ind w:left="426" w:hanging="426"/>
        <w:rPr>
          <w:rFonts w:eastAsia="Times New Roman" w:cstheme="minorHAnsi"/>
          <w:sz w:val="22"/>
          <w:szCs w:val="22"/>
          <w:lang w:val="es-ES" w:eastAsia="fr-CA"/>
        </w:rPr>
      </w:pPr>
    </w:p>
    <w:p w14:paraId="146E0BFF" w14:textId="39449E4C" w:rsidR="002A760C" w:rsidRPr="004009E5" w:rsidRDefault="002A760C" w:rsidP="00061A53">
      <w:pPr>
        <w:ind w:left="426" w:hanging="426"/>
        <w:rPr>
          <w:rFonts w:eastAsia="Times New Roman"/>
          <w:sz w:val="22"/>
          <w:szCs w:val="22"/>
          <w:lang w:val="es-ES" w:eastAsia="fr-CA"/>
        </w:rPr>
      </w:pPr>
      <w:r w:rsidRPr="004009E5">
        <w:rPr>
          <w:rFonts w:eastAsia="Times New Roman"/>
          <w:sz w:val="22"/>
          <w:szCs w:val="22"/>
          <w:lang w:val="es-ES" w:eastAsia="fr-CA"/>
        </w:rPr>
        <w:t>3.</w:t>
      </w:r>
      <w:r w:rsidRPr="004009E5">
        <w:rPr>
          <w:lang w:val="es-ES"/>
        </w:rPr>
        <w:tab/>
      </w:r>
      <w:r w:rsidR="0087034E" w:rsidRPr="006738F5">
        <w:rPr>
          <w:rFonts w:eastAsia="Times New Roman"/>
          <w:sz w:val="22"/>
          <w:szCs w:val="22"/>
          <w:lang w:val="es-ES" w:eastAsia="fr-CA"/>
        </w:rPr>
        <w:t xml:space="preserve">En la reunión del </w:t>
      </w:r>
      <w:r w:rsidR="00930657" w:rsidRPr="004009E5">
        <w:rPr>
          <w:rFonts w:eastAsia="Times New Roman"/>
          <w:sz w:val="22"/>
          <w:szCs w:val="22"/>
          <w:lang w:val="es-ES" w:eastAsia="fr-CA"/>
        </w:rPr>
        <w:t xml:space="preserve">11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de septiembre, el Grupo (por 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recomendación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del Equipo Ejecutivo) seleccionó a Zambia como Vicepresidencia para reemplazar a </w:t>
      </w:r>
      <w:r w:rsidR="00A40DFF" w:rsidRPr="004009E5">
        <w:rPr>
          <w:rFonts w:eastAsia="Times New Roman"/>
          <w:sz w:val="22"/>
          <w:szCs w:val="22"/>
          <w:lang w:val="es-ES" w:eastAsia="fr-CA"/>
        </w:rPr>
        <w:t>WWT</w:t>
      </w:r>
      <w:r w:rsidR="41FDF4BA" w:rsidRPr="004009E5">
        <w:rPr>
          <w:rFonts w:eastAsia="Times New Roman"/>
          <w:sz w:val="22"/>
          <w:szCs w:val="22"/>
          <w:lang w:val="es-ES" w:eastAsia="fr-CA"/>
        </w:rPr>
        <w:t xml:space="preserve">,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que ya no podía </w:t>
      </w:r>
      <w:r w:rsidR="006738F5">
        <w:rPr>
          <w:rFonts w:eastAsia="Times New Roman"/>
          <w:sz w:val="22"/>
          <w:szCs w:val="22"/>
          <w:lang w:val="es-ES" w:eastAsia="fr-CA"/>
        </w:rPr>
        <w:t>desempeñar ese papel d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ebido a un cambio de personal. Zambia aceptó la designación y ejercerá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la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Vicepresidencia durante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el resto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del trienio.  Dado que este país es miembro del Grupo de </w:t>
      </w:r>
      <w:r w:rsidR="006738F5">
        <w:rPr>
          <w:rFonts w:eastAsia="Times New Roman"/>
          <w:sz w:val="22"/>
          <w:szCs w:val="22"/>
          <w:lang w:val="es-ES" w:eastAsia="fr-CA"/>
        </w:rPr>
        <w:t>T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rabajo sobre el Plan Estratégico, servirá de enlace importante entre el Grupo de supervisión de las actividades de CECoP</w:t>
      </w:r>
      <w:r w:rsidR="00714CFB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y la elaboración y aplicación del Quinto Plan Estratégico</w:t>
      </w:r>
      <w:r w:rsidR="00714CFB" w:rsidRPr="004009E5">
        <w:rPr>
          <w:rFonts w:eastAsia="Times New Roman"/>
          <w:sz w:val="22"/>
          <w:szCs w:val="22"/>
          <w:lang w:val="es-ES" w:eastAsia="fr-CA"/>
        </w:rPr>
        <w:t>.</w:t>
      </w:r>
    </w:p>
    <w:p w14:paraId="002913E4" w14:textId="77777777" w:rsidR="00850803" w:rsidRPr="004009E5" w:rsidRDefault="00850803" w:rsidP="00061A53">
      <w:pPr>
        <w:ind w:left="426" w:hanging="426"/>
        <w:rPr>
          <w:rFonts w:eastAsia="Times New Roman" w:cstheme="minorHAnsi"/>
          <w:sz w:val="22"/>
          <w:szCs w:val="22"/>
          <w:lang w:val="es-ES" w:eastAsia="fr-CA"/>
        </w:rPr>
      </w:pPr>
    </w:p>
    <w:p w14:paraId="7E4AAA3C" w14:textId="2D705592" w:rsidR="00850803" w:rsidRPr="004009E5" w:rsidRDefault="0087034E" w:rsidP="00061A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009E5">
        <w:rPr>
          <w:rFonts w:asciiTheme="minorHAnsi" w:hAnsiTheme="minorHAnsi" w:cstheme="minorHAnsi"/>
          <w:b/>
          <w:bCs/>
          <w:sz w:val="22"/>
          <w:szCs w:val="22"/>
          <w:lang w:val="es-ES"/>
        </w:rPr>
        <w:t>Trabajo realizado por el Grupo</w:t>
      </w:r>
    </w:p>
    <w:p w14:paraId="60A93226" w14:textId="77777777" w:rsidR="0030364B" w:rsidRPr="004009E5" w:rsidRDefault="0030364B" w:rsidP="00061A53">
      <w:pPr>
        <w:ind w:left="426" w:hanging="426"/>
        <w:rPr>
          <w:rFonts w:eastAsia="Times New Roman" w:cstheme="minorHAnsi"/>
          <w:sz w:val="22"/>
          <w:szCs w:val="22"/>
          <w:lang w:val="es-ES" w:eastAsia="fr-CA"/>
        </w:rPr>
      </w:pPr>
    </w:p>
    <w:p w14:paraId="15825B23" w14:textId="6B0C019C" w:rsidR="00FE6720" w:rsidRPr="004009E5" w:rsidRDefault="002A760C" w:rsidP="0087034E">
      <w:pPr>
        <w:ind w:left="426" w:hanging="426"/>
        <w:rPr>
          <w:rFonts w:eastAsia="Times New Roman"/>
          <w:sz w:val="22"/>
          <w:szCs w:val="22"/>
          <w:lang w:val="es-ES" w:eastAsia="fr-CA"/>
        </w:rPr>
      </w:pPr>
      <w:r w:rsidRPr="004009E5">
        <w:rPr>
          <w:rFonts w:eastAsia="Times New Roman"/>
          <w:sz w:val="22"/>
          <w:szCs w:val="22"/>
          <w:lang w:val="es-ES" w:eastAsia="fr-CA"/>
        </w:rPr>
        <w:t>4</w:t>
      </w:r>
      <w:r w:rsidR="00625BC9" w:rsidRPr="004009E5">
        <w:rPr>
          <w:rFonts w:eastAsia="Times New Roman"/>
          <w:sz w:val="22"/>
          <w:szCs w:val="22"/>
          <w:lang w:val="es-ES" w:eastAsia="fr-CA"/>
        </w:rPr>
        <w:t>.</w:t>
      </w:r>
      <w:r w:rsidRPr="004009E5">
        <w:rPr>
          <w:lang w:val="es-ES"/>
        </w:rPr>
        <w:tab/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Desde la reunión </w:t>
      </w:r>
      <w:r w:rsidR="00D65DB2" w:rsidRPr="004009E5">
        <w:rPr>
          <w:rFonts w:eastAsia="Times New Roman"/>
          <w:sz w:val="22"/>
          <w:szCs w:val="22"/>
          <w:lang w:val="es-ES" w:eastAsia="fr-CA"/>
        </w:rPr>
        <w:t>SC63</w:t>
      </w:r>
      <w:r w:rsidR="3A8E8373" w:rsidRPr="004009E5">
        <w:rPr>
          <w:rFonts w:eastAsia="Times New Roman"/>
          <w:sz w:val="22"/>
          <w:szCs w:val="22"/>
          <w:lang w:val="es-ES" w:eastAsia="fr-CA"/>
        </w:rPr>
        <w:t>,</w:t>
      </w:r>
      <w:r w:rsidR="00D65DB2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se han elaborado y actualizado varios recursos de CECoP</w:t>
      </w:r>
      <w:r w:rsidR="006738F5">
        <w:rPr>
          <w:rFonts w:eastAsia="Times New Roman"/>
          <w:sz w:val="22"/>
          <w:szCs w:val="22"/>
          <w:lang w:val="es-ES" w:eastAsia="fr-CA"/>
        </w:rPr>
        <w:t>. C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abe destacar que </w:t>
      </w:r>
      <w:r w:rsidR="006738F5">
        <w:rPr>
          <w:rFonts w:eastAsia="Times New Roman"/>
          <w:sz w:val="22"/>
          <w:szCs w:val="22"/>
          <w:lang w:val="es-ES" w:eastAsia="fr-CA"/>
        </w:rPr>
        <w:t>la Secretaría ha revisado el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manual de CECoP, que se publicará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en el sitio web de la Convención en los tres idiomas antes de finales de este año. El manual revisado </w:t>
      </w:r>
      <w:r w:rsidR="006738F5">
        <w:rPr>
          <w:rFonts w:eastAsia="Times New Roman"/>
          <w:sz w:val="22"/>
          <w:szCs w:val="22"/>
          <w:lang w:val="es-ES" w:eastAsia="fr-CA"/>
        </w:rPr>
        <w:t>brinda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orientaciones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prácticas a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los coordinadores y profesionales</w:t>
      </w:r>
      <w:r w:rsidR="0050048B">
        <w:rPr>
          <w:rFonts w:eastAsia="Times New Roman"/>
          <w:sz w:val="22"/>
          <w:szCs w:val="22"/>
          <w:lang w:val="es-ES" w:eastAsia="fr-CA"/>
        </w:rPr>
        <w:t xml:space="preserve"> de la CECoP.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6738F5">
        <w:rPr>
          <w:rFonts w:eastAsia="Times New Roman"/>
          <w:sz w:val="22"/>
          <w:szCs w:val="22"/>
          <w:lang w:val="es-ES" w:eastAsia="fr-CA"/>
        </w:rPr>
        <w:t>A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demás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, se ha elaborado un </w:t>
      </w:r>
      <w:r w:rsidR="00914B97" w:rsidRPr="004009E5">
        <w:rPr>
          <w:rFonts w:eastAsia="Times New Roman"/>
          <w:sz w:val="22"/>
          <w:szCs w:val="22"/>
          <w:lang w:val="es-ES" w:eastAsia="fr-CA"/>
        </w:rPr>
        <w:t>“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folleto de bienvenida” para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los nuevos coordinadores gubernamentales y no gubernamentales de CECoP, que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está disponible en los tres idiomas en </w:t>
      </w:r>
      <w:r w:rsidR="006738F5">
        <w:rPr>
          <w:rFonts w:eastAsia="Times New Roman"/>
          <w:sz w:val="22"/>
          <w:szCs w:val="22"/>
          <w:lang w:val="es-ES" w:eastAsia="fr-CA"/>
        </w:rPr>
        <w:t>línea y en formato im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preso. Cuando </w:t>
      </w:r>
      <w:r w:rsidR="0050048B">
        <w:rPr>
          <w:rFonts w:eastAsia="Times New Roman"/>
          <w:sz w:val="22"/>
          <w:szCs w:val="22"/>
          <w:lang w:val="es-ES" w:eastAsia="fr-CA"/>
        </w:rPr>
        <w:t>una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Parte Contratante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informe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a la Secretaría sobre un cambio de coordinador de CECoP, </w:t>
      </w:r>
      <w:r w:rsidR="006738F5">
        <w:rPr>
          <w:rFonts w:eastAsia="Times New Roman"/>
          <w:sz w:val="22"/>
          <w:szCs w:val="22"/>
          <w:lang w:val="es-ES" w:eastAsia="fr-CA"/>
        </w:rPr>
        <w:t>el nuevo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coordinador recibirá este folleto junto con información sobre otros recursos de CECoP. Se ha preparado un conjunto de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recursos digitales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que resumen el 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Programa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de CECoP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y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explican los distintos elementos de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la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CECoP </w:t>
      </w:r>
      <w:r w:rsidR="00CB3BA7" w:rsidRPr="004009E5">
        <w:rPr>
          <w:rFonts w:eastAsia="Times New Roman"/>
          <w:sz w:val="22"/>
          <w:szCs w:val="22"/>
          <w:lang w:val="es-ES" w:eastAsia="fr-CA"/>
        </w:rPr>
        <w:t>(</w:t>
      </w:r>
      <w:r w:rsidR="006738F5">
        <w:rPr>
          <w:rFonts w:eastAsia="Times New Roman"/>
          <w:sz w:val="22"/>
          <w:szCs w:val="22"/>
          <w:lang w:val="es-ES" w:eastAsia="fr-CA"/>
        </w:rPr>
        <w:t>comunicación, fomento de capacidad, educación, concienciación y participación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). </w:t>
      </w:r>
      <w:r w:rsidR="006738F5" w:rsidRPr="004009E5">
        <w:rPr>
          <w:rFonts w:eastAsia="Times New Roman"/>
          <w:sz w:val="22"/>
          <w:szCs w:val="22"/>
          <w:lang w:val="es-ES" w:eastAsia="fr-CA"/>
        </w:rPr>
        <w:t>En el sitio web de la Convención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, las </w:t>
      </w:r>
      <w:r w:rsidR="006738F5">
        <w:rPr>
          <w:rFonts w:eastAsia="Times New Roman"/>
          <w:sz w:val="22"/>
          <w:szCs w:val="22"/>
          <w:lang w:val="es-ES" w:eastAsia="fr-CA"/>
        </w:rPr>
        <w:lastRenderedPageBreak/>
        <w:t>Partes Contratantes y otros profesionales de la CECoP encontrarán un cartel,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infografías y 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tarjetas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para </w:t>
      </w:r>
      <w:r w:rsidR="006738F5">
        <w:rPr>
          <w:rFonts w:eastAsia="Times New Roman"/>
          <w:sz w:val="22"/>
          <w:szCs w:val="22"/>
          <w:lang w:val="es-ES" w:eastAsia="fr-CA"/>
        </w:rPr>
        <w:t>redes sociales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que pueden 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descargar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y adaptar</w:t>
      </w:r>
      <w:r w:rsidR="006738F5">
        <w:rPr>
          <w:rFonts w:eastAsia="Times New Roman"/>
          <w:sz w:val="22"/>
          <w:szCs w:val="22"/>
          <w:lang w:val="es-ES" w:eastAsia="fr-CA"/>
        </w:rPr>
        <w:t>.</w:t>
      </w:r>
    </w:p>
    <w:p w14:paraId="1B252A71" w14:textId="58B317A2" w:rsidR="00FE6720" w:rsidRPr="004009E5" w:rsidRDefault="00FE6720" w:rsidP="00061A53">
      <w:pPr>
        <w:ind w:left="426" w:hanging="426"/>
        <w:rPr>
          <w:rFonts w:eastAsia="Times New Roman"/>
          <w:sz w:val="22"/>
          <w:szCs w:val="22"/>
          <w:lang w:val="es-ES" w:eastAsia="fr-CA"/>
        </w:rPr>
      </w:pPr>
    </w:p>
    <w:p w14:paraId="51651DCF" w14:textId="06BDDB27" w:rsidR="00FE6720" w:rsidRPr="004009E5" w:rsidRDefault="764EA28E" w:rsidP="00061A53">
      <w:pPr>
        <w:ind w:left="426" w:hanging="426"/>
        <w:rPr>
          <w:rFonts w:ascii="Calibri" w:hAnsi="Calibri" w:cs="Calibri"/>
          <w:i/>
          <w:iCs/>
          <w:sz w:val="22"/>
          <w:szCs w:val="22"/>
          <w:lang w:val="es-ES"/>
        </w:rPr>
      </w:pPr>
      <w:r w:rsidRPr="004009E5">
        <w:rPr>
          <w:rFonts w:eastAsia="Times New Roman"/>
          <w:sz w:val="22"/>
          <w:szCs w:val="22"/>
          <w:lang w:val="es-ES" w:eastAsia="fr-CA"/>
        </w:rPr>
        <w:t xml:space="preserve">5.     </w:t>
      </w:r>
      <w:r w:rsidR="006738F5">
        <w:rPr>
          <w:rFonts w:ascii="Calibri" w:hAnsi="Calibri" w:cs="Calibri"/>
          <w:sz w:val="22"/>
          <w:szCs w:val="22"/>
          <w:lang w:val="es-ES"/>
        </w:rPr>
        <w:t>S</w:t>
      </w:r>
      <w:r w:rsidR="006738F5" w:rsidRPr="004009E5">
        <w:rPr>
          <w:rFonts w:ascii="Calibri" w:hAnsi="Calibri" w:cs="Calibri"/>
          <w:sz w:val="22"/>
          <w:szCs w:val="22"/>
          <w:lang w:val="es-ES"/>
        </w:rPr>
        <w:t>iguiendo las instrucciones</w:t>
      </w:r>
      <w:r w:rsidR="006738F5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6738F5">
        <w:rPr>
          <w:rFonts w:eastAsia="Times New Roman"/>
          <w:sz w:val="22"/>
          <w:szCs w:val="22"/>
          <w:lang w:val="es-ES" w:eastAsia="fr-CA"/>
        </w:rPr>
        <w:t>del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Comité Permanente en la Decisión </w:t>
      </w:r>
      <w:r w:rsidR="00FE6720" w:rsidRPr="004009E5">
        <w:rPr>
          <w:rFonts w:ascii="Calibri" w:hAnsi="Calibri" w:cs="Calibri"/>
          <w:sz w:val="22"/>
          <w:szCs w:val="22"/>
          <w:lang w:val="es-ES"/>
        </w:rPr>
        <w:t>SC63-24</w:t>
      </w:r>
      <w:r w:rsidR="275EDD7E" w:rsidRPr="004009E5">
        <w:rPr>
          <w:rFonts w:ascii="Calibri" w:hAnsi="Calibri" w:cs="Calibri"/>
          <w:sz w:val="22"/>
          <w:szCs w:val="22"/>
          <w:lang w:val="es-ES"/>
        </w:rPr>
        <w:t>,</w:t>
      </w:r>
      <w:r w:rsidR="00FE6720" w:rsidRPr="004009E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 xml:space="preserve">la Secretaría ha preparado un </w:t>
      </w:r>
      <w:r w:rsidR="004009E5" w:rsidRPr="004009E5">
        <w:rPr>
          <w:rFonts w:ascii="Calibri" w:hAnsi="Calibri" w:cs="Calibri"/>
          <w:sz w:val="22"/>
          <w:szCs w:val="22"/>
          <w:lang w:val="es-ES"/>
        </w:rPr>
        <w:t>proyecto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 xml:space="preserve"> de resolución que refleja la consolidación de las recomendaciones y resoluciones sobre CECoP presentadas en el documento S</w:t>
      </w:r>
      <w:r w:rsidR="00FE6720" w:rsidRPr="004009E5">
        <w:rPr>
          <w:rFonts w:ascii="Calibri" w:hAnsi="Calibri" w:cs="Calibri"/>
          <w:sz w:val="22"/>
          <w:szCs w:val="22"/>
          <w:lang w:val="es-ES"/>
        </w:rPr>
        <w:t xml:space="preserve">C63 Doc.16 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 xml:space="preserve">y aprobadas mediante la Decisión </w:t>
      </w:r>
      <w:r w:rsidR="00FE6720" w:rsidRPr="004009E5">
        <w:rPr>
          <w:rFonts w:ascii="Calibri" w:hAnsi="Calibri" w:cs="Calibri"/>
          <w:sz w:val="22"/>
          <w:szCs w:val="22"/>
          <w:lang w:val="es-ES"/>
        </w:rPr>
        <w:t xml:space="preserve">SC63-22, </w:t>
      </w:r>
      <w:r w:rsidR="006738F5" w:rsidRPr="006738F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así como la opinión del </w:t>
      </w:r>
      <w:r w:rsidR="0087034E" w:rsidRPr="006738F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Comité 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 xml:space="preserve">Permanente sobre el procedimiento y el calendario de la designación del Grupo para el trienio </w:t>
      </w:r>
      <w:r w:rsidR="00FE6720" w:rsidRPr="004009E5">
        <w:rPr>
          <w:rFonts w:ascii="Calibri" w:hAnsi="Calibri" w:cs="Calibri"/>
          <w:sz w:val="22"/>
          <w:szCs w:val="22"/>
          <w:lang w:val="es-ES"/>
        </w:rPr>
        <w:t>2025-2028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 xml:space="preserve">. </w:t>
      </w:r>
      <w:r w:rsidR="006738F5">
        <w:rPr>
          <w:rFonts w:ascii="Calibri" w:hAnsi="Calibri" w:cs="Calibri"/>
          <w:sz w:val="22"/>
          <w:szCs w:val="22"/>
          <w:lang w:val="es-ES"/>
        </w:rPr>
        <w:t>El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 xml:space="preserve"> proyecto de resolución ha sido examinado por el Grupo de supervisión de las actividades de CECoP</w:t>
      </w:r>
      <w:r w:rsidR="00C50716" w:rsidRPr="004009E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>y sus comentarios se han reflejado en el proyecto de resolución sobre CECoP presentado a la reunión SC</w:t>
      </w:r>
      <w:r w:rsidR="006738F5">
        <w:rPr>
          <w:rFonts w:ascii="Calibri" w:hAnsi="Calibri" w:cs="Calibri"/>
          <w:sz w:val="22"/>
          <w:szCs w:val="22"/>
          <w:lang w:val="es-ES"/>
        </w:rPr>
        <w:t xml:space="preserve">64 </w:t>
      </w:r>
      <w:r w:rsidR="0087034E" w:rsidRPr="004009E5">
        <w:rPr>
          <w:rFonts w:ascii="Calibri" w:hAnsi="Calibri" w:cs="Calibri"/>
          <w:sz w:val="22"/>
          <w:szCs w:val="22"/>
          <w:lang w:val="es-ES"/>
        </w:rPr>
        <w:t>para su examen.</w:t>
      </w:r>
    </w:p>
    <w:p w14:paraId="17A87575" w14:textId="37D75E6B" w:rsidR="00C601D7" w:rsidRPr="004009E5" w:rsidRDefault="00C601D7" w:rsidP="00061A53">
      <w:pPr>
        <w:ind w:left="426" w:hanging="426"/>
        <w:rPr>
          <w:rFonts w:eastAsia="Times New Roman"/>
          <w:sz w:val="22"/>
          <w:szCs w:val="22"/>
          <w:lang w:val="es-ES" w:eastAsia="fr-CA"/>
        </w:rPr>
      </w:pPr>
    </w:p>
    <w:p w14:paraId="2DCE63C8" w14:textId="0DADD7A9" w:rsidR="00C601D7" w:rsidRPr="004009E5" w:rsidRDefault="002A760C" w:rsidP="00061A53">
      <w:pPr>
        <w:ind w:left="426" w:hanging="426"/>
        <w:rPr>
          <w:rFonts w:eastAsia="Times New Roman"/>
          <w:sz w:val="22"/>
          <w:szCs w:val="22"/>
          <w:lang w:val="es-ES" w:eastAsia="fr-CA"/>
        </w:rPr>
      </w:pPr>
      <w:r w:rsidRPr="004009E5">
        <w:rPr>
          <w:rFonts w:eastAsia="Times New Roman"/>
          <w:sz w:val="22"/>
          <w:szCs w:val="22"/>
          <w:lang w:val="es-ES" w:eastAsia="fr-CA"/>
        </w:rPr>
        <w:t>6</w:t>
      </w:r>
      <w:r w:rsidR="00C601D7" w:rsidRPr="004009E5">
        <w:rPr>
          <w:rFonts w:eastAsia="Times New Roman"/>
          <w:sz w:val="22"/>
          <w:szCs w:val="22"/>
          <w:lang w:val="es-ES" w:eastAsia="fr-CA"/>
        </w:rPr>
        <w:t xml:space="preserve">. </w:t>
      </w:r>
      <w:r w:rsidRPr="004009E5">
        <w:rPr>
          <w:lang w:val="es-ES"/>
        </w:rPr>
        <w:tab/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El Grupo </w:t>
      </w:r>
      <w:r w:rsidR="00DE04DD" w:rsidRPr="004009E5">
        <w:rPr>
          <w:rFonts w:eastAsia="Times New Roman"/>
          <w:sz w:val="22"/>
          <w:szCs w:val="22"/>
          <w:lang w:val="es-ES" w:eastAsia="fr-CA"/>
        </w:rPr>
        <w:t>ha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planteado en varias ocasiones que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el término de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“CECoP” es 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difícil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de entender y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carece del peso deseado,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y que podría ser beneficioso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utilizar otro nombre para hacer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referencia</w:t>
      </w:r>
      <w:r w:rsidR="0050048B">
        <w:rPr>
          <w:rFonts w:eastAsia="Times New Roman"/>
          <w:sz w:val="22"/>
          <w:szCs w:val="22"/>
          <w:lang w:val="es-ES" w:eastAsia="fr-CA"/>
        </w:rPr>
        <w:t xml:space="preserve"> a esta cuestión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. Aunque los elementos de la CECoP seguirían siendo los mismos, el Grupo propone que se denomine a la CECoP como “Programa para las Personas y los Humedales” o </w:t>
      </w:r>
      <w:r w:rsidR="001F5ADC" w:rsidRPr="004009E5">
        <w:rPr>
          <w:rFonts w:eastAsia="Times New Roman"/>
          <w:sz w:val="22"/>
          <w:szCs w:val="22"/>
          <w:lang w:val="es-ES" w:eastAsia="fr-CA"/>
        </w:rPr>
        <w:t>“</w:t>
      </w:r>
      <w:r w:rsidR="006738F5" w:rsidRPr="004009E5">
        <w:rPr>
          <w:rFonts w:eastAsia="Times New Roman"/>
          <w:sz w:val="22"/>
          <w:szCs w:val="22"/>
          <w:lang w:val="es-ES" w:eastAsia="fr-CA"/>
        </w:rPr>
        <w:t xml:space="preserve">Programa 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de la Convención sobre los Humedales </w:t>
      </w:r>
      <w:r w:rsidR="006738F5" w:rsidRPr="004009E5">
        <w:rPr>
          <w:rFonts w:eastAsia="Times New Roman"/>
          <w:sz w:val="22"/>
          <w:szCs w:val="22"/>
          <w:lang w:val="es-ES" w:eastAsia="fr-CA"/>
        </w:rPr>
        <w:t>para las Personas y los Humedales</w:t>
      </w:r>
      <w:r w:rsidR="001F5ADC" w:rsidRPr="004009E5">
        <w:rPr>
          <w:rFonts w:eastAsia="Times New Roman"/>
          <w:sz w:val="22"/>
          <w:szCs w:val="22"/>
          <w:lang w:val="es-ES" w:eastAsia="fr-CA"/>
        </w:rPr>
        <w:t>”.</w:t>
      </w:r>
      <w:r w:rsidR="008B3FF8" w:rsidRPr="004009E5">
        <w:rPr>
          <w:rFonts w:eastAsia="Times New Roman"/>
          <w:sz w:val="22"/>
          <w:szCs w:val="22"/>
          <w:lang w:val="es-ES" w:eastAsia="fr-CA"/>
        </w:rPr>
        <w:t xml:space="preserve">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Est</w:t>
      </w:r>
      <w:r w:rsidR="0050048B">
        <w:rPr>
          <w:rFonts w:eastAsia="Times New Roman"/>
          <w:sz w:val="22"/>
          <w:szCs w:val="22"/>
          <w:lang w:val="es-ES" w:eastAsia="fr-CA"/>
        </w:rPr>
        <w:t xml:space="preserve">a nueva terminología 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>se ha</w:t>
      </w:r>
      <w:r w:rsidR="006738F5">
        <w:rPr>
          <w:rFonts w:eastAsia="Times New Roman"/>
          <w:sz w:val="22"/>
          <w:szCs w:val="22"/>
          <w:lang w:val="es-ES" w:eastAsia="fr-CA"/>
        </w:rPr>
        <w:t xml:space="preserve"> incluido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en el </w:t>
      </w:r>
      <w:r w:rsidR="004009E5" w:rsidRPr="004009E5">
        <w:rPr>
          <w:rFonts w:eastAsia="Times New Roman"/>
          <w:sz w:val="22"/>
          <w:szCs w:val="22"/>
          <w:lang w:val="es-ES" w:eastAsia="fr-CA"/>
        </w:rPr>
        <w:t>proyecto</w:t>
      </w:r>
      <w:r w:rsidR="0087034E" w:rsidRPr="004009E5">
        <w:rPr>
          <w:rFonts w:eastAsia="Times New Roman"/>
          <w:sz w:val="22"/>
          <w:szCs w:val="22"/>
          <w:lang w:val="es-ES" w:eastAsia="fr-CA"/>
        </w:rPr>
        <w:t xml:space="preserve"> de resolución que se examinará en la reunión </w:t>
      </w:r>
      <w:r w:rsidRPr="004009E5">
        <w:rPr>
          <w:rFonts w:eastAsia="Times New Roman"/>
          <w:sz w:val="22"/>
          <w:szCs w:val="22"/>
          <w:lang w:val="es-ES" w:eastAsia="fr-CA"/>
        </w:rPr>
        <w:t xml:space="preserve">SC64. </w:t>
      </w:r>
    </w:p>
    <w:p w14:paraId="4F93BD9C" w14:textId="77777777" w:rsidR="00EB3829" w:rsidRPr="004009E5" w:rsidRDefault="00EB3829" w:rsidP="00061A53">
      <w:pPr>
        <w:ind w:left="426" w:hanging="426"/>
        <w:rPr>
          <w:lang w:val="es-ES"/>
        </w:rPr>
      </w:pPr>
    </w:p>
    <w:p w14:paraId="7D96A9F1" w14:textId="38BCC302" w:rsidR="004F76B3" w:rsidRPr="004009E5" w:rsidRDefault="002A760C" w:rsidP="00061A53">
      <w:pPr>
        <w:ind w:left="426" w:hanging="426"/>
        <w:rPr>
          <w:rFonts w:eastAsia="Times New Roman" w:cstheme="minorHAnsi"/>
          <w:spacing w:val="-2"/>
          <w:sz w:val="22"/>
          <w:szCs w:val="22"/>
          <w:lang w:val="es-ES" w:eastAsia="fr-CA"/>
        </w:rPr>
      </w:pPr>
      <w:r w:rsidRPr="004009E5">
        <w:rPr>
          <w:sz w:val="22"/>
          <w:szCs w:val="22"/>
          <w:lang w:val="es-ES"/>
        </w:rPr>
        <w:t>7</w:t>
      </w:r>
      <w:r w:rsidR="00EB3829" w:rsidRPr="004009E5">
        <w:rPr>
          <w:sz w:val="22"/>
          <w:szCs w:val="22"/>
          <w:lang w:val="es-ES"/>
        </w:rPr>
        <w:t>.</w:t>
      </w:r>
      <w:r w:rsidR="00EB3829" w:rsidRPr="004009E5">
        <w:rPr>
          <w:sz w:val="22"/>
          <w:szCs w:val="22"/>
          <w:lang w:val="es-ES"/>
        </w:rPr>
        <w:tab/>
      </w:r>
      <w:r w:rsidR="004009E5" w:rsidRPr="004009E5">
        <w:rPr>
          <w:sz w:val="22"/>
          <w:szCs w:val="22"/>
          <w:lang w:val="es-ES"/>
        </w:rPr>
        <w:t xml:space="preserve">El Grupo se reunirá virtualmente en noviembre para examinar los materiales y </w:t>
      </w:r>
      <w:r w:rsidR="006738F5">
        <w:rPr>
          <w:sz w:val="22"/>
          <w:szCs w:val="22"/>
          <w:lang w:val="es-ES"/>
        </w:rPr>
        <w:t>planes</w:t>
      </w:r>
      <w:r w:rsidR="004009E5" w:rsidRPr="004009E5">
        <w:rPr>
          <w:sz w:val="22"/>
          <w:szCs w:val="22"/>
          <w:lang w:val="es-ES"/>
        </w:rPr>
        <w:t xml:space="preserve"> para el Día Mundial de los Humedales </w:t>
      </w:r>
      <w:r w:rsidR="009A7975" w:rsidRPr="004009E5">
        <w:rPr>
          <w:sz w:val="22"/>
          <w:szCs w:val="22"/>
          <w:lang w:val="es-ES"/>
        </w:rPr>
        <w:t>2025</w:t>
      </w:r>
      <w:r w:rsidR="006960A9" w:rsidRPr="004009E5">
        <w:rPr>
          <w:sz w:val="22"/>
          <w:szCs w:val="22"/>
          <w:lang w:val="es-ES"/>
        </w:rPr>
        <w:t xml:space="preserve"> </w:t>
      </w:r>
      <w:r w:rsidR="004009E5" w:rsidRPr="004009E5">
        <w:rPr>
          <w:sz w:val="22"/>
          <w:szCs w:val="22"/>
          <w:lang w:val="es-ES"/>
        </w:rPr>
        <w:t xml:space="preserve">y </w:t>
      </w:r>
      <w:r w:rsidR="006738F5">
        <w:rPr>
          <w:sz w:val="22"/>
          <w:szCs w:val="22"/>
          <w:lang w:val="es-ES"/>
        </w:rPr>
        <w:t xml:space="preserve">plantear </w:t>
      </w:r>
      <w:r w:rsidR="004009E5" w:rsidRPr="004009E5">
        <w:rPr>
          <w:sz w:val="22"/>
          <w:szCs w:val="22"/>
          <w:lang w:val="es-ES"/>
        </w:rPr>
        <w:t xml:space="preserve">sugerencias y recomendaciones para </w:t>
      </w:r>
      <w:r w:rsidR="0050048B">
        <w:rPr>
          <w:sz w:val="22"/>
          <w:szCs w:val="22"/>
          <w:lang w:val="es-ES"/>
        </w:rPr>
        <w:t xml:space="preserve">que las </w:t>
      </w:r>
      <w:r w:rsidR="004009E5" w:rsidRPr="004009E5">
        <w:rPr>
          <w:sz w:val="22"/>
          <w:szCs w:val="22"/>
          <w:lang w:val="es-ES"/>
        </w:rPr>
        <w:t xml:space="preserve"> Partes Contratantes y otros interesados</w:t>
      </w:r>
      <w:r w:rsidR="0050048B">
        <w:rPr>
          <w:sz w:val="22"/>
          <w:szCs w:val="22"/>
          <w:lang w:val="es-ES"/>
        </w:rPr>
        <w:t xml:space="preserve"> apliquen la campaña de manera eficaz</w:t>
      </w:r>
      <w:r w:rsidR="00DE04DD" w:rsidRPr="004009E5">
        <w:rPr>
          <w:sz w:val="22"/>
          <w:szCs w:val="22"/>
          <w:lang w:val="es-ES"/>
        </w:rPr>
        <w:t xml:space="preserve">. </w:t>
      </w:r>
      <w:r w:rsidR="00E05D89" w:rsidRPr="004009E5">
        <w:rPr>
          <w:rFonts w:eastAsia="Times New Roman" w:cstheme="minorHAnsi"/>
          <w:spacing w:val="-2"/>
          <w:sz w:val="22"/>
          <w:szCs w:val="22"/>
          <w:lang w:val="es-ES" w:eastAsia="fr-CA"/>
        </w:rPr>
        <w:t xml:space="preserve"> </w:t>
      </w:r>
    </w:p>
    <w:sectPr w:rsidR="004F76B3" w:rsidRPr="004009E5" w:rsidSect="001743A2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497CB" w14:textId="77777777" w:rsidR="005C3E09" w:rsidRDefault="005C3E09" w:rsidP="00625BC9">
      <w:r>
        <w:separator/>
      </w:r>
    </w:p>
  </w:endnote>
  <w:endnote w:type="continuationSeparator" w:id="0">
    <w:p w14:paraId="543951C8" w14:textId="77777777" w:rsidR="005C3E09" w:rsidRDefault="005C3E09" w:rsidP="006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8982" w14:textId="52B9E919" w:rsidR="00F30A19" w:rsidRPr="00F30A19" w:rsidRDefault="00F30A19">
    <w:pPr>
      <w:pStyle w:val="Footer"/>
      <w:rPr>
        <w:sz w:val="20"/>
        <w:szCs w:val="20"/>
        <w:lang w:val="en-GB"/>
      </w:rPr>
    </w:pPr>
    <w:r w:rsidRPr="00F30A19">
      <w:rPr>
        <w:sz w:val="20"/>
        <w:szCs w:val="20"/>
        <w:lang w:val="en-GB"/>
      </w:rPr>
      <w:t>SC6</w:t>
    </w:r>
    <w:r w:rsidR="001E20AA">
      <w:rPr>
        <w:sz w:val="20"/>
        <w:szCs w:val="20"/>
        <w:lang w:val="en-GB"/>
      </w:rPr>
      <w:t>4</w:t>
    </w:r>
    <w:r w:rsidRPr="00F30A19">
      <w:rPr>
        <w:sz w:val="20"/>
        <w:szCs w:val="20"/>
        <w:lang w:val="en-GB"/>
      </w:rPr>
      <w:t xml:space="preserve"> Doc.1</w:t>
    </w:r>
    <w:r w:rsidR="001E20AA">
      <w:rPr>
        <w:sz w:val="20"/>
        <w:szCs w:val="20"/>
        <w:lang w:val="en-GB"/>
      </w:rPr>
      <w:t>5</w:t>
    </w:r>
    <w:r w:rsidRPr="00F30A19">
      <w:rPr>
        <w:sz w:val="20"/>
        <w:szCs w:val="20"/>
        <w:lang w:val="en-GB"/>
      </w:rPr>
      <w:t>.1</w:t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fldChar w:fldCharType="begin"/>
    </w:r>
    <w:r w:rsidRPr="00F30A19">
      <w:rPr>
        <w:sz w:val="20"/>
        <w:szCs w:val="20"/>
        <w:lang w:val="en-GB"/>
      </w:rPr>
      <w:instrText xml:space="preserve"> PAGE   \* MERGEFORMAT </w:instrText>
    </w:r>
    <w:r w:rsidRPr="00F30A19">
      <w:rPr>
        <w:sz w:val="20"/>
        <w:szCs w:val="20"/>
        <w:lang w:val="en-GB"/>
      </w:rPr>
      <w:fldChar w:fldCharType="separate"/>
    </w:r>
    <w:r w:rsidR="004F78DE">
      <w:rPr>
        <w:noProof/>
        <w:sz w:val="20"/>
        <w:szCs w:val="20"/>
        <w:lang w:val="en-GB"/>
      </w:rPr>
      <w:t>2</w:t>
    </w:r>
    <w:r w:rsidRPr="00F30A19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9AC8" w14:textId="77777777" w:rsidR="005C3E09" w:rsidRDefault="005C3E09" w:rsidP="00625BC9">
      <w:r>
        <w:separator/>
      </w:r>
    </w:p>
  </w:footnote>
  <w:footnote w:type="continuationSeparator" w:id="0">
    <w:p w14:paraId="06FF2DE3" w14:textId="77777777" w:rsidR="005C3E09" w:rsidRDefault="005C3E09" w:rsidP="0062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691"/>
    <w:multiLevelType w:val="multilevel"/>
    <w:tmpl w:val="20D6F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496A"/>
    <w:multiLevelType w:val="hybridMultilevel"/>
    <w:tmpl w:val="5C44F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28F"/>
    <w:multiLevelType w:val="hybridMultilevel"/>
    <w:tmpl w:val="8530FF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08C"/>
    <w:multiLevelType w:val="hybridMultilevel"/>
    <w:tmpl w:val="8B001278"/>
    <w:lvl w:ilvl="0" w:tplc="5248E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7D54"/>
    <w:multiLevelType w:val="multilevel"/>
    <w:tmpl w:val="BCE4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D7BB5"/>
    <w:multiLevelType w:val="hybridMultilevel"/>
    <w:tmpl w:val="CA99F6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7859F5"/>
    <w:multiLevelType w:val="hybridMultilevel"/>
    <w:tmpl w:val="BA0AC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5561">
    <w:abstractNumId w:val="4"/>
  </w:num>
  <w:num w:numId="2" w16cid:durableId="1429738802">
    <w:abstractNumId w:val="5"/>
  </w:num>
  <w:num w:numId="3" w16cid:durableId="440229275">
    <w:abstractNumId w:val="2"/>
  </w:num>
  <w:num w:numId="4" w16cid:durableId="780883829">
    <w:abstractNumId w:val="0"/>
  </w:num>
  <w:num w:numId="5" w16cid:durableId="227806380">
    <w:abstractNumId w:val="6"/>
  </w:num>
  <w:num w:numId="6" w16cid:durableId="962345285">
    <w:abstractNumId w:val="1"/>
  </w:num>
  <w:num w:numId="7" w16cid:durableId="47626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9"/>
    <w:rsid w:val="000052F8"/>
    <w:rsid w:val="00015704"/>
    <w:rsid w:val="00033997"/>
    <w:rsid w:val="00035BA6"/>
    <w:rsid w:val="00037577"/>
    <w:rsid w:val="00045D24"/>
    <w:rsid w:val="0005454D"/>
    <w:rsid w:val="00061A53"/>
    <w:rsid w:val="0007341A"/>
    <w:rsid w:val="000A2846"/>
    <w:rsid w:val="000A3859"/>
    <w:rsid w:val="000C0BCB"/>
    <w:rsid w:val="000C7AC5"/>
    <w:rsid w:val="000E021B"/>
    <w:rsid w:val="000E5A83"/>
    <w:rsid w:val="000F6080"/>
    <w:rsid w:val="00104FE5"/>
    <w:rsid w:val="00113D45"/>
    <w:rsid w:val="00120ED8"/>
    <w:rsid w:val="00151AAC"/>
    <w:rsid w:val="00152E04"/>
    <w:rsid w:val="001743A2"/>
    <w:rsid w:val="00175975"/>
    <w:rsid w:val="0017696B"/>
    <w:rsid w:val="001B7086"/>
    <w:rsid w:val="001C5B02"/>
    <w:rsid w:val="001D5D2D"/>
    <w:rsid w:val="001E0626"/>
    <w:rsid w:val="001E20AA"/>
    <w:rsid w:val="001F5ADC"/>
    <w:rsid w:val="00205575"/>
    <w:rsid w:val="00260431"/>
    <w:rsid w:val="00263657"/>
    <w:rsid w:val="002A760C"/>
    <w:rsid w:val="002B57D1"/>
    <w:rsid w:val="002E3AC3"/>
    <w:rsid w:val="002F1BB6"/>
    <w:rsid w:val="0030364B"/>
    <w:rsid w:val="00351428"/>
    <w:rsid w:val="00373EBB"/>
    <w:rsid w:val="00382CF8"/>
    <w:rsid w:val="003C620E"/>
    <w:rsid w:val="003E2BB2"/>
    <w:rsid w:val="004009E5"/>
    <w:rsid w:val="00400A1B"/>
    <w:rsid w:val="00410E62"/>
    <w:rsid w:val="0045107F"/>
    <w:rsid w:val="0045477D"/>
    <w:rsid w:val="004A7D78"/>
    <w:rsid w:val="004C6F51"/>
    <w:rsid w:val="004D7D01"/>
    <w:rsid w:val="004F0971"/>
    <w:rsid w:val="004F76B3"/>
    <w:rsid w:val="004F78DE"/>
    <w:rsid w:val="0050048B"/>
    <w:rsid w:val="00510412"/>
    <w:rsid w:val="005369CC"/>
    <w:rsid w:val="00537B8D"/>
    <w:rsid w:val="005462C6"/>
    <w:rsid w:val="00582A42"/>
    <w:rsid w:val="005B2BC9"/>
    <w:rsid w:val="005B4A54"/>
    <w:rsid w:val="005C3E09"/>
    <w:rsid w:val="005F08C7"/>
    <w:rsid w:val="005F29EC"/>
    <w:rsid w:val="005F7139"/>
    <w:rsid w:val="006204B7"/>
    <w:rsid w:val="00625BC9"/>
    <w:rsid w:val="0065641A"/>
    <w:rsid w:val="006738F5"/>
    <w:rsid w:val="0068753D"/>
    <w:rsid w:val="00694DA8"/>
    <w:rsid w:val="006960A9"/>
    <w:rsid w:val="006C4071"/>
    <w:rsid w:val="006C73C3"/>
    <w:rsid w:val="006D31FA"/>
    <w:rsid w:val="006F25FC"/>
    <w:rsid w:val="006F5F2A"/>
    <w:rsid w:val="00714CFB"/>
    <w:rsid w:val="00717791"/>
    <w:rsid w:val="00717E3F"/>
    <w:rsid w:val="00757609"/>
    <w:rsid w:val="007A5383"/>
    <w:rsid w:val="008066F5"/>
    <w:rsid w:val="00817029"/>
    <w:rsid w:val="00850803"/>
    <w:rsid w:val="00870095"/>
    <w:rsid w:val="0087034E"/>
    <w:rsid w:val="008818A2"/>
    <w:rsid w:val="0088211D"/>
    <w:rsid w:val="00884E62"/>
    <w:rsid w:val="008866AE"/>
    <w:rsid w:val="00895ACA"/>
    <w:rsid w:val="008B3FF8"/>
    <w:rsid w:val="008F05DB"/>
    <w:rsid w:val="008F3886"/>
    <w:rsid w:val="008F5A82"/>
    <w:rsid w:val="00902FF5"/>
    <w:rsid w:val="00906A96"/>
    <w:rsid w:val="009076CB"/>
    <w:rsid w:val="00914B97"/>
    <w:rsid w:val="00920027"/>
    <w:rsid w:val="00930657"/>
    <w:rsid w:val="00936363"/>
    <w:rsid w:val="00945023"/>
    <w:rsid w:val="00945728"/>
    <w:rsid w:val="00945D06"/>
    <w:rsid w:val="00983A36"/>
    <w:rsid w:val="0099703D"/>
    <w:rsid w:val="009A3C67"/>
    <w:rsid w:val="009A7975"/>
    <w:rsid w:val="00A32D44"/>
    <w:rsid w:val="00A40DFF"/>
    <w:rsid w:val="00A628B5"/>
    <w:rsid w:val="00A76193"/>
    <w:rsid w:val="00A834C7"/>
    <w:rsid w:val="00AD3F9F"/>
    <w:rsid w:val="00AF15CB"/>
    <w:rsid w:val="00B03130"/>
    <w:rsid w:val="00B05AAC"/>
    <w:rsid w:val="00B16F12"/>
    <w:rsid w:val="00B25003"/>
    <w:rsid w:val="00B2670A"/>
    <w:rsid w:val="00B6499C"/>
    <w:rsid w:val="00B82120"/>
    <w:rsid w:val="00B901A4"/>
    <w:rsid w:val="00BA4D0E"/>
    <w:rsid w:val="00BB04AF"/>
    <w:rsid w:val="00BB42C2"/>
    <w:rsid w:val="00BF0BC5"/>
    <w:rsid w:val="00C11830"/>
    <w:rsid w:val="00C16199"/>
    <w:rsid w:val="00C37F82"/>
    <w:rsid w:val="00C43C55"/>
    <w:rsid w:val="00C50716"/>
    <w:rsid w:val="00C55A68"/>
    <w:rsid w:val="00C601D7"/>
    <w:rsid w:val="00C65CF7"/>
    <w:rsid w:val="00C70CEA"/>
    <w:rsid w:val="00CB3BA7"/>
    <w:rsid w:val="00CC74A6"/>
    <w:rsid w:val="00CF5664"/>
    <w:rsid w:val="00D07033"/>
    <w:rsid w:val="00D10A19"/>
    <w:rsid w:val="00D117C9"/>
    <w:rsid w:val="00D3472D"/>
    <w:rsid w:val="00D60C9E"/>
    <w:rsid w:val="00D63601"/>
    <w:rsid w:val="00D65DB2"/>
    <w:rsid w:val="00DD0AE8"/>
    <w:rsid w:val="00DD24BF"/>
    <w:rsid w:val="00DE04DD"/>
    <w:rsid w:val="00DE2C52"/>
    <w:rsid w:val="00E05D89"/>
    <w:rsid w:val="00E33F55"/>
    <w:rsid w:val="00E45FED"/>
    <w:rsid w:val="00E63036"/>
    <w:rsid w:val="00EB3829"/>
    <w:rsid w:val="00EF40E1"/>
    <w:rsid w:val="00F1508F"/>
    <w:rsid w:val="00F30A19"/>
    <w:rsid w:val="00F946C3"/>
    <w:rsid w:val="00FE6720"/>
    <w:rsid w:val="0281B982"/>
    <w:rsid w:val="07F2AE6B"/>
    <w:rsid w:val="09917F81"/>
    <w:rsid w:val="151E5C17"/>
    <w:rsid w:val="1850C6F1"/>
    <w:rsid w:val="19A55CF3"/>
    <w:rsid w:val="1A84CF91"/>
    <w:rsid w:val="1A8F201F"/>
    <w:rsid w:val="1E4FFAB6"/>
    <w:rsid w:val="1F3F120C"/>
    <w:rsid w:val="2381E754"/>
    <w:rsid w:val="26E7921D"/>
    <w:rsid w:val="275EDD7E"/>
    <w:rsid w:val="2A2FAAA0"/>
    <w:rsid w:val="38BFB1A5"/>
    <w:rsid w:val="3A4EF257"/>
    <w:rsid w:val="3A8E8373"/>
    <w:rsid w:val="3EE6700D"/>
    <w:rsid w:val="4154F9FA"/>
    <w:rsid w:val="41FDF4BA"/>
    <w:rsid w:val="4717539E"/>
    <w:rsid w:val="49C83AAD"/>
    <w:rsid w:val="4F297026"/>
    <w:rsid w:val="526068AC"/>
    <w:rsid w:val="529C8F23"/>
    <w:rsid w:val="57BB6C9B"/>
    <w:rsid w:val="58462D46"/>
    <w:rsid w:val="5D8C7DBF"/>
    <w:rsid w:val="5E517BD1"/>
    <w:rsid w:val="5EF12327"/>
    <w:rsid w:val="6688D4A0"/>
    <w:rsid w:val="677FA8AB"/>
    <w:rsid w:val="7533164F"/>
    <w:rsid w:val="764E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F6B7"/>
  <w14:defaultImageDpi w14:val="32767"/>
  <w15:chartTrackingRefBased/>
  <w15:docId w15:val="{9EBF7F79-7C6C-684C-AC0B-9998F9E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A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TableGrid">
    <w:name w:val="Table Grid"/>
    <w:basedOn w:val="TableNormal"/>
    <w:uiPriority w:val="39"/>
    <w:rsid w:val="00CF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D44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E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07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B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B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19"/>
  </w:style>
  <w:style w:type="paragraph" w:styleId="Footer">
    <w:name w:val="footer"/>
    <w:basedOn w:val="Normal"/>
    <w:link w:val="Foot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19"/>
  </w:style>
  <w:style w:type="character" w:customStyle="1" w:styleId="Heading1Char">
    <w:name w:val="Heading 1 Char"/>
    <w:basedOn w:val="DefaultParagraphFont"/>
    <w:link w:val="Heading1"/>
    <w:uiPriority w:val="9"/>
    <w:rsid w:val="0088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3829"/>
    <w:pPr>
      <w:ind w:left="720"/>
      <w:contextualSpacing/>
    </w:pPr>
    <w:rPr>
      <w:rFonts w:ascii="Calibri" w:hAnsi="Calibri" w:cs="Calibri"/>
      <w:sz w:val="22"/>
      <w:szCs w:val="22"/>
      <w:lang w:val="en-GB" w:eastAsia="en-GB"/>
      <w14:ligatures w14:val="standardContextual"/>
    </w:rPr>
  </w:style>
  <w:style w:type="paragraph" w:styleId="Revision">
    <w:name w:val="Revision"/>
    <w:hidden/>
    <w:uiPriority w:val="99"/>
    <w:semiHidden/>
    <w:rsid w:val="007A5383"/>
  </w:style>
  <w:style w:type="paragraph" w:customStyle="1" w:styleId="ColorfulList-Accent11">
    <w:name w:val="Colorful List - Accent 11"/>
    <w:basedOn w:val="Normal"/>
    <w:uiPriority w:val="34"/>
    <w:qFormat/>
    <w:rsid w:val="001C5B02"/>
    <w:pPr>
      <w:ind w:left="720" w:hanging="425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79A7-6DEE-487B-AADB-CC669B83C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68883-9089-4CDC-8069-BFA92E5AE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2A107-DB5F-4F3F-9E04-194389CA2722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37581CD8-F596-4BF9-A2FE-3C2AD4A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4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2024-03-04T09:34:00Z</cp:lastPrinted>
  <dcterms:created xsi:type="dcterms:W3CDTF">2024-09-19T15:27:00Z</dcterms:created>
  <dcterms:modified xsi:type="dcterms:W3CDTF">2024-09-19T15:27:00Z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