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8CAD0" w14:textId="77777777" w:rsidR="00853063" w:rsidRPr="00A02AFF" w:rsidRDefault="00853063" w:rsidP="00853063">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t>CONVENTION SUR LES ZONES HUMIDES</w:t>
      </w:r>
    </w:p>
    <w:p w14:paraId="14D95C64" w14:textId="3DE7F20E" w:rsidR="00853063" w:rsidRPr="00A02AFF" w:rsidRDefault="00853063" w:rsidP="00853063">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t>64</w:t>
      </w:r>
      <w:r w:rsidR="00D7145F">
        <w:rPr>
          <w:vertAlign w:val="superscript"/>
        </w:rPr>
        <w:t>e</w:t>
      </w:r>
      <w:r>
        <w:t xml:space="preserve"> </w:t>
      </w:r>
      <w:r w:rsidR="00ED1055">
        <w:t>R</w:t>
      </w:r>
      <w:r>
        <w:t>éunion du Comité permanent</w:t>
      </w:r>
    </w:p>
    <w:p w14:paraId="71BA1F19" w14:textId="77777777" w:rsidR="00853063" w:rsidRPr="00A02AFF" w:rsidRDefault="00853063" w:rsidP="00853063">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t>Gland, Suisse, 20 au 24 janvier 2025</w:t>
      </w:r>
    </w:p>
    <w:p w14:paraId="5A7EBECF" w14:textId="77777777" w:rsidR="00BB1F1D" w:rsidRDefault="00BB1F1D" w:rsidP="00A15734">
      <w:pPr>
        <w:ind w:left="0" w:firstLine="0"/>
        <w:jc w:val="center"/>
        <w:rPr>
          <w:sz w:val="28"/>
          <w:szCs w:val="28"/>
        </w:rPr>
      </w:pPr>
    </w:p>
    <w:p w14:paraId="262D933B" w14:textId="047FDCDF" w:rsidR="00986C83" w:rsidRDefault="00986C83" w:rsidP="00986C83">
      <w:pPr>
        <w:ind w:left="0" w:firstLine="0"/>
        <w:jc w:val="right"/>
        <w:rPr>
          <w:b/>
          <w:bCs/>
          <w:sz w:val="28"/>
          <w:szCs w:val="28"/>
        </w:rPr>
      </w:pPr>
      <w:r>
        <w:rPr>
          <w:b/>
          <w:sz w:val="28"/>
        </w:rPr>
        <w:t>SC64 Doc.19</w:t>
      </w:r>
    </w:p>
    <w:p w14:paraId="63E23D91" w14:textId="77777777" w:rsidR="00986C83" w:rsidRPr="00986C83" w:rsidRDefault="00986C83" w:rsidP="00986C83">
      <w:pPr>
        <w:ind w:left="0" w:firstLine="0"/>
        <w:jc w:val="right"/>
        <w:rPr>
          <w:b/>
          <w:bCs/>
          <w:sz w:val="28"/>
          <w:szCs w:val="28"/>
        </w:rPr>
      </w:pPr>
    </w:p>
    <w:p w14:paraId="1C09E722" w14:textId="269F66B8" w:rsidR="001F6249" w:rsidRPr="00E933F1" w:rsidRDefault="006A2C58" w:rsidP="00E933F1">
      <w:pPr>
        <w:ind w:left="0" w:firstLine="0"/>
        <w:jc w:val="center"/>
        <w:rPr>
          <w:rFonts w:asciiTheme="minorHAnsi" w:hAnsiTheme="minorHAnsi"/>
          <w:b/>
          <w:sz w:val="28"/>
        </w:rPr>
      </w:pPr>
      <w:r>
        <w:rPr>
          <w:rFonts w:asciiTheme="minorHAnsi" w:hAnsiTheme="minorHAnsi"/>
          <w:b/>
          <w:sz w:val="28"/>
        </w:rPr>
        <w:t>Projet de résolution sur l’application future des</w:t>
      </w:r>
      <w:r w:rsidR="00E933F1">
        <w:rPr>
          <w:rFonts w:asciiTheme="minorHAnsi" w:eastAsia="Times New Roman" w:hAnsiTheme="minorHAnsi"/>
          <w:b/>
          <w:bCs/>
          <w:sz w:val="28"/>
          <w:szCs w:val="28"/>
        </w:rPr>
        <w:br/>
      </w:r>
      <w:r>
        <w:rPr>
          <w:rFonts w:asciiTheme="minorHAnsi" w:hAnsiTheme="minorHAnsi"/>
          <w:b/>
          <w:sz w:val="28"/>
        </w:rPr>
        <w:t>aspects scientifiques et techniques de la Convention pour 2026-2028</w:t>
      </w:r>
    </w:p>
    <w:p w14:paraId="42F4B82D" w14:textId="77777777" w:rsidR="001F6249" w:rsidRPr="00A15734" w:rsidRDefault="001F6249" w:rsidP="00A15734">
      <w:pPr>
        <w:ind w:left="0" w:firstLine="0"/>
      </w:pPr>
    </w:p>
    <w:p w14:paraId="60120F5B" w14:textId="43983A02" w:rsidR="001F6249" w:rsidRPr="00986C83" w:rsidRDefault="001F6249" w:rsidP="00A15734">
      <w:pPr>
        <w:ind w:left="0" w:firstLine="0"/>
        <w:rPr>
          <w:rFonts w:asciiTheme="minorHAnsi" w:eastAsia="Times New Roman" w:hAnsiTheme="minorHAnsi"/>
          <w:i/>
        </w:rPr>
      </w:pPr>
      <w:r>
        <w:rPr>
          <w:rFonts w:asciiTheme="minorHAnsi" w:hAnsiTheme="minorHAnsi"/>
          <w:i/>
        </w:rPr>
        <w:t>Présenté par le Groupe d’évaluation scientifique et technique</w:t>
      </w:r>
      <w:r>
        <w:rPr>
          <w:noProof/>
        </w:rPr>
        <mc:AlternateContent>
          <mc:Choice Requires="wps">
            <w:drawing>
              <wp:anchor distT="45720" distB="45720" distL="114300" distR="114300" simplePos="0" relativeHeight="251658240" behindDoc="0" locked="0" layoutInCell="1" allowOverlap="1" wp14:anchorId="2DB2CC49" wp14:editId="1178B223">
                <wp:simplePos x="0" y="0"/>
                <wp:positionH relativeFrom="margin">
                  <wp:align>left</wp:align>
                </wp:positionH>
                <wp:positionV relativeFrom="paragraph">
                  <wp:posOffset>277495</wp:posOffset>
                </wp:positionV>
                <wp:extent cx="5820410" cy="889000"/>
                <wp:effectExtent l="0" t="0" r="2794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89000"/>
                        </a:xfrm>
                        <a:prstGeom prst="rect">
                          <a:avLst/>
                        </a:prstGeom>
                        <a:solidFill>
                          <a:srgbClr val="FFFFFF"/>
                        </a:solidFill>
                        <a:ln w="9525">
                          <a:solidFill>
                            <a:srgbClr val="000000"/>
                          </a:solidFill>
                          <a:miter lim="800000"/>
                          <a:headEnd/>
                          <a:tailEnd/>
                        </a:ln>
                      </wps:spPr>
                      <wps:txbx>
                        <w:txbxContent>
                          <w:p w14:paraId="33B93C97" w14:textId="77777777" w:rsidR="00232065" w:rsidRDefault="00232065" w:rsidP="00232065">
                            <w:pPr>
                              <w:rPr>
                                <w:rFonts w:asciiTheme="minorHAnsi" w:hAnsiTheme="minorHAnsi" w:cs="Calibri"/>
                                <w:b/>
                              </w:rPr>
                            </w:pPr>
                            <w:r>
                              <w:rPr>
                                <w:rFonts w:asciiTheme="minorHAnsi" w:hAnsiTheme="minorHAnsi"/>
                                <w:b/>
                              </w:rPr>
                              <w:t>Mesure requise :</w:t>
                            </w:r>
                          </w:p>
                          <w:p w14:paraId="0F700156" w14:textId="77777777" w:rsidR="00986C83" w:rsidRPr="006659EF" w:rsidRDefault="00986C83" w:rsidP="00232065">
                            <w:pPr>
                              <w:rPr>
                                <w:rFonts w:asciiTheme="minorHAnsi" w:hAnsiTheme="minorHAnsi" w:cs="Calibri"/>
                                <w:b/>
                              </w:rPr>
                            </w:pPr>
                          </w:p>
                          <w:p w14:paraId="64564532" w14:textId="0950FEC3" w:rsidR="00232065" w:rsidRPr="006659EF" w:rsidRDefault="00232065" w:rsidP="007262E4">
                            <w:pPr>
                              <w:widowControl w:val="0"/>
                              <w:ind w:left="0" w:firstLine="0"/>
                              <w:rPr>
                                <w:rFonts w:asciiTheme="minorHAnsi" w:hAnsiTheme="minorHAnsi"/>
                              </w:rPr>
                            </w:pPr>
                            <w:r>
                              <w:rPr>
                                <w:rFonts w:asciiTheme="minorHAnsi" w:hAnsiTheme="minorHAnsi"/>
                              </w:rPr>
                              <w:t>Le Comité permanent est invité à examiner et approuver le projet de résolution ci-après pour examen par la Conférence des Parties à sa 15</w:t>
                            </w:r>
                            <w:r w:rsidR="001A6A63" w:rsidRPr="001A6A63">
                              <w:rPr>
                                <w:rFonts w:asciiTheme="minorHAnsi" w:hAnsiTheme="minorHAnsi"/>
                                <w:vertAlign w:val="superscript"/>
                              </w:rPr>
                              <w:t>e</w:t>
                            </w:r>
                            <w:r>
                              <w:rPr>
                                <w:rFonts w:asciiTheme="minorHAnsi" w:hAnsiTheme="minorHAnsi"/>
                              </w:rPr>
                              <w:t xml:space="preserve"> Session.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B2CC49" id="_x0000_t202" coordsize="21600,21600" o:spt="202" path="m,l,21600r21600,l21600,xe">
                <v:stroke joinstyle="miter"/>
                <v:path gradientshapeok="t" o:connecttype="rect"/>
              </v:shapetype>
              <v:shape id="Text Box 2" o:spid="_x0000_s1026" type="#_x0000_t202" style="position:absolute;margin-left:0;margin-top:21.85pt;width:458.3pt;height:70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">
                <v:textbox>
                  <w:txbxContent>
                    <w:p w14:paraId="33B93C97" w14:textId="77777777" w:rsidR="00232065" w:rsidRDefault="00232065" w:rsidP="00232065">
                      <w:pPr>
                        <w:rPr>
                          <w:rFonts w:asciiTheme="minorHAnsi" w:hAnsiTheme="minorHAnsi" w:cs="Calibri"/>
                          <w:b/>
                        </w:rPr>
                      </w:pPr>
                      <w:r>
                        <w:rPr>
                          <w:rFonts w:asciiTheme="minorHAnsi" w:hAnsiTheme="minorHAnsi"/>
                          <w:b/>
                        </w:rPr>
                        <w:t>Mesure requise :</w:t>
                      </w:r>
                    </w:p>
                    <w:p w14:paraId="0F700156" w14:textId="77777777" w:rsidR="00986C83" w:rsidRPr="006659EF" w:rsidRDefault="00986C83" w:rsidP="00232065">
                      <w:pPr>
                        <w:rPr>
                          <w:rFonts w:asciiTheme="minorHAnsi" w:hAnsiTheme="minorHAnsi" w:cs="Calibri"/>
                          <w:b/>
                        </w:rPr>
                      </w:pPr>
                    </w:p>
                    <w:p w14:paraId="64564532" w14:textId="0950FEC3" w:rsidR="00232065" w:rsidRPr="006659EF" w:rsidRDefault="00232065" w:rsidP="007262E4">
                      <w:pPr>
                        <w:widowControl w:val="0"/>
                        <w:ind w:left="0" w:firstLine="0"/>
                        <w:rPr>
                          <w:rFonts w:asciiTheme="minorHAnsi" w:hAnsiTheme="minorHAnsi"/>
                        </w:rPr>
                      </w:pPr>
                      <w:r>
                        <w:rPr>
                          <w:rFonts w:asciiTheme="minorHAnsi" w:hAnsiTheme="minorHAnsi"/>
                        </w:rPr>
                        <w:t>Le Comité permanent est invité à examiner et approuver le projet de résolution ci-après pour examen par la Conférence des Parties à sa 15</w:t>
                      </w:r>
                      <w:r w:rsidR="001A6A63" w:rsidRPr="001A6A63">
                        <w:rPr>
                          <w:rFonts w:asciiTheme="minorHAnsi" w:hAnsiTheme="minorHAnsi"/>
                          <w:vertAlign w:val="superscript"/>
                        </w:rPr>
                        <w:t>e</w:t>
                      </w:r>
                      <w:r>
                        <w:rPr>
                          <w:rFonts w:asciiTheme="minorHAnsi" w:hAnsiTheme="minorHAnsi"/>
                        </w:rPr>
                        <w:t xml:space="preserve"> Session.</w:t>
                      </w:r>
                    </w:p>
                  </w:txbxContent>
                </v:textbox>
                <w10:wrap type="square" anchorx="margin"/>
              </v:shape>
            </w:pict>
          </mc:Fallback>
        </mc:AlternateContent>
      </w:r>
    </w:p>
    <w:p w14:paraId="5B7C026B" w14:textId="77777777" w:rsidR="006D05FE" w:rsidRDefault="006D05FE" w:rsidP="00A15734">
      <w:pPr>
        <w:ind w:left="0" w:firstLine="0"/>
      </w:pPr>
    </w:p>
    <w:p w14:paraId="3FDCFE1B" w14:textId="77777777" w:rsidR="00986C83" w:rsidRPr="00A15734" w:rsidRDefault="00986C83" w:rsidP="00A15734">
      <w:pPr>
        <w:ind w:left="0" w:firstLine="0"/>
      </w:pPr>
    </w:p>
    <w:p w14:paraId="3F759B96" w14:textId="77777777" w:rsidR="001F6249" w:rsidRPr="003F7858" w:rsidRDefault="001F6249" w:rsidP="00A15734">
      <w:pPr>
        <w:ind w:left="0" w:firstLine="0"/>
        <w:rPr>
          <w:rFonts w:cs="Arial"/>
          <w:b/>
        </w:rPr>
      </w:pPr>
      <w:r>
        <w:rPr>
          <w:b/>
        </w:rPr>
        <w:t>Introduction</w:t>
      </w:r>
    </w:p>
    <w:p w14:paraId="7670C81C" w14:textId="77777777" w:rsidR="001F6249" w:rsidRDefault="001F6249" w:rsidP="00A15734">
      <w:pPr>
        <w:ind w:left="0" w:firstLine="0"/>
        <w:rPr>
          <w:rFonts w:cs="Arial"/>
          <w:iCs/>
        </w:rPr>
      </w:pPr>
    </w:p>
    <w:p w14:paraId="5FB9DAC0" w14:textId="42DEF855" w:rsidR="00232065" w:rsidRPr="001D776D" w:rsidRDefault="00262FE6" w:rsidP="00A15734">
      <w:pPr>
        <w:ind w:left="0" w:firstLine="0"/>
        <w:rPr>
          <w:rFonts w:cs="Arial"/>
          <w:i/>
          <w:iCs/>
        </w:rPr>
      </w:pPr>
      <w:r>
        <w:rPr>
          <w:i/>
        </w:rPr>
        <w:t xml:space="preserve">Pour la période triennale 2026-2028, le Groupe d’évaluation scientifique et technique (GEST) a identifié </w:t>
      </w:r>
      <w:r w:rsidR="00FF7B82">
        <w:rPr>
          <w:i/>
        </w:rPr>
        <w:t>plusieurs</w:t>
      </w:r>
      <w:r>
        <w:rPr>
          <w:i/>
        </w:rPr>
        <w:t xml:space="preserve"> nouvelles priorités scientifiques et techniques pour lesquelles un examen et des mesures s’imposent. Parmi ces priorités figurent l’amélioration du suivi et des rapports sur les caractéristiques écologiques des zones humides d'importance internationale, </w:t>
      </w:r>
      <w:r w:rsidR="0006466B">
        <w:rPr>
          <w:i/>
        </w:rPr>
        <w:t>l’amélioration de</w:t>
      </w:r>
      <w:r>
        <w:rPr>
          <w:i/>
        </w:rPr>
        <w:t xml:space="preserve"> la cartographie et </w:t>
      </w:r>
      <w:r w:rsidR="00C31CD6">
        <w:rPr>
          <w:i/>
        </w:rPr>
        <w:t>des</w:t>
      </w:r>
      <w:r>
        <w:rPr>
          <w:i/>
        </w:rPr>
        <w:t xml:space="preserve"> outils pour l'inventaire</w:t>
      </w:r>
      <w:r w:rsidR="003B7EC1">
        <w:rPr>
          <w:i/>
        </w:rPr>
        <w:t xml:space="preserve">, </w:t>
      </w:r>
      <w:r>
        <w:rPr>
          <w:i/>
        </w:rPr>
        <w:t xml:space="preserve">l’évaluation des </w:t>
      </w:r>
      <w:r w:rsidR="003B7EC1">
        <w:rPr>
          <w:i/>
        </w:rPr>
        <w:t>incidences</w:t>
      </w:r>
      <w:r>
        <w:rPr>
          <w:i/>
        </w:rPr>
        <w:t xml:space="preserve"> </w:t>
      </w:r>
      <w:r w:rsidR="00C31CD6">
        <w:rPr>
          <w:i/>
        </w:rPr>
        <w:t>négatives</w:t>
      </w:r>
      <w:r>
        <w:rPr>
          <w:i/>
        </w:rPr>
        <w:t xml:space="preserve"> des floraisons d’algues et des feux</w:t>
      </w:r>
      <w:r w:rsidR="003B7EC1">
        <w:rPr>
          <w:i/>
        </w:rPr>
        <w:t xml:space="preserve"> ainsi que</w:t>
      </w:r>
      <w:r>
        <w:rPr>
          <w:i/>
        </w:rPr>
        <w:t xml:space="preserve"> les prochaines Perspectives mondiales des zones humides. Le projet de résolution charge également le Secrétariat de publier les prochains appel</w:t>
      </w:r>
      <w:r w:rsidR="005E386D">
        <w:rPr>
          <w:i/>
        </w:rPr>
        <w:t>s</w:t>
      </w:r>
      <w:r>
        <w:rPr>
          <w:i/>
        </w:rPr>
        <w:t xml:space="preserve"> à nominations pour les membres du GEST à la suite de la </w:t>
      </w:r>
      <w:r w:rsidR="00902FC5">
        <w:rPr>
          <w:i/>
        </w:rPr>
        <w:t>réunion</w:t>
      </w:r>
      <w:r>
        <w:rPr>
          <w:i/>
        </w:rPr>
        <w:t xml:space="preserve"> annuelle du Comité permanent, dans l’année précédant la session de la COP. Un nouveau Groupe </w:t>
      </w:r>
      <w:r w:rsidR="005565AE">
        <w:rPr>
          <w:i/>
        </w:rPr>
        <w:t>pourra ainsi être</w:t>
      </w:r>
      <w:r>
        <w:rPr>
          <w:i/>
        </w:rPr>
        <w:t xml:space="preserve"> immédiatement </w:t>
      </w:r>
      <w:r w:rsidR="005565AE">
        <w:rPr>
          <w:i/>
        </w:rPr>
        <w:t xml:space="preserve">désigné </w:t>
      </w:r>
      <w:r>
        <w:rPr>
          <w:i/>
        </w:rPr>
        <w:t>après la COP, ce qui lui offrira plus de temps pour élaborer et mettre en œuvre le plan de travail du GEST.</w:t>
      </w:r>
    </w:p>
    <w:p w14:paraId="58933B88" w14:textId="77777777" w:rsidR="002D590D" w:rsidRPr="00A15734" w:rsidRDefault="002D590D" w:rsidP="00A15734">
      <w:pPr>
        <w:ind w:left="0" w:firstLine="0"/>
        <w:rPr>
          <w:rFonts w:cs="Arial"/>
          <w:iCs/>
        </w:rPr>
      </w:pPr>
    </w:p>
    <w:p w14:paraId="7809D170" w14:textId="3E2D1E56" w:rsidR="001F6249" w:rsidRPr="003F7858" w:rsidRDefault="001F6249" w:rsidP="00A15734">
      <w:pPr>
        <w:ind w:left="0" w:firstLine="0"/>
        <w:rPr>
          <w:rFonts w:cs="Arial"/>
          <w:i/>
        </w:rPr>
      </w:pPr>
      <w:r>
        <w:rPr>
          <w:i/>
        </w:rPr>
        <w:t>Incidences financières de la mise en œuvre</w:t>
      </w:r>
    </w:p>
    <w:p w14:paraId="2BB49FCA" w14:textId="77777777" w:rsidR="001F6249" w:rsidRDefault="001F6249" w:rsidP="00A15734">
      <w:pPr>
        <w:ind w:left="0" w:firstLine="0"/>
        <w:rPr>
          <w:rFonts w:cs="Arial"/>
        </w:rPr>
      </w:pPr>
    </w:p>
    <w:p w14:paraId="73540BAB" w14:textId="16A603AA" w:rsidR="005E400E" w:rsidRPr="001D776D" w:rsidRDefault="00771608" w:rsidP="00A15734">
      <w:pPr>
        <w:ind w:left="0" w:firstLine="0"/>
        <w:rPr>
          <w:rFonts w:cs="Arial"/>
          <w:i/>
          <w:iCs/>
        </w:rPr>
      </w:pPr>
      <w:r>
        <w:rPr>
          <w:i/>
        </w:rPr>
        <w:t>Les activités du GEST sont financées par le budget administratif. L’allocation de ce budget permet au GEST de mener à bien son rôle visant à fournir des orientations scientifiques et techniques, et couvre les coûts liés à des fonctions essentielles comme la préparation des rapports techniques et des documents d’orientation ainsi que l'organisation des réunions.</w:t>
      </w:r>
    </w:p>
    <w:p w14:paraId="331D2F46" w14:textId="77777777" w:rsidR="00771608" w:rsidRPr="001D776D" w:rsidRDefault="00771608" w:rsidP="00A15734">
      <w:pPr>
        <w:ind w:left="0" w:firstLine="0"/>
        <w:rPr>
          <w:rFonts w:cs="Arial"/>
          <w:i/>
          <w:iCs/>
        </w:rPr>
      </w:pPr>
    </w:p>
    <w:p w14:paraId="019174E6" w14:textId="5177AA12" w:rsidR="00771608" w:rsidRPr="001D776D" w:rsidRDefault="000952D8" w:rsidP="00A15734">
      <w:pPr>
        <w:ind w:left="0" w:firstLine="0"/>
        <w:rPr>
          <w:rFonts w:cs="Arial"/>
          <w:i/>
          <w:iCs/>
        </w:rPr>
      </w:pPr>
      <w:r>
        <w:rPr>
          <w:i/>
        </w:rPr>
        <w:t xml:space="preserve">Les exigences financières détaillées pour la mise en œuvre des tâches prioritaires (Annexe 2) ne </w:t>
      </w:r>
      <w:r w:rsidR="00C97532">
        <w:rPr>
          <w:i/>
        </w:rPr>
        <w:t>seront</w:t>
      </w:r>
      <w:r>
        <w:rPr>
          <w:i/>
        </w:rPr>
        <w:t xml:space="preserve"> entièrement disponibles qu’après l’élaboration du plan de travail du GEST pour la période triennale 2026-2028. Toutefois, il convient de noter que les ressources allouées par le budget administratif n’ont pas suffi à couvrir l’ensemble des activités pendant la période triennale 2022-2025, environ 35 % des activités de cette période ayant été financées par des contributions volontaires. En outre, le GEST n’a pas été en mesure de mettre en œuvre l’ensemble des tâches hautement prioritaires à cause de contraintes </w:t>
      </w:r>
      <w:r w:rsidR="00C97532">
        <w:rPr>
          <w:i/>
        </w:rPr>
        <w:t>liées au</w:t>
      </w:r>
      <w:r>
        <w:rPr>
          <w:i/>
        </w:rPr>
        <w:t xml:space="preserve"> financement et </w:t>
      </w:r>
      <w:r w:rsidR="00C97532">
        <w:rPr>
          <w:i/>
        </w:rPr>
        <w:t>aux</w:t>
      </w:r>
      <w:r>
        <w:rPr>
          <w:i/>
        </w:rPr>
        <w:t xml:space="preserve"> ressources humaines. </w:t>
      </w:r>
      <w:r w:rsidR="00782C76">
        <w:rPr>
          <w:i/>
        </w:rPr>
        <w:t>À</w:t>
      </w:r>
      <w:r>
        <w:rPr>
          <w:i/>
        </w:rPr>
        <w:t xml:space="preserve"> cet égard, il faut s’attendre à devoir fournir des contributions financières supplémentaires pour </w:t>
      </w:r>
      <w:proofErr w:type="gramStart"/>
      <w:r>
        <w:rPr>
          <w:i/>
        </w:rPr>
        <w:t>permettre</w:t>
      </w:r>
      <w:proofErr w:type="gramEnd"/>
      <w:r>
        <w:rPr>
          <w:i/>
        </w:rPr>
        <w:t xml:space="preserve"> au GEST de mettre en œuvre la totalité de son prochain plan de travail et répondre efficacement aux demandes des Parties contractantes formulées lors de la COP et des </w:t>
      </w:r>
      <w:r w:rsidR="004C2AC0">
        <w:rPr>
          <w:i/>
        </w:rPr>
        <w:t>réunions</w:t>
      </w:r>
      <w:r>
        <w:rPr>
          <w:i/>
        </w:rPr>
        <w:t xml:space="preserve"> du</w:t>
      </w:r>
      <w:r w:rsidR="00F802F1">
        <w:rPr>
          <w:i/>
        </w:rPr>
        <w:t> </w:t>
      </w:r>
      <w:r>
        <w:rPr>
          <w:i/>
        </w:rPr>
        <w:t>CP.</w:t>
      </w:r>
    </w:p>
    <w:p w14:paraId="684A483F" w14:textId="1161C208" w:rsidR="001F6249" w:rsidRPr="003F7858" w:rsidRDefault="00B33B5F" w:rsidP="00F802F1">
      <w:pPr>
        <w:ind w:left="0" w:firstLine="0"/>
        <w:rPr>
          <w:rFonts w:asciiTheme="minorHAnsi" w:eastAsia="Times New Roman" w:hAnsiTheme="minorHAnsi"/>
          <w:b/>
          <w:bCs/>
        </w:rPr>
      </w:pPr>
      <w:r>
        <w:br w:type="page"/>
      </w:r>
      <w:r w:rsidR="001F6249">
        <w:rPr>
          <w:rFonts w:asciiTheme="minorHAnsi" w:hAnsiTheme="minorHAnsi"/>
          <w:b/>
        </w:rPr>
        <w:lastRenderedPageBreak/>
        <w:t xml:space="preserve">Projet de résolution </w:t>
      </w:r>
      <w:proofErr w:type="spellStart"/>
      <w:r w:rsidR="001F6249">
        <w:rPr>
          <w:rFonts w:asciiTheme="minorHAnsi" w:hAnsiTheme="minorHAnsi"/>
          <w:b/>
        </w:rPr>
        <w:t>XV.xx</w:t>
      </w:r>
      <w:proofErr w:type="spellEnd"/>
      <w:r w:rsidR="001F6249">
        <w:rPr>
          <w:rFonts w:asciiTheme="minorHAnsi" w:hAnsiTheme="minorHAnsi"/>
          <w:b/>
        </w:rPr>
        <w:t xml:space="preserve"> sur l’application future des aspects scientifiques et techniques de la Convention pour 2026-2028</w:t>
      </w:r>
    </w:p>
    <w:p w14:paraId="04C27A99" w14:textId="6801327A" w:rsidR="001F6249" w:rsidRDefault="001F6249" w:rsidP="00A15734">
      <w:pPr>
        <w:ind w:left="0" w:firstLine="0"/>
        <w:rPr>
          <w:rFonts w:asciiTheme="minorHAnsi" w:hAnsiTheme="minorHAnsi"/>
        </w:rPr>
      </w:pPr>
    </w:p>
    <w:p w14:paraId="61120BEB" w14:textId="5A665A2D" w:rsidR="004502D6" w:rsidRPr="004502D6" w:rsidRDefault="004502D6" w:rsidP="004502D6">
      <w:r>
        <w:t>1.</w:t>
      </w:r>
      <w:r>
        <w:tab/>
      </w:r>
      <w:r>
        <w:rPr>
          <w:rFonts w:asciiTheme="minorHAnsi" w:hAnsiTheme="minorHAnsi"/>
        </w:rPr>
        <w:t>RAPPELANT la Résolution XII.5</w:t>
      </w:r>
      <w:r w:rsidR="00B5793F">
        <w:t xml:space="preserve">, </w:t>
      </w:r>
      <w:r>
        <w:t xml:space="preserve">qui établit un nouveau cadre pour la fourniture d’avis et d’orientations scientifiques et techniques au titre de la Convention, et </w:t>
      </w:r>
      <w:r w:rsidR="00024133">
        <w:t xml:space="preserve">qui </w:t>
      </w:r>
      <w:r>
        <w:t>amende le modus operandi du Groupe d’évaluation scientifique et technique (GEST)</w:t>
      </w:r>
      <w:r w:rsidR="00024133">
        <w:t xml:space="preserve"> </w:t>
      </w:r>
      <w:r>
        <w:t>;</w:t>
      </w:r>
    </w:p>
    <w:p w14:paraId="0C603348" w14:textId="77777777" w:rsidR="004502D6" w:rsidRPr="004502D6" w:rsidRDefault="004502D6" w:rsidP="004502D6"/>
    <w:p w14:paraId="619BFCC3" w14:textId="13196671" w:rsidR="004502D6" w:rsidRPr="004502D6" w:rsidRDefault="004502D6" w:rsidP="004502D6">
      <w:r>
        <w:t>2.</w:t>
      </w:r>
      <w:r>
        <w:tab/>
        <w:t>RAPPELANT le paragraphe 16 de la Résolution XII.5</w:t>
      </w:r>
      <w:r w:rsidR="00B5793F">
        <w:t xml:space="preserve">, </w:t>
      </w:r>
      <w:r>
        <w:t>qui souligne la nécessité de modifier l’organisation et les processus du GEST par des décisions de la Conférence des Parties (COP), et le paragraphe 23 de la Résolution XII.5 insistant sur la nécessité de veiller à ce que le GEST dispose des ressources nécessaires pour mener à bien ses travaux ;</w:t>
      </w:r>
    </w:p>
    <w:p w14:paraId="383CBA1A" w14:textId="77777777" w:rsidR="004502D6" w:rsidRPr="004502D6" w:rsidRDefault="004502D6" w:rsidP="004502D6"/>
    <w:p w14:paraId="0CBC5B8E" w14:textId="4985F0E6" w:rsidR="004502D6" w:rsidRPr="004502D6" w:rsidRDefault="004502D6" w:rsidP="004502D6">
      <w:r>
        <w:t>3.</w:t>
      </w:r>
      <w:r>
        <w:tab/>
        <w:t xml:space="preserve">RAPPELANT EN OUTRE le paragraphe 44 de l’Annexe 1 de la Résolution XII.5, qui demande au GEST, en consultation avec le Secrétariat et le Comité permanent, </w:t>
      </w:r>
      <w:r w:rsidR="00056DAD">
        <w:t>« </w:t>
      </w:r>
      <w:r>
        <w:t>d’identifier les priorités scientifiques et techniques pour la nouvelle période triennale, les besoins financiers prévus et d’indiquer les organisations partenaires potentielles, pour examen par la Conférence des Parties » ;</w:t>
      </w:r>
    </w:p>
    <w:p w14:paraId="3110FD7A" w14:textId="77777777" w:rsidR="004502D6" w:rsidRPr="004502D6" w:rsidRDefault="004502D6" w:rsidP="004502D6"/>
    <w:p w14:paraId="73D8EF35" w14:textId="191716DD" w:rsidR="004502D6" w:rsidRPr="004502D6" w:rsidRDefault="004502D6" w:rsidP="004502D6">
      <w:r>
        <w:t>4.</w:t>
      </w:r>
      <w:r>
        <w:tab/>
        <w:t xml:space="preserve">RAPPELANT AUSSI le paragraphe 45 de l’Annexe 1 de la Résolution XII.5, qui stipule que les priorités scientifiques et techniques doivent « refléter le contenu du Plan stratégique de la Convention, les résolutions de la COP précédente et toute autre question prioritaire qui aura été identifiée par les réseaux des zones humides régionaux ou mondiaux </w:t>
      </w:r>
      <w:proofErr w:type="gramStart"/>
      <w:r>
        <w:t>»;</w:t>
      </w:r>
      <w:proofErr w:type="gramEnd"/>
    </w:p>
    <w:p w14:paraId="6405B618" w14:textId="77777777" w:rsidR="004502D6" w:rsidRPr="004502D6" w:rsidRDefault="004502D6" w:rsidP="004502D6"/>
    <w:p w14:paraId="641D0D78" w14:textId="757BEB05" w:rsidR="00656F99" w:rsidRPr="00B97916" w:rsidRDefault="00FD307D" w:rsidP="0063226F">
      <w:r>
        <w:t>5.</w:t>
      </w:r>
      <w:r>
        <w:tab/>
        <w:t xml:space="preserve">NOTANT AVEC APPRÉCIATION les contributions fournies par les membres du GEST, les Organisations internationales partenaires (OIP), les observateurs et les Correspondants nationaux du GEST lors de la précédente période triennale ; REMERCIANT Danone, le Gouvernement de Finlande, le Gouvernement de Norvège et le Gouvernement du Royaume-Uni de Grande-Bretagne et d’Irlande du Nord pour leurs contributions financières généreuses en vue de soutenir la mise en </w:t>
      </w:r>
      <w:r w:rsidR="00974B3B">
        <w:t>œuvre</w:t>
      </w:r>
      <w:r>
        <w:t xml:space="preserve"> des tâches du GEST ; </w:t>
      </w:r>
      <w:r w:rsidR="00974B3B">
        <w:t>et</w:t>
      </w:r>
      <w:r>
        <w:t xml:space="preserve"> REMERCIANT </w:t>
      </w:r>
      <w:r w:rsidR="00782C76">
        <w:t>É</w:t>
      </w:r>
      <w:r>
        <w:t>GALEMENT le Secrétariat pour son précieux soutien ;</w:t>
      </w:r>
    </w:p>
    <w:p w14:paraId="499A9E9E" w14:textId="77777777" w:rsidR="00656F99" w:rsidRDefault="00656F99" w:rsidP="00656F99"/>
    <w:p w14:paraId="4BC3EE10" w14:textId="3EDF36D5" w:rsidR="00656F99" w:rsidRDefault="00FD307D" w:rsidP="00656F99">
      <w:r>
        <w:t>6.</w:t>
      </w:r>
      <w:r>
        <w:tab/>
        <w:t>RAPPELANT la Décision intersessions 04 pré-SC62 du Comité permanent, qui approuve le plan de travail du Groupe d’évaluation scientifique et technique pour 2023-2025</w:t>
      </w:r>
      <w:r w:rsidR="00905C48" w:rsidRPr="00923DB9">
        <w:rPr>
          <w:rStyle w:val="FootnoteReference"/>
        </w:rPr>
        <w:footnoteReference w:id="2"/>
      </w:r>
      <w:r w:rsidR="008B0890">
        <w:t xml:space="preserve"> </w:t>
      </w:r>
      <w:r>
        <w:t>;</w:t>
      </w:r>
    </w:p>
    <w:p w14:paraId="157E5F71" w14:textId="77777777" w:rsidR="003270B8" w:rsidRDefault="003270B8" w:rsidP="00656F99"/>
    <w:p w14:paraId="6B857899" w14:textId="07FB044A" w:rsidR="003270B8" w:rsidRDefault="00FD307D" w:rsidP="00656F99">
      <w:r>
        <w:t>7.</w:t>
      </w:r>
      <w:r>
        <w:tab/>
        <w:t xml:space="preserve">RAPPELANT </w:t>
      </w:r>
      <w:r w:rsidR="00782C76">
        <w:t>É</w:t>
      </w:r>
      <w:r>
        <w:t>GALEMENT la Décision SC63-30 du Comité permanent, qui donne instruction au GEST d</w:t>
      </w:r>
      <w:r w:rsidR="00974B3B">
        <w:t>e mener</w:t>
      </w:r>
      <w:r>
        <w:t xml:space="preserve"> un examen du Système Ramsar de classification des types de zones humides en tant que tâche hautement prioritaire pour la prochaine période triennale, et d'organiser une consultation avec des spécialistes de l’observation de la Terre afin de mettre au point des outils pour inventorier, évaluer, surveiller et conserver les zones humides</w:t>
      </w:r>
      <w:r w:rsidR="00974B3B">
        <w:t xml:space="preserve"> </w:t>
      </w:r>
      <w:r>
        <w:t>; et</w:t>
      </w:r>
    </w:p>
    <w:p w14:paraId="357F4C9E" w14:textId="77777777" w:rsidR="000026B0" w:rsidRDefault="000026B0" w:rsidP="00656F99"/>
    <w:p w14:paraId="626EE247" w14:textId="6FD741A6" w:rsidR="000026B0" w:rsidRDefault="00114856" w:rsidP="00656F99">
      <w:r>
        <w:t>8.</w:t>
      </w:r>
      <w:r>
        <w:tab/>
        <w:t xml:space="preserve">RAPPELANT EN OUTRE le paragraphe 23 de la Résolution XIII.10, </w:t>
      </w:r>
      <w:r>
        <w:rPr>
          <w:i/>
        </w:rPr>
        <w:t>État des sites inscrits sur la Liste des zones humides d’importance internationale</w:t>
      </w:r>
      <w:r>
        <w:t xml:space="preserve">, qui demande au Secrétariat d’étudier les possibilités, et les coûts associés, de travailler avec les organisations d’observation de la Terre, notamment le Group on </w:t>
      </w:r>
      <w:proofErr w:type="spellStart"/>
      <w:r>
        <w:t>Earth</w:t>
      </w:r>
      <w:proofErr w:type="spellEnd"/>
      <w:r>
        <w:t xml:space="preserve"> Observations (GEO), afin de mettre à la disposition des Parties contractantes les données d’observation de la Terre ainsi que leurs outils de suivi, pour les inventaires nationaux des zones humides ou le suivi des changements intervenus dans les zones humides d’importance internationale ;</w:t>
      </w:r>
    </w:p>
    <w:p w14:paraId="4DEBAF64" w14:textId="77777777" w:rsidR="00727FFD" w:rsidRPr="00D52729" w:rsidRDefault="00727FFD" w:rsidP="00E55DA4">
      <w:pPr>
        <w:ind w:left="0" w:firstLine="0"/>
        <w:rPr>
          <w:rFonts w:asciiTheme="minorHAnsi" w:hAnsiTheme="minorHAnsi"/>
          <w:color w:val="000000"/>
        </w:rPr>
      </w:pPr>
    </w:p>
    <w:p w14:paraId="2DC06B36" w14:textId="77777777" w:rsidR="001F6249" w:rsidRPr="003F7858" w:rsidRDefault="001F6249" w:rsidP="00722542">
      <w:pPr>
        <w:keepNext/>
        <w:ind w:left="431" w:hanging="431"/>
        <w:jc w:val="center"/>
        <w:rPr>
          <w:rFonts w:asciiTheme="minorHAnsi" w:eastAsia="Times New Roman" w:hAnsiTheme="minorHAnsi"/>
        </w:rPr>
      </w:pPr>
      <w:r>
        <w:rPr>
          <w:rFonts w:asciiTheme="minorHAnsi" w:hAnsiTheme="minorHAnsi"/>
        </w:rPr>
        <w:lastRenderedPageBreak/>
        <w:t>LA CONFÉRENCE DES PARTIES CONTRACTANTES</w:t>
      </w:r>
    </w:p>
    <w:p w14:paraId="49DDBE66" w14:textId="77777777" w:rsidR="001F6249" w:rsidRPr="003F7858" w:rsidRDefault="001F6249" w:rsidP="00722542">
      <w:pPr>
        <w:keepNext/>
        <w:ind w:left="431" w:hanging="431"/>
        <w:rPr>
          <w:rFonts w:asciiTheme="minorHAnsi" w:hAnsiTheme="minorHAnsi"/>
        </w:rPr>
      </w:pPr>
    </w:p>
    <w:p w14:paraId="5ADE2958" w14:textId="5E7667B1" w:rsidR="001F6249" w:rsidRPr="00D52729" w:rsidRDefault="00B66C59" w:rsidP="00D52729">
      <w:pPr>
        <w:rPr>
          <w:rFonts w:asciiTheme="minorHAnsi" w:hAnsiTheme="minorHAnsi"/>
          <w:color w:val="000000"/>
        </w:rPr>
      </w:pPr>
      <w:r>
        <w:t>9.</w:t>
      </w:r>
      <w:r>
        <w:tab/>
        <w:t xml:space="preserve">SE FÉLICITE des publications du Groupe d’évaluation scientifique et technique (GEST) au cours de la période triennale 2023-2025, énumérées dans l’Annexe 1 de la présente Résolution </w:t>
      </w:r>
      <w:r>
        <w:rPr>
          <w:rFonts w:asciiTheme="minorHAnsi" w:hAnsiTheme="minorHAnsi"/>
          <w:color w:val="000000"/>
        </w:rPr>
        <w:t xml:space="preserve">; et </w:t>
      </w:r>
      <w:r>
        <w:t>PRIE INSTAMMENT les Parties contractantes, les gestionnaires de zones humides d'importance internationale ainsi que les autres gestionnaires de zones humides, les Organisations internationales partenaires (OIP), les organisations internationales et non</w:t>
      </w:r>
      <w:r w:rsidR="00782C76">
        <w:t xml:space="preserve"> </w:t>
      </w:r>
      <w:r>
        <w:t>gouvernementales, les institutions universitaires et de recherche ainsi que les autres acteurs impliqués dans la conservation et la gestion des zones humides</w:t>
      </w:r>
      <w:r w:rsidR="00782C76">
        <w:t xml:space="preserve"> </w:t>
      </w:r>
      <w:r w:rsidR="00125BDB">
        <w:t>de</w:t>
      </w:r>
      <w:r>
        <w:t xml:space="preserve"> les utiliser pleinement pour la conservation et l’utilisation rationnelle des zones humides ;</w:t>
      </w:r>
    </w:p>
    <w:p w14:paraId="17E4EA17" w14:textId="77777777" w:rsidR="001F6249" w:rsidRDefault="001F6249" w:rsidP="00D52729">
      <w:pPr>
        <w:rPr>
          <w:rFonts w:asciiTheme="minorHAnsi" w:hAnsiTheme="minorHAnsi"/>
          <w:color w:val="000000"/>
        </w:rPr>
      </w:pPr>
    </w:p>
    <w:p w14:paraId="58FDE9BC" w14:textId="7044018E" w:rsidR="00FD52B3" w:rsidRDefault="00B66C59" w:rsidP="00D36BFA">
      <w:r>
        <w:t>10.</w:t>
      </w:r>
      <w:r>
        <w:tab/>
        <w:t xml:space="preserve">INVITE les Parties contractantes à la Convention, les OIP et les autres acteurs </w:t>
      </w:r>
      <w:r w:rsidR="002E32A4">
        <w:t>concernés</w:t>
      </w:r>
      <w:r>
        <w:t xml:space="preserve"> à promouvoir et diffuser à grande échelle les publications du GEST, y compris les </w:t>
      </w:r>
      <w:r>
        <w:rPr>
          <w:i/>
        </w:rPr>
        <w:t>Perspectives mondiales des zones humides : Édition spéciale 2025</w:t>
      </w:r>
      <w:r>
        <w:t xml:space="preserve"> ;</w:t>
      </w:r>
    </w:p>
    <w:p w14:paraId="3BB12A37" w14:textId="77777777" w:rsidR="00FD52B3" w:rsidRDefault="00FD52B3" w:rsidP="00D52729"/>
    <w:p w14:paraId="7CA5F2B7" w14:textId="5C896F30" w:rsidR="00C72B3F" w:rsidRDefault="00B66C59" w:rsidP="00D52729">
      <w:pPr>
        <w:rPr>
          <w:rFonts w:asciiTheme="minorHAnsi" w:hAnsiTheme="minorHAnsi"/>
          <w:color w:val="000000"/>
        </w:rPr>
      </w:pPr>
      <w:r>
        <w:t>11.</w:t>
      </w:r>
      <w:r>
        <w:tab/>
        <w:t>APPROUVE les domaines de travail thématiques prioritaires du GEST pour la période triennale 2026-2028, énoncés dans l’Annexe 2 de la présente Résolution ;</w:t>
      </w:r>
    </w:p>
    <w:p w14:paraId="6A5757EF" w14:textId="77777777" w:rsidR="00C72B3F" w:rsidRDefault="00C72B3F" w:rsidP="00D52729">
      <w:pPr>
        <w:rPr>
          <w:rFonts w:asciiTheme="minorHAnsi" w:hAnsiTheme="minorHAnsi"/>
          <w:color w:val="000000"/>
        </w:rPr>
      </w:pPr>
    </w:p>
    <w:p w14:paraId="1CC0C42D" w14:textId="5CE4E40E" w:rsidR="00C72B3F" w:rsidRDefault="00B66C59" w:rsidP="00D52729">
      <w:r>
        <w:t>12.</w:t>
      </w:r>
      <w:r>
        <w:tab/>
        <w:t>APPROUVE la liste révisée des organes et organisations invités à participer en qualité d’observateurs aux réunions et processus du GEST pour la période triennale 2026-2028, figurant dans l’Annexe 3 de la présente Résolution, et les ENCOURAGE à participer activement aux travaux du GEST, en mettant à profit leur expertise, aux côtés des membres du GEST et des correspondants nationaux du GEST ;</w:t>
      </w:r>
    </w:p>
    <w:p w14:paraId="4BE067A3" w14:textId="77777777" w:rsidR="004E4E8E" w:rsidRDefault="004E4E8E" w:rsidP="00D52729"/>
    <w:p w14:paraId="1A103142" w14:textId="193B2329" w:rsidR="004E4E8E" w:rsidRDefault="00B66C59" w:rsidP="00D52729">
      <w:pPr>
        <w:rPr>
          <w:rFonts w:asciiTheme="minorHAnsi" w:hAnsiTheme="minorHAnsi"/>
          <w:color w:val="000000"/>
        </w:rPr>
      </w:pPr>
      <w:r>
        <w:t>13.</w:t>
      </w:r>
      <w:r>
        <w:tab/>
        <w:t xml:space="preserve">DONNE INSTRUCTION au GEST de préparer son plan de travail pour 2026-2028, et de l’envoyer au Secrétariat dès que possible pour approbation par le Comité permanent lors d’une réunion intersessions </w:t>
      </w:r>
      <w:r w:rsidR="00782C76">
        <w:t xml:space="preserve">précédant </w:t>
      </w:r>
      <w:r>
        <w:t>sa 67</w:t>
      </w:r>
      <w:r w:rsidR="00397CAF" w:rsidRPr="00397CAF">
        <w:rPr>
          <w:vertAlign w:val="superscript"/>
        </w:rPr>
        <w:t>e</w:t>
      </w:r>
      <w:r>
        <w:t xml:space="preserve"> Réunion ou pendant celle-ci ; l’ENCOURAGE, ce faisant, à veiller à inclure les tâches non terminées du plan de travail pour 2023-2025 ; et DONNE ÉGALEMENT </w:t>
      </w:r>
      <w:r w:rsidR="00782C76">
        <w:t>INSTRUCTION</w:t>
      </w:r>
      <w:r>
        <w:t xml:space="preserve"> </w:t>
      </w:r>
      <w:r w:rsidR="00624C48">
        <w:t xml:space="preserve">au GEST </w:t>
      </w:r>
      <w:r>
        <w:t>de veiller à ce que le plan élaboré soit simplifié et réalisable en une seule période triennale, en tenant compte des savoirs traditionnels et locaux ainsi que de la contribution éventuelle des Peuples autochtones et des communautés locales, selon qu’il conviendra</w:t>
      </w:r>
      <w:r w:rsidR="00782C76">
        <w:t xml:space="preserve">, </w:t>
      </w:r>
      <w:r>
        <w:t>et</w:t>
      </w:r>
      <w:r w:rsidR="00782C76">
        <w:t xml:space="preserve"> </w:t>
      </w:r>
      <w:r>
        <w:t>que toutes les contributions du GEST soient élaborées d’emblée dans un souci pratique, en collaboration avec le Secrétariat, de manière à pouvoir être immédiatement mises à profit par les Parties contractantes ou d’autres utilisateurs ;</w:t>
      </w:r>
    </w:p>
    <w:p w14:paraId="70469C82" w14:textId="77777777" w:rsidR="00F903F5" w:rsidRDefault="00F903F5" w:rsidP="007A534C">
      <w:pPr>
        <w:rPr>
          <w:rFonts w:asciiTheme="minorHAnsi" w:hAnsiTheme="minorHAnsi"/>
          <w:color w:val="000000"/>
        </w:rPr>
      </w:pPr>
    </w:p>
    <w:p w14:paraId="704D4A37" w14:textId="3EE77A35" w:rsidR="00AC689B" w:rsidRDefault="00B67C0E" w:rsidP="002D590D">
      <w:pPr>
        <w:rPr>
          <w:rFonts w:asciiTheme="minorHAnsi" w:hAnsiTheme="minorHAnsi"/>
          <w:color w:val="000000"/>
        </w:rPr>
      </w:pPr>
      <w:r>
        <w:rPr>
          <w:rFonts w:asciiTheme="minorHAnsi" w:hAnsiTheme="minorHAnsi"/>
          <w:color w:val="000000"/>
        </w:rPr>
        <w:t>14.</w:t>
      </w:r>
      <w:r>
        <w:rPr>
          <w:rFonts w:asciiTheme="minorHAnsi" w:hAnsiTheme="minorHAnsi"/>
          <w:color w:val="000000"/>
        </w:rPr>
        <w:tab/>
        <w:t xml:space="preserve">DEMANDE au GEST d'examiner les conclusions de la consultation organisée avec des spécialistes de l’observation de la Terre conformément à la Décision SC63-30, </w:t>
      </w:r>
      <w:r w:rsidR="005116B2">
        <w:rPr>
          <w:rFonts w:asciiTheme="minorHAnsi" w:hAnsiTheme="minorHAnsi"/>
          <w:color w:val="000000"/>
        </w:rPr>
        <w:t>dans le cadre</w:t>
      </w:r>
      <w:r>
        <w:rPr>
          <w:rFonts w:asciiTheme="minorHAnsi" w:hAnsiTheme="minorHAnsi"/>
          <w:color w:val="000000"/>
        </w:rPr>
        <w:t xml:space="preserve"> de l’élaboration de son Plan de travail pour la période triennale 2026-2028</w:t>
      </w:r>
      <w:r w:rsidR="00E90217">
        <w:rPr>
          <w:rFonts w:asciiTheme="minorHAnsi" w:hAnsiTheme="minorHAnsi"/>
          <w:color w:val="000000"/>
        </w:rPr>
        <w:t> ;</w:t>
      </w:r>
    </w:p>
    <w:p w14:paraId="52D84095" w14:textId="77777777" w:rsidR="00AC689B" w:rsidRDefault="00AC689B" w:rsidP="002D590D">
      <w:pPr>
        <w:rPr>
          <w:rFonts w:asciiTheme="minorHAnsi" w:hAnsiTheme="minorHAnsi"/>
          <w:color w:val="000000"/>
        </w:rPr>
      </w:pPr>
    </w:p>
    <w:p w14:paraId="296AE790" w14:textId="61BFFD27" w:rsidR="002D590D" w:rsidRDefault="00B67C0E" w:rsidP="002D590D">
      <w:pPr>
        <w:rPr>
          <w:rFonts w:asciiTheme="minorHAnsi" w:hAnsiTheme="minorHAnsi"/>
          <w:color w:val="000000"/>
        </w:rPr>
      </w:pPr>
      <w:r>
        <w:rPr>
          <w:rFonts w:asciiTheme="minorHAnsi" w:hAnsiTheme="minorHAnsi"/>
          <w:color w:val="000000"/>
        </w:rPr>
        <w:t>15.</w:t>
      </w:r>
      <w:r>
        <w:rPr>
          <w:rFonts w:asciiTheme="minorHAnsi" w:hAnsiTheme="minorHAnsi"/>
          <w:color w:val="000000"/>
        </w:rPr>
        <w:tab/>
        <w:t xml:space="preserve">DONNE INSTRUCTION au Secrétariat, en consultation avec le GEST, le Group on </w:t>
      </w:r>
      <w:proofErr w:type="spellStart"/>
      <w:r>
        <w:rPr>
          <w:rFonts w:asciiTheme="minorHAnsi" w:hAnsiTheme="minorHAnsi"/>
          <w:color w:val="000000"/>
        </w:rPr>
        <w:t>Earth</w:t>
      </w:r>
      <w:proofErr w:type="spellEnd"/>
      <w:r>
        <w:rPr>
          <w:rFonts w:asciiTheme="minorHAnsi" w:hAnsiTheme="minorHAnsi"/>
          <w:color w:val="000000"/>
        </w:rPr>
        <w:t xml:space="preserve"> Observations (GEO) et ses partenaires spécialistes de l’observation de la Terre, de poursuivre </w:t>
      </w:r>
      <w:r w:rsidR="00924D75">
        <w:rPr>
          <w:rFonts w:asciiTheme="minorHAnsi" w:hAnsiTheme="minorHAnsi"/>
          <w:color w:val="000000"/>
        </w:rPr>
        <w:t>le développement de l’</w:t>
      </w:r>
      <w:r>
        <w:rPr>
          <w:rFonts w:asciiTheme="minorHAnsi" w:hAnsiTheme="minorHAnsi"/>
          <w:color w:val="000000"/>
        </w:rPr>
        <w:t xml:space="preserve">initiative visant à échanger des connaissances ainsi qu’à fournir des orientations et un soutien technique </w:t>
      </w:r>
      <w:r w:rsidR="008D0AAA">
        <w:rPr>
          <w:rFonts w:asciiTheme="minorHAnsi" w:hAnsiTheme="minorHAnsi"/>
          <w:color w:val="000000"/>
        </w:rPr>
        <w:t>pour mieux appliquer l’observation de la Terre à l’inventaire, l’évaluation, le suivi et la conservation des zones humides</w:t>
      </w:r>
      <w:r>
        <w:rPr>
          <w:rFonts w:asciiTheme="minorHAnsi" w:hAnsiTheme="minorHAnsi"/>
          <w:color w:val="000000"/>
        </w:rPr>
        <w:t>, et de rendre compte des progrès réalisés au Comité permanent, notamment sur les exigences en matière de ressources ;</w:t>
      </w:r>
    </w:p>
    <w:p w14:paraId="4C546698" w14:textId="77777777" w:rsidR="00B67C0E" w:rsidRDefault="00B67C0E" w:rsidP="00C778D7">
      <w:pPr>
        <w:ind w:left="0" w:firstLine="0"/>
        <w:rPr>
          <w:rFonts w:asciiTheme="minorHAnsi" w:hAnsiTheme="minorHAnsi"/>
          <w:color w:val="000000"/>
        </w:rPr>
      </w:pPr>
    </w:p>
    <w:p w14:paraId="5F6D599A" w14:textId="1A0C0C2F" w:rsidR="00041456" w:rsidRDefault="00C778D7" w:rsidP="00776895">
      <w:pPr>
        <w:rPr>
          <w:rFonts w:asciiTheme="minorHAnsi" w:hAnsiTheme="minorHAnsi"/>
          <w:color w:val="000000"/>
        </w:rPr>
      </w:pPr>
      <w:r>
        <w:rPr>
          <w:rFonts w:asciiTheme="minorHAnsi" w:hAnsiTheme="minorHAnsi"/>
          <w:color w:val="000000"/>
        </w:rPr>
        <w:t>16.</w:t>
      </w:r>
      <w:r>
        <w:rPr>
          <w:rFonts w:asciiTheme="minorHAnsi" w:hAnsiTheme="minorHAnsi"/>
          <w:color w:val="000000"/>
        </w:rPr>
        <w:tab/>
        <w:t>DEMANDE au Secrétariat de publier les prochains appel</w:t>
      </w:r>
      <w:r w:rsidR="00EE22B9">
        <w:rPr>
          <w:rFonts w:asciiTheme="minorHAnsi" w:hAnsiTheme="minorHAnsi"/>
          <w:color w:val="000000"/>
        </w:rPr>
        <w:t xml:space="preserve">s </w:t>
      </w:r>
      <w:r>
        <w:rPr>
          <w:rFonts w:asciiTheme="minorHAnsi" w:hAnsiTheme="minorHAnsi"/>
          <w:color w:val="000000"/>
        </w:rPr>
        <w:t xml:space="preserve">à nominations pour les </w:t>
      </w:r>
      <w:r>
        <w:t>membres du GEST</w:t>
      </w:r>
      <w:r>
        <w:rPr>
          <w:rFonts w:asciiTheme="minorHAnsi" w:hAnsiTheme="minorHAnsi"/>
          <w:color w:val="000000"/>
        </w:rPr>
        <w:t xml:space="preserve"> à la suite de la </w:t>
      </w:r>
      <w:r w:rsidR="00EE22B9">
        <w:rPr>
          <w:rFonts w:asciiTheme="minorHAnsi" w:hAnsiTheme="minorHAnsi"/>
          <w:color w:val="000000"/>
        </w:rPr>
        <w:t>réunion</w:t>
      </w:r>
      <w:r>
        <w:rPr>
          <w:rFonts w:asciiTheme="minorHAnsi" w:hAnsiTheme="minorHAnsi"/>
          <w:color w:val="000000"/>
        </w:rPr>
        <w:t xml:space="preserve"> annuelle du Comité permanent, dans l’année précédant la session de la COP, permettant ainsi à un nouveau Groupe d’être immédiatement désigné après la COP ;</w:t>
      </w:r>
      <w:r>
        <w:t xml:space="preserve"> et </w:t>
      </w:r>
      <w:r>
        <w:rPr>
          <w:rFonts w:asciiTheme="minorHAnsi" w:hAnsiTheme="minorHAnsi"/>
          <w:color w:val="000000"/>
        </w:rPr>
        <w:t>CONFIRME que cette demande remplace celle contenue dans l’Annexe 1, paragraphe 19, de la Résolution XII.5 ; et</w:t>
      </w:r>
    </w:p>
    <w:p w14:paraId="5F56F841" w14:textId="77777777" w:rsidR="00041456" w:rsidRDefault="00041456" w:rsidP="007A534C">
      <w:pPr>
        <w:rPr>
          <w:rFonts w:asciiTheme="minorHAnsi" w:hAnsiTheme="minorHAnsi"/>
          <w:color w:val="000000"/>
        </w:rPr>
      </w:pPr>
    </w:p>
    <w:p w14:paraId="2F5B298E" w14:textId="0CC09957" w:rsidR="0063226F" w:rsidRDefault="00C778D7" w:rsidP="00D52729">
      <w:r>
        <w:rPr>
          <w:rFonts w:asciiTheme="minorHAnsi" w:hAnsiTheme="minorHAnsi"/>
          <w:color w:val="000000"/>
        </w:rPr>
        <w:t>17.</w:t>
      </w:r>
      <w:r>
        <w:rPr>
          <w:rFonts w:asciiTheme="minorHAnsi" w:hAnsiTheme="minorHAnsi"/>
          <w:color w:val="000000"/>
        </w:rPr>
        <w:tab/>
        <w:t>PRIE INSTAMMENT</w:t>
      </w:r>
      <w:r>
        <w:t xml:space="preserve"> les Parties contractantes de fournir un appui financier pour veiller à la poursuite du bon fonctionnement du GEST, et INVITE le Secrétariat à étudier les nouveaux mécanismes de financement permettant de soutenir ses travaux scientifiques et techniques, y compris la possibilité de nouer des partenariats public-privé et de collaborer avec le secteur </w:t>
      </w:r>
      <w:r w:rsidR="00B03716">
        <w:t>philanthropique</w:t>
      </w:r>
      <w:r>
        <w:t>.</w:t>
      </w:r>
    </w:p>
    <w:p w14:paraId="2B686858" w14:textId="582F72FD" w:rsidR="00E55DA4" w:rsidRDefault="00E55DA4" w:rsidP="00D52729">
      <w:pPr>
        <w:rPr>
          <w:rFonts w:asciiTheme="minorHAnsi" w:hAnsiTheme="minorHAnsi"/>
          <w:color w:val="000000"/>
        </w:rPr>
      </w:pPr>
      <w:r>
        <w:br w:type="page"/>
      </w:r>
    </w:p>
    <w:p w14:paraId="7F19B7CD" w14:textId="18AD3148" w:rsidR="00CD1AEA" w:rsidRDefault="00E55DA4" w:rsidP="00CD1AEA">
      <w:pPr>
        <w:ind w:left="0" w:firstLine="0"/>
        <w:rPr>
          <w:rFonts w:cs="Calibri"/>
          <w:b/>
          <w:bCs/>
          <w:sz w:val="24"/>
          <w:szCs w:val="24"/>
        </w:rPr>
      </w:pPr>
      <w:r>
        <w:rPr>
          <w:b/>
          <w:sz w:val="24"/>
        </w:rPr>
        <w:lastRenderedPageBreak/>
        <w:t>Annexe 1</w:t>
      </w:r>
    </w:p>
    <w:p w14:paraId="21EC0AC1" w14:textId="1AA32045" w:rsidR="00672CD8" w:rsidRPr="00CD1AEA" w:rsidRDefault="00E55DA4" w:rsidP="00CD1AEA">
      <w:pPr>
        <w:ind w:left="0" w:firstLine="0"/>
        <w:rPr>
          <w:rFonts w:cs="Calibri"/>
          <w:b/>
          <w:bCs/>
          <w:sz w:val="24"/>
          <w:szCs w:val="24"/>
        </w:rPr>
      </w:pPr>
      <w:r>
        <w:rPr>
          <w:b/>
          <w:sz w:val="24"/>
        </w:rPr>
        <w:t>Liste des publications du Groupe d’évaluation scientifique et technique parues dans la période 2023-2025</w:t>
      </w:r>
    </w:p>
    <w:p w14:paraId="13771384" w14:textId="77777777" w:rsidR="00E55DA4" w:rsidRDefault="00E55DA4" w:rsidP="00D52729">
      <w:pPr>
        <w:rPr>
          <w:rFonts w:asciiTheme="minorHAnsi" w:hAnsiTheme="minorHAnsi"/>
          <w:color w:val="000000"/>
        </w:rPr>
      </w:pPr>
    </w:p>
    <w:p w14:paraId="263DECCF" w14:textId="579556CE" w:rsidR="00E55DA4" w:rsidRDefault="0026685E" w:rsidP="00722542">
      <w:pPr>
        <w:ind w:left="0" w:firstLine="0"/>
        <w:rPr>
          <w:rFonts w:asciiTheme="minorHAnsi" w:hAnsiTheme="minorHAnsi"/>
          <w:color w:val="000000"/>
        </w:rPr>
      </w:pPr>
      <w:r>
        <w:rPr>
          <w:rFonts w:asciiTheme="minorHAnsi" w:hAnsiTheme="minorHAnsi"/>
          <w:color w:val="000000"/>
        </w:rPr>
        <w:t>Remarque : Les publications sont énumérées dans l’ordre des tâches énoncées dans le Plan de</w:t>
      </w:r>
      <w:r w:rsidR="002309FF">
        <w:rPr>
          <w:rFonts w:asciiTheme="minorHAnsi" w:hAnsiTheme="minorHAnsi"/>
          <w:color w:val="000000"/>
        </w:rPr>
        <w:t xml:space="preserve"> </w:t>
      </w:r>
      <w:r>
        <w:rPr>
          <w:rFonts w:asciiTheme="minorHAnsi" w:hAnsiTheme="minorHAnsi"/>
          <w:color w:val="000000"/>
        </w:rPr>
        <w:t>travail du GEST.</w:t>
      </w:r>
    </w:p>
    <w:p w14:paraId="2F55FE6D" w14:textId="77777777" w:rsidR="002411FA" w:rsidRDefault="002411FA" w:rsidP="0035744E">
      <w:pPr>
        <w:ind w:left="0" w:firstLine="0"/>
        <w:rPr>
          <w:rFonts w:asciiTheme="minorHAnsi" w:hAnsiTheme="minorHAnsi"/>
          <w:color w:val="000000"/>
        </w:rPr>
      </w:pPr>
    </w:p>
    <w:p w14:paraId="5E5A33DF" w14:textId="7FF9643D" w:rsidR="00154F84" w:rsidRDefault="002411FA" w:rsidP="0063226F">
      <w:pPr>
        <w:rPr>
          <w:rFonts w:asciiTheme="minorHAnsi" w:hAnsiTheme="minorHAnsi"/>
          <w:color w:val="000000"/>
        </w:rPr>
      </w:pPr>
      <w:r>
        <w:rPr>
          <w:rFonts w:asciiTheme="minorHAnsi" w:hAnsiTheme="minorHAnsi"/>
          <w:color w:val="000000"/>
        </w:rPr>
        <w:t>1.</w:t>
      </w:r>
      <w:r>
        <w:rPr>
          <w:rFonts w:asciiTheme="minorHAnsi" w:hAnsiTheme="minorHAnsi"/>
          <w:color w:val="000000"/>
        </w:rPr>
        <w:tab/>
        <w:t>Projet de résolution sur l’application des Critères 6 et 9 aux nouvelles zones humides d'importance internationale et zones humides d'importance internationale déjà inscrites (Tâche 1.1. (a) et (b) : Annexe I &amp; II, SC64 Doc.21).</w:t>
      </w:r>
    </w:p>
    <w:p w14:paraId="54224A60" w14:textId="77777777" w:rsidR="002411FA" w:rsidRDefault="002411FA" w:rsidP="00FC34A3">
      <w:pPr>
        <w:rPr>
          <w:rFonts w:asciiTheme="minorHAnsi" w:hAnsiTheme="minorHAnsi"/>
          <w:color w:val="000000"/>
        </w:rPr>
      </w:pPr>
    </w:p>
    <w:p w14:paraId="78B8D288" w14:textId="0DD7A5E6" w:rsidR="00FC34A3" w:rsidRPr="00B33B5F" w:rsidRDefault="002411FA" w:rsidP="00FC34A3">
      <w:pPr>
        <w:rPr>
          <w:rFonts w:asciiTheme="minorHAnsi" w:hAnsiTheme="minorHAnsi"/>
          <w:color w:val="000000"/>
        </w:rPr>
      </w:pPr>
      <w:r>
        <w:rPr>
          <w:rFonts w:asciiTheme="minorHAnsi" w:hAnsiTheme="minorHAnsi"/>
          <w:color w:val="000000"/>
        </w:rPr>
        <w:t>2.</w:t>
      </w:r>
      <w:r>
        <w:rPr>
          <w:rFonts w:asciiTheme="minorHAnsi" w:hAnsiTheme="minorHAnsi"/>
          <w:color w:val="000000"/>
        </w:rPr>
        <w:tab/>
        <w:t xml:space="preserve">Document SC63 Doc.20, </w:t>
      </w:r>
      <w:r>
        <w:rPr>
          <w:rFonts w:asciiTheme="minorHAnsi" w:hAnsiTheme="minorHAnsi"/>
          <w:i/>
          <w:color w:val="000000"/>
        </w:rPr>
        <w:t>Proposition technique du GEST sur la dotation en ressources et la réalisation des estimations des populations d’oiseaux d’eau</w:t>
      </w:r>
      <w:r w:rsidR="00FC34A3" w:rsidRPr="00B33B5F">
        <w:rPr>
          <w:rStyle w:val="FootnoteReference"/>
          <w:rFonts w:asciiTheme="minorHAnsi" w:hAnsiTheme="minorHAnsi"/>
          <w:color w:val="000000"/>
        </w:rPr>
        <w:footnoteReference w:id="3"/>
      </w:r>
      <w:r>
        <w:rPr>
          <w:rFonts w:asciiTheme="minorHAnsi" w:hAnsiTheme="minorHAnsi"/>
          <w:color w:val="000000"/>
        </w:rPr>
        <w:t xml:space="preserve"> (Tâche 1.1 (c)), </w:t>
      </w:r>
      <w:r w:rsidR="002309FF">
        <w:rPr>
          <w:rFonts w:asciiTheme="minorHAnsi" w:hAnsiTheme="minorHAnsi"/>
          <w:color w:val="000000"/>
        </w:rPr>
        <w:t>comprenant</w:t>
      </w:r>
      <w:r>
        <w:rPr>
          <w:rFonts w:asciiTheme="minorHAnsi" w:hAnsiTheme="minorHAnsi"/>
          <w:color w:val="000000"/>
        </w:rPr>
        <w:t xml:space="preserve"> un projet de résolution sur la création de partenariats pour l’estimation des populations d’oiseaux d’eau et la réalisation d’une Édition 2027 des Estimations des populations d’oiseaux d’eau (voir le document SC64 Doc.20).</w:t>
      </w:r>
    </w:p>
    <w:p w14:paraId="6D25F7F1" w14:textId="77777777" w:rsidR="002411FA" w:rsidRDefault="002411FA" w:rsidP="00FC34A3">
      <w:pPr>
        <w:rPr>
          <w:rFonts w:asciiTheme="minorHAnsi" w:hAnsiTheme="minorHAnsi"/>
          <w:color w:val="000000"/>
        </w:rPr>
      </w:pPr>
    </w:p>
    <w:p w14:paraId="50241474" w14:textId="22F9E6DF" w:rsidR="002411FA" w:rsidRDefault="002411FA" w:rsidP="002411FA">
      <w:pPr>
        <w:rPr>
          <w:rFonts w:asciiTheme="minorHAnsi" w:hAnsiTheme="minorHAnsi"/>
          <w:color w:val="000000"/>
        </w:rPr>
      </w:pPr>
      <w:r>
        <w:rPr>
          <w:rFonts w:asciiTheme="minorHAnsi" w:hAnsiTheme="minorHAnsi"/>
          <w:color w:val="000000"/>
        </w:rPr>
        <w:t>[3.</w:t>
      </w:r>
      <w:r>
        <w:rPr>
          <w:rFonts w:asciiTheme="minorHAnsi" w:hAnsiTheme="minorHAnsi"/>
          <w:color w:val="000000"/>
        </w:rPr>
        <w:tab/>
        <w:t xml:space="preserve">Note d’information 14 : </w:t>
      </w:r>
      <w:r>
        <w:rPr>
          <w:rFonts w:asciiTheme="minorHAnsi" w:hAnsiTheme="minorHAnsi"/>
          <w:i/>
          <w:color w:val="000000"/>
        </w:rPr>
        <w:t xml:space="preserve">Petites zones humides : </w:t>
      </w:r>
      <w:r w:rsidR="00F1463D">
        <w:rPr>
          <w:rFonts w:asciiTheme="minorHAnsi" w:hAnsiTheme="minorHAnsi"/>
          <w:i/>
          <w:color w:val="000000"/>
        </w:rPr>
        <w:t>l</w:t>
      </w:r>
      <w:r>
        <w:rPr>
          <w:rFonts w:asciiTheme="minorHAnsi" w:hAnsiTheme="minorHAnsi"/>
          <w:i/>
          <w:color w:val="000000"/>
        </w:rPr>
        <w:t>eur importance critique et les stratégies pour leur conservation efficace</w:t>
      </w:r>
      <w:r>
        <w:rPr>
          <w:rFonts w:asciiTheme="minorHAnsi" w:hAnsiTheme="minorHAnsi"/>
          <w:color w:val="000000"/>
        </w:rPr>
        <w:t xml:space="preserve"> (Tâche 2.2).]</w:t>
      </w:r>
    </w:p>
    <w:p w14:paraId="2B282EE7" w14:textId="77777777" w:rsidR="002411FA" w:rsidRPr="00B33B5F" w:rsidRDefault="002411FA" w:rsidP="00FC34A3">
      <w:pPr>
        <w:rPr>
          <w:rFonts w:asciiTheme="minorHAnsi" w:hAnsiTheme="minorHAnsi"/>
          <w:color w:val="000000"/>
        </w:rPr>
      </w:pPr>
    </w:p>
    <w:p w14:paraId="50DD7EF1" w14:textId="62FEC194" w:rsidR="00FC34A3" w:rsidRPr="00B33B5F" w:rsidRDefault="002411FA" w:rsidP="00FC34A3">
      <w:pPr>
        <w:rPr>
          <w:rFonts w:asciiTheme="minorHAnsi" w:hAnsiTheme="minorHAnsi"/>
          <w:color w:val="000000"/>
        </w:rPr>
      </w:pPr>
      <w:r>
        <w:rPr>
          <w:rFonts w:asciiTheme="minorHAnsi" w:hAnsiTheme="minorHAnsi"/>
          <w:color w:val="000000" w:themeColor="text1"/>
        </w:rPr>
        <w:t>[4.</w:t>
      </w:r>
      <w:r>
        <w:tab/>
      </w:r>
      <w:r>
        <w:rPr>
          <w:rFonts w:asciiTheme="minorHAnsi" w:hAnsiTheme="minorHAnsi"/>
          <w:color w:val="000000" w:themeColor="text1"/>
        </w:rPr>
        <w:t xml:space="preserve">Autres mesures de conservation efficaces par zone pour l’utilisation rationnelle des zones humides : </w:t>
      </w:r>
      <w:r w:rsidR="00F1463D">
        <w:rPr>
          <w:rFonts w:asciiTheme="minorHAnsi" w:hAnsiTheme="minorHAnsi"/>
          <w:color w:val="000000" w:themeColor="text1"/>
        </w:rPr>
        <w:t>o</w:t>
      </w:r>
      <w:r>
        <w:rPr>
          <w:rFonts w:asciiTheme="minorHAnsi" w:hAnsiTheme="minorHAnsi"/>
          <w:color w:val="000000" w:themeColor="text1"/>
        </w:rPr>
        <w:t>rientations sur l’identification, la reconnaissance et la gestion efficace des zones humides, y compris les autres zones humides d’importance internationale, en tant qu’AMCEZ (Tâche 4.1)].</w:t>
      </w:r>
    </w:p>
    <w:p w14:paraId="727A3473" w14:textId="77777777" w:rsidR="00361F42" w:rsidRPr="00B33B5F" w:rsidRDefault="00361F42" w:rsidP="00D52729">
      <w:pPr>
        <w:rPr>
          <w:rFonts w:asciiTheme="minorHAnsi" w:hAnsiTheme="minorHAnsi"/>
          <w:color w:val="000000"/>
        </w:rPr>
      </w:pPr>
    </w:p>
    <w:p w14:paraId="54E8916B" w14:textId="1196C6E6" w:rsidR="002041CA" w:rsidRDefault="0063226F" w:rsidP="00CC4BD5">
      <w:pPr>
        <w:rPr>
          <w:rFonts w:asciiTheme="minorHAnsi" w:hAnsiTheme="minorHAnsi"/>
          <w:color w:val="000000"/>
        </w:rPr>
      </w:pPr>
      <w:r>
        <w:rPr>
          <w:rFonts w:asciiTheme="minorHAnsi" w:hAnsiTheme="minorHAnsi"/>
          <w:color w:val="000000"/>
        </w:rPr>
        <w:t>5.</w:t>
      </w:r>
      <w:r>
        <w:rPr>
          <w:rFonts w:asciiTheme="minorHAnsi" w:hAnsiTheme="minorHAnsi"/>
          <w:color w:val="000000"/>
        </w:rPr>
        <w:tab/>
        <w:t xml:space="preserve">Document d'information : </w:t>
      </w:r>
      <w:r>
        <w:rPr>
          <w:rFonts w:asciiTheme="minorHAnsi" w:hAnsiTheme="minorHAnsi"/>
          <w:i/>
          <w:color w:val="000000"/>
        </w:rPr>
        <w:t xml:space="preserve">Cadre mondial de la biodiversité de Kunming-Montréal : Changer l’échelle de la conservation, la restauration et l’utilisation rationnelle des zones humides dans les SPANB </w:t>
      </w:r>
      <w:r w:rsidR="002041CA" w:rsidRPr="00B33B5F">
        <w:rPr>
          <w:rStyle w:val="FootnoteReference"/>
          <w:rFonts w:asciiTheme="minorHAnsi" w:hAnsiTheme="minorHAnsi"/>
          <w:color w:val="000000"/>
        </w:rPr>
        <w:footnoteReference w:id="4"/>
      </w:r>
      <w:r>
        <w:rPr>
          <w:rFonts w:asciiTheme="minorHAnsi" w:hAnsiTheme="minorHAnsi"/>
          <w:color w:val="000000"/>
        </w:rPr>
        <w:t xml:space="preserve"> (Tâche 5.2).</w:t>
      </w:r>
    </w:p>
    <w:p w14:paraId="4D880BE1" w14:textId="77777777" w:rsidR="002041CA" w:rsidRDefault="002041CA" w:rsidP="00CC4BD5">
      <w:pPr>
        <w:rPr>
          <w:rFonts w:asciiTheme="minorHAnsi" w:hAnsiTheme="minorHAnsi"/>
          <w:color w:val="000000"/>
        </w:rPr>
      </w:pPr>
    </w:p>
    <w:p w14:paraId="1AF32A28" w14:textId="2B0C3229" w:rsidR="0026685E" w:rsidRPr="00B33B5F" w:rsidRDefault="002041CA" w:rsidP="00CC4BD5">
      <w:pPr>
        <w:rPr>
          <w:rFonts w:asciiTheme="minorHAnsi" w:hAnsiTheme="minorHAnsi"/>
          <w:color w:val="000000"/>
        </w:rPr>
      </w:pPr>
      <w:r>
        <w:rPr>
          <w:rFonts w:asciiTheme="minorHAnsi" w:hAnsiTheme="minorHAnsi"/>
          <w:color w:val="000000"/>
        </w:rPr>
        <w:t>6.</w:t>
      </w:r>
      <w:r>
        <w:rPr>
          <w:rFonts w:asciiTheme="minorHAnsi" w:hAnsiTheme="minorHAnsi"/>
          <w:color w:val="000000"/>
        </w:rPr>
        <w:tab/>
        <w:t xml:space="preserve">Rapport technique Ramsar 12 : </w:t>
      </w:r>
      <w:r>
        <w:rPr>
          <w:rFonts w:asciiTheme="minorHAnsi" w:hAnsiTheme="minorHAnsi"/>
          <w:i/>
          <w:color w:val="000000"/>
        </w:rPr>
        <w:t>Intensifier les efforts de conservation et de restauration des zones humides pour mettre en œuvre le Cadre mondial de la biodiversité de Kunming-Montréal : Orientations sur les moyens d’inscrire les zones humides dans les Stratégies et plans d’action nationaux pour la biodiversité (SPANB) afin de renforcer la biodiversité et de faire cesser la perte et la dégradation des zones humides</w:t>
      </w:r>
      <w:r w:rsidR="005E0103" w:rsidRPr="00B33B5F">
        <w:rPr>
          <w:rStyle w:val="FootnoteReference"/>
          <w:rFonts w:asciiTheme="minorHAnsi" w:hAnsiTheme="minorHAnsi"/>
          <w:color w:val="000000"/>
        </w:rPr>
        <w:footnoteReference w:id="5"/>
      </w:r>
      <w:r>
        <w:rPr>
          <w:rFonts w:asciiTheme="minorHAnsi" w:hAnsiTheme="minorHAnsi"/>
          <w:i/>
          <w:color w:val="000000"/>
        </w:rPr>
        <w:t xml:space="preserve"> </w:t>
      </w:r>
      <w:r>
        <w:rPr>
          <w:rFonts w:asciiTheme="minorHAnsi" w:hAnsiTheme="minorHAnsi"/>
          <w:color w:val="000000"/>
        </w:rPr>
        <w:t>(Tâche 5.2).</w:t>
      </w:r>
    </w:p>
    <w:p w14:paraId="3F030877" w14:textId="77777777" w:rsidR="00CC4BD5" w:rsidRPr="00B33B5F" w:rsidRDefault="00CC4BD5" w:rsidP="00D52729">
      <w:pPr>
        <w:rPr>
          <w:rFonts w:asciiTheme="minorHAnsi" w:hAnsiTheme="minorHAnsi"/>
          <w:color w:val="000000"/>
        </w:rPr>
      </w:pPr>
    </w:p>
    <w:p w14:paraId="31CE9B55" w14:textId="075015B5" w:rsidR="00CC4BD5" w:rsidRPr="00B33B5F" w:rsidRDefault="002041CA" w:rsidP="00D52729">
      <w:pPr>
        <w:rPr>
          <w:rFonts w:asciiTheme="minorHAnsi" w:hAnsiTheme="minorHAnsi"/>
          <w:color w:val="000000"/>
        </w:rPr>
      </w:pPr>
      <w:r>
        <w:rPr>
          <w:rFonts w:asciiTheme="minorHAnsi" w:hAnsiTheme="minorHAnsi"/>
          <w:color w:val="000000"/>
        </w:rPr>
        <w:t>7.</w:t>
      </w:r>
      <w:r>
        <w:rPr>
          <w:rFonts w:asciiTheme="minorHAnsi" w:hAnsiTheme="minorHAnsi"/>
          <w:color w:val="000000"/>
        </w:rPr>
        <w:tab/>
        <w:t xml:space="preserve">Document d’information SC63 Inf.3, </w:t>
      </w:r>
      <w:r>
        <w:rPr>
          <w:rFonts w:asciiTheme="minorHAnsi" w:hAnsiTheme="minorHAnsi"/>
          <w:i/>
          <w:color w:val="000000"/>
        </w:rPr>
        <w:t>Document soumis par la Convention sur les zones humides lors de la 6</w:t>
      </w:r>
      <w:r w:rsidR="008A00BF" w:rsidRPr="008A00BF">
        <w:rPr>
          <w:rFonts w:asciiTheme="minorHAnsi" w:hAnsiTheme="minorHAnsi"/>
          <w:i/>
          <w:color w:val="000000"/>
          <w:vertAlign w:val="superscript"/>
        </w:rPr>
        <w:t>e</w:t>
      </w:r>
      <w:r>
        <w:rPr>
          <w:rFonts w:asciiTheme="minorHAnsi" w:hAnsiTheme="minorHAnsi"/>
          <w:i/>
          <w:color w:val="000000"/>
        </w:rPr>
        <w:t xml:space="preserve"> réunion du Groupe ad hoc d'experts techniques sur les indicateurs </w:t>
      </w:r>
      <w:r w:rsidR="008A00BF">
        <w:rPr>
          <w:rFonts w:asciiTheme="minorHAnsi" w:hAnsiTheme="minorHAnsi"/>
          <w:i/>
          <w:color w:val="000000"/>
        </w:rPr>
        <w:t xml:space="preserve">de la prise en compte effective </w:t>
      </w:r>
      <w:r>
        <w:rPr>
          <w:rFonts w:asciiTheme="minorHAnsi" w:hAnsiTheme="minorHAnsi"/>
          <w:i/>
          <w:color w:val="000000"/>
        </w:rPr>
        <w:t xml:space="preserve">des zones humides </w:t>
      </w:r>
      <w:r w:rsidR="008A00BF">
        <w:rPr>
          <w:rFonts w:asciiTheme="minorHAnsi" w:hAnsiTheme="minorHAnsi"/>
          <w:i/>
          <w:color w:val="000000"/>
        </w:rPr>
        <w:t>dans le</w:t>
      </w:r>
      <w:r>
        <w:rPr>
          <w:rFonts w:asciiTheme="minorHAnsi" w:hAnsiTheme="minorHAnsi"/>
          <w:i/>
          <w:color w:val="000000"/>
        </w:rPr>
        <w:t xml:space="preserve"> cadre de suivi du CMBKM</w:t>
      </w:r>
      <w:r w:rsidR="005E0103" w:rsidRPr="00B33B5F">
        <w:rPr>
          <w:rStyle w:val="FootnoteReference"/>
          <w:rFonts w:asciiTheme="minorHAnsi" w:hAnsiTheme="minorHAnsi"/>
          <w:color w:val="000000"/>
        </w:rPr>
        <w:footnoteReference w:id="6"/>
      </w:r>
      <w:r>
        <w:rPr>
          <w:rFonts w:asciiTheme="minorHAnsi" w:hAnsiTheme="minorHAnsi"/>
          <w:color w:val="000000"/>
        </w:rPr>
        <w:t xml:space="preserve"> (Tâche 5.2).</w:t>
      </w:r>
    </w:p>
    <w:p w14:paraId="470C0ECF" w14:textId="77777777" w:rsidR="00B33B5F" w:rsidRPr="00B33B5F" w:rsidRDefault="00B33B5F" w:rsidP="00B33B5F">
      <w:pPr>
        <w:rPr>
          <w:rFonts w:asciiTheme="minorHAnsi" w:hAnsiTheme="minorHAnsi"/>
          <w:color w:val="000000"/>
        </w:rPr>
      </w:pPr>
    </w:p>
    <w:p w14:paraId="210F68CF" w14:textId="41DAC7FF" w:rsidR="002411FA" w:rsidRPr="00B33B5F" w:rsidRDefault="0063226F" w:rsidP="002411FA">
      <w:pPr>
        <w:rPr>
          <w:rFonts w:asciiTheme="minorHAnsi" w:hAnsiTheme="minorHAnsi"/>
          <w:color w:val="000000"/>
        </w:rPr>
      </w:pPr>
      <w:r>
        <w:rPr>
          <w:rFonts w:asciiTheme="minorHAnsi" w:hAnsiTheme="minorHAnsi"/>
          <w:color w:val="000000"/>
        </w:rPr>
        <w:t>8.</w:t>
      </w:r>
      <w:r>
        <w:rPr>
          <w:rFonts w:asciiTheme="minorHAnsi" w:hAnsiTheme="minorHAnsi"/>
          <w:color w:val="000000"/>
        </w:rPr>
        <w:tab/>
        <w:t xml:space="preserve">Approche </w:t>
      </w:r>
      <w:r w:rsidR="003A1E78">
        <w:rPr>
          <w:rFonts w:asciiTheme="minorHAnsi" w:hAnsiTheme="minorHAnsi"/>
          <w:color w:val="000000"/>
        </w:rPr>
        <w:t>relative aux</w:t>
      </w:r>
      <w:r>
        <w:rPr>
          <w:rFonts w:asciiTheme="minorHAnsi" w:hAnsiTheme="minorHAnsi"/>
          <w:color w:val="000000"/>
        </w:rPr>
        <w:t xml:space="preserve"> prochaines Perspectives mondiales des zones humides (Tâche 5.3 : Annex</w:t>
      </w:r>
      <w:r w:rsidR="0042248C">
        <w:rPr>
          <w:rFonts w:asciiTheme="minorHAnsi" w:hAnsiTheme="minorHAnsi"/>
          <w:color w:val="000000"/>
        </w:rPr>
        <w:t>e</w:t>
      </w:r>
      <w:r>
        <w:rPr>
          <w:rFonts w:asciiTheme="minorHAnsi" w:hAnsiTheme="minorHAnsi"/>
          <w:color w:val="000000"/>
        </w:rPr>
        <w:t xml:space="preserve"> IV, SC64 Doc.18).</w:t>
      </w:r>
    </w:p>
    <w:p w14:paraId="5566FC76" w14:textId="77777777" w:rsidR="00322B02" w:rsidRPr="00B33B5F" w:rsidRDefault="00322B02" w:rsidP="00D52729">
      <w:pPr>
        <w:rPr>
          <w:rFonts w:asciiTheme="minorHAnsi" w:hAnsiTheme="minorHAnsi"/>
          <w:color w:val="000000"/>
        </w:rPr>
      </w:pPr>
    </w:p>
    <w:p w14:paraId="0690D50C" w14:textId="205444ED" w:rsidR="00745DA6" w:rsidRDefault="0063226F" w:rsidP="002411FA">
      <w:pPr>
        <w:rPr>
          <w:rFonts w:asciiTheme="minorHAnsi" w:hAnsiTheme="minorHAnsi"/>
          <w:color w:val="000000"/>
        </w:rPr>
      </w:pPr>
      <w:r>
        <w:rPr>
          <w:rFonts w:asciiTheme="minorHAnsi" w:hAnsiTheme="minorHAnsi"/>
          <w:color w:val="000000"/>
        </w:rPr>
        <w:lastRenderedPageBreak/>
        <w:t>9.</w:t>
      </w:r>
      <w:r>
        <w:rPr>
          <w:rFonts w:asciiTheme="minorHAnsi" w:hAnsiTheme="minorHAnsi"/>
          <w:color w:val="000000"/>
        </w:rPr>
        <w:tab/>
        <w:t>Note de cadrage technique pour l’examen des cadres juridique</w:t>
      </w:r>
      <w:r w:rsidR="00782C76">
        <w:rPr>
          <w:rFonts w:asciiTheme="minorHAnsi" w:hAnsiTheme="minorHAnsi"/>
          <w:color w:val="000000"/>
        </w:rPr>
        <w:t>s</w:t>
      </w:r>
      <w:r>
        <w:rPr>
          <w:rFonts w:asciiTheme="minorHAnsi" w:hAnsiTheme="minorHAnsi"/>
          <w:color w:val="000000"/>
        </w:rPr>
        <w:t xml:space="preserve"> et politique</w:t>
      </w:r>
      <w:r w:rsidR="00782C76">
        <w:rPr>
          <w:rFonts w:asciiTheme="minorHAnsi" w:hAnsiTheme="minorHAnsi"/>
          <w:color w:val="000000"/>
        </w:rPr>
        <w:t>s</w:t>
      </w:r>
      <w:r>
        <w:rPr>
          <w:rFonts w:asciiTheme="minorHAnsi" w:hAnsiTheme="minorHAnsi"/>
          <w:color w:val="000000"/>
        </w:rPr>
        <w:t xml:space="preserve"> de la conservation et de l’utilisation rationnelle des zones humides (Tâche 5.4 : Annexe III, SC64 Doc.18).</w:t>
      </w:r>
    </w:p>
    <w:p w14:paraId="1AB4E5CA" w14:textId="77777777" w:rsidR="00D93031" w:rsidRDefault="00D93031" w:rsidP="002411FA">
      <w:pPr>
        <w:rPr>
          <w:rFonts w:asciiTheme="minorHAnsi" w:hAnsiTheme="minorHAnsi"/>
          <w:color w:val="000000"/>
        </w:rPr>
      </w:pPr>
    </w:p>
    <w:p w14:paraId="3D814E43" w14:textId="20008BC2" w:rsidR="00D93031" w:rsidRPr="00B33B5F" w:rsidRDefault="00D93031" w:rsidP="002411FA">
      <w:pPr>
        <w:rPr>
          <w:rFonts w:asciiTheme="minorHAnsi" w:hAnsiTheme="minorHAnsi"/>
          <w:color w:val="000000"/>
        </w:rPr>
      </w:pPr>
      <w:r>
        <w:rPr>
          <w:rFonts w:asciiTheme="minorHAnsi" w:hAnsiTheme="minorHAnsi"/>
          <w:color w:val="000000"/>
        </w:rPr>
        <w:t>10.</w:t>
      </w:r>
      <w:r>
        <w:rPr>
          <w:rFonts w:asciiTheme="minorHAnsi" w:hAnsiTheme="minorHAnsi"/>
          <w:color w:val="000000"/>
        </w:rPr>
        <w:tab/>
        <w:t xml:space="preserve">Zones humides et agriculture : pistes pour la durabilité (deux cours en ligne disponibles sur la plateforme </w:t>
      </w:r>
      <w:proofErr w:type="spellStart"/>
      <w:r>
        <w:rPr>
          <w:rFonts w:asciiTheme="minorHAnsi" w:hAnsiTheme="minorHAnsi"/>
          <w:color w:val="000000"/>
        </w:rPr>
        <w:t>eLearning</w:t>
      </w:r>
      <w:proofErr w:type="spellEnd"/>
      <w:r>
        <w:rPr>
          <w:rFonts w:asciiTheme="minorHAnsi" w:hAnsiTheme="minorHAnsi"/>
          <w:color w:val="000000"/>
        </w:rPr>
        <w:t xml:space="preserve"> </w:t>
      </w:r>
      <w:proofErr w:type="spellStart"/>
      <w:r>
        <w:rPr>
          <w:rFonts w:asciiTheme="minorHAnsi" w:hAnsiTheme="minorHAnsi"/>
          <w:color w:val="000000"/>
        </w:rPr>
        <w:t>Academy</w:t>
      </w:r>
      <w:proofErr w:type="spellEnd"/>
      <w:r>
        <w:rPr>
          <w:rFonts w:asciiTheme="minorHAnsi" w:hAnsiTheme="minorHAnsi"/>
          <w:color w:val="000000"/>
        </w:rPr>
        <w:t xml:space="preserve"> de la FAO, sur la base de la Note d’orientation 6 et de la Note d'information 13)</w:t>
      </w:r>
    </w:p>
    <w:p w14:paraId="5A7E6B2A" w14:textId="77777777" w:rsidR="0035744E" w:rsidRPr="00E933F1" w:rsidRDefault="0035744E" w:rsidP="00D52729">
      <w:pPr>
        <w:rPr>
          <w:rFonts w:asciiTheme="minorHAnsi" w:hAnsiTheme="minorHAnsi"/>
          <w:color w:val="000000"/>
        </w:rPr>
      </w:pPr>
    </w:p>
    <w:p w14:paraId="0F5FFDAA" w14:textId="67293CF3" w:rsidR="0035744E" w:rsidRDefault="0035744E" w:rsidP="0035744E">
      <w:pPr>
        <w:rPr>
          <w:rFonts w:asciiTheme="minorHAnsi" w:hAnsiTheme="minorHAnsi"/>
          <w:color w:val="000000"/>
        </w:rPr>
      </w:pPr>
      <w:r>
        <w:rPr>
          <w:rFonts w:asciiTheme="minorHAnsi" w:hAnsiTheme="minorHAnsi"/>
          <w:color w:val="000000"/>
        </w:rPr>
        <w:t>[</w:t>
      </w:r>
      <w:r>
        <w:rPr>
          <w:rFonts w:asciiTheme="minorHAnsi" w:hAnsiTheme="minorHAnsi"/>
          <w:i/>
          <w:color w:val="000000"/>
        </w:rPr>
        <w:t xml:space="preserve">D’autres publications du GEST pourront être ajoutées lors de la SC64 et </w:t>
      </w:r>
      <w:r w:rsidR="00CA3C7E">
        <w:rPr>
          <w:rFonts w:asciiTheme="minorHAnsi" w:hAnsiTheme="minorHAnsi"/>
          <w:i/>
          <w:color w:val="000000"/>
        </w:rPr>
        <w:t xml:space="preserve">de </w:t>
      </w:r>
      <w:r>
        <w:rPr>
          <w:rFonts w:asciiTheme="minorHAnsi" w:hAnsiTheme="minorHAnsi"/>
          <w:i/>
          <w:color w:val="000000"/>
        </w:rPr>
        <w:t>la COP15</w:t>
      </w:r>
      <w:r>
        <w:rPr>
          <w:rFonts w:asciiTheme="minorHAnsi" w:hAnsiTheme="minorHAnsi"/>
          <w:color w:val="000000"/>
        </w:rPr>
        <w:t>.]</w:t>
      </w:r>
    </w:p>
    <w:p w14:paraId="5E8BDB4A" w14:textId="6448D33C" w:rsidR="00AB4061" w:rsidRDefault="00AB4061" w:rsidP="00D52729">
      <w:pPr>
        <w:rPr>
          <w:rFonts w:asciiTheme="minorHAnsi" w:hAnsiTheme="minorHAnsi"/>
          <w:color w:val="000000"/>
        </w:rPr>
      </w:pPr>
      <w:r>
        <w:br w:type="page"/>
      </w:r>
    </w:p>
    <w:p w14:paraId="529CF38C" w14:textId="77777777" w:rsidR="00864474" w:rsidRPr="00CD1AEA" w:rsidRDefault="00864474" w:rsidP="00864474">
      <w:pPr>
        <w:rPr>
          <w:rFonts w:cs="Calibri"/>
          <w:b/>
          <w:bCs/>
          <w:sz w:val="24"/>
          <w:szCs w:val="24"/>
        </w:rPr>
      </w:pPr>
      <w:r>
        <w:rPr>
          <w:b/>
          <w:sz w:val="24"/>
        </w:rPr>
        <w:lastRenderedPageBreak/>
        <w:t>Annexe 2</w:t>
      </w:r>
    </w:p>
    <w:p w14:paraId="0FA084C0" w14:textId="32F42D67" w:rsidR="00AB4061" w:rsidRPr="00CD1AEA" w:rsidRDefault="00864474" w:rsidP="00CD1AEA">
      <w:pPr>
        <w:ind w:left="0" w:firstLine="0"/>
        <w:rPr>
          <w:rFonts w:cs="Calibri"/>
          <w:b/>
          <w:bCs/>
          <w:sz w:val="24"/>
          <w:szCs w:val="24"/>
        </w:rPr>
      </w:pPr>
      <w:r>
        <w:rPr>
          <w:b/>
          <w:sz w:val="24"/>
        </w:rPr>
        <w:t xml:space="preserve">Domaines de travail thématiques </w:t>
      </w:r>
      <w:r w:rsidR="00B642D1">
        <w:rPr>
          <w:b/>
          <w:sz w:val="24"/>
        </w:rPr>
        <w:t xml:space="preserve">(TWA) </w:t>
      </w:r>
      <w:r>
        <w:rPr>
          <w:b/>
          <w:sz w:val="24"/>
        </w:rPr>
        <w:t>et tâches prioritaires du Groupe d’évaluation scientifique et technique pour 2026-2028</w:t>
      </w:r>
    </w:p>
    <w:p w14:paraId="4DA62529" w14:textId="77777777" w:rsidR="00F03E6D" w:rsidRDefault="00F03E6D" w:rsidP="002D626D">
      <w:pPr>
        <w:ind w:left="0" w:firstLine="0"/>
        <w:rPr>
          <w:rFonts w:asciiTheme="minorHAnsi" w:hAnsiTheme="minorHAnsi"/>
          <w:color w:val="000000"/>
        </w:rPr>
      </w:pPr>
    </w:p>
    <w:p w14:paraId="456C8AF4" w14:textId="40B7E355" w:rsidR="009976D1" w:rsidRDefault="00B03B96" w:rsidP="002D626D">
      <w:pPr>
        <w:ind w:left="0" w:firstLine="0"/>
        <w:rPr>
          <w:rFonts w:asciiTheme="minorHAnsi" w:hAnsiTheme="minorHAnsi"/>
          <w:color w:val="000000"/>
        </w:rPr>
      </w:pPr>
      <w:r>
        <w:rPr>
          <w:rFonts w:asciiTheme="minorHAnsi" w:hAnsiTheme="minorHAnsi"/>
          <w:color w:val="000000"/>
        </w:rPr>
        <w:t>De plus amples détails sur les futures priorités scientifiques et techniques</w:t>
      </w:r>
      <w:r w:rsidR="00CA3C7E">
        <w:rPr>
          <w:rFonts w:asciiTheme="minorHAnsi" w:hAnsiTheme="minorHAnsi"/>
          <w:color w:val="000000"/>
        </w:rPr>
        <w:t xml:space="preserve"> sont </w:t>
      </w:r>
      <w:r>
        <w:rPr>
          <w:rFonts w:asciiTheme="minorHAnsi" w:hAnsiTheme="minorHAnsi"/>
          <w:color w:val="000000"/>
        </w:rPr>
        <w:t>identifiés dans le rapport du Président du GEST à la 15</w:t>
      </w:r>
      <w:r w:rsidR="00CA3C7E" w:rsidRPr="00CA3C7E">
        <w:rPr>
          <w:rFonts w:asciiTheme="minorHAnsi" w:hAnsiTheme="minorHAnsi"/>
          <w:color w:val="000000"/>
          <w:vertAlign w:val="superscript"/>
        </w:rPr>
        <w:t>e</w:t>
      </w:r>
      <w:r>
        <w:rPr>
          <w:rFonts w:asciiTheme="minorHAnsi" w:hAnsiTheme="minorHAnsi"/>
          <w:color w:val="000000"/>
        </w:rPr>
        <w:t xml:space="preserve"> Session de la Conférence des Parties contractantes (COP15).</w:t>
      </w:r>
    </w:p>
    <w:p w14:paraId="012C0B05" w14:textId="77777777" w:rsidR="00BB38E4" w:rsidRPr="003504D9" w:rsidRDefault="00BB38E4" w:rsidP="00BB38E4">
      <w:pPr>
        <w:spacing w:line="276" w:lineRule="auto"/>
        <w:jc w:val="both"/>
        <w:rPr>
          <w:rFonts w:cs="Open Sans"/>
          <w:sz w:val="20"/>
          <w:szCs w:val="20"/>
        </w:rPr>
      </w:pPr>
    </w:p>
    <w:tbl>
      <w:tblPr>
        <w:tblW w:w="9062" w:type="dxa"/>
        <w:tblLayout w:type="fixed"/>
        <w:tblLook w:val="0400" w:firstRow="0" w:lastRow="0" w:firstColumn="0" w:lastColumn="0" w:noHBand="0" w:noVBand="1"/>
      </w:tblPr>
      <w:tblGrid>
        <w:gridCol w:w="4952"/>
        <w:gridCol w:w="4110"/>
      </w:tblGrid>
      <w:tr w:rsidR="00BB38E4" w:rsidRPr="0049270A" w14:paraId="47CB5F82" w14:textId="77777777" w:rsidTr="006505DD">
        <w:trPr>
          <w:cantSplit/>
          <w:tblHeader/>
        </w:trPr>
        <w:tc>
          <w:tcPr>
            <w:tcW w:w="4952" w:type="dxa"/>
            <w:tcBorders>
              <w:top w:val="single" w:sz="8" w:space="0" w:color="000000"/>
              <w:left w:val="single" w:sz="8" w:space="0" w:color="000000"/>
              <w:bottom w:val="single" w:sz="8" w:space="0" w:color="000000"/>
              <w:right w:val="single" w:sz="8" w:space="0" w:color="000000"/>
            </w:tcBorders>
            <w:shd w:val="clear" w:color="auto" w:fill="D9D9D9"/>
          </w:tcPr>
          <w:p w14:paraId="14C301C6" w14:textId="1CAB8663" w:rsidR="00BB38E4" w:rsidRPr="0049270A" w:rsidRDefault="00BB38E4" w:rsidP="006505DD">
            <w:pPr>
              <w:spacing w:before="60" w:after="60"/>
              <w:rPr>
                <w:rFonts w:asciiTheme="minorHAnsi" w:hAnsiTheme="minorHAnsi" w:cstheme="minorHAnsi"/>
              </w:rPr>
            </w:pPr>
            <w:r>
              <w:rPr>
                <w:rFonts w:asciiTheme="minorHAnsi" w:hAnsiTheme="minorHAnsi"/>
                <w:b/>
                <w:i/>
                <w:color w:val="000000"/>
              </w:rPr>
              <w:t>Tâche du GEST</w:t>
            </w:r>
          </w:p>
        </w:tc>
        <w:tc>
          <w:tcPr>
            <w:tcW w:w="4110" w:type="dxa"/>
            <w:tcBorders>
              <w:top w:val="single" w:sz="8" w:space="0" w:color="000000"/>
              <w:left w:val="single" w:sz="8" w:space="0" w:color="000000"/>
              <w:bottom w:val="single" w:sz="8" w:space="0" w:color="000000"/>
              <w:right w:val="single" w:sz="8" w:space="0" w:color="000000"/>
            </w:tcBorders>
            <w:shd w:val="clear" w:color="auto" w:fill="D9D9D9"/>
          </w:tcPr>
          <w:p w14:paraId="1827BEB2" w14:textId="77777777" w:rsidR="00BB38E4" w:rsidRPr="0049270A" w:rsidRDefault="00BB38E4" w:rsidP="006505DD">
            <w:pPr>
              <w:spacing w:before="60" w:after="60"/>
              <w:rPr>
                <w:rFonts w:asciiTheme="minorHAnsi" w:hAnsiTheme="minorHAnsi" w:cstheme="minorHAnsi"/>
              </w:rPr>
            </w:pPr>
            <w:r>
              <w:rPr>
                <w:rFonts w:asciiTheme="minorHAnsi" w:hAnsiTheme="minorHAnsi"/>
                <w:b/>
                <w:i/>
                <w:color w:val="000000"/>
              </w:rPr>
              <w:t>Mandat(s)</w:t>
            </w:r>
          </w:p>
        </w:tc>
      </w:tr>
      <w:tr w:rsidR="00BB38E4" w:rsidRPr="0049270A" w14:paraId="2874B7C8"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D9D9D9"/>
          </w:tcPr>
          <w:p w14:paraId="601BE032" w14:textId="54C5C402" w:rsidR="00BB38E4" w:rsidRPr="0049270A" w:rsidRDefault="00BB38E4" w:rsidP="0049270A">
            <w:pPr>
              <w:spacing w:before="60" w:after="60"/>
              <w:ind w:left="0" w:firstLine="0"/>
              <w:rPr>
                <w:rFonts w:asciiTheme="minorHAnsi" w:hAnsiTheme="minorHAnsi" w:cstheme="minorHAnsi"/>
              </w:rPr>
            </w:pPr>
            <w:r>
              <w:rPr>
                <w:rFonts w:asciiTheme="minorHAnsi" w:hAnsiTheme="minorHAnsi"/>
                <w:b/>
                <w:color w:val="000000"/>
              </w:rPr>
              <w:t>TWA 1 : zones humides d’importance internationale, développement du réseau des sites et</w:t>
            </w:r>
            <w:r w:rsidR="00B061BB">
              <w:rPr>
                <w:rFonts w:asciiTheme="minorHAnsi" w:hAnsiTheme="minorHAnsi"/>
                <w:b/>
                <w:color w:val="000000"/>
              </w:rPr>
              <w:t xml:space="preserve"> </w:t>
            </w:r>
            <w:r>
              <w:rPr>
                <w:rFonts w:asciiTheme="minorHAnsi" w:hAnsiTheme="minorHAnsi"/>
                <w:b/>
                <w:color w:val="000000"/>
              </w:rPr>
              <w:t>application des critères.</w:t>
            </w:r>
          </w:p>
        </w:tc>
      </w:tr>
      <w:tr w:rsidR="000A0A18" w:rsidRPr="0049270A" w14:paraId="68008FE1"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tcPr>
          <w:p w14:paraId="01064137" w14:textId="5BE4EB6C" w:rsidR="000A0A18" w:rsidRPr="00315F94" w:rsidRDefault="00235FB2" w:rsidP="00D33C74">
            <w:pPr>
              <w:spacing w:before="60" w:after="60"/>
              <w:ind w:left="0" w:firstLine="0"/>
              <w:rPr>
                <w:rFonts w:asciiTheme="minorHAnsi" w:hAnsiTheme="minorHAnsi" w:cstheme="minorHAnsi"/>
                <w:highlight w:val="yellow"/>
              </w:rPr>
            </w:pPr>
            <w:r>
              <w:rPr>
                <w:rFonts w:asciiTheme="minorHAnsi" w:hAnsiTheme="minorHAnsi"/>
              </w:rPr>
              <w:t>Ce domaine de travail vise à fournir des informations pour aider les Parties contractantes à désigner, gérer et surveiller les zones humides d'importance internationale, conformément aux objectifs de la Convention sur les zones humides. Il inclut des orientations sur l’application des critères pour la désignation des sites et l’évaluation des types de zones humides sous-représenté</w:t>
            </w:r>
            <w:r w:rsidR="00782C76">
              <w:rPr>
                <w:rFonts w:asciiTheme="minorHAnsi" w:hAnsiTheme="minorHAnsi"/>
              </w:rPr>
              <w:t>e</w:t>
            </w:r>
            <w:r>
              <w:rPr>
                <w:rFonts w:asciiTheme="minorHAnsi" w:hAnsiTheme="minorHAnsi"/>
              </w:rPr>
              <w:t>s dans le réseau d</w:t>
            </w:r>
            <w:r w:rsidR="00847A51">
              <w:rPr>
                <w:rFonts w:asciiTheme="minorHAnsi" w:hAnsiTheme="minorHAnsi"/>
              </w:rPr>
              <w:t>u</w:t>
            </w:r>
            <w:r>
              <w:rPr>
                <w:rFonts w:asciiTheme="minorHAnsi" w:hAnsiTheme="minorHAnsi"/>
              </w:rPr>
              <w:t xml:space="preserve"> </w:t>
            </w:r>
            <w:r w:rsidR="00F214D8">
              <w:rPr>
                <w:rFonts w:asciiTheme="minorHAnsi" w:hAnsiTheme="minorHAnsi"/>
              </w:rPr>
              <w:t>S</w:t>
            </w:r>
            <w:r>
              <w:rPr>
                <w:rFonts w:asciiTheme="minorHAnsi" w:hAnsiTheme="minorHAnsi"/>
              </w:rPr>
              <w:t>ite. Le TWA 1 peut également fournir des orientations sur l'intégration des zones humides d’importance internationale dans les objectifs plus généraux pour la biodiversité mondiale en mettant en valeur leur rôle dans la réalisation des objectifs de conservation mondiaux.</w:t>
            </w:r>
          </w:p>
        </w:tc>
      </w:tr>
      <w:tr w:rsidR="000A0A18" w:rsidRPr="0049270A" w14:paraId="6A30B560"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4664505C" w14:textId="321D2A23" w:rsidR="000A0A18" w:rsidRPr="00893FCE" w:rsidRDefault="000A207A" w:rsidP="00893FCE">
            <w:pPr>
              <w:spacing w:before="60" w:after="60"/>
              <w:ind w:left="0" w:firstLine="0"/>
              <w:rPr>
                <w:rFonts w:asciiTheme="minorHAnsi" w:hAnsiTheme="minorHAnsi" w:cstheme="minorHAnsi"/>
                <w:color w:val="000000"/>
              </w:rPr>
            </w:pPr>
            <w:r>
              <w:rPr>
                <w:b/>
                <w:color w:val="000000" w:themeColor="text1"/>
              </w:rPr>
              <w:t>Tâche 1.1.</w:t>
            </w:r>
            <w:r>
              <w:rPr>
                <w:color w:val="000000" w:themeColor="text1"/>
              </w:rPr>
              <w:t xml:space="preserve"> Appui scientifique et technique pour suivre et rendre compte efficacement des </w:t>
            </w:r>
            <w:r w:rsidR="0054077A">
              <w:rPr>
                <w:color w:val="000000" w:themeColor="text1"/>
              </w:rPr>
              <w:t>caractéristiques</w:t>
            </w:r>
            <w:r>
              <w:rPr>
                <w:color w:val="000000" w:themeColor="text1"/>
              </w:rPr>
              <w:t xml:space="preserve"> écologiques des zones humides d'importance internationale dans les Fiches descriptives Ramsar (FDR).</w:t>
            </w:r>
          </w:p>
        </w:tc>
        <w:tc>
          <w:tcPr>
            <w:tcW w:w="4110" w:type="dxa"/>
            <w:tcBorders>
              <w:top w:val="none" w:sz="4" w:space="0" w:color="000000"/>
              <w:left w:val="single" w:sz="8" w:space="0" w:color="000000"/>
              <w:bottom w:val="single" w:sz="8" w:space="0" w:color="000000"/>
              <w:right w:val="single" w:sz="8" w:space="0" w:color="000000"/>
            </w:tcBorders>
          </w:tcPr>
          <w:p w14:paraId="116BA8A0" w14:textId="2D46F0A8" w:rsidR="000A0A18" w:rsidRPr="0049270A" w:rsidRDefault="004438EB" w:rsidP="003C42C4">
            <w:pPr>
              <w:spacing w:before="60" w:after="60"/>
              <w:ind w:left="0" w:firstLine="0"/>
              <w:rPr>
                <w:rFonts w:asciiTheme="minorHAnsi" w:hAnsiTheme="minorHAnsi" w:cstheme="minorHAnsi"/>
              </w:rPr>
            </w:pPr>
            <w:r>
              <w:rPr>
                <w:rFonts w:asciiTheme="minorHAnsi" w:hAnsiTheme="minorHAnsi"/>
              </w:rPr>
              <w:t>SC63 Doc.19 (Para. 19-21 &amp; Annexe 2) ; Rapport et Décisions du Comité permanent à sa 63</w:t>
            </w:r>
            <w:r w:rsidR="0054077A" w:rsidRPr="0054077A">
              <w:rPr>
                <w:rFonts w:asciiTheme="minorHAnsi" w:hAnsiTheme="minorHAnsi"/>
                <w:vertAlign w:val="superscript"/>
              </w:rPr>
              <w:t>e</w:t>
            </w:r>
            <w:r>
              <w:rPr>
                <w:rFonts w:asciiTheme="minorHAnsi" w:hAnsiTheme="minorHAnsi"/>
              </w:rPr>
              <w:t xml:space="preserve"> </w:t>
            </w:r>
            <w:r w:rsidR="006E2183">
              <w:rPr>
                <w:rFonts w:asciiTheme="minorHAnsi" w:hAnsiTheme="minorHAnsi"/>
              </w:rPr>
              <w:t>Réunion</w:t>
            </w:r>
            <w:r>
              <w:rPr>
                <w:rFonts w:asciiTheme="minorHAnsi" w:hAnsiTheme="minorHAnsi"/>
              </w:rPr>
              <w:t>.</w:t>
            </w:r>
          </w:p>
        </w:tc>
      </w:tr>
      <w:tr w:rsidR="0022538A" w:rsidRPr="0049270A" w14:paraId="1ADF2173"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0DC96D29" w14:textId="439D3683" w:rsidR="0022538A" w:rsidRPr="006B6883" w:rsidRDefault="0022538A" w:rsidP="00893FCE">
            <w:pPr>
              <w:spacing w:before="60" w:after="60"/>
              <w:ind w:left="0" w:firstLine="0"/>
              <w:rPr>
                <w:b/>
                <w:color w:val="000000" w:themeColor="text1"/>
              </w:rPr>
            </w:pPr>
            <w:r>
              <w:rPr>
                <w:b/>
                <w:color w:val="000000" w:themeColor="text1"/>
              </w:rPr>
              <w:t>Tâche 1.2.</w:t>
            </w:r>
            <w:r>
              <w:rPr>
                <w:color w:val="000000" w:themeColor="text1"/>
              </w:rPr>
              <w:t xml:space="preserve"> </w:t>
            </w:r>
            <w:r w:rsidR="00782C76">
              <w:rPr>
                <w:color w:val="000000" w:themeColor="text1"/>
              </w:rPr>
              <w:t>É</w:t>
            </w:r>
            <w:r>
              <w:rPr>
                <w:color w:val="000000" w:themeColor="text1"/>
              </w:rPr>
              <w:t>valuation globale des lacunes dans le réseau des zones humides d'importance internationale, et synergies avec les objectifs mondiaux sur le climat, la biodiversité et le développement durable.</w:t>
            </w:r>
          </w:p>
        </w:tc>
        <w:tc>
          <w:tcPr>
            <w:tcW w:w="4110" w:type="dxa"/>
            <w:tcBorders>
              <w:top w:val="none" w:sz="4" w:space="0" w:color="000000"/>
              <w:left w:val="single" w:sz="8" w:space="0" w:color="000000"/>
              <w:bottom w:val="single" w:sz="8" w:space="0" w:color="000000"/>
              <w:right w:val="single" w:sz="8" w:space="0" w:color="000000"/>
            </w:tcBorders>
          </w:tcPr>
          <w:p w14:paraId="036D8049" w14:textId="37B8D13D" w:rsidR="0022538A" w:rsidRPr="0049270A" w:rsidRDefault="003C42C4" w:rsidP="003C42C4">
            <w:pPr>
              <w:spacing w:before="60" w:after="60"/>
              <w:ind w:left="0" w:firstLine="0"/>
              <w:rPr>
                <w:rFonts w:asciiTheme="minorHAnsi" w:hAnsiTheme="minorHAnsi" w:cstheme="minorHAnsi"/>
              </w:rPr>
            </w:pPr>
            <w:proofErr w:type="spellStart"/>
            <w:r>
              <w:rPr>
                <w:rFonts w:asciiTheme="minorHAnsi" w:hAnsiTheme="minorHAnsi"/>
              </w:rPr>
              <w:t>Rés</w:t>
            </w:r>
            <w:proofErr w:type="spellEnd"/>
            <w:r>
              <w:rPr>
                <w:rFonts w:asciiTheme="minorHAnsi" w:hAnsiTheme="minorHAnsi"/>
              </w:rPr>
              <w:t xml:space="preserve">. XII.5, Annexe 1 ; </w:t>
            </w:r>
            <w:proofErr w:type="spellStart"/>
            <w:r>
              <w:rPr>
                <w:rFonts w:asciiTheme="minorHAnsi" w:hAnsiTheme="minorHAnsi"/>
              </w:rPr>
              <w:t>Rés</w:t>
            </w:r>
            <w:proofErr w:type="spellEnd"/>
            <w:r>
              <w:rPr>
                <w:rFonts w:asciiTheme="minorHAnsi" w:hAnsiTheme="minorHAnsi"/>
              </w:rPr>
              <w:t xml:space="preserve">. XIV.14, Annexe 2 ; </w:t>
            </w:r>
            <w:proofErr w:type="spellStart"/>
            <w:r>
              <w:rPr>
                <w:rFonts w:asciiTheme="minorHAnsi" w:hAnsiTheme="minorHAnsi"/>
              </w:rPr>
              <w:t>Rés</w:t>
            </w:r>
            <w:proofErr w:type="spellEnd"/>
            <w:r>
              <w:rPr>
                <w:rFonts w:asciiTheme="minorHAnsi" w:hAnsiTheme="minorHAnsi"/>
              </w:rPr>
              <w:t>. XIV.6, Para. 38 ; Suite du Plan de travail 2023-2025 du GEST (Décision intersessions 04 pré-SC62).</w:t>
            </w:r>
          </w:p>
        </w:tc>
      </w:tr>
      <w:tr w:rsidR="000A0A18" w:rsidRPr="0049270A" w14:paraId="07F366F0"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D9D9D9"/>
          </w:tcPr>
          <w:p w14:paraId="4F83A23A" w14:textId="37A1F7D8" w:rsidR="000A0A18" w:rsidRPr="0049270A" w:rsidRDefault="000A0A18" w:rsidP="000A0A18">
            <w:pPr>
              <w:spacing w:before="60" w:after="60"/>
              <w:ind w:left="0" w:firstLine="0"/>
              <w:rPr>
                <w:rFonts w:asciiTheme="minorHAnsi" w:hAnsiTheme="minorHAnsi" w:cstheme="minorHAnsi"/>
              </w:rPr>
            </w:pPr>
            <w:r>
              <w:rPr>
                <w:rFonts w:asciiTheme="minorHAnsi" w:hAnsiTheme="minorHAnsi"/>
                <w:b/>
                <w:color w:val="000000"/>
              </w:rPr>
              <w:t xml:space="preserve">TWA 2 : </w:t>
            </w:r>
            <w:r w:rsidR="00437C6C">
              <w:rPr>
                <w:rFonts w:asciiTheme="minorHAnsi" w:hAnsiTheme="minorHAnsi"/>
                <w:b/>
                <w:color w:val="000000"/>
              </w:rPr>
              <w:t>o</w:t>
            </w:r>
            <w:r>
              <w:rPr>
                <w:rFonts w:asciiTheme="minorHAnsi" w:hAnsiTheme="minorHAnsi"/>
                <w:b/>
                <w:color w:val="000000"/>
              </w:rPr>
              <w:t>utils pour l’évaluation, la cartographie et le suivi, et élaboration d’inventaires des</w:t>
            </w:r>
            <w:r>
              <w:rPr>
                <w:rFonts w:asciiTheme="minorHAnsi" w:hAnsiTheme="minorHAnsi"/>
                <w:b/>
                <w:color w:val="000000"/>
              </w:rPr>
              <w:cr/>
            </w:r>
            <w:r w:rsidR="00782C76">
              <w:rPr>
                <w:rFonts w:asciiTheme="minorHAnsi" w:hAnsiTheme="minorHAnsi"/>
                <w:b/>
                <w:color w:val="000000"/>
              </w:rPr>
              <w:t xml:space="preserve"> </w:t>
            </w:r>
            <w:proofErr w:type="gramStart"/>
            <w:r>
              <w:rPr>
                <w:rFonts w:asciiTheme="minorHAnsi" w:hAnsiTheme="minorHAnsi"/>
                <w:b/>
                <w:color w:val="000000"/>
              </w:rPr>
              <w:t>zones</w:t>
            </w:r>
            <w:proofErr w:type="gramEnd"/>
            <w:r>
              <w:rPr>
                <w:rFonts w:asciiTheme="minorHAnsi" w:hAnsiTheme="minorHAnsi"/>
                <w:b/>
                <w:color w:val="000000"/>
              </w:rPr>
              <w:t xml:space="preserve"> humides.</w:t>
            </w:r>
          </w:p>
        </w:tc>
      </w:tr>
      <w:tr w:rsidR="00D33C74" w:rsidRPr="0049270A" w14:paraId="290F0F81"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tcPr>
          <w:p w14:paraId="4D329871" w14:textId="21CFC9F5" w:rsidR="00D33C74" w:rsidRPr="00D33C74" w:rsidRDefault="00271B11" w:rsidP="00D33C74">
            <w:pPr>
              <w:spacing w:before="60" w:after="60"/>
              <w:ind w:left="0" w:firstLine="0"/>
              <w:rPr>
                <w:rFonts w:asciiTheme="minorHAnsi" w:hAnsiTheme="minorHAnsi" w:cstheme="minorHAnsi"/>
                <w:color w:val="000000"/>
              </w:rPr>
            </w:pPr>
            <w:r>
              <w:rPr>
                <w:rFonts w:asciiTheme="minorHAnsi" w:hAnsiTheme="minorHAnsi"/>
              </w:rPr>
              <w:t xml:space="preserve">Ce domaine de travail </w:t>
            </w:r>
            <w:r>
              <w:rPr>
                <w:rFonts w:asciiTheme="minorHAnsi" w:hAnsiTheme="minorHAnsi"/>
                <w:color w:val="000000"/>
              </w:rPr>
              <w:t xml:space="preserve">vise à améliorer les méthodologies et outils nécessaires à l’évaluation, la cartographie et le suivi des zones humides, y compris pour l’évaluation du carbone des zones humides et la surveillance de la biodiversité. Le TWA 2 étudiera les nouvelles techniques disponibles, notamment la télédétection et l’observation de la Terre, pour </w:t>
            </w:r>
            <w:r w:rsidR="00CE50F9">
              <w:rPr>
                <w:rFonts w:asciiTheme="minorHAnsi" w:hAnsiTheme="minorHAnsi"/>
                <w:color w:val="000000"/>
              </w:rPr>
              <w:t>simplifier</w:t>
            </w:r>
            <w:r>
              <w:rPr>
                <w:rFonts w:asciiTheme="minorHAnsi" w:hAnsiTheme="minorHAnsi"/>
                <w:color w:val="000000"/>
              </w:rPr>
              <w:t xml:space="preserve"> l’inventaire et les rapports sur les zones humides. Les prochaines actions viseront à garantir l’accessibilité et l’adaptabilité de ces outils pour permettre aux Parties contractantes de répondre à leurs obligations de rapport au titre de la Convention et des autres cadres mondiaux qui tiennent compte de la question des zones humides.</w:t>
            </w:r>
          </w:p>
        </w:tc>
      </w:tr>
      <w:tr w:rsidR="00315F94" w:rsidRPr="0049270A" w14:paraId="2478356A"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7C86E63B" w14:textId="06B79E2B" w:rsidR="00315F94" w:rsidRPr="0049270A" w:rsidRDefault="00DE5D7E" w:rsidP="00D33C74">
            <w:pPr>
              <w:spacing w:before="60" w:after="60"/>
              <w:ind w:left="0" w:firstLine="0"/>
              <w:rPr>
                <w:rFonts w:asciiTheme="minorHAnsi" w:hAnsiTheme="minorHAnsi" w:cstheme="minorHAnsi"/>
                <w:color w:val="000000"/>
              </w:rPr>
            </w:pPr>
            <w:r>
              <w:rPr>
                <w:b/>
                <w:color w:val="000000" w:themeColor="text1"/>
              </w:rPr>
              <w:t>Tâche 2.1.</w:t>
            </w:r>
            <w:r>
              <w:rPr>
                <w:color w:val="000000" w:themeColor="text1"/>
              </w:rPr>
              <w:t xml:space="preserve"> Examen du Système Ramsar de classification des types de zones humides.</w:t>
            </w:r>
          </w:p>
        </w:tc>
        <w:tc>
          <w:tcPr>
            <w:tcW w:w="4110" w:type="dxa"/>
            <w:tcBorders>
              <w:top w:val="none" w:sz="4" w:space="0" w:color="000000"/>
              <w:left w:val="single" w:sz="8" w:space="0" w:color="000000"/>
              <w:bottom w:val="single" w:sz="8" w:space="0" w:color="000000"/>
              <w:right w:val="single" w:sz="8" w:space="0" w:color="000000"/>
            </w:tcBorders>
          </w:tcPr>
          <w:p w14:paraId="5E3B4FFB" w14:textId="1217BB0F" w:rsidR="00315F94" w:rsidRPr="0049270A" w:rsidRDefault="000830E0" w:rsidP="00EE0D45">
            <w:pPr>
              <w:spacing w:before="60" w:after="60"/>
              <w:ind w:left="0" w:firstLine="0"/>
              <w:rPr>
                <w:rFonts w:asciiTheme="minorHAnsi" w:hAnsiTheme="minorHAnsi" w:cstheme="minorHAnsi"/>
                <w:color w:val="000000"/>
              </w:rPr>
            </w:pPr>
            <w:r>
              <w:rPr>
                <w:rFonts w:asciiTheme="minorHAnsi" w:hAnsiTheme="minorHAnsi"/>
                <w:color w:val="000000"/>
              </w:rPr>
              <w:t>SC63 Doc.19 (Para. 16-18 &amp; Annexe</w:t>
            </w:r>
            <w:r w:rsidR="00F365EB">
              <w:rPr>
                <w:rFonts w:asciiTheme="minorHAnsi" w:hAnsiTheme="minorHAnsi"/>
                <w:color w:val="000000"/>
              </w:rPr>
              <w:t xml:space="preserve"> </w:t>
            </w:r>
            <w:r>
              <w:rPr>
                <w:rFonts w:asciiTheme="minorHAnsi" w:hAnsiTheme="minorHAnsi"/>
                <w:color w:val="000000"/>
              </w:rPr>
              <w:t>1) ; et rapport et Décisions du Comité permanent à sa 63</w:t>
            </w:r>
            <w:r w:rsidR="00367D7C" w:rsidRPr="00367D7C">
              <w:rPr>
                <w:rFonts w:asciiTheme="minorHAnsi" w:hAnsiTheme="minorHAnsi"/>
                <w:color w:val="000000"/>
                <w:vertAlign w:val="superscript"/>
              </w:rPr>
              <w:t>e</w:t>
            </w:r>
            <w:r w:rsidR="00367D7C">
              <w:rPr>
                <w:rFonts w:asciiTheme="minorHAnsi" w:hAnsiTheme="minorHAnsi"/>
                <w:color w:val="000000"/>
              </w:rPr>
              <w:t xml:space="preserve"> </w:t>
            </w:r>
            <w:r w:rsidR="00E83B41">
              <w:rPr>
                <w:rFonts w:asciiTheme="minorHAnsi" w:hAnsiTheme="minorHAnsi"/>
                <w:color w:val="000000"/>
              </w:rPr>
              <w:t>Réunion</w:t>
            </w:r>
            <w:r>
              <w:rPr>
                <w:rFonts w:asciiTheme="minorHAnsi" w:hAnsiTheme="minorHAnsi"/>
                <w:color w:val="000000"/>
              </w:rPr>
              <w:t xml:space="preserve"> (Décision SC63-30).</w:t>
            </w:r>
          </w:p>
        </w:tc>
      </w:tr>
      <w:tr w:rsidR="00315F94" w:rsidRPr="0049270A" w14:paraId="4971C72A"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0BE4DAF6" w14:textId="467A8C98" w:rsidR="00315F94" w:rsidRPr="0049270A" w:rsidRDefault="00EC5EA1" w:rsidP="00D33C74">
            <w:pPr>
              <w:spacing w:before="60" w:after="60"/>
              <w:ind w:left="0" w:firstLine="0"/>
              <w:rPr>
                <w:rFonts w:asciiTheme="minorHAnsi" w:hAnsiTheme="minorHAnsi" w:cstheme="minorHAnsi"/>
                <w:color w:val="000000"/>
              </w:rPr>
            </w:pPr>
            <w:r>
              <w:rPr>
                <w:b/>
                <w:color w:val="000000" w:themeColor="text1"/>
              </w:rPr>
              <w:t>Tâche 2.2.</w:t>
            </w:r>
            <w:r>
              <w:rPr>
                <w:color w:val="000000" w:themeColor="text1"/>
              </w:rPr>
              <w:t xml:space="preserve"> Accélérer le développement et l’utilisation de technologies pour la cartographie et l’inventaire des zones humides.</w:t>
            </w:r>
          </w:p>
        </w:tc>
        <w:tc>
          <w:tcPr>
            <w:tcW w:w="4110" w:type="dxa"/>
            <w:tcBorders>
              <w:top w:val="none" w:sz="4" w:space="0" w:color="000000"/>
              <w:left w:val="single" w:sz="8" w:space="0" w:color="000000"/>
              <w:bottom w:val="single" w:sz="8" w:space="0" w:color="000000"/>
              <w:right w:val="single" w:sz="8" w:space="0" w:color="000000"/>
            </w:tcBorders>
          </w:tcPr>
          <w:p w14:paraId="65B0C490" w14:textId="336FE573" w:rsidR="00315F94" w:rsidRPr="00D33C74" w:rsidRDefault="006860A2" w:rsidP="00EE0D45">
            <w:pPr>
              <w:spacing w:before="60" w:after="60"/>
              <w:ind w:left="0" w:firstLine="0"/>
              <w:rPr>
                <w:rFonts w:asciiTheme="minorHAnsi" w:hAnsiTheme="minorHAnsi" w:cstheme="minorHAnsi"/>
                <w:color w:val="000000"/>
              </w:rPr>
            </w:pPr>
            <w:r>
              <w:rPr>
                <w:rFonts w:asciiTheme="minorHAnsi" w:hAnsiTheme="minorHAnsi"/>
                <w:color w:val="000000"/>
              </w:rPr>
              <w:t>SC63 Doc.19 (Para. 49 (h))</w:t>
            </w:r>
            <w:r w:rsidR="00F365EB">
              <w:rPr>
                <w:rFonts w:asciiTheme="minorHAnsi" w:hAnsiTheme="minorHAnsi"/>
                <w:color w:val="000000"/>
              </w:rPr>
              <w:t xml:space="preserve"> </w:t>
            </w:r>
            <w:r>
              <w:rPr>
                <w:rFonts w:asciiTheme="minorHAnsi" w:hAnsiTheme="minorHAnsi"/>
                <w:color w:val="000000"/>
              </w:rPr>
              <w:t xml:space="preserve">; &amp; Rapport et </w:t>
            </w:r>
            <w:r>
              <w:rPr>
                <w:rFonts w:asciiTheme="minorHAnsi" w:hAnsiTheme="minorHAnsi"/>
              </w:rPr>
              <w:t>Décisions</w:t>
            </w:r>
            <w:r>
              <w:rPr>
                <w:rFonts w:asciiTheme="minorHAnsi" w:hAnsiTheme="minorHAnsi"/>
                <w:color w:val="000000"/>
              </w:rPr>
              <w:t xml:space="preserve"> du Comité permanent à sa 63e session (Décision SC63-30).</w:t>
            </w:r>
          </w:p>
        </w:tc>
      </w:tr>
    </w:tbl>
    <w:p w14:paraId="2837D260" w14:textId="77777777" w:rsidR="000F7FA4" w:rsidRDefault="000F7FA4">
      <w:r>
        <w:br w:type="page"/>
      </w:r>
    </w:p>
    <w:tbl>
      <w:tblPr>
        <w:tblW w:w="9062" w:type="dxa"/>
        <w:tblLayout w:type="fixed"/>
        <w:tblLook w:val="0400" w:firstRow="0" w:lastRow="0" w:firstColumn="0" w:lastColumn="0" w:noHBand="0" w:noVBand="1"/>
      </w:tblPr>
      <w:tblGrid>
        <w:gridCol w:w="4952"/>
        <w:gridCol w:w="4110"/>
      </w:tblGrid>
      <w:tr w:rsidR="00315F94" w:rsidRPr="0049270A" w14:paraId="0A5D4E5F"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D9D9D9"/>
          </w:tcPr>
          <w:p w14:paraId="04ECC564" w14:textId="6801BD82" w:rsidR="00315F94" w:rsidRPr="0049270A" w:rsidRDefault="00315F94" w:rsidP="00315F94">
            <w:pPr>
              <w:spacing w:before="60" w:after="60"/>
              <w:ind w:left="0" w:firstLine="0"/>
              <w:rPr>
                <w:rFonts w:asciiTheme="minorHAnsi" w:hAnsiTheme="minorHAnsi" w:cstheme="minorHAnsi"/>
              </w:rPr>
            </w:pPr>
            <w:r>
              <w:rPr>
                <w:rFonts w:asciiTheme="minorHAnsi" w:hAnsiTheme="minorHAnsi"/>
                <w:b/>
                <w:color w:val="000000"/>
              </w:rPr>
              <w:lastRenderedPageBreak/>
              <w:t xml:space="preserve">TWA 3 : </w:t>
            </w:r>
            <w:r w:rsidR="00026E22">
              <w:rPr>
                <w:rFonts w:asciiTheme="minorHAnsi" w:hAnsiTheme="minorHAnsi"/>
                <w:b/>
                <w:color w:val="000000"/>
              </w:rPr>
              <w:t>p</w:t>
            </w:r>
            <w:r>
              <w:rPr>
                <w:rFonts w:asciiTheme="minorHAnsi" w:hAnsiTheme="minorHAnsi"/>
                <w:b/>
                <w:color w:val="000000"/>
              </w:rPr>
              <w:t xml:space="preserve">ressions directes et liées aux changements climatiques sur les zones humides, </w:t>
            </w:r>
            <w:r w:rsidR="007D2AEA">
              <w:rPr>
                <w:rFonts w:asciiTheme="minorHAnsi" w:hAnsiTheme="minorHAnsi"/>
                <w:b/>
                <w:color w:val="000000"/>
              </w:rPr>
              <w:t>leurs</w:t>
            </w:r>
            <w:r>
              <w:rPr>
                <w:rFonts w:asciiTheme="minorHAnsi" w:hAnsiTheme="minorHAnsi"/>
                <w:b/>
                <w:color w:val="000000"/>
              </w:rPr>
              <w:t xml:space="preserve"> effets et réponses.</w:t>
            </w:r>
          </w:p>
        </w:tc>
      </w:tr>
      <w:tr w:rsidR="00D33C74" w:rsidRPr="0049270A" w14:paraId="763FD1FF"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tcPr>
          <w:p w14:paraId="50C37A83" w14:textId="63295AA4" w:rsidR="00D33C74" w:rsidRPr="00D33C74" w:rsidRDefault="00235FB2" w:rsidP="00D33C74">
            <w:pPr>
              <w:spacing w:before="60" w:after="60"/>
              <w:ind w:left="0" w:firstLine="0"/>
              <w:rPr>
                <w:rFonts w:asciiTheme="minorHAnsi" w:hAnsiTheme="minorHAnsi" w:cstheme="minorHAnsi"/>
                <w:color w:val="000000"/>
              </w:rPr>
            </w:pPr>
            <w:r>
              <w:rPr>
                <w:rFonts w:asciiTheme="minorHAnsi" w:hAnsiTheme="minorHAnsi"/>
                <w:color w:val="000000"/>
              </w:rPr>
              <w:t xml:space="preserve">Ce domaine de travail fournit des orientations scientifiques et techniques sur les principales pressions exercées sur les zones humides, y compris les </w:t>
            </w:r>
            <w:r w:rsidR="004D329F">
              <w:rPr>
                <w:rFonts w:asciiTheme="minorHAnsi" w:hAnsiTheme="minorHAnsi"/>
                <w:color w:val="000000"/>
              </w:rPr>
              <w:t>incidences</w:t>
            </w:r>
            <w:r>
              <w:rPr>
                <w:rFonts w:asciiTheme="minorHAnsi" w:hAnsiTheme="minorHAnsi"/>
                <w:color w:val="000000"/>
              </w:rPr>
              <w:t xml:space="preserve"> actuel</w:t>
            </w:r>
            <w:r w:rsidR="004D329F">
              <w:rPr>
                <w:rFonts w:asciiTheme="minorHAnsi" w:hAnsiTheme="minorHAnsi"/>
                <w:color w:val="000000"/>
              </w:rPr>
              <w:t>le</w:t>
            </w:r>
            <w:r>
              <w:rPr>
                <w:rFonts w:asciiTheme="minorHAnsi" w:hAnsiTheme="minorHAnsi"/>
                <w:color w:val="000000"/>
              </w:rPr>
              <w:t>s et prévisionnel</w:t>
            </w:r>
            <w:r w:rsidR="004D329F">
              <w:rPr>
                <w:rFonts w:asciiTheme="minorHAnsi" w:hAnsiTheme="minorHAnsi"/>
                <w:color w:val="000000"/>
              </w:rPr>
              <w:t>le</w:t>
            </w:r>
            <w:r>
              <w:rPr>
                <w:rFonts w:asciiTheme="minorHAnsi" w:hAnsiTheme="minorHAnsi"/>
                <w:color w:val="000000"/>
              </w:rPr>
              <w:t xml:space="preserve">s du changement climatique, sur la base des dernières évaluations mondiales. Le TWA 3 vise à fournir aux Parties contractantes des informations pour les aider à mettre en place des mesures d’adaptation et de renforcement de la résilience </w:t>
            </w:r>
            <w:r w:rsidR="00265A70">
              <w:rPr>
                <w:rFonts w:asciiTheme="minorHAnsi" w:hAnsiTheme="minorHAnsi"/>
                <w:color w:val="000000"/>
              </w:rPr>
              <w:t>pour</w:t>
            </w:r>
            <w:r>
              <w:rPr>
                <w:rFonts w:asciiTheme="minorHAnsi" w:hAnsiTheme="minorHAnsi"/>
                <w:color w:val="000000"/>
              </w:rPr>
              <w:t xml:space="preserve"> </w:t>
            </w:r>
            <w:r w:rsidR="00265A70">
              <w:rPr>
                <w:rFonts w:asciiTheme="minorHAnsi" w:hAnsiTheme="minorHAnsi"/>
                <w:color w:val="000000"/>
              </w:rPr>
              <w:t>l</w:t>
            </w:r>
            <w:r>
              <w:rPr>
                <w:rFonts w:asciiTheme="minorHAnsi" w:hAnsiTheme="minorHAnsi"/>
                <w:color w:val="000000"/>
              </w:rPr>
              <w:t>es zones humides, en favorisant des solutions fondées sur la nature ou des approches fondées sur les écosystèmes pour protéger les services écosystémiques contre les changements climatiques et autres pressions directes, y compris l’expansion de l’agriculture, la pollution et l</w:t>
            </w:r>
            <w:r w:rsidR="00221E48">
              <w:rPr>
                <w:rFonts w:asciiTheme="minorHAnsi" w:hAnsiTheme="minorHAnsi"/>
                <w:color w:val="000000"/>
              </w:rPr>
              <w:t>’urbanisation</w:t>
            </w:r>
            <w:r>
              <w:rPr>
                <w:rFonts w:asciiTheme="minorHAnsi" w:hAnsiTheme="minorHAnsi"/>
                <w:color w:val="000000"/>
              </w:rPr>
              <w:t>.</w:t>
            </w:r>
          </w:p>
        </w:tc>
      </w:tr>
      <w:tr w:rsidR="00315F94" w:rsidRPr="0049270A" w14:paraId="3ED8C344"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67E58A81" w14:textId="29B47E9D" w:rsidR="00315F94" w:rsidRPr="00266083" w:rsidRDefault="00E14956" w:rsidP="00D33C74">
            <w:pPr>
              <w:spacing w:before="60" w:after="60"/>
              <w:ind w:left="0" w:firstLine="0"/>
              <w:rPr>
                <w:rFonts w:asciiTheme="minorHAnsi" w:hAnsiTheme="minorHAnsi" w:cstheme="minorHAnsi"/>
                <w:color w:val="000000"/>
              </w:rPr>
            </w:pPr>
            <w:r>
              <w:rPr>
                <w:b/>
                <w:color w:val="000000" w:themeColor="text1"/>
              </w:rPr>
              <w:t>Tâche 3.1.</w:t>
            </w:r>
            <w:r>
              <w:rPr>
                <w:color w:val="000000" w:themeColor="text1"/>
              </w:rPr>
              <w:t xml:space="preserve"> Évaluation des conséquences des floraisons d’algues néfastes dans les zones humides.</w:t>
            </w:r>
          </w:p>
        </w:tc>
        <w:tc>
          <w:tcPr>
            <w:tcW w:w="4110" w:type="dxa"/>
            <w:tcBorders>
              <w:top w:val="single" w:sz="8" w:space="0" w:color="000000"/>
              <w:left w:val="single" w:sz="8" w:space="0" w:color="000000"/>
              <w:bottom w:val="single" w:sz="8" w:space="0" w:color="000000"/>
              <w:right w:val="single" w:sz="8" w:space="0" w:color="000000"/>
            </w:tcBorders>
          </w:tcPr>
          <w:p w14:paraId="6BFF5E7D" w14:textId="792FFEBA" w:rsidR="00315F94" w:rsidRPr="00EE0D45" w:rsidRDefault="00BD7A83" w:rsidP="00EE0D45">
            <w:pPr>
              <w:spacing w:before="60" w:after="60"/>
              <w:ind w:left="0" w:firstLine="0"/>
              <w:rPr>
                <w:rFonts w:asciiTheme="minorHAnsi" w:hAnsiTheme="minorHAnsi" w:cstheme="minorHAnsi"/>
              </w:rPr>
            </w:pPr>
            <w:r>
              <w:rPr>
                <w:rFonts w:asciiTheme="minorHAnsi" w:hAnsiTheme="minorHAnsi"/>
              </w:rPr>
              <w:t>SC63 Doc.19 (Para. 19-21 et Annexe 2).</w:t>
            </w:r>
          </w:p>
        </w:tc>
      </w:tr>
      <w:tr w:rsidR="00E14956" w:rsidRPr="0049270A" w14:paraId="20E39A8A"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2A7B2A8E" w14:textId="14A63EAE" w:rsidR="00E14956" w:rsidRPr="00986EB2" w:rsidRDefault="008A2F26" w:rsidP="00D33C74">
            <w:pPr>
              <w:spacing w:before="60" w:after="60"/>
              <w:ind w:left="0" w:firstLine="0"/>
              <w:rPr>
                <w:b/>
                <w:color w:val="000000" w:themeColor="text1"/>
              </w:rPr>
            </w:pPr>
            <w:r>
              <w:rPr>
                <w:b/>
                <w:color w:val="000000" w:themeColor="text1"/>
              </w:rPr>
              <w:t>Tâche 3.2.</w:t>
            </w:r>
            <w:r>
              <w:rPr>
                <w:color w:val="000000" w:themeColor="text1"/>
              </w:rPr>
              <w:t xml:space="preserve"> Évaluation des conséquences des feux dans les zones humides.</w:t>
            </w:r>
          </w:p>
        </w:tc>
        <w:tc>
          <w:tcPr>
            <w:tcW w:w="4110" w:type="dxa"/>
            <w:tcBorders>
              <w:top w:val="single" w:sz="8" w:space="0" w:color="000000"/>
              <w:left w:val="single" w:sz="8" w:space="0" w:color="000000"/>
              <w:bottom w:val="single" w:sz="8" w:space="0" w:color="000000"/>
              <w:right w:val="single" w:sz="8" w:space="0" w:color="000000"/>
            </w:tcBorders>
          </w:tcPr>
          <w:p w14:paraId="521C4082" w14:textId="423959D1" w:rsidR="00E14956" w:rsidRPr="00EE0D45" w:rsidRDefault="007B10B1" w:rsidP="00EE0D45">
            <w:pPr>
              <w:spacing w:before="60" w:after="60"/>
              <w:ind w:left="0" w:firstLine="0"/>
              <w:rPr>
                <w:rFonts w:asciiTheme="minorHAnsi" w:hAnsiTheme="minorHAnsi" w:cstheme="minorHAnsi"/>
              </w:rPr>
            </w:pPr>
            <w:r>
              <w:rPr>
                <w:rFonts w:asciiTheme="minorHAnsi" w:hAnsiTheme="minorHAnsi"/>
              </w:rPr>
              <w:t>Doc. SC63.19</w:t>
            </w:r>
            <w:r w:rsidR="00F365EB">
              <w:rPr>
                <w:rFonts w:asciiTheme="minorHAnsi" w:hAnsiTheme="minorHAnsi"/>
              </w:rPr>
              <w:t xml:space="preserve"> </w:t>
            </w:r>
            <w:r>
              <w:rPr>
                <w:rFonts w:asciiTheme="minorHAnsi" w:hAnsiTheme="minorHAnsi"/>
              </w:rPr>
              <w:t>(Para. 19-21 et Annexe 2).</w:t>
            </w:r>
          </w:p>
        </w:tc>
      </w:tr>
      <w:tr w:rsidR="00315F94" w:rsidRPr="0049270A" w14:paraId="7A7049A5"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D9D9D9"/>
          </w:tcPr>
          <w:p w14:paraId="09681EBF" w14:textId="2772CC89" w:rsidR="00315F94" w:rsidRPr="0049270A" w:rsidRDefault="00315F94" w:rsidP="00315F94">
            <w:pPr>
              <w:spacing w:before="60" w:after="60"/>
              <w:ind w:left="0" w:firstLine="0"/>
              <w:rPr>
                <w:rFonts w:asciiTheme="minorHAnsi" w:hAnsiTheme="minorHAnsi" w:cstheme="minorHAnsi"/>
              </w:rPr>
            </w:pPr>
            <w:r>
              <w:rPr>
                <w:rFonts w:asciiTheme="minorHAnsi" w:hAnsiTheme="minorHAnsi"/>
                <w:b/>
                <w:color w:val="000000"/>
              </w:rPr>
              <w:t xml:space="preserve">TWA 4 : </w:t>
            </w:r>
            <w:r w:rsidR="00D63320">
              <w:rPr>
                <w:rFonts w:asciiTheme="minorHAnsi" w:hAnsiTheme="minorHAnsi"/>
                <w:b/>
                <w:color w:val="000000"/>
              </w:rPr>
              <w:t>u</w:t>
            </w:r>
            <w:r>
              <w:rPr>
                <w:rFonts w:asciiTheme="minorHAnsi" w:hAnsiTheme="minorHAnsi"/>
                <w:b/>
                <w:color w:val="000000"/>
              </w:rPr>
              <w:t>tilisation rationnelle, gestion durable et restauration des zones humides dans le paysage terrestre et marin général</w:t>
            </w:r>
          </w:p>
        </w:tc>
      </w:tr>
      <w:tr w:rsidR="00D33C74" w:rsidRPr="0049270A" w14:paraId="162836DB"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tcPr>
          <w:p w14:paraId="47DA20C6" w14:textId="7D6C7581" w:rsidR="007A3F8A" w:rsidRPr="00D33C74" w:rsidRDefault="00235FB2" w:rsidP="00D33C74">
            <w:pPr>
              <w:spacing w:before="60" w:after="60"/>
              <w:ind w:left="0" w:firstLine="0"/>
              <w:rPr>
                <w:rFonts w:asciiTheme="minorHAnsi" w:hAnsiTheme="minorHAnsi" w:cstheme="minorHAnsi"/>
                <w:color w:val="000000"/>
              </w:rPr>
            </w:pPr>
            <w:r>
              <w:rPr>
                <w:rFonts w:asciiTheme="minorHAnsi" w:hAnsiTheme="minorHAnsi"/>
                <w:color w:val="000000"/>
              </w:rPr>
              <w:t>Ce domaine de travail aidera les Parties contractantes à mettre en œuvre des mesures favorisant l’utilisation rationnelle et la gestion durable des zones humides</w:t>
            </w:r>
            <w:r w:rsidR="00507442">
              <w:rPr>
                <w:rFonts w:asciiTheme="minorHAnsi" w:hAnsiTheme="minorHAnsi"/>
                <w:color w:val="000000"/>
              </w:rPr>
              <w:t xml:space="preserve">, </w:t>
            </w:r>
            <w:r>
              <w:rPr>
                <w:rFonts w:asciiTheme="minorHAnsi" w:hAnsiTheme="minorHAnsi"/>
                <w:color w:val="000000"/>
              </w:rPr>
              <w:t>de même que leur restauration. Le TWA 4 inclut une évaluation des différents changements permettant de parvenir à une utilisation rationnelle des zones humides, conformément aux objectifs de développement durable, et de soutenir l’intégration des zones humides dans les stratégies de développement nationales. Parmi les futures activités du TWA 4 figure l’élaboration d’orientations pour renforcer le rôle des zones humides dans la réduction des risques de catastrophe, promouvoir la sécurité alimentaire et permettre la restauration des zones humides.</w:t>
            </w:r>
          </w:p>
        </w:tc>
      </w:tr>
      <w:tr w:rsidR="00315F94" w:rsidRPr="0049270A" w14:paraId="1C91132E"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2866C5D2" w14:textId="07AE243C" w:rsidR="00315F94" w:rsidRPr="000525D6" w:rsidRDefault="002B72F1" w:rsidP="00D33C74">
            <w:pPr>
              <w:spacing w:before="60" w:after="60"/>
              <w:ind w:left="0" w:firstLine="0"/>
              <w:rPr>
                <w:rFonts w:asciiTheme="minorHAnsi" w:hAnsiTheme="minorHAnsi" w:cstheme="minorHAnsi"/>
                <w:color w:val="000000"/>
              </w:rPr>
            </w:pPr>
            <w:r>
              <w:rPr>
                <w:b/>
                <w:color w:val="000000" w:themeColor="text1"/>
              </w:rPr>
              <w:t>Tâche 4.1.</w:t>
            </w:r>
            <w:r>
              <w:rPr>
                <w:color w:val="000000" w:themeColor="text1"/>
              </w:rPr>
              <w:t xml:space="preserve"> Évaluation des </w:t>
            </w:r>
            <w:r w:rsidR="007F7E46">
              <w:rPr>
                <w:color w:val="000000" w:themeColor="text1"/>
              </w:rPr>
              <w:t xml:space="preserve">voies de transformation </w:t>
            </w:r>
            <w:r>
              <w:rPr>
                <w:color w:val="000000" w:themeColor="text1"/>
              </w:rPr>
              <w:t>pour la conservation et de l’utilisation rationnelle des zones humides, au bénéfice de la nature, du climat et des populations.</w:t>
            </w:r>
          </w:p>
        </w:tc>
        <w:tc>
          <w:tcPr>
            <w:tcW w:w="4110" w:type="dxa"/>
            <w:tcBorders>
              <w:top w:val="single" w:sz="8" w:space="0" w:color="000000"/>
              <w:left w:val="single" w:sz="8" w:space="0" w:color="000000"/>
              <w:bottom w:val="single" w:sz="8" w:space="0" w:color="000000"/>
              <w:right w:val="single" w:sz="8" w:space="0" w:color="000000"/>
            </w:tcBorders>
          </w:tcPr>
          <w:p w14:paraId="09BFC263" w14:textId="6F1A150D" w:rsidR="00315F94" w:rsidRPr="00D33C74" w:rsidRDefault="00F91284" w:rsidP="00EE0D45">
            <w:pPr>
              <w:spacing w:before="60" w:after="60"/>
              <w:ind w:left="0" w:firstLine="0"/>
              <w:rPr>
                <w:rFonts w:asciiTheme="minorHAnsi" w:hAnsiTheme="minorHAnsi" w:cstheme="minorHAnsi"/>
                <w:color w:val="000000"/>
              </w:rPr>
            </w:pPr>
            <w:r>
              <w:rPr>
                <w:rFonts w:asciiTheme="minorHAnsi" w:hAnsiTheme="minorHAnsi"/>
                <w:color w:val="000000"/>
              </w:rPr>
              <w:t>SC63 Doc.19 (Para. 19-21 et Annexe 2) ; et Vision du 5</w:t>
            </w:r>
            <w:r w:rsidR="002B2666" w:rsidRPr="002B2666">
              <w:rPr>
                <w:rFonts w:asciiTheme="minorHAnsi" w:hAnsiTheme="minorHAnsi"/>
                <w:color w:val="000000"/>
                <w:vertAlign w:val="superscript"/>
              </w:rPr>
              <w:t>e</w:t>
            </w:r>
            <w:r>
              <w:rPr>
                <w:rFonts w:asciiTheme="minorHAnsi" w:hAnsiTheme="minorHAnsi"/>
                <w:color w:val="000000"/>
              </w:rPr>
              <w:t xml:space="preserve"> Plan stratégique (à confirmer)</w:t>
            </w:r>
          </w:p>
        </w:tc>
      </w:tr>
      <w:tr w:rsidR="002B72F1" w:rsidRPr="0049270A" w14:paraId="7F4A7945"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27A30DB1" w14:textId="0FFFEABF" w:rsidR="002B72F1" w:rsidRPr="00986EB2" w:rsidRDefault="009F6B66" w:rsidP="00D33C74">
            <w:pPr>
              <w:spacing w:before="60" w:after="60"/>
              <w:ind w:left="0" w:firstLine="0"/>
              <w:rPr>
                <w:b/>
                <w:color w:val="000000" w:themeColor="text1"/>
              </w:rPr>
            </w:pPr>
            <w:r>
              <w:rPr>
                <w:b/>
                <w:color w:val="000000" w:themeColor="text1"/>
              </w:rPr>
              <w:t>Tâche 4.2.</w:t>
            </w:r>
            <w:r>
              <w:rPr>
                <w:color w:val="000000" w:themeColor="text1"/>
              </w:rPr>
              <w:t xml:space="preserve"> Renforcer la restauration des zones humides à des fins de résilience climatique et de rétablissement de la biodiversité : </w:t>
            </w:r>
            <w:r w:rsidR="008C33F3">
              <w:rPr>
                <w:color w:val="000000" w:themeColor="text1"/>
              </w:rPr>
              <w:t>s</w:t>
            </w:r>
            <w:r w:rsidR="00F365EB">
              <w:rPr>
                <w:color w:val="000000" w:themeColor="text1"/>
              </w:rPr>
              <w:t xml:space="preserve">e servir </w:t>
            </w:r>
            <w:r w:rsidR="008C33F3">
              <w:rPr>
                <w:color w:val="000000" w:themeColor="text1"/>
              </w:rPr>
              <w:t xml:space="preserve">des </w:t>
            </w:r>
            <w:r>
              <w:rPr>
                <w:color w:val="000000" w:themeColor="text1"/>
              </w:rPr>
              <w:t xml:space="preserve">publications du GEST et </w:t>
            </w:r>
            <w:r w:rsidR="008C33F3">
              <w:rPr>
                <w:color w:val="000000" w:themeColor="text1"/>
              </w:rPr>
              <w:t>des</w:t>
            </w:r>
            <w:r>
              <w:rPr>
                <w:color w:val="000000" w:themeColor="text1"/>
              </w:rPr>
              <w:t xml:space="preserve"> cadres mondiaux.</w:t>
            </w:r>
          </w:p>
        </w:tc>
        <w:tc>
          <w:tcPr>
            <w:tcW w:w="4110" w:type="dxa"/>
            <w:tcBorders>
              <w:top w:val="single" w:sz="8" w:space="0" w:color="000000"/>
              <w:left w:val="single" w:sz="8" w:space="0" w:color="000000"/>
              <w:bottom w:val="single" w:sz="8" w:space="0" w:color="000000"/>
              <w:right w:val="single" w:sz="8" w:space="0" w:color="000000"/>
            </w:tcBorders>
          </w:tcPr>
          <w:p w14:paraId="3550FEC4" w14:textId="67DD61BF" w:rsidR="002B72F1" w:rsidRPr="00D33C74" w:rsidRDefault="008E7FD2" w:rsidP="00EE0D45">
            <w:pPr>
              <w:spacing w:before="60" w:after="60"/>
              <w:ind w:left="0" w:firstLine="0"/>
              <w:rPr>
                <w:rFonts w:asciiTheme="minorHAnsi" w:hAnsiTheme="minorHAnsi" w:cstheme="minorHAnsi"/>
                <w:color w:val="000000"/>
              </w:rPr>
            </w:pPr>
            <w:r>
              <w:rPr>
                <w:rFonts w:asciiTheme="minorHAnsi" w:hAnsiTheme="minorHAnsi"/>
                <w:color w:val="000000"/>
              </w:rPr>
              <w:t xml:space="preserve">Activités du GEST pertinentes : p. ex., </w:t>
            </w:r>
            <w:proofErr w:type="spellStart"/>
            <w:r>
              <w:rPr>
                <w:rFonts w:asciiTheme="minorHAnsi" w:hAnsiTheme="minorHAnsi"/>
                <w:color w:val="000000"/>
              </w:rPr>
              <w:t>Rés</w:t>
            </w:r>
            <w:proofErr w:type="spellEnd"/>
            <w:r>
              <w:rPr>
                <w:rFonts w:asciiTheme="minorHAnsi" w:hAnsiTheme="minorHAnsi"/>
                <w:color w:val="000000"/>
              </w:rPr>
              <w:t>. XIV.6, Para. 45</w:t>
            </w:r>
            <w:r w:rsidR="00F365EB">
              <w:rPr>
                <w:rFonts w:asciiTheme="minorHAnsi" w:hAnsiTheme="minorHAnsi"/>
                <w:color w:val="000000"/>
              </w:rPr>
              <w:t xml:space="preserve"> </w:t>
            </w:r>
            <w:r>
              <w:rPr>
                <w:rFonts w:asciiTheme="minorHAnsi" w:hAnsiTheme="minorHAnsi"/>
                <w:color w:val="000000"/>
              </w:rPr>
              <w:t xml:space="preserve">; </w:t>
            </w:r>
            <w:proofErr w:type="spellStart"/>
            <w:r>
              <w:rPr>
                <w:rFonts w:asciiTheme="minorHAnsi" w:hAnsiTheme="minorHAnsi"/>
                <w:color w:val="000000"/>
              </w:rPr>
              <w:t>Rés</w:t>
            </w:r>
            <w:proofErr w:type="spellEnd"/>
            <w:r>
              <w:rPr>
                <w:rFonts w:asciiTheme="minorHAnsi" w:hAnsiTheme="minorHAnsi"/>
                <w:color w:val="000000"/>
              </w:rPr>
              <w:t xml:space="preserve">. XIV.14, Annexe 2 ; </w:t>
            </w:r>
            <w:proofErr w:type="spellStart"/>
            <w:r>
              <w:rPr>
                <w:rFonts w:asciiTheme="minorHAnsi" w:hAnsiTheme="minorHAnsi"/>
                <w:color w:val="000000"/>
              </w:rPr>
              <w:t>Rés</w:t>
            </w:r>
            <w:proofErr w:type="spellEnd"/>
            <w:r>
              <w:rPr>
                <w:rFonts w:asciiTheme="minorHAnsi" w:hAnsiTheme="minorHAnsi"/>
                <w:color w:val="000000"/>
              </w:rPr>
              <w:t xml:space="preserve">. XIV.16, Para. 21 ; et </w:t>
            </w:r>
            <w:proofErr w:type="spellStart"/>
            <w:r>
              <w:rPr>
                <w:rFonts w:asciiTheme="minorHAnsi" w:hAnsiTheme="minorHAnsi"/>
                <w:color w:val="000000"/>
              </w:rPr>
              <w:t>Rés</w:t>
            </w:r>
            <w:proofErr w:type="spellEnd"/>
            <w:r>
              <w:rPr>
                <w:rFonts w:asciiTheme="minorHAnsi" w:hAnsiTheme="minorHAnsi"/>
                <w:color w:val="000000"/>
              </w:rPr>
              <w:t>. XIV.17, Para. 14.</w:t>
            </w:r>
          </w:p>
        </w:tc>
      </w:tr>
      <w:tr w:rsidR="00315F94" w:rsidRPr="0049270A" w14:paraId="1CEDF4A0"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D9D9D9"/>
          </w:tcPr>
          <w:p w14:paraId="1FCD2AC1" w14:textId="16ABAF8B" w:rsidR="00315F94" w:rsidRPr="0049270A" w:rsidRDefault="00315F94" w:rsidP="00315F94">
            <w:pPr>
              <w:spacing w:before="60" w:after="60"/>
              <w:ind w:left="0" w:firstLine="0"/>
              <w:rPr>
                <w:rFonts w:asciiTheme="minorHAnsi" w:hAnsiTheme="minorHAnsi" w:cstheme="minorHAnsi"/>
              </w:rPr>
            </w:pPr>
            <w:r>
              <w:rPr>
                <w:rFonts w:asciiTheme="minorHAnsi" w:hAnsiTheme="minorHAnsi"/>
                <w:b/>
                <w:color w:val="000000"/>
              </w:rPr>
              <w:t xml:space="preserve">TWA 5 : </w:t>
            </w:r>
            <w:r w:rsidR="00E11412">
              <w:rPr>
                <w:rFonts w:asciiTheme="minorHAnsi" w:hAnsiTheme="minorHAnsi"/>
                <w:b/>
                <w:color w:val="000000"/>
              </w:rPr>
              <w:t>q</w:t>
            </w:r>
            <w:r>
              <w:rPr>
                <w:rFonts w:asciiTheme="minorHAnsi" w:hAnsiTheme="minorHAnsi"/>
                <w:b/>
                <w:color w:val="000000"/>
              </w:rPr>
              <w:t>uestions intersectorielles, fonctions d’appui et synergies avec d’autres Accords multilatéraux sur l’environnement (AME).</w:t>
            </w:r>
          </w:p>
        </w:tc>
      </w:tr>
      <w:tr w:rsidR="00D33C74" w:rsidRPr="0049270A" w14:paraId="6FAEB76D"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tcPr>
          <w:p w14:paraId="469F7DED" w14:textId="32FBDDB7" w:rsidR="00D33C74" w:rsidRPr="00235FB2" w:rsidRDefault="00235FB2" w:rsidP="00D33C74">
            <w:pPr>
              <w:spacing w:before="60" w:after="60"/>
              <w:ind w:left="0" w:firstLine="0"/>
              <w:rPr>
                <w:rFonts w:asciiTheme="minorHAnsi" w:hAnsiTheme="minorHAnsi" w:cstheme="minorHAnsi"/>
                <w:color w:val="000000"/>
              </w:rPr>
            </w:pPr>
            <w:r>
              <w:rPr>
                <w:rFonts w:asciiTheme="minorHAnsi" w:hAnsiTheme="minorHAnsi"/>
                <w:color w:val="000000"/>
              </w:rPr>
              <w:t>Ce domaine de travail portera sur les questions intersectorielles qui affectent la conservation des zones humides, rendra compte de l’état des zones humides dans le monde (Perspectives mondiales des zones humides), et fournira des orientations techniques pour faciliter les synergies avec d’autres Accord</w:t>
            </w:r>
            <w:r w:rsidR="00F365EB">
              <w:rPr>
                <w:rFonts w:asciiTheme="minorHAnsi" w:hAnsiTheme="minorHAnsi"/>
                <w:color w:val="000000"/>
              </w:rPr>
              <w:t>s</w:t>
            </w:r>
            <w:r>
              <w:rPr>
                <w:rFonts w:asciiTheme="minorHAnsi" w:hAnsiTheme="minorHAnsi"/>
                <w:color w:val="000000"/>
              </w:rPr>
              <w:t xml:space="preserve"> multilatéraux sur l’environnement (AME). Le TWA 5 fournira des informations pour aider les Parties contractantes à appliquer de façon efficace les approches pour la conservation, la restauration et l’utilisation rationnelle des zones humides, et </w:t>
            </w:r>
            <w:r w:rsidR="00973B93">
              <w:rPr>
                <w:rFonts w:asciiTheme="minorHAnsi" w:hAnsiTheme="minorHAnsi"/>
                <w:color w:val="000000"/>
              </w:rPr>
              <w:t xml:space="preserve">favorisera l’intégration des </w:t>
            </w:r>
            <w:r w:rsidR="003122D4" w:rsidRPr="003122D4">
              <w:rPr>
                <w:rFonts w:asciiTheme="minorHAnsi" w:hAnsiTheme="minorHAnsi"/>
                <w:color w:val="000000"/>
              </w:rPr>
              <w:t xml:space="preserve">mécanismes d’établissement de rapports </w:t>
            </w:r>
            <w:r w:rsidR="003122D4">
              <w:rPr>
                <w:rFonts w:asciiTheme="minorHAnsi" w:hAnsiTheme="minorHAnsi"/>
                <w:color w:val="000000"/>
              </w:rPr>
              <w:t>avec</w:t>
            </w:r>
            <w:r w:rsidR="00973B93">
              <w:rPr>
                <w:rFonts w:asciiTheme="minorHAnsi" w:hAnsiTheme="minorHAnsi"/>
                <w:color w:val="000000"/>
              </w:rPr>
              <w:t xml:space="preserve"> </w:t>
            </w:r>
            <w:r>
              <w:rPr>
                <w:rFonts w:asciiTheme="minorHAnsi" w:hAnsiTheme="minorHAnsi"/>
                <w:color w:val="000000"/>
              </w:rPr>
              <w:t>d’autres cadres mondiaux</w:t>
            </w:r>
            <w:r w:rsidR="00973B93">
              <w:rPr>
                <w:rFonts w:asciiTheme="minorHAnsi" w:hAnsiTheme="minorHAnsi"/>
                <w:color w:val="000000"/>
              </w:rPr>
              <w:t xml:space="preserve">, </w:t>
            </w:r>
            <w:r>
              <w:rPr>
                <w:rFonts w:asciiTheme="minorHAnsi" w:hAnsiTheme="minorHAnsi"/>
                <w:color w:val="000000"/>
              </w:rPr>
              <w:t>dont les ODD et le CMBKM.</w:t>
            </w:r>
          </w:p>
        </w:tc>
      </w:tr>
      <w:tr w:rsidR="00315F94" w:rsidRPr="0049270A" w14:paraId="48A72FF1" w14:textId="77777777" w:rsidTr="000E2887">
        <w:trPr>
          <w:cantSplit/>
        </w:trPr>
        <w:tc>
          <w:tcPr>
            <w:tcW w:w="4952" w:type="dxa"/>
            <w:tcBorders>
              <w:top w:val="single" w:sz="8" w:space="0" w:color="000000"/>
              <w:left w:val="single" w:sz="8" w:space="0" w:color="000000"/>
              <w:bottom w:val="single" w:sz="8" w:space="0" w:color="000000"/>
              <w:right w:val="single" w:sz="8" w:space="0" w:color="000000"/>
            </w:tcBorders>
          </w:tcPr>
          <w:p w14:paraId="6D8EF55C" w14:textId="7E02A312" w:rsidR="00315F94" w:rsidRPr="001F4266" w:rsidRDefault="001F4266" w:rsidP="00D33C74">
            <w:pPr>
              <w:spacing w:before="60" w:after="60"/>
              <w:ind w:left="0" w:firstLine="0"/>
              <w:rPr>
                <w:rFonts w:asciiTheme="minorHAnsi" w:hAnsiTheme="minorHAnsi" w:cstheme="minorHAnsi"/>
                <w:color w:val="000000"/>
              </w:rPr>
            </w:pPr>
            <w:r>
              <w:rPr>
                <w:b/>
                <w:color w:val="000000" w:themeColor="text1"/>
              </w:rPr>
              <w:t>Tâche 5.1.</w:t>
            </w:r>
            <w:r>
              <w:rPr>
                <w:color w:val="000000" w:themeColor="text1"/>
              </w:rPr>
              <w:t xml:space="preserve"> Perspectives mondiales des zones humides.</w:t>
            </w:r>
          </w:p>
        </w:tc>
        <w:tc>
          <w:tcPr>
            <w:tcW w:w="4110" w:type="dxa"/>
            <w:tcBorders>
              <w:left w:val="single" w:sz="8" w:space="0" w:color="000000"/>
              <w:bottom w:val="single" w:sz="4" w:space="0" w:color="auto"/>
              <w:right w:val="single" w:sz="8" w:space="0" w:color="000000"/>
            </w:tcBorders>
          </w:tcPr>
          <w:p w14:paraId="2067C96D" w14:textId="70A0AE8A" w:rsidR="00315F94" w:rsidRPr="00D33C74" w:rsidRDefault="00864559" w:rsidP="00D33C74">
            <w:pPr>
              <w:spacing w:before="60" w:after="60"/>
              <w:rPr>
                <w:rFonts w:asciiTheme="minorHAnsi" w:hAnsiTheme="minorHAnsi" w:cstheme="minorHAnsi"/>
                <w:color w:val="000000"/>
              </w:rPr>
            </w:pPr>
            <w:r>
              <w:rPr>
                <w:rFonts w:asciiTheme="minorHAnsi" w:hAnsiTheme="minorHAnsi"/>
              </w:rPr>
              <w:t>SC64 Doc.18</w:t>
            </w:r>
          </w:p>
        </w:tc>
      </w:tr>
      <w:tr w:rsidR="00315F94" w:rsidRPr="0049270A" w14:paraId="3923B0A8" w14:textId="77777777" w:rsidTr="0066304B">
        <w:trPr>
          <w:cantSplit/>
        </w:trPr>
        <w:tc>
          <w:tcPr>
            <w:tcW w:w="4952" w:type="dxa"/>
            <w:tcBorders>
              <w:top w:val="single" w:sz="4" w:space="0" w:color="auto"/>
              <w:left w:val="single" w:sz="8" w:space="0" w:color="000000"/>
              <w:bottom w:val="single" w:sz="4" w:space="0" w:color="auto"/>
              <w:right w:val="single" w:sz="8" w:space="0" w:color="000000"/>
            </w:tcBorders>
          </w:tcPr>
          <w:p w14:paraId="697A9728" w14:textId="01FE8280" w:rsidR="00315F94" w:rsidRPr="000525D6" w:rsidRDefault="00D94504" w:rsidP="00980C5B">
            <w:pPr>
              <w:spacing w:before="60" w:after="60"/>
              <w:ind w:left="0" w:firstLine="0"/>
              <w:rPr>
                <w:rFonts w:asciiTheme="minorHAnsi" w:hAnsiTheme="minorHAnsi" w:cstheme="minorHAnsi"/>
                <w:color w:val="000000"/>
              </w:rPr>
            </w:pPr>
            <w:r>
              <w:rPr>
                <w:b/>
                <w:color w:val="000000" w:themeColor="text1"/>
              </w:rPr>
              <w:lastRenderedPageBreak/>
              <w:t>Tâche 5.2.</w:t>
            </w:r>
            <w:r>
              <w:rPr>
                <w:color w:val="000000" w:themeColor="text1"/>
              </w:rPr>
              <w:t xml:space="preserve"> Amélioration</w:t>
            </w:r>
            <w:r w:rsidR="00E22A48">
              <w:rPr>
                <w:color w:val="000000" w:themeColor="text1"/>
              </w:rPr>
              <w:t xml:space="preserve"> globale</w:t>
            </w:r>
            <w:r>
              <w:rPr>
                <w:color w:val="000000" w:themeColor="text1"/>
              </w:rPr>
              <w:t xml:space="preserve"> </w:t>
            </w:r>
            <w:r w:rsidR="00E22A48">
              <w:rPr>
                <w:color w:val="000000" w:themeColor="text1"/>
              </w:rPr>
              <w:t xml:space="preserve">de l’établissement des rapports </w:t>
            </w:r>
            <w:r>
              <w:rPr>
                <w:color w:val="000000" w:themeColor="text1"/>
              </w:rPr>
              <w:t>sur les zones humides : synergies dans l’élaboration des indicateurs et méthodes pour le 5</w:t>
            </w:r>
            <w:r w:rsidR="006318C9" w:rsidRPr="006318C9">
              <w:rPr>
                <w:color w:val="000000" w:themeColor="text1"/>
                <w:vertAlign w:val="superscript"/>
              </w:rPr>
              <w:t>e</w:t>
            </w:r>
            <w:r>
              <w:rPr>
                <w:color w:val="000000" w:themeColor="text1"/>
              </w:rPr>
              <w:t xml:space="preserve"> Plan stratégique de la Convention et d’autres processus mondiaux.</w:t>
            </w:r>
          </w:p>
        </w:tc>
        <w:tc>
          <w:tcPr>
            <w:tcW w:w="4110" w:type="dxa"/>
            <w:tcBorders>
              <w:top w:val="single" w:sz="4" w:space="0" w:color="auto"/>
              <w:left w:val="single" w:sz="8" w:space="0" w:color="000000"/>
              <w:bottom w:val="single" w:sz="4" w:space="0" w:color="auto"/>
              <w:right w:val="single" w:sz="8" w:space="0" w:color="000000"/>
            </w:tcBorders>
          </w:tcPr>
          <w:p w14:paraId="1F05B5FF" w14:textId="4CF6549B" w:rsidR="00315F94" w:rsidRPr="00D33C74" w:rsidRDefault="00E3454E" w:rsidP="00EE0D45">
            <w:pPr>
              <w:spacing w:before="60" w:after="60"/>
              <w:ind w:left="0" w:firstLine="0"/>
              <w:rPr>
                <w:rFonts w:asciiTheme="minorHAnsi" w:hAnsiTheme="minorHAnsi" w:cstheme="minorHAnsi"/>
                <w:color w:val="000000"/>
              </w:rPr>
            </w:pPr>
            <w:r>
              <w:rPr>
                <w:rFonts w:asciiTheme="minorHAnsi" w:hAnsiTheme="minorHAnsi"/>
                <w:color w:val="000000"/>
              </w:rPr>
              <w:t xml:space="preserve">SC63 Doc.19 (Para. 19-21 et Annexe 2) ; </w:t>
            </w:r>
            <w:proofErr w:type="spellStart"/>
            <w:r>
              <w:rPr>
                <w:rFonts w:asciiTheme="minorHAnsi" w:hAnsiTheme="minorHAnsi"/>
                <w:color w:val="000000"/>
              </w:rPr>
              <w:t>Rés</w:t>
            </w:r>
            <w:proofErr w:type="spellEnd"/>
            <w:r>
              <w:rPr>
                <w:rFonts w:asciiTheme="minorHAnsi" w:hAnsiTheme="minorHAnsi"/>
                <w:color w:val="000000"/>
              </w:rPr>
              <w:t xml:space="preserve">. XIII.5 ; </w:t>
            </w:r>
            <w:proofErr w:type="spellStart"/>
            <w:r>
              <w:rPr>
                <w:rFonts w:asciiTheme="minorHAnsi" w:hAnsiTheme="minorHAnsi"/>
                <w:color w:val="000000"/>
              </w:rPr>
              <w:t>Rés</w:t>
            </w:r>
            <w:proofErr w:type="spellEnd"/>
            <w:r>
              <w:rPr>
                <w:rFonts w:asciiTheme="minorHAnsi" w:hAnsiTheme="minorHAnsi"/>
                <w:color w:val="000000"/>
              </w:rPr>
              <w:t xml:space="preserve">. XIV.14, Annexe 2 ; et </w:t>
            </w:r>
            <w:proofErr w:type="spellStart"/>
            <w:r>
              <w:rPr>
                <w:rFonts w:asciiTheme="minorHAnsi" w:hAnsiTheme="minorHAnsi"/>
                <w:color w:val="000000"/>
              </w:rPr>
              <w:t>Rés</w:t>
            </w:r>
            <w:proofErr w:type="spellEnd"/>
            <w:r>
              <w:rPr>
                <w:rFonts w:asciiTheme="minorHAnsi" w:hAnsiTheme="minorHAnsi"/>
                <w:color w:val="000000"/>
              </w:rPr>
              <w:t>. XIV.6, Para. 24 et 44.</w:t>
            </w:r>
          </w:p>
        </w:tc>
      </w:tr>
      <w:tr w:rsidR="00D94504" w:rsidRPr="0049270A" w14:paraId="52E017EA" w14:textId="77777777" w:rsidTr="0066304B">
        <w:trPr>
          <w:cantSplit/>
        </w:trPr>
        <w:tc>
          <w:tcPr>
            <w:tcW w:w="4952" w:type="dxa"/>
            <w:tcBorders>
              <w:top w:val="single" w:sz="4" w:space="0" w:color="auto"/>
              <w:left w:val="single" w:sz="8" w:space="0" w:color="000000"/>
              <w:bottom w:val="single" w:sz="4" w:space="0" w:color="auto"/>
              <w:right w:val="single" w:sz="8" w:space="0" w:color="000000"/>
            </w:tcBorders>
          </w:tcPr>
          <w:p w14:paraId="00258915" w14:textId="33EF144A" w:rsidR="00D94504" w:rsidRPr="00986EB2" w:rsidRDefault="00BD0C16" w:rsidP="00D33C74">
            <w:pPr>
              <w:spacing w:before="60" w:after="60"/>
              <w:ind w:left="0" w:firstLine="0"/>
              <w:rPr>
                <w:b/>
                <w:color w:val="000000" w:themeColor="text1"/>
              </w:rPr>
            </w:pPr>
            <w:r>
              <w:rPr>
                <w:b/>
                <w:color w:val="000000" w:themeColor="text1"/>
              </w:rPr>
              <w:t>Tâche 5.3.</w:t>
            </w:r>
            <w:r>
              <w:rPr>
                <w:color w:val="000000" w:themeColor="text1"/>
              </w:rPr>
              <w:t xml:space="preserve"> </w:t>
            </w:r>
            <w:r>
              <w:t>Examen des cadres politiques et juridiques pour la conservation et l’utilisation rationnelle des zones humides.</w:t>
            </w:r>
          </w:p>
        </w:tc>
        <w:tc>
          <w:tcPr>
            <w:tcW w:w="4110" w:type="dxa"/>
            <w:tcBorders>
              <w:top w:val="single" w:sz="4" w:space="0" w:color="auto"/>
              <w:left w:val="single" w:sz="8" w:space="0" w:color="000000"/>
              <w:bottom w:val="single" w:sz="4" w:space="0" w:color="auto"/>
              <w:right w:val="single" w:sz="8" w:space="0" w:color="000000"/>
            </w:tcBorders>
          </w:tcPr>
          <w:p w14:paraId="3B089244" w14:textId="2118930E" w:rsidR="00D94504" w:rsidRPr="00D33C74" w:rsidRDefault="001155DC" w:rsidP="00EE0D45">
            <w:pPr>
              <w:spacing w:before="60" w:after="60"/>
              <w:ind w:left="0" w:firstLine="0"/>
              <w:rPr>
                <w:rFonts w:asciiTheme="minorHAnsi" w:hAnsiTheme="minorHAnsi" w:cstheme="minorHAnsi"/>
                <w:color w:val="000000"/>
              </w:rPr>
            </w:pPr>
            <w:r>
              <w:rPr>
                <w:rFonts w:asciiTheme="minorHAnsi" w:hAnsiTheme="minorHAnsi"/>
                <w:color w:val="000000"/>
              </w:rPr>
              <w:t>SC57 Doc.</w:t>
            </w:r>
            <w:proofErr w:type="gramStart"/>
            <w:r>
              <w:rPr>
                <w:rFonts w:asciiTheme="minorHAnsi" w:hAnsiTheme="minorHAnsi"/>
                <w:color w:val="000000"/>
              </w:rPr>
              <w:t>8;</w:t>
            </w:r>
            <w:proofErr w:type="gramEnd"/>
            <w:r>
              <w:rPr>
                <w:rFonts w:asciiTheme="minorHAnsi" w:hAnsiTheme="minorHAnsi"/>
                <w:color w:val="000000"/>
              </w:rPr>
              <w:t xml:space="preserve"> </w:t>
            </w:r>
            <w:proofErr w:type="spellStart"/>
            <w:r>
              <w:rPr>
                <w:rFonts w:asciiTheme="minorHAnsi" w:hAnsiTheme="minorHAnsi"/>
                <w:color w:val="000000"/>
              </w:rPr>
              <w:t>Rés</w:t>
            </w:r>
            <w:proofErr w:type="spellEnd"/>
            <w:r>
              <w:rPr>
                <w:rFonts w:asciiTheme="minorHAnsi" w:hAnsiTheme="minorHAnsi"/>
                <w:color w:val="000000"/>
              </w:rPr>
              <w:t xml:space="preserve">. XIV.14., Annexe </w:t>
            </w:r>
            <w:proofErr w:type="gramStart"/>
            <w:r>
              <w:rPr>
                <w:rFonts w:asciiTheme="minorHAnsi" w:hAnsiTheme="minorHAnsi"/>
                <w:color w:val="000000"/>
              </w:rPr>
              <w:t>2;</w:t>
            </w:r>
            <w:proofErr w:type="gramEnd"/>
            <w:r>
              <w:rPr>
                <w:rFonts w:asciiTheme="minorHAnsi" w:hAnsiTheme="minorHAnsi"/>
                <w:color w:val="000000"/>
              </w:rPr>
              <w:t xml:space="preserve"> et Suite du Plan de travail du GEST 2023-2025 (Décision intersessions 04 pré-SC62)</w:t>
            </w:r>
          </w:p>
        </w:tc>
      </w:tr>
    </w:tbl>
    <w:p w14:paraId="4FF955C4" w14:textId="77777777" w:rsidR="009A43C3" w:rsidRDefault="009A43C3" w:rsidP="002D626D">
      <w:pPr>
        <w:ind w:left="0" w:firstLine="0"/>
        <w:rPr>
          <w:rFonts w:asciiTheme="minorHAnsi" w:hAnsiTheme="minorHAnsi"/>
          <w:color w:val="000000"/>
        </w:rPr>
      </w:pPr>
    </w:p>
    <w:p w14:paraId="00D3267D" w14:textId="148CC021" w:rsidR="00CD1AEA" w:rsidRDefault="00CD1AEA" w:rsidP="00864474">
      <w:pPr>
        <w:rPr>
          <w:rFonts w:asciiTheme="minorHAnsi" w:hAnsiTheme="minorHAnsi"/>
          <w:color w:val="000000"/>
        </w:rPr>
      </w:pPr>
      <w:r>
        <w:br w:type="page"/>
      </w:r>
    </w:p>
    <w:p w14:paraId="5315A4CE" w14:textId="77777777" w:rsidR="00CD1AEA" w:rsidRDefault="00CD1AEA" w:rsidP="00CD1AEA">
      <w:pPr>
        <w:ind w:left="0" w:firstLine="0"/>
        <w:rPr>
          <w:rFonts w:asciiTheme="minorHAnsi" w:hAnsiTheme="minorHAnsi" w:cs="Calibri"/>
          <w:b/>
          <w:bCs/>
          <w:sz w:val="24"/>
          <w:szCs w:val="24"/>
        </w:rPr>
      </w:pPr>
      <w:r>
        <w:rPr>
          <w:b/>
          <w:sz w:val="24"/>
        </w:rPr>
        <w:lastRenderedPageBreak/>
        <w:t>Annexe 3</w:t>
      </w:r>
    </w:p>
    <w:p w14:paraId="006064CE" w14:textId="77777777" w:rsidR="00CD1AEA" w:rsidRDefault="00CD1AEA" w:rsidP="00CD1AEA">
      <w:pPr>
        <w:ind w:left="0" w:firstLine="0"/>
        <w:rPr>
          <w:rFonts w:cs="Calibri"/>
          <w:b/>
          <w:bCs/>
          <w:sz w:val="24"/>
          <w:szCs w:val="24"/>
        </w:rPr>
      </w:pPr>
      <w:r>
        <w:rPr>
          <w:b/>
          <w:sz w:val="24"/>
        </w:rPr>
        <w:t>Organes et organisations invités à participer en tant qu’observateurs aux réunions et processus du Groupe d’évaluation scientifique et technique pour la période triennale 2026-2028</w:t>
      </w:r>
    </w:p>
    <w:p w14:paraId="04B0AA81" w14:textId="77777777" w:rsidR="00CD1AEA" w:rsidRDefault="00CD1AEA" w:rsidP="00CD1AEA">
      <w:pPr>
        <w:rPr>
          <w:rFonts w:cstheme="minorHAnsi"/>
        </w:rPr>
      </w:pPr>
    </w:p>
    <w:p w14:paraId="0889D2A7" w14:textId="3D0253DA" w:rsidR="00CD1AEA" w:rsidRDefault="00CD1AEA" w:rsidP="00CD1AEA">
      <w:pPr>
        <w:ind w:left="0" w:firstLine="0"/>
        <w:rPr>
          <w:rFonts w:cstheme="minorHAnsi"/>
        </w:rPr>
      </w:pPr>
      <w:r>
        <w:t>Les organisations observatrices sont définies comme des accords multilatéraux sur l’environnement,</w:t>
      </w:r>
      <w:r w:rsidR="00234A5C">
        <w:t xml:space="preserve"> </w:t>
      </w:r>
      <w:r>
        <w:t>mondiaux et régionaux, des organisations et des processus intergouvernementaux mondiaux, des</w:t>
      </w:r>
      <w:r w:rsidR="00234A5C">
        <w:t xml:space="preserve"> </w:t>
      </w:r>
      <w:r>
        <w:t>organisations et des processus intergouvernementaux régionaux, des organisations internationales et autres organisations non gouvernementales et organisations qui se consacrent aux zones humides.</w:t>
      </w:r>
    </w:p>
    <w:p w14:paraId="2A62F2F1" w14:textId="77777777" w:rsidR="00CD1AEA" w:rsidRDefault="00CD1AEA" w:rsidP="00CD1AEA">
      <w:pPr>
        <w:rPr>
          <w:rFonts w:cstheme="minorHAnsi"/>
        </w:rPr>
      </w:pPr>
    </w:p>
    <w:p w14:paraId="310EC2D0" w14:textId="77777777" w:rsidR="00CD1AEA" w:rsidRPr="00333593" w:rsidRDefault="00CD1AEA" w:rsidP="00CD1AEA">
      <w:pPr>
        <w:rPr>
          <w:rFonts w:cstheme="minorHAnsi"/>
        </w:rPr>
      </w:pPr>
      <w:r>
        <w:t>Elles comprennent, sans toutefois s’y limiter :</w:t>
      </w:r>
    </w:p>
    <w:p w14:paraId="27BE6682" w14:textId="77777777" w:rsidR="006A25C8" w:rsidRDefault="006A25C8" w:rsidP="006A25C8">
      <w:pPr>
        <w:pStyle w:val="ListParagraph"/>
        <w:numPr>
          <w:ilvl w:val="0"/>
          <w:numId w:val="2"/>
        </w:numPr>
        <w:ind w:left="426" w:hanging="426"/>
        <w:rPr>
          <w:rFonts w:cstheme="minorBidi"/>
        </w:rPr>
      </w:pPr>
      <w:r>
        <w:t>Accords multilatéraux sur l’environnement dont les Secrétariats et/ou les représentants de leurs organes techniques, comme suit : Convention sur la diversité biologique (CDB), Convention sur la conservation des espèces migratrices appartenant à la faune sauvage (CMS) et instruments liés, Convention sur le commerce international des espèces de faune et de flore sauvages menacées d’extinction (CITES), Convention des Nations Unies sur la lutte contre la désertification (CNULD), Convention-cadre des Nations Unies sur les changements climatiques (CCNUCC), Convention concernant la protection du patrimoine mondial, culturel et naturel, Convention sur la protection et l’utilisation des cours d’eau transfrontières et des lacs internationaux</w:t>
      </w:r>
    </w:p>
    <w:p w14:paraId="4E62B259" w14:textId="7A1E1CEC" w:rsidR="006A25C8" w:rsidRPr="006A25C8" w:rsidRDefault="006A25C8" w:rsidP="006A25C8">
      <w:pPr>
        <w:pStyle w:val="ListParagraph"/>
        <w:numPr>
          <w:ilvl w:val="0"/>
          <w:numId w:val="2"/>
        </w:numPr>
        <w:ind w:left="426" w:hanging="426"/>
        <w:rPr>
          <w:rFonts w:cstheme="minorHAnsi"/>
        </w:rPr>
      </w:pPr>
      <w:r w:rsidRPr="006A25C8">
        <w:rPr>
          <w:rFonts w:cstheme="minorHAnsi"/>
        </w:rPr>
        <w:t>Agence spatiale européenne – ESRIN (ESA-ESRIN)</w:t>
      </w:r>
    </w:p>
    <w:p w14:paraId="7B179DFA" w14:textId="77777777" w:rsidR="006A25C8" w:rsidRDefault="006A25C8" w:rsidP="006A25C8">
      <w:pPr>
        <w:pStyle w:val="ListParagraph"/>
        <w:numPr>
          <w:ilvl w:val="0"/>
          <w:numId w:val="2"/>
        </w:numPr>
        <w:ind w:left="426" w:hanging="426"/>
        <w:rPr>
          <w:rFonts w:cstheme="minorHAnsi"/>
        </w:rPr>
      </w:pPr>
      <w:r>
        <w:t>Centre mondial de surveillance continue de la conservation de la nature du Programme des Nations Unies pour l’environnement (PNUE-WCMC)</w:t>
      </w:r>
    </w:p>
    <w:p w14:paraId="2F3C16A3" w14:textId="4D4E7F56" w:rsidR="00310277" w:rsidRPr="006A25C8" w:rsidRDefault="0038286C" w:rsidP="006A25C8">
      <w:pPr>
        <w:pStyle w:val="ListParagraph"/>
        <w:numPr>
          <w:ilvl w:val="0"/>
          <w:numId w:val="2"/>
        </w:numPr>
        <w:ind w:left="426" w:hanging="426"/>
        <w:rPr>
          <w:rFonts w:cstheme="minorHAnsi"/>
        </w:rPr>
      </w:pPr>
      <w:r>
        <w:t>Centre de Recherche Forestière Internationale et le Centre International de recherche en Agroforesterie (CIFOR-ICRAF)</w:t>
      </w:r>
    </w:p>
    <w:p w14:paraId="14F7678B" w14:textId="77777777" w:rsidR="006A25C8" w:rsidRDefault="006A25C8" w:rsidP="006A25C8">
      <w:pPr>
        <w:pStyle w:val="ListParagraph"/>
        <w:numPr>
          <w:ilvl w:val="0"/>
          <w:numId w:val="2"/>
        </w:numPr>
        <w:ind w:left="426" w:hanging="426"/>
        <w:rPr>
          <w:rFonts w:cstheme="minorHAnsi"/>
        </w:rPr>
      </w:pPr>
      <w:r>
        <w:t>Centre de recherche de la Tour du Valat pour la conservation des zones humides méditerranéennes</w:t>
      </w:r>
    </w:p>
    <w:p w14:paraId="0FE095FA" w14:textId="77777777" w:rsidR="006A25C8" w:rsidRDefault="006A25C8" w:rsidP="006A25C8">
      <w:pPr>
        <w:pStyle w:val="ListParagraph"/>
        <w:numPr>
          <w:ilvl w:val="0"/>
          <w:numId w:val="2"/>
        </w:numPr>
        <w:ind w:left="426" w:hanging="426"/>
        <w:rPr>
          <w:rFonts w:cstheme="minorHAnsi"/>
        </w:rPr>
      </w:pPr>
      <w:r>
        <w:t>Centre régional Ramsar de l’Asie de l’Est</w:t>
      </w:r>
    </w:p>
    <w:p w14:paraId="68E4B1BC" w14:textId="79BE5E48" w:rsidR="00B75C6B" w:rsidRPr="00E933F1" w:rsidRDefault="00333593" w:rsidP="006A25C8">
      <w:pPr>
        <w:pStyle w:val="ListParagraph"/>
        <w:numPr>
          <w:ilvl w:val="0"/>
          <w:numId w:val="2"/>
        </w:numPr>
        <w:ind w:left="426" w:hanging="426"/>
        <w:rPr>
          <w:rFonts w:cstheme="minorHAnsi"/>
          <w:lang w:val="en-US"/>
        </w:rPr>
      </w:pPr>
      <w:r w:rsidRPr="00E933F1">
        <w:rPr>
          <w:lang w:val="en-US"/>
        </w:rPr>
        <w:t>Ducks Unlimited (DU) et Ducks Unlimited Canada</w:t>
      </w:r>
    </w:p>
    <w:p w14:paraId="5CB93309" w14:textId="77777777" w:rsidR="00CD1AEA" w:rsidRPr="006A25C8" w:rsidRDefault="00CD1AEA" w:rsidP="006A25C8">
      <w:pPr>
        <w:pStyle w:val="ListParagraph"/>
        <w:numPr>
          <w:ilvl w:val="0"/>
          <w:numId w:val="3"/>
        </w:numPr>
        <w:ind w:left="426" w:hanging="426"/>
        <w:rPr>
          <w:rFonts w:cstheme="minorHAnsi"/>
          <w:lang w:val="en-US"/>
        </w:rPr>
      </w:pPr>
      <w:r w:rsidRPr="00E933F1">
        <w:rPr>
          <w:lang w:val="en-US"/>
        </w:rPr>
        <w:t>Flora and Fauna International (FFI)</w:t>
      </w:r>
    </w:p>
    <w:p w14:paraId="0DE6D076" w14:textId="77777777" w:rsidR="006A25C8" w:rsidRDefault="006A25C8" w:rsidP="006A25C8">
      <w:pPr>
        <w:pStyle w:val="ListParagraph"/>
        <w:numPr>
          <w:ilvl w:val="0"/>
          <w:numId w:val="3"/>
        </w:numPr>
        <w:ind w:left="426" w:hanging="426"/>
        <w:rPr>
          <w:rFonts w:cstheme="minorHAnsi"/>
        </w:rPr>
      </w:pPr>
      <w:r>
        <w:t>Fondation internationale pour les grues (ICF)</w:t>
      </w:r>
    </w:p>
    <w:p w14:paraId="47E7BDE4" w14:textId="0DED05E5" w:rsidR="00CD1AEA" w:rsidRPr="00333593" w:rsidRDefault="00CD1AEA" w:rsidP="006A25C8">
      <w:pPr>
        <w:pStyle w:val="ListParagraph"/>
        <w:numPr>
          <w:ilvl w:val="0"/>
          <w:numId w:val="3"/>
        </w:numPr>
        <w:ind w:left="426" w:hanging="426"/>
        <w:rPr>
          <w:rFonts w:cstheme="minorHAnsi"/>
        </w:rPr>
      </w:pPr>
      <w:r>
        <w:t>Fonds pour l’environnement mondial (FEM : Secrétariat et/ou Groupe consultatif scientifique et technique)</w:t>
      </w:r>
    </w:p>
    <w:p w14:paraId="4A8F9931" w14:textId="2A9892C9" w:rsidR="0043547C" w:rsidRPr="006A25C8" w:rsidRDefault="0043547C" w:rsidP="006A25C8">
      <w:pPr>
        <w:pStyle w:val="ListParagraph"/>
        <w:numPr>
          <w:ilvl w:val="0"/>
          <w:numId w:val="3"/>
        </w:numPr>
        <w:ind w:left="426" w:hanging="426"/>
        <w:rPr>
          <w:rFonts w:cstheme="minorHAnsi"/>
        </w:rPr>
      </w:pPr>
      <w:r>
        <w:t xml:space="preserve">Global </w:t>
      </w:r>
      <w:proofErr w:type="spellStart"/>
      <w:r>
        <w:t>Rewilding</w:t>
      </w:r>
      <w:proofErr w:type="spellEnd"/>
      <w:r>
        <w:t xml:space="preserve"> Alliance</w:t>
      </w:r>
    </w:p>
    <w:p w14:paraId="3BB47EF8" w14:textId="77777777" w:rsidR="006A25C8" w:rsidRDefault="006A25C8" w:rsidP="006A25C8">
      <w:pPr>
        <w:pStyle w:val="ListParagraph"/>
        <w:numPr>
          <w:ilvl w:val="0"/>
          <w:numId w:val="3"/>
        </w:numPr>
        <w:ind w:left="426" w:hanging="426"/>
        <w:rPr>
          <w:rFonts w:cstheme="minorHAnsi"/>
        </w:rPr>
      </w:pPr>
      <w:r>
        <w:t>Greifswald Mire Centre (GMC)</w:t>
      </w:r>
    </w:p>
    <w:p w14:paraId="1677BA5A" w14:textId="77777777" w:rsidR="006A25C8" w:rsidRPr="00E933F1" w:rsidRDefault="006A25C8" w:rsidP="006A25C8">
      <w:pPr>
        <w:pStyle w:val="ListParagraph"/>
        <w:numPr>
          <w:ilvl w:val="0"/>
          <w:numId w:val="3"/>
        </w:numPr>
        <w:ind w:left="426" w:hanging="426"/>
        <w:rPr>
          <w:rFonts w:cstheme="minorHAnsi"/>
          <w:lang w:val="en-US"/>
        </w:rPr>
      </w:pPr>
      <w:r w:rsidRPr="00E933F1">
        <w:rPr>
          <w:lang w:val="en-US"/>
        </w:rPr>
        <w:t>Group on Earth Observation – Biodiversity Observation Network (GEO-BON)</w:t>
      </w:r>
    </w:p>
    <w:p w14:paraId="0A34C266" w14:textId="77777777" w:rsidR="006A25C8" w:rsidRPr="00E933F1" w:rsidRDefault="006A25C8" w:rsidP="006A25C8">
      <w:pPr>
        <w:pStyle w:val="ListParagraph"/>
        <w:numPr>
          <w:ilvl w:val="0"/>
          <w:numId w:val="3"/>
        </w:numPr>
        <w:ind w:left="426" w:hanging="426"/>
        <w:rPr>
          <w:rFonts w:cstheme="minorHAnsi"/>
          <w:lang w:val="en-US"/>
        </w:rPr>
      </w:pPr>
      <w:r w:rsidRPr="00E933F1">
        <w:rPr>
          <w:lang w:val="en-US"/>
        </w:rPr>
        <w:t>Group on Earth Observation – Wetlands Initiative (GEO-Wetlands)</w:t>
      </w:r>
    </w:p>
    <w:p w14:paraId="25128345" w14:textId="77777777" w:rsidR="006A25C8" w:rsidRPr="00E933F1" w:rsidRDefault="006A25C8" w:rsidP="006A25C8">
      <w:pPr>
        <w:pStyle w:val="ListParagraph"/>
        <w:numPr>
          <w:ilvl w:val="0"/>
          <w:numId w:val="3"/>
        </w:numPr>
        <w:ind w:left="426" w:hanging="426"/>
        <w:rPr>
          <w:rFonts w:cstheme="minorHAnsi"/>
          <w:lang w:val="en-US"/>
        </w:rPr>
      </w:pPr>
      <w:r w:rsidRPr="00E933F1">
        <w:rPr>
          <w:lang w:val="en-US"/>
        </w:rPr>
        <w:t>IHE Delft Institute for Water Education</w:t>
      </w:r>
    </w:p>
    <w:p w14:paraId="7B5EB5C8" w14:textId="77777777" w:rsidR="006A25C8" w:rsidRDefault="006A25C8" w:rsidP="006A25C8">
      <w:pPr>
        <w:pStyle w:val="ListParagraph"/>
        <w:numPr>
          <w:ilvl w:val="0"/>
          <w:numId w:val="3"/>
        </w:numPr>
        <w:ind w:left="426" w:hanging="426"/>
        <w:rPr>
          <w:rFonts w:cstheme="minorHAnsi"/>
        </w:rPr>
      </w:pPr>
      <w:r>
        <w:t>International Mire Conservation Group (IMCG)</w:t>
      </w:r>
    </w:p>
    <w:p w14:paraId="429A07BD" w14:textId="77777777" w:rsidR="006A25C8" w:rsidRPr="00E933F1" w:rsidRDefault="006A25C8" w:rsidP="006A25C8">
      <w:pPr>
        <w:pStyle w:val="ListParagraph"/>
        <w:numPr>
          <w:ilvl w:val="0"/>
          <w:numId w:val="3"/>
        </w:numPr>
        <w:ind w:left="426" w:hanging="426"/>
        <w:rPr>
          <w:rFonts w:cstheme="minorHAnsi"/>
          <w:lang w:val="en-US"/>
        </w:rPr>
      </w:pPr>
      <w:r w:rsidRPr="00E933F1">
        <w:rPr>
          <w:lang w:val="en-US"/>
        </w:rPr>
        <w:t>Japan International Cooperation Agency (JICA)</w:t>
      </w:r>
    </w:p>
    <w:p w14:paraId="2A27B5A1" w14:textId="77777777" w:rsidR="006A25C8" w:rsidRPr="00E933F1" w:rsidRDefault="006A25C8" w:rsidP="006A25C8">
      <w:pPr>
        <w:pStyle w:val="ListParagraph"/>
        <w:numPr>
          <w:ilvl w:val="0"/>
          <w:numId w:val="3"/>
        </w:numPr>
        <w:ind w:left="426" w:hanging="426"/>
        <w:rPr>
          <w:rFonts w:cstheme="minorHAnsi"/>
          <w:lang w:val="en-US"/>
        </w:rPr>
      </w:pPr>
      <w:r w:rsidRPr="00E933F1">
        <w:rPr>
          <w:lang w:val="en-US"/>
        </w:rPr>
        <w:t>Japanese Aerospace Exploration Agency (JAXA)</w:t>
      </w:r>
    </w:p>
    <w:p w14:paraId="14E92B79" w14:textId="77777777" w:rsidR="006A25C8" w:rsidRDefault="006A25C8" w:rsidP="006A25C8">
      <w:pPr>
        <w:pStyle w:val="ListParagraph"/>
        <w:numPr>
          <w:ilvl w:val="0"/>
          <w:numId w:val="3"/>
        </w:numPr>
        <w:ind w:left="426" w:hanging="426"/>
        <w:rPr>
          <w:rFonts w:cstheme="minorHAnsi"/>
        </w:rPr>
      </w:pPr>
      <w:r>
        <w:t>Organisation des Nations Unies pour l’alimentation et l’agriculture (FAO)</w:t>
      </w:r>
    </w:p>
    <w:p w14:paraId="684D39C3" w14:textId="30F07E65" w:rsidR="006A25C8" w:rsidRDefault="006A25C8" w:rsidP="006A25C8">
      <w:pPr>
        <w:pStyle w:val="ListParagraph"/>
        <w:numPr>
          <w:ilvl w:val="0"/>
          <w:numId w:val="3"/>
        </w:numPr>
        <w:ind w:left="426" w:hanging="426"/>
        <w:rPr>
          <w:rFonts w:cstheme="minorHAnsi"/>
        </w:rPr>
      </w:pPr>
      <w:r>
        <w:t>Organisation des Nations Unies pour l’éducation, la science et la culture (UNESCO) – Programme pour l’homme et la biosphère (MAB)</w:t>
      </w:r>
    </w:p>
    <w:p w14:paraId="2B0AFF42" w14:textId="77777777" w:rsidR="006A25C8" w:rsidRDefault="006A25C8" w:rsidP="006A25C8">
      <w:pPr>
        <w:pStyle w:val="ListParagraph"/>
        <w:numPr>
          <w:ilvl w:val="0"/>
          <w:numId w:val="3"/>
        </w:numPr>
        <w:ind w:left="426" w:hanging="426"/>
        <w:rPr>
          <w:rFonts w:cstheme="minorHAnsi"/>
        </w:rPr>
      </w:pPr>
      <w:r>
        <w:t>Programme des Nations Unies pour l’environnement</w:t>
      </w:r>
    </w:p>
    <w:p w14:paraId="6FD11C6A" w14:textId="77777777" w:rsidR="006A25C8" w:rsidRPr="0038286C" w:rsidRDefault="006A25C8" w:rsidP="006A25C8">
      <w:pPr>
        <w:pStyle w:val="ListParagraph"/>
        <w:numPr>
          <w:ilvl w:val="0"/>
          <w:numId w:val="3"/>
        </w:numPr>
        <w:ind w:left="426" w:hanging="426"/>
        <w:rPr>
          <w:rFonts w:cstheme="minorHAnsi"/>
        </w:rPr>
      </w:pPr>
      <w:r>
        <w:t>Programme des Nations Unies pour les établissements humains (ONU-HABITAT)</w:t>
      </w:r>
    </w:p>
    <w:p w14:paraId="206CBF47" w14:textId="77777777" w:rsidR="00CD1AEA" w:rsidRPr="006A25C8" w:rsidRDefault="00CD1AEA" w:rsidP="006A25C8">
      <w:pPr>
        <w:pStyle w:val="ListParagraph"/>
        <w:numPr>
          <w:ilvl w:val="0"/>
          <w:numId w:val="3"/>
        </w:numPr>
        <w:ind w:left="426" w:hanging="426"/>
        <w:rPr>
          <w:rFonts w:cstheme="minorHAnsi"/>
        </w:rPr>
      </w:pPr>
      <w:r>
        <w:t>Partenariat global pour l’eau (GWP)</w:t>
      </w:r>
    </w:p>
    <w:p w14:paraId="5E46BAFA" w14:textId="77777777" w:rsidR="006A25C8" w:rsidRDefault="006A25C8" w:rsidP="006A25C8">
      <w:pPr>
        <w:pStyle w:val="ListParagraph"/>
        <w:numPr>
          <w:ilvl w:val="0"/>
          <w:numId w:val="3"/>
        </w:numPr>
        <w:ind w:left="426" w:hanging="426"/>
        <w:rPr>
          <w:rFonts w:cstheme="minorHAnsi"/>
        </w:rPr>
      </w:pPr>
      <w:r>
        <w:t>Réseau scientifique et technique de l’Initiative pour les zones humides méditerranéennes (</w:t>
      </w:r>
      <w:proofErr w:type="spellStart"/>
      <w:r>
        <w:t>MedWet</w:t>
      </w:r>
      <w:proofErr w:type="spellEnd"/>
      <w:r>
        <w:t>)</w:t>
      </w:r>
    </w:p>
    <w:p w14:paraId="1C9BBB54" w14:textId="77777777" w:rsidR="00CD1AEA" w:rsidRDefault="00CD1AEA" w:rsidP="006A25C8">
      <w:pPr>
        <w:pStyle w:val="ListParagraph"/>
        <w:numPr>
          <w:ilvl w:val="0"/>
          <w:numId w:val="3"/>
        </w:numPr>
        <w:ind w:left="426" w:hanging="426"/>
        <w:rPr>
          <w:rFonts w:cstheme="minorHAnsi"/>
        </w:rPr>
      </w:pPr>
      <w:r>
        <w:t>Secrétariat du Groupe d’experts intergouvernemental sur l’évolution du climat (GIEC)</w:t>
      </w:r>
    </w:p>
    <w:p w14:paraId="1D6E5252" w14:textId="77777777" w:rsidR="00CD1AEA" w:rsidRDefault="00CD1AEA" w:rsidP="006A25C8">
      <w:pPr>
        <w:pStyle w:val="ListParagraph"/>
        <w:numPr>
          <w:ilvl w:val="0"/>
          <w:numId w:val="3"/>
        </w:numPr>
        <w:ind w:left="426" w:hanging="426"/>
        <w:rPr>
          <w:rFonts w:cstheme="minorHAnsi"/>
        </w:rPr>
      </w:pPr>
      <w:r>
        <w:lastRenderedPageBreak/>
        <w:t>Secrétariat de la Plateforme intergouvernementale, scientifique et politique, sur la biodiversité et les services écosystémiques (IPBES)</w:t>
      </w:r>
    </w:p>
    <w:p w14:paraId="41F6AD19" w14:textId="77777777" w:rsidR="00CD1AEA" w:rsidRDefault="00CD1AEA" w:rsidP="006A25C8">
      <w:pPr>
        <w:pStyle w:val="ListParagraph"/>
        <w:numPr>
          <w:ilvl w:val="0"/>
          <w:numId w:val="3"/>
        </w:numPr>
        <w:ind w:left="426" w:hanging="426"/>
        <w:rPr>
          <w:rFonts w:cstheme="minorHAnsi"/>
        </w:rPr>
      </w:pPr>
      <w:r>
        <w:t>Société internationale des tourbières (IPS)</w:t>
      </w:r>
    </w:p>
    <w:p w14:paraId="2D6853D6" w14:textId="77777777" w:rsidR="00CD1AEA" w:rsidRPr="00E933F1" w:rsidRDefault="00CD1AEA" w:rsidP="006A25C8">
      <w:pPr>
        <w:pStyle w:val="ListParagraph"/>
        <w:numPr>
          <w:ilvl w:val="0"/>
          <w:numId w:val="3"/>
        </w:numPr>
        <w:ind w:left="426" w:hanging="426"/>
        <w:rPr>
          <w:rFonts w:cstheme="minorHAnsi"/>
          <w:lang w:val="en-US"/>
        </w:rPr>
      </w:pPr>
      <w:r w:rsidRPr="00E933F1">
        <w:rPr>
          <w:lang w:val="en-US"/>
        </w:rPr>
        <w:t>Society for Ecological Restoration (SER)</w:t>
      </w:r>
    </w:p>
    <w:p w14:paraId="1664F164" w14:textId="77777777" w:rsidR="00CD1AEA" w:rsidRPr="00E933F1" w:rsidRDefault="00CD1AEA" w:rsidP="006A25C8">
      <w:pPr>
        <w:pStyle w:val="ListParagraph"/>
        <w:numPr>
          <w:ilvl w:val="0"/>
          <w:numId w:val="3"/>
        </w:numPr>
        <w:ind w:left="426" w:hanging="426"/>
        <w:rPr>
          <w:rFonts w:cstheme="minorHAnsi"/>
          <w:lang w:val="en-US"/>
        </w:rPr>
      </w:pPr>
      <w:r w:rsidRPr="00E933F1">
        <w:rPr>
          <w:lang w:val="en-US"/>
        </w:rPr>
        <w:t>Society of Wetland Scientists (SWS)</w:t>
      </w:r>
    </w:p>
    <w:p w14:paraId="398D4918" w14:textId="77777777" w:rsidR="00CD1AEA" w:rsidRDefault="00CD1AEA" w:rsidP="006A25C8">
      <w:pPr>
        <w:pStyle w:val="ListParagraph"/>
        <w:numPr>
          <w:ilvl w:val="0"/>
          <w:numId w:val="3"/>
        </w:numPr>
        <w:ind w:left="426" w:hanging="426"/>
        <w:rPr>
          <w:rFonts w:cstheme="minorHAnsi"/>
        </w:rPr>
      </w:pPr>
      <w:r>
        <w:t xml:space="preserve">The Nature </w:t>
      </w:r>
      <w:proofErr w:type="spellStart"/>
      <w:r>
        <w:t>Conservancy</w:t>
      </w:r>
      <w:proofErr w:type="spellEnd"/>
      <w:r>
        <w:t xml:space="preserve"> (TNC)</w:t>
      </w:r>
    </w:p>
    <w:sectPr w:rsidR="00CD1AEA" w:rsidSect="0072254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D2EB1" w14:textId="77777777" w:rsidR="00051649" w:rsidRDefault="00051649" w:rsidP="00DF2386">
      <w:r>
        <w:separator/>
      </w:r>
    </w:p>
  </w:endnote>
  <w:endnote w:type="continuationSeparator" w:id="0">
    <w:p w14:paraId="22D9AF40" w14:textId="77777777" w:rsidR="00051649" w:rsidRDefault="00051649" w:rsidP="00DF2386">
      <w:r>
        <w:continuationSeparator/>
      </w:r>
    </w:p>
  </w:endnote>
  <w:endnote w:type="continuationNotice" w:id="1">
    <w:p w14:paraId="6785C148" w14:textId="77777777" w:rsidR="00051649" w:rsidRDefault="00051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373D7" w14:textId="77777777" w:rsidR="00F365EB" w:rsidRDefault="00F36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969534"/>
      <w:docPartObj>
        <w:docPartGallery w:val="Page Numbers (Top of Page)"/>
        <w:docPartUnique/>
      </w:docPartObj>
    </w:sdtPr>
    <w:sdtEndPr>
      <w:rPr>
        <w:noProof/>
      </w:rPr>
    </w:sdtEndPr>
    <w:sdtContent>
      <w:p w14:paraId="4F6A2081" w14:textId="6CD5D153" w:rsidR="002471B1" w:rsidRPr="00892992" w:rsidRDefault="00892992" w:rsidP="00892992">
        <w:pPr>
          <w:tabs>
            <w:tab w:val="left" w:pos="3828"/>
            <w:tab w:val="left" w:pos="8789"/>
          </w:tabs>
          <w:rPr>
            <w:rFonts w:cs="Calibri"/>
            <w:sz w:val="20"/>
            <w:szCs w:val="20"/>
          </w:rPr>
        </w:pPr>
        <w:r>
          <w:rPr>
            <w:sz w:val="20"/>
          </w:rPr>
          <w:t>SC64 Doc.19</w:t>
        </w:r>
        <w:r>
          <w:rPr>
            <w:sz w:val="20"/>
          </w:rPr>
          <w:tab/>
        </w:r>
        <w:r>
          <w:rPr>
            <w:sz w:val="20"/>
          </w:rPr>
          <w:tab/>
        </w:r>
        <w:r w:rsidRPr="006E5D45">
          <w:rPr>
            <w:rFonts w:cs="Calibri"/>
            <w:sz w:val="20"/>
          </w:rPr>
          <w:fldChar w:fldCharType="begin"/>
        </w:r>
        <w:r w:rsidRPr="006E5D45">
          <w:rPr>
            <w:rFonts w:cs="Calibri"/>
            <w:sz w:val="20"/>
          </w:rPr>
          <w:instrText xml:space="preserve"> PAGE   \* MERGEFORMAT </w:instrText>
        </w:r>
        <w:r w:rsidRPr="006E5D45">
          <w:rPr>
            <w:rFonts w:cs="Calibri"/>
            <w:sz w:val="20"/>
          </w:rPr>
          <w:fldChar w:fldCharType="separate"/>
        </w:r>
        <w:r>
          <w:rPr>
            <w:rFonts w:cs="Calibri"/>
            <w:sz w:val="20"/>
          </w:rPr>
          <w:t>2</w:t>
        </w:r>
        <w:r w:rsidRPr="006E5D45">
          <w:rPr>
            <w:rFonts w:cs="Calibri"/>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43663" w14:textId="77777777" w:rsidR="00F365EB" w:rsidRDefault="00F36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127BE" w14:textId="77777777" w:rsidR="00051649" w:rsidRDefault="00051649" w:rsidP="00DF2386">
      <w:r>
        <w:separator/>
      </w:r>
    </w:p>
  </w:footnote>
  <w:footnote w:type="continuationSeparator" w:id="0">
    <w:p w14:paraId="0084E8F1" w14:textId="77777777" w:rsidR="00051649" w:rsidRDefault="00051649" w:rsidP="00DF2386">
      <w:r>
        <w:continuationSeparator/>
      </w:r>
    </w:p>
  </w:footnote>
  <w:footnote w:type="continuationNotice" w:id="1">
    <w:p w14:paraId="598BFD90" w14:textId="77777777" w:rsidR="00051649" w:rsidRDefault="00051649"/>
  </w:footnote>
  <w:footnote w:id="2">
    <w:p w14:paraId="5359C10E" w14:textId="56BCFCDE" w:rsidR="00905C48" w:rsidRPr="00722542" w:rsidRDefault="00905C48" w:rsidP="00722542">
      <w:pPr>
        <w:pStyle w:val="FootnoteText"/>
        <w:ind w:left="0" w:firstLine="0"/>
      </w:pPr>
      <w:r w:rsidRPr="00722542">
        <w:rPr>
          <w:rStyle w:val="FootnoteReference"/>
        </w:rPr>
        <w:footnoteRef/>
      </w:r>
      <w:r w:rsidR="00722542">
        <w:t xml:space="preserve"> </w:t>
      </w:r>
      <w:r w:rsidRPr="00722542">
        <w:t xml:space="preserve">Voir </w:t>
      </w:r>
      <w:hyperlink r:id="rId1" w:history="1">
        <w:r w:rsidRPr="00722542">
          <w:rPr>
            <w:rStyle w:val="Hyperlink"/>
          </w:rPr>
          <w:t>https://www.ramsar.org/fr/document/groupe-devaluation-scientifique-et-technique-gest-plan-de-travail-pour-2023-2025</w:t>
        </w:r>
      </w:hyperlink>
      <w:r w:rsidRPr="00722542">
        <w:t xml:space="preserve">. </w:t>
      </w:r>
    </w:p>
  </w:footnote>
  <w:footnote w:id="3">
    <w:p w14:paraId="73459717" w14:textId="35F1AB16" w:rsidR="00FC34A3" w:rsidRPr="00722542" w:rsidRDefault="00FC34A3" w:rsidP="00722542">
      <w:pPr>
        <w:pStyle w:val="FootnoteText"/>
        <w:ind w:left="0" w:firstLine="0"/>
      </w:pPr>
      <w:r w:rsidRPr="00722542">
        <w:rPr>
          <w:rStyle w:val="FootnoteReference"/>
        </w:rPr>
        <w:footnoteRef/>
      </w:r>
      <w:r w:rsidR="00722542">
        <w:t xml:space="preserve"> </w:t>
      </w:r>
      <w:hyperlink r:id="rId2" w:history="1">
        <w:r w:rsidRPr="00722542">
          <w:rPr>
            <w:rStyle w:val="Hyperlink"/>
          </w:rPr>
          <w:t>https://www.ramsar.org/fr/document/sc63-doc20-proposition-technique-du-gest-sur-la-dotation-en-ressources-et-la-realisation</w:t>
        </w:r>
      </w:hyperlink>
      <w:r w:rsidRPr="00722542">
        <w:t>.</w:t>
      </w:r>
    </w:p>
  </w:footnote>
  <w:footnote w:id="4">
    <w:p w14:paraId="1C586936" w14:textId="2D2B0EB9" w:rsidR="002041CA" w:rsidRPr="00722542" w:rsidRDefault="002041CA" w:rsidP="00722542">
      <w:pPr>
        <w:pStyle w:val="FootnoteText"/>
        <w:ind w:left="0" w:firstLine="0"/>
      </w:pPr>
      <w:r w:rsidRPr="00722542">
        <w:rPr>
          <w:rStyle w:val="FootnoteReference"/>
        </w:rPr>
        <w:footnoteRef/>
      </w:r>
      <w:r w:rsidR="00722542">
        <w:t xml:space="preserve"> </w:t>
      </w:r>
      <w:hyperlink r:id="rId3" w:history="1">
        <w:r w:rsidRPr="00722542">
          <w:rPr>
            <w:rStyle w:val="Hyperlink"/>
          </w:rPr>
          <w:t>https://www.ramsar.org/fr/document/cadre-mondial-de-la-biodiversite-de-kunming-montreal-changer-lechelle-de-la-conservation</w:t>
        </w:r>
      </w:hyperlink>
      <w:r w:rsidRPr="00722542">
        <w:t xml:space="preserve">. </w:t>
      </w:r>
    </w:p>
  </w:footnote>
  <w:footnote w:id="5">
    <w:p w14:paraId="0E0A8942" w14:textId="30044B91" w:rsidR="005E0103" w:rsidRPr="00722542" w:rsidRDefault="005E0103" w:rsidP="00722542">
      <w:pPr>
        <w:pStyle w:val="FootnoteText"/>
        <w:ind w:left="0" w:firstLine="0"/>
      </w:pPr>
      <w:r w:rsidRPr="00722542">
        <w:rPr>
          <w:rStyle w:val="FootnoteReference"/>
        </w:rPr>
        <w:footnoteRef/>
      </w:r>
      <w:r w:rsidR="00722542">
        <w:t xml:space="preserve"> </w:t>
      </w:r>
      <w:hyperlink r:id="rId4" w:history="1">
        <w:r w:rsidRPr="00722542">
          <w:rPr>
            <w:rStyle w:val="Hyperlink"/>
          </w:rPr>
          <w:t>https://www.ramsar.org/fr/document/intensifier-les-efforts-de-conservation-et-de-restauration-des-zones-humides-pour-mettre</w:t>
        </w:r>
      </w:hyperlink>
      <w:r w:rsidRPr="00722542">
        <w:t xml:space="preserve">. </w:t>
      </w:r>
    </w:p>
  </w:footnote>
  <w:footnote w:id="6">
    <w:p w14:paraId="57792DCE" w14:textId="3A46CF82" w:rsidR="005E0103" w:rsidRPr="00B3680B" w:rsidRDefault="005E0103" w:rsidP="00722542">
      <w:pPr>
        <w:pStyle w:val="FootnoteText"/>
        <w:ind w:left="0" w:firstLine="0"/>
        <w:rPr>
          <w:sz w:val="18"/>
          <w:szCs w:val="18"/>
        </w:rPr>
      </w:pPr>
      <w:r w:rsidRPr="00722542">
        <w:rPr>
          <w:rStyle w:val="FootnoteReference"/>
        </w:rPr>
        <w:footnoteRef/>
      </w:r>
      <w:r w:rsidR="00722542">
        <w:t xml:space="preserve"> </w:t>
      </w:r>
      <w:hyperlink r:id="rId5" w:history="1">
        <w:r w:rsidR="00722542" w:rsidRPr="007C21C4">
          <w:rPr>
            <w:rStyle w:val="Hyperlink"/>
          </w:rPr>
          <w:t>https://www.ramsar.org/fr/document/sc63-inf3-submission-convention-wetlands-6th-meeting-ad-hoc-technical-expert-group</w:t>
        </w:r>
      </w:hyperlink>
      <w:r w:rsidRPr="0072254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F9F42" w14:textId="77777777" w:rsidR="00F365EB" w:rsidRDefault="00F365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75CB6" w14:textId="77777777" w:rsidR="002471B1" w:rsidRDefault="002471B1" w:rsidP="00853063">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62C0D" w14:textId="77777777" w:rsidR="00F365EB" w:rsidRDefault="00F365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96E5A"/>
    <w:multiLevelType w:val="hybridMultilevel"/>
    <w:tmpl w:val="73E48E8C"/>
    <w:lvl w:ilvl="0" w:tplc="56289F8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CB5585"/>
    <w:multiLevelType w:val="hybridMultilevel"/>
    <w:tmpl w:val="974A8E56"/>
    <w:lvl w:ilvl="0" w:tplc="56289F8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7485630">
    <w:abstractNumId w:val="1"/>
  </w:num>
  <w:num w:numId="2" w16cid:durableId="153761273">
    <w:abstractNumId w:val="2"/>
  </w:num>
  <w:num w:numId="3" w16cid:durableId="90094431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0B51"/>
    <w:rsid w:val="00000D5A"/>
    <w:rsid w:val="00000E63"/>
    <w:rsid w:val="000015CD"/>
    <w:rsid w:val="00001611"/>
    <w:rsid w:val="0000167B"/>
    <w:rsid w:val="000026B0"/>
    <w:rsid w:val="000046F0"/>
    <w:rsid w:val="000047A1"/>
    <w:rsid w:val="00010141"/>
    <w:rsid w:val="0001259C"/>
    <w:rsid w:val="00014168"/>
    <w:rsid w:val="00017A16"/>
    <w:rsid w:val="00020398"/>
    <w:rsid w:val="000219A4"/>
    <w:rsid w:val="0002226E"/>
    <w:rsid w:val="00022AD3"/>
    <w:rsid w:val="0002375C"/>
    <w:rsid w:val="00024133"/>
    <w:rsid w:val="00025FE2"/>
    <w:rsid w:val="00026E09"/>
    <w:rsid w:val="00026E22"/>
    <w:rsid w:val="00031476"/>
    <w:rsid w:val="00032CA6"/>
    <w:rsid w:val="000350C2"/>
    <w:rsid w:val="00037967"/>
    <w:rsid w:val="00037CE0"/>
    <w:rsid w:val="00041456"/>
    <w:rsid w:val="0004556A"/>
    <w:rsid w:val="000455D8"/>
    <w:rsid w:val="00051241"/>
    <w:rsid w:val="00051649"/>
    <w:rsid w:val="000525D6"/>
    <w:rsid w:val="00053929"/>
    <w:rsid w:val="00053FB8"/>
    <w:rsid w:val="00055608"/>
    <w:rsid w:val="000559A9"/>
    <w:rsid w:val="000562BE"/>
    <w:rsid w:val="00056DAD"/>
    <w:rsid w:val="00057D89"/>
    <w:rsid w:val="0006400D"/>
    <w:rsid w:val="000643D6"/>
    <w:rsid w:val="0006466B"/>
    <w:rsid w:val="00066BDF"/>
    <w:rsid w:val="00066E05"/>
    <w:rsid w:val="00070230"/>
    <w:rsid w:val="000715D1"/>
    <w:rsid w:val="00073012"/>
    <w:rsid w:val="00074A85"/>
    <w:rsid w:val="00074DE8"/>
    <w:rsid w:val="00080CCB"/>
    <w:rsid w:val="00082546"/>
    <w:rsid w:val="00082BC4"/>
    <w:rsid w:val="000830E0"/>
    <w:rsid w:val="000834D3"/>
    <w:rsid w:val="00086B8D"/>
    <w:rsid w:val="00086DA2"/>
    <w:rsid w:val="00086E71"/>
    <w:rsid w:val="000871C0"/>
    <w:rsid w:val="00087347"/>
    <w:rsid w:val="000900D8"/>
    <w:rsid w:val="00092625"/>
    <w:rsid w:val="0009366F"/>
    <w:rsid w:val="0009388F"/>
    <w:rsid w:val="00094D4A"/>
    <w:rsid w:val="00094FA9"/>
    <w:rsid w:val="000952D8"/>
    <w:rsid w:val="00095A6D"/>
    <w:rsid w:val="00095EB9"/>
    <w:rsid w:val="00096B25"/>
    <w:rsid w:val="000976B2"/>
    <w:rsid w:val="00097C6A"/>
    <w:rsid w:val="000A0439"/>
    <w:rsid w:val="000A0A18"/>
    <w:rsid w:val="000A207A"/>
    <w:rsid w:val="000A3E3E"/>
    <w:rsid w:val="000A40D2"/>
    <w:rsid w:val="000A48BF"/>
    <w:rsid w:val="000A7C72"/>
    <w:rsid w:val="000B3103"/>
    <w:rsid w:val="000B439A"/>
    <w:rsid w:val="000B47B5"/>
    <w:rsid w:val="000B5CA5"/>
    <w:rsid w:val="000B5DAA"/>
    <w:rsid w:val="000B6795"/>
    <w:rsid w:val="000B6FF2"/>
    <w:rsid w:val="000C00F4"/>
    <w:rsid w:val="000C1D5F"/>
    <w:rsid w:val="000C2489"/>
    <w:rsid w:val="000C24AF"/>
    <w:rsid w:val="000C2C3B"/>
    <w:rsid w:val="000C311F"/>
    <w:rsid w:val="000C5BB2"/>
    <w:rsid w:val="000C66D4"/>
    <w:rsid w:val="000D048F"/>
    <w:rsid w:val="000D160F"/>
    <w:rsid w:val="000D1F9B"/>
    <w:rsid w:val="000D584A"/>
    <w:rsid w:val="000D5C76"/>
    <w:rsid w:val="000D6324"/>
    <w:rsid w:val="000E2887"/>
    <w:rsid w:val="000E2FA0"/>
    <w:rsid w:val="000E47E9"/>
    <w:rsid w:val="000E529E"/>
    <w:rsid w:val="000E6424"/>
    <w:rsid w:val="000E6748"/>
    <w:rsid w:val="000F038E"/>
    <w:rsid w:val="000F1F93"/>
    <w:rsid w:val="000F322E"/>
    <w:rsid w:val="000F37C8"/>
    <w:rsid w:val="000F3F21"/>
    <w:rsid w:val="000F3F6E"/>
    <w:rsid w:val="000F5108"/>
    <w:rsid w:val="000F5421"/>
    <w:rsid w:val="000F5D39"/>
    <w:rsid w:val="000F63CB"/>
    <w:rsid w:val="000F6E54"/>
    <w:rsid w:val="000F7D8C"/>
    <w:rsid w:val="000F7FA4"/>
    <w:rsid w:val="001005EA"/>
    <w:rsid w:val="001007CD"/>
    <w:rsid w:val="001011F4"/>
    <w:rsid w:val="0010148C"/>
    <w:rsid w:val="001072C1"/>
    <w:rsid w:val="001115BD"/>
    <w:rsid w:val="00114504"/>
    <w:rsid w:val="00114856"/>
    <w:rsid w:val="00115121"/>
    <w:rsid w:val="001155DC"/>
    <w:rsid w:val="00115781"/>
    <w:rsid w:val="0011683D"/>
    <w:rsid w:val="00116BBC"/>
    <w:rsid w:val="0011735E"/>
    <w:rsid w:val="0012096C"/>
    <w:rsid w:val="001220DC"/>
    <w:rsid w:val="00122E30"/>
    <w:rsid w:val="00124584"/>
    <w:rsid w:val="00125BDB"/>
    <w:rsid w:val="00127828"/>
    <w:rsid w:val="00127B5A"/>
    <w:rsid w:val="001302A5"/>
    <w:rsid w:val="00130BA0"/>
    <w:rsid w:val="0013458B"/>
    <w:rsid w:val="00137224"/>
    <w:rsid w:val="00137F41"/>
    <w:rsid w:val="00140CD1"/>
    <w:rsid w:val="00143728"/>
    <w:rsid w:val="001437C9"/>
    <w:rsid w:val="001461C5"/>
    <w:rsid w:val="001472FE"/>
    <w:rsid w:val="001524E3"/>
    <w:rsid w:val="001534D5"/>
    <w:rsid w:val="00153507"/>
    <w:rsid w:val="00154F84"/>
    <w:rsid w:val="00156D77"/>
    <w:rsid w:val="001609ED"/>
    <w:rsid w:val="00161BDA"/>
    <w:rsid w:val="00162B07"/>
    <w:rsid w:val="00165B5C"/>
    <w:rsid w:val="0016661B"/>
    <w:rsid w:val="00171618"/>
    <w:rsid w:val="00171F92"/>
    <w:rsid w:val="00173A49"/>
    <w:rsid w:val="00175855"/>
    <w:rsid w:val="0017670B"/>
    <w:rsid w:val="00180109"/>
    <w:rsid w:val="001819B1"/>
    <w:rsid w:val="00181B43"/>
    <w:rsid w:val="00190CFE"/>
    <w:rsid w:val="00192130"/>
    <w:rsid w:val="00193F89"/>
    <w:rsid w:val="001A15A0"/>
    <w:rsid w:val="001A17FB"/>
    <w:rsid w:val="001A2A7D"/>
    <w:rsid w:val="001A2D10"/>
    <w:rsid w:val="001A352C"/>
    <w:rsid w:val="001A3AB2"/>
    <w:rsid w:val="001A4E9B"/>
    <w:rsid w:val="001A6A63"/>
    <w:rsid w:val="001A73AF"/>
    <w:rsid w:val="001A79F9"/>
    <w:rsid w:val="001B1AF6"/>
    <w:rsid w:val="001B21E4"/>
    <w:rsid w:val="001B3210"/>
    <w:rsid w:val="001B357E"/>
    <w:rsid w:val="001B5551"/>
    <w:rsid w:val="001B6E4E"/>
    <w:rsid w:val="001C1707"/>
    <w:rsid w:val="001C3068"/>
    <w:rsid w:val="001C4066"/>
    <w:rsid w:val="001C52C5"/>
    <w:rsid w:val="001C5E41"/>
    <w:rsid w:val="001C77BC"/>
    <w:rsid w:val="001C79EF"/>
    <w:rsid w:val="001D48BB"/>
    <w:rsid w:val="001D776D"/>
    <w:rsid w:val="001E00E3"/>
    <w:rsid w:val="001E038B"/>
    <w:rsid w:val="001E27C7"/>
    <w:rsid w:val="001E2B53"/>
    <w:rsid w:val="001E54B3"/>
    <w:rsid w:val="001F0C5E"/>
    <w:rsid w:val="001F2349"/>
    <w:rsid w:val="001F2383"/>
    <w:rsid w:val="001F2988"/>
    <w:rsid w:val="001F4266"/>
    <w:rsid w:val="001F6249"/>
    <w:rsid w:val="001F647E"/>
    <w:rsid w:val="002005D2"/>
    <w:rsid w:val="0020298B"/>
    <w:rsid w:val="002041CA"/>
    <w:rsid w:val="00206111"/>
    <w:rsid w:val="00206AC6"/>
    <w:rsid w:val="00206BE3"/>
    <w:rsid w:val="0020757D"/>
    <w:rsid w:val="00207FA5"/>
    <w:rsid w:val="00210E7A"/>
    <w:rsid w:val="002131A4"/>
    <w:rsid w:val="002137E0"/>
    <w:rsid w:val="00213FE6"/>
    <w:rsid w:val="0021446D"/>
    <w:rsid w:val="00214EF0"/>
    <w:rsid w:val="00215796"/>
    <w:rsid w:val="00221E48"/>
    <w:rsid w:val="00222100"/>
    <w:rsid w:val="00222F90"/>
    <w:rsid w:val="0022490F"/>
    <w:rsid w:val="0022538A"/>
    <w:rsid w:val="00225C6E"/>
    <w:rsid w:val="002275FA"/>
    <w:rsid w:val="002309FF"/>
    <w:rsid w:val="00232065"/>
    <w:rsid w:val="00232E7C"/>
    <w:rsid w:val="002332D2"/>
    <w:rsid w:val="00234A5C"/>
    <w:rsid w:val="00235895"/>
    <w:rsid w:val="00235FB2"/>
    <w:rsid w:val="00236B4D"/>
    <w:rsid w:val="002411FA"/>
    <w:rsid w:val="00241828"/>
    <w:rsid w:val="00241D10"/>
    <w:rsid w:val="00243146"/>
    <w:rsid w:val="00245083"/>
    <w:rsid w:val="002471B1"/>
    <w:rsid w:val="002530EE"/>
    <w:rsid w:val="00254F3D"/>
    <w:rsid w:val="00255CE8"/>
    <w:rsid w:val="00255D31"/>
    <w:rsid w:val="0025770C"/>
    <w:rsid w:val="00262FE6"/>
    <w:rsid w:val="00263CB5"/>
    <w:rsid w:val="00265141"/>
    <w:rsid w:val="00265A70"/>
    <w:rsid w:val="00266083"/>
    <w:rsid w:val="0026685E"/>
    <w:rsid w:val="00266B63"/>
    <w:rsid w:val="00271B11"/>
    <w:rsid w:val="002741AC"/>
    <w:rsid w:val="00275B4F"/>
    <w:rsid w:val="00275BAC"/>
    <w:rsid w:val="00275F13"/>
    <w:rsid w:val="002769BB"/>
    <w:rsid w:val="00280D95"/>
    <w:rsid w:val="002819C0"/>
    <w:rsid w:val="00281BF6"/>
    <w:rsid w:val="002829A1"/>
    <w:rsid w:val="0028419A"/>
    <w:rsid w:val="002843A5"/>
    <w:rsid w:val="0029196F"/>
    <w:rsid w:val="00291FC9"/>
    <w:rsid w:val="00293D51"/>
    <w:rsid w:val="00293EFD"/>
    <w:rsid w:val="0029412F"/>
    <w:rsid w:val="00294F5B"/>
    <w:rsid w:val="00295556"/>
    <w:rsid w:val="00295BB5"/>
    <w:rsid w:val="002A0730"/>
    <w:rsid w:val="002A2607"/>
    <w:rsid w:val="002A3DB3"/>
    <w:rsid w:val="002A5A4D"/>
    <w:rsid w:val="002A6173"/>
    <w:rsid w:val="002A7953"/>
    <w:rsid w:val="002B2666"/>
    <w:rsid w:val="002B2EDB"/>
    <w:rsid w:val="002B4262"/>
    <w:rsid w:val="002B4505"/>
    <w:rsid w:val="002B63DF"/>
    <w:rsid w:val="002B6526"/>
    <w:rsid w:val="002B72F1"/>
    <w:rsid w:val="002C232C"/>
    <w:rsid w:val="002C30B1"/>
    <w:rsid w:val="002C48EB"/>
    <w:rsid w:val="002C4AA3"/>
    <w:rsid w:val="002C68A2"/>
    <w:rsid w:val="002C7695"/>
    <w:rsid w:val="002D174C"/>
    <w:rsid w:val="002D2445"/>
    <w:rsid w:val="002D28FD"/>
    <w:rsid w:val="002D3CDC"/>
    <w:rsid w:val="002D590D"/>
    <w:rsid w:val="002D5A4D"/>
    <w:rsid w:val="002D626D"/>
    <w:rsid w:val="002D7BEC"/>
    <w:rsid w:val="002E093B"/>
    <w:rsid w:val="002E16F6"/>
    <w:rsid w:val="002E22AF"/>
    <w:rsid w:val="002E32A4"/>
    <w:rsid w:val="002E515F"/>
    <w:rsid w:val="002E79B7"/>
    <w:rsid w:val="002F0659"/>
    <w:rsid w:val="002F25E5"/>
    <w:rsid w:val="002F5B48"/>
    <w:rsid w:val="002F6155"/>
    <w:rsid w:val="002F7464"/>
    <w:rsid w:val="00300856"/>
    <w:rsid w:val="003030E7"/>
    <w:rsid w:val="003043BB"/>
    <w:rsid w:val="003055F8"/>
    <w:rsid w:val="00306CFB"/>
    <w:rsid w:val="00310277"/>
    <w:rsid w:val="003122D4"/>
    <w:rsid w:val="00312AFB"/>
    <w:rsid w:val="00312E4C"/>
    <w:rsid w:val="003133BB"/>
    <w:rsid w:val="003142D5"/>
    <w:rsid w:val="00314ADE"/>
    <w:rsid w:val="00315F94"/>
    <w:rsid w:val="00317B61"/>
    <w:rsid w:val="00317EDF"/>
    <w:rsid w:val="00320132"/>
    <w:rsid w:val="00321F39"/>
    <w:rsid w:val="0032246D"/>
    <w:rsid w:val="003226CD"/>
    <w:rsid w:val="00322B02"/>
    <w:rsid w:val="00324398"/>
    <w:rsid w:val="003259E3"/>
    <w:rsid w:val="00325A5A"/>
    <w:rsid w:val="00326E60"/>
    <w:rsid w:val="003270B8"/>
    <w:rsid w:val="003278DB"/>
    <w:rsid w:val="00333593"/>
    <w:rsid w:val="0033387C"/>
    <w:rsid w:val="0033680D"/>
    <w:rsid w:val="0033697D"/>
    <w:rsid w:val="00340667"/>
    <w:rsid w:val="00341D30"/>
    <w:rsid w:val="00342C5B"/>
    <w:rsid w:val="00345343"/>
    <w:rsid w:val="0035212E"/>
    <w:rsid w:val="00353AC4"/>
    <w:rsid w:val="00353AE4"/>
    <w:rsid w:val="00357246"/>
    <w:rsid w:val="0035744E"/>
    <w:rsid w:val="00357EA0"/>
    <w:rsid w:val="00361F42"/>
    <w:rsid w:val="00362148"/>
    <w:rsid w:val="00367D7C"/>
    <w:rsid w:val="003700C7"/>
    <w:rsid w:val="00373C85"/>
    <w:rsid w:val="003756D8"/>
    <w:rsid w:val="0038005D"/>
    <w:rsid w:val="003805AE"/>
    <w:rsid w:val="0038286C"/>
    <w:rsid w:val="00384FC3"/>
    <w:rsid w:val="00393B60"/>
    <w:rsid w:val="00394419"/>
    <w:rsid w:val="003948E0"/>
    <w:rsid w:val="003952AA"/>
    <w:rsid w:val="0039671C"/>
    <w:rsid w:val="00396928"/>
    <w:rsid w:val="00397753"/>
    <w:rsid w:val="00397CAF"/>
    <w:rsid w:val="003A080B"/>
    <w:rsid w:val="003A0FBE"/>
    <w:rsid w:val="003A1E78"/>
    <w:rsid w:val="003A2DF8"/>
    <w:rsid w:val="003A330A"/>
    <w:rsid w:val="003A3804"/>
    <w:rsid w:val="003A52BE"/>
    <w:rsid w:val="003A5866"/>
    <w:rsid w:val="003A58C8"/>
    <w:rsid w:val="003A60EC"/>
    <w:rsid w:val="003A6114"/>
    <w:rsid w:val="003A68B0"/>
    <w:rsid w:val="003A6E9F"/>
    <w:rsid w:val="003A753B"/>
    <w:rsid w:val="003B05F2"/>
    <w:rsid w:val="003B08C8"/>
    <w:rsid w:val="003B1534"/>
    <w:rsid w:val="003B5610"/>
    <w:rsid w:val="003B6D56"/>
    <w:rsid w:val="003B7EC1"/>
    <w:rsid w:val="003C14D4"/>
    <w:rsid w:val="003C1951"/>
    <w:rsid w:val="003C2D9F"/>
    <w:rsid w:val="003C42C4"/>
    <w:rsid w:val="003C5ABE"/>
    <w:rsid w:val="003C6E8B"/>
    <w:rsid w:val="003D08F5"/>
    <w:rsid w:val="003D1A86"/>
    <w:rsid w:val="003D2E67"/>
    <w:rsid w:val="003D4CD6"/>
    <w:rsid w:val="003D6B74"/>
    <w:rsid w:val="003D6F32"/>
    <w:rsid w:val="003E00F0"/>
    <w:rsid w:val="003E02A9"/>
    <w:rsid w:val="003E08FA"/>
    <w:rsid w:val="003E2B2B"/>
    <w:rsid w:val="003E2D42"/>
    <w:rsid w:val="003E2F51"/>
    <w:rsid w:val="003E35FA"/>
    <w:rsid w:val="003E7B64"/>
    <w:rsid w:val="003F0678"/>
    <w:rsid w:val="003F0FAA"/>
    <w:rsid w:val="003F16EA"/>
    <w:rsid w:val="003F2945"/>
    <w:rsid w:val="003F3473"/>
    <w:rsid w:val="003F3CB1"/>
    <w:rsid w:val="003F40D9"/>
    <w:rsid w:val="003F51F9"/>
    <w:rsid w:val="003F55F6"/>
    <w:rsid w:val="003F5C63"/>
    <w:rsid w:val="003F7858"/>
    <w:rsid w:val="0040765C"/>
    <w:rsid w:val="00407ACE"/>
    <w:rsid w:val="00407B4D"/>
    <w:rsid w:val="00410D21"/>
    <w:rsid w:val="004112EF"/>
    <w:rsid w:val="0041385E"/>
    <w:rsid w:val="004149F3"/>
    <w:rsid w:val="00414E31"/>
    <w:rsid w:val="00415FD0"/>
    <w:rsid w:val="0041788D"/>
    <w:rsid w:val="0042248C"/>
    <w:rsid w:val="004228C7"/>
    <w:rsid w:val="00424AE5"/>
    <w:rsid w:val="00424C49"/>
    <w:rsid w:val="0042626F"/>
    <w:rsid w:val="0042632E"/>
    <w:rsid w:val="0042798B"/>
    <w:rsid w:val="004316E2"/>
    <w:rsid w:val="00432616"/>
    <w:rsid w:val="00432CD7"/>
    <w:rsid w:val="0043382A"/>
    <w:rsid w:val="00434913"/>
    <w:rsid w:val="0043547C"/>
    <w:rsid w:val="00437C6C"/>
    <w:rsid w:val="00440ADD"/>
    <w:rsid w:val="004438EB"/>
    <w:rsid w:val="004442C9"/>
    <w:rsid w:val="0044501D"/>
    <w:rsid w:val="00447182"/>
    <w:rsid w:val="004474F8"/>
    <w:rsid w:val="00447F33"/>
    <w:rsid w:val="004502D6"/>
    <w:rsid w:val="0045076F"/>
    <w:rsid w:val="00450EBD"/>
    <w:rsid w:val="0045193C"/>
    <w:rsid w:val="00453F72"/>
    <w:rsid w:val="00460870"/>
    <w:rsid w:val="00460B44"/>
    <w:rsid w:val="00461085"/>
    <w:rsid w:val="00461E2D"/>
    <w:rsid w:val="00461E54"/>
    <w:rsid w:val="00466291"/>
    <w:rsid w:val="00466EEE"/>
    <w:rsid w:val="00471AF8"/>
    <w:rsid w:val="00473B20"/>
    <w:rsid w:val="004753CF"/>
    <w:rsid w:val="00475B14"/>
    <w:rsid w:val="00477476"/>
    <w:rsid w:val="00477550"/>
    <w:rsid w:val="00480DC6"/>
    <w:rsid w:val="00480F76"/>
    <w:rsid w:val="004844A8"/>
    <w:rsid w:val="00485B95"/>
    <w:rsid w:val="00485E98"/>
    <w:rsid w:val="0049068B"/>
    <w:rsid w:val="0049270A"/>
    <w:rsid w:val="004947DB"/>
    <w:rsid w:val="00495944"/>
    <w:rsid w:val="004964DA"/>
    <w:rsid w:val="004964DD"/>
    <w:rsid w:val="00496526"/>
    <w:rsid w:val="00496803"/>
    <w:rsid w:val="00497662"/>
    <w:rsid w:val="004977FA"/>
    <w:rsid w:val="004A0E1B"/>
    <w:rsid w:val="004A1D1E"/>
    <w:rsid w:val="004A4064"/>
    <w:rsid w:val="004A48CD"/>
    <w:rsid w:val="004A6CDF"/>
    <w:rsid w:val="004B04AB"/>
    <w:rsid w:val="004B07E6"/>
    <w:rsid w:val="004B300D"/>
    <w:rsid w:val="004B6688"/>
    <w:rsid w:val="004B7A2C"/>
    <w:rsid w:val="004C228F"/>
    <w:rsid w:val="004C290A"/>
    <w:rsid w:val="004C2AC0"/>
    <w:rsid w:val="004C41D4"/>
    <w:rsid w:val="004C5CE6"/>
    <w:rsid w:val="004C7E7E"/>
    <w:rsid w:val="004D02ED"/>
    <w:rsid w:val="004D2DEF"/>
    <w:rsid w:val="004D329F"/>
    <w:rsid w:val="004D3DD0"/>
    <w:rsid w:val="004D7215"/>
    <w:rsid w:val="004E0DA4"/>
    <w:rsid w:val="004E15C7"/>
    <w:rsid w:val="004E2DCD"/>
    <w:rsid w:val="004E36D3"/>
    <w:rsid w:val="004E3ABA"/>
    <w:rsid w:val="004E4E8E"/>
    <w:rsid w:val="004E7217"/>
    <w:rsid w:val="004F2A84"/>
    <w:rsid w:val="004F38C7"/>
    <w:rsid w:val="004F4C14"/>
    <w:rsid w:val="004F50BD"/>
    <w:rsid w:val="004F510D"/>
    <w:rsid w:val="004F7ED4"/>
    <w:rsid w:val="004F7F4E"/>
    <w:rsid w:val="00500EAA"/>
    <w:rsid w:val="00501F66"/>
    <w:rsid w:val="00507442"/>
    <w:rsid w:val="005112F4"/>
    <w:rsid w:val="005116B2"/>
    <w:rsid w:val="005127CD"/>
    <w:rsid w:val="00513850"/>
    <w:rsid w:val="005140AE"/>
    <w:rsid w:val="005173B2"/>
    <w:rsid w:val="005244A4"/>
    <w:rsid w:val="00525D27"/>
    <w:rsid w:val="00526688"/>
    <w:rsid w:val="00527783"/>
    <w:rsid w:val="005302A1"/>
    <w:rsid w:val="005305E5"/>
    <w:rsid w:val="00530BF5"/>
    <w:rsid w:val="00533CD5"/>
    <w:rsid w:val="00533D52"/>
    <w:rsid w:val="00533D53"/>
    <w:rsid w:val="00534144"/>
    <w:rsid w:val="00534948"/>
    <w:rsid w:val="00536CB5"/>
    <w:rsid w:val="005370F0"/>
    <w:rsid w:val="00537EA7"/>
    <w:rsid w:val="0054077A"/>
    <w:rsid w:val="0054341B"/>
    <w:rsid w:val="00545887"/>
    <w:rsid w:val="005542F9"/>
    <w:rsid w:val="005556FF"/>
    <w:rsid w:val="00555CD6"/>
    <w:rsid w:val="005565AE"/>
    <w:rsid w:val="00560154"/>
    <w:rsid w:val="005634B3"/>
    <w:rsid w:val="00563802"/>
    <w:rsid w:val="00563C57"/>
    <w:rsid w:val="00563E87"/>
    <w:rsid w:val="00564714"/>
    <w:rsid w:val="00564848"/>
    <w:rsid w:val="00572C44"/>
    <w:rsid w:val="00573D96"/>
    <w:rsid w:val="00574960"/>
    <w:rsid w:val="00574E67"/>
    <w:rsid w:val="005814B5"/>
    <w:rsid w:val="005819CB"/>
    <w:rsid w:val="0058484E"/>
    <w:rsid w:val="005848C3"/>
    <w:rsid w:val="00584D2B"/>
    <w:rsid w:val="00585526"/>
    <w:rsid w:val="00585EF8"/>
    <w:rsid w:val="005861D3"/>
    <w:rsid w:val="00590AD5"/>
    <w:rsid w:val="005930C2"/>
    <w:rsid w:val="00594B1F"/>
    <w:rsid w:val="00596B13"/>
    <w:rsid w:val="005A1B20"/>
    <w:rsid w:val="005A2B36"/>
    <w:rsid w:val="005A2D63"/>
    <w:rsid w:val="005A43A3"/>
    <w:rsid w:val="005A5724"/>
    <w:rsid w:val="005A6D8C"/>
    <w:rsid w:val="005B131D"/>
    <w:rsid w:val="005B398A"/>
    <w:rsid w:val="005B5AE1"/>
    <w:rsid w:val="005B7695"/>
    <w:rsid w:val="005C1299"/>
    <w:rsid w:val="005C2E0E"/>
    <w:rsid w:val="005C61CC"/>
    <w:rsid w:val="005C7450"/>
    <w:rsid w:val="005C7B27"/>
    <w:rsid w:val="005D0276"/>
    <w:rsid w:val="005D3E9D"/>
    <w:rsid w:val="005D41C6"/>
    <w:rsid w:val="005D436A"/>
    <w:rsid w:val="005D6098"/>
    <w:rsid w:val="005D6264"/>
    <w:rsid w:val="005D7128"/>
    <w:rsid w:val="005D753D"/>
    <w:rsid w:val="005E0103"/>
    <w:rsid w:val="005E0184"/>
    <w:rsid w:val="005E0B34"/>
    <w:rsid w:val="005E1370"/>
    <w:rsid w:val="005E33CC"/>
    <w:rsid w:val="005E386D"/>
    <w:rsid w:val="005E3F1C"/>
    <w:rsid w:val="005E400E"/>
    <w:rsid w:val="005E5396"/>
    <w:rsid w:val="005E67AB"/>
    <w:rsid w:val="005F44DC"/>
    <w:rsid w:val="005F740A"/>
    <w:rsid w:val="005F75AF"/>
    <w:rsid w:val="0060171B"/>
    <w:rsid w:val="00603C41"/>
    <w:rsid w:val="00606052"/>
    <w:rsid w:val="006077E9"/>
    <w:rsid w:val="00610E04"/>
    <w:rsid w:val="00611C23"/>
    <w:rsid w:val="00613ECB"/>
    <w:rsid w:val="00614724"/>
    <w:rsid w:val="006161A4"/>
    <w:rsid w:val="006179AC"/>
    <w:rsid w:val="00617C40"/>
    <w:rsid w:val="006208D6"/>
    <w:rsid w:val="00622344"/>
    <w:rsid w:val="006225BD"/>
    <w:rsid w:val="006243DF"/>
    <w:rsid w:val="00624C48"/>
    <w:rsid w:val="006256D3"/>
    <w:rsid w:val="00626E02"/>
    <w:rsid w:val="00627BB7"/>
    <w:rsid w:val="00627E44"/>
    <w:rsid w:val="00630CD8"/>
    <w:rsid w:val="006318C9"/>
    <w:rsid w:val="0063226F"/>
    <w:rsid w:val="00632604"/>
    <w:rsid w:val="006336ED"/>
    <w:rsid w:val="0063579B"/>
    <w:rsid w:val="0063680C"/>
    <w:rsid w:val="00637DA1"/>
    <w:rsid w:val="00640529"/>
    <w:rsid w:val="00642C3E"/>
    <w:rsid w:val="006439C0"/>
    <w:rsid w:val="00644A13"/>
    <w:rsid w:val="006505DD"/>
    <w:rsid w:val="0065136E"/>
    <w:rsid w:val="006516AB"/>
    <w:rsid w:val="00656F99"/>
    <w:rsid w:val="00660BE4"/>
    <w:rsid w:val="006620AF"/>
    <w:rsid w:val="006625D2"/>
    <w:rsid w:val="0066304B"/>
    <w:rsid w:val="006637FF"/>
    <w:rsid w:val="0066493C"/>
    <w:rsid w:val="006649B1"/>
    <w:rsid w:val="006649E4"/>
    <w:rsid w:val="006659EF"/>
    <w:rsid w:val="00666937"/>
    <w:rsid w:val="00667B9D"/>
    <w:rsid w:val="00670D71"/>
    <w:rsid w:val="006713CB"/>
    <w:rsid w:val="00672CD8"/>
    <w:rsid w:val="00672FFD"/>
    <w:rsid w:val="006759C3"/>
    <w:rsid w:val="00676010"/>
    <w:rsid w:val="00676C3B"/>
    <w:rsid w:val="00676D1B"/>
    <w:rsid w:val="00677491"/>
    <w:rsid w:val="00677699"/>
    <w:rsid w:val="0068147D"/>
    <w:rsid w:val="00685BB2"/>
    <w:rsid w:val="006860A2"/>
    <w:rsid w:val="0068747B"/>
    <w:rsid w:val="00687C9B"/>
    <w:rsid w:val="006907DC"/>
    <w:rsid w:val="006942AD"/>
    <w:rsid w:val="00694E66"/>
    <w:rsid w:val="00695341"/>
    <w:rsid w:val="006959B5"/>
    <w:rsid w:val="006A25C8"/>
    <w:rsid w:val="006A287A"/>
    <w:rsid w:val="006A2C58"/>
    <w:rsid w:val="006A45D1"/>
    <w:rsid w:val="006A64E5"/>
    <w:rsid w:val="006B0590"/>
    <w:rsid w:val="006B2266"/>
    <w:rsid w:val="006B33B9"/>
    <w:rsid w:val="006B5917"/>
    <w:rsid w:val="006B5D61"/>
    <w:rsid w:val="006B65E5"/>
    <w:rsid w:val="006B6640"/>
    <w:rsid w:val="006C4806"/>
    <w:rsid w:val="006C50C8"/>
    <w:rsid w:val="006C5DAC"/>
    <w:rsid w:val="006C6B04"/>
    <w:rsid w:val="006D00D8"/>
    <w:rsid w:val="006D05FE"/>
    <w:rsid w:val="006D0761"/>
    <w:rsid w:val="006D3A45"/>
    <w:rsid w:val="006D5654"/>
    <w:rsid w:val="006D63CE"/>
    <w:rsid w:val="006D74BA"/>
    <w:rsid w:val="006E2183"/>
    <w:rsid w:val="006E2995"/>
    <w:rsid w:val="006E7DCE"/>
    <w:rsid w:val="006F0085"/>
    <w:rsid w:val="006F22DE"/>
    <w:rsid w:val="006F3A2E"/>
    <w:rsid w:val="006F3EA3"/>
    <w:rsid w:val="006F4465"/>
    <w:rsid w:val="006F618D"/>
    <w:rsid w:val="006F6364"/>
    <w:rsid w:val="00704E3E"/>
    <w:rsid w:val="007050FF"/>
    <w:rsid w:val="007073DB"/>
    <w:rsid w:val="007108DE"/>
    <w:rsid w:val="00710B1E"/>
    <w:rsid w:val="00710B66"/>
    <w:rsid w:val="007119C6"/>
    <w:rsid w:val="007122C8"/>
    <w:rsid w:val="007127FE"/>
    <w:rsid w:val="00714F45"/>
    <w:rsid w:val="00716E94"/>
    <w:rsid w:val="007170C6"/>
    <w:rsid w:val="0072064D"/>
    <w:rsid w:val="00722542"/>
    <w:rsid w:val="007246CE"/>
    <w:rsid w:val="007262E4"/>
    <w:rsid w:val="00726A37"/>
    <w:rsid w:val="00727E9C"/>
    <w:rsid w:val="00727FFD"/>
    <w:rsid w:val="00730038"/>
    <w:rsid w:val="007307F4"/>
    <w:rsid w:val="00730F2C"/>
    <w:rsid w:val="0073148C"/>
    <w:rsid w:val="007358E7"/>
    <w:rsid w:val="00736769"/>
    <w:rsid w:val="007377C0"/>
    <w:rsid w:val="00737A15"/>
    <w:rsid w:val="00744ACF"/>
    <w:rsid w:val="00744B20"/>
    <w:rsid w:val="00745202"/>
    <w:rsid w:val="00745DA6"/>
    <w:rsid w:val="007463E0"/>
    <w:rsid w:val="0074652B"/>
    <w:rsid w:val="00750135"/>
    <w:rsid w:val="00750242"/>
    <w:rsid w:val="00751401"/>
    <w:rsid w:val="00752764"/>
    <w:rsid w:val="00752E37"/>
    <w:rsid w:val="007550B5"/>
    <w:rsid w:val="00757369"/>
    <w:rsid w:val="00761D5A"/>
    <w:rsid w:val="007654F7"/>
    <w:rsid w:val="00766962"/>
    <w:rsid w:val="00770464"/>
    <w:rsid w:val="007706A0"/>
    <w:rsid w:val="00771608"/>
    <w:rsid w:val="00773117"/>
    <w:rsid w:val="007745A0"/>
    <w:rsid w:val="00774BA2"/>
    <w:rsid w:val="00775285"/>
    <w:rsid w:val="00775287"/>
    <w:rsid w:val="00776895"/>
    <w:rsid w:val="00777F3E"/>
    <w:rsid w:val="00780A3C"/>
    <w:rsid w:val="00781108"/>
    <w:rsid w:val="00782C76"/>
    <w:rsid w:val="0078335A"/>
    <w:rsid w:val="007855D7"/>
    <w:rsid w:val="00785C32"/>
    <w:rsid w:val="007911FB"/>
    <w:rsid w:val="00793DBA"/>
    <w:rsid w:val="00795214"/>
    <w:rsid w:val="00797687"/>
    <w:rsid w:val="00797806"/>
    <w:rsid w:val="007A08A2"/>
    <w:rsid w:val="007A1FAA"/>
    <w:rsid w:val="007A3F8A"/>
    <w:rsid w:val="007A534C"/>
    <w:rsid w:val="007A7744"/>
    <w:rsid w:val="007B0D31"/>
    <w:rsid w:val="007B10B1"/>
    <w:rsid w:val="007B376D"/>
    <w:rsid w:val="007B5E8D"/>
    <w:rsid w:val="007B68ED"/>
    <w:rsid w:val="007B6C06"/>
    <w:rsid w:val="007C15F9"/>
    <w:rsid w:val="007C1611"/>
    <w:rsid w:val="007C5BBE"/>
    <w:rsid w:val="007D2AEA"/>
    <w:rsid w:val="007D2B31"/>
    <w:rsid w:val="007D2F99"/>
    <w:rsid w:val="007D33F4"/>
    <w:rsid w:val="007D3CA3"/>
    <w:rsid w:val="007D4A37"/>
    <w:rsid w:val="007D602A"/>
    <w:rsid w:val="007D6169"/>
    <w:rsid w:val="007D6C78"/>
    <w:rsid w:val="007D6F52"/>
    <w:rsid w:val="007D7B15"/>
    <w:rsid w:val="007E15DC"/>
    <w:rsid w:val="007E1B96"/>
    <w:rsid w:val="007F2148"/>
    <w:rsid w:val="007F3ABE"/>
    <w:rsid w:val="007F62C6"/>
    <w:rsid w:val="007F63E7"/>
    <w:rsid w:val="007F75A4"/>
    <w:rsid w:val="007F7E46"/>
    <w:rsid w:val="00801C8C"/>
    <w:rsid w:val="00802314"/>
    <w:rsid w:val="00802FE3"/>
    <w:rsid w:val="008031A0"/>
    <w:rsid w:val="00804EAD"/>
    <w:rsid w:val="00807EA3"/>
    <w:rsid w:val="00814CF4"/>
    <w:rsid w:val="008160A9"/>
    <w:rsid w:val="00822D28"/>
    <w:rsid w:val="008240B9"/>
    <w:rsid w:val="00825A5C"/>
    <w:rsid w:val="008269EB"/>
    <w:rsid w:val="0083126A"/>
    <w:rsid w:val="0083271B"/>
    <w:rsid w:val="008328E9"/>
    <w:rsid w:val="008331AE"/>
    <w:rsid w:val="00835BCB"/>
    <w:rsid w:val="00835CDC"/>
    <w:rsid w:val="00835D46"/>
    <w:rsid w:val="00836829"/>
    <w:rsid w:val="00836E73"/>
    <w:rsid w:val="008373D8"/>
    <w:rsid w:val="00837509"/>
    <w:rsid w:val="008404B1"/>
    <w:rsid w:val="00841223"/>
    <w:rsid w:val="008419AE"/>
    <w:rsid w:val="0084387B"/>
    <w:rsid w:val="00844F4B"/>
    <w:rsid w:val="00846CA6"/>
    <w:rsid w:val="00847047"/>
    <w:rsid w:val="00847468"/>
    <w:rsid w:val="00847A51"/>
    <w:rsid w:val="0085003B"/>
    <w:rsid w:val="00850B09"/>
    <w:rsid w:val="0085143B"/>
    <w:rsid w:val="00851F22"/>
    <w:rsid w:val="00853063"/>
    <w:rsid w:val="00854B85"/>
    <w:rsid w:val="00855D87"/>
    <w:rsid w:val="00855F57"/>
    <w:rsid w:val="0085655D"/>
    <w:rsid w:val="00856EED"/>
    <w:rsid w:val="008630AC"/>
    <w:rsid w:val="00863B9D"/>
    <w:rsid w:val="00863BE6"/>
    <w:rsid w:val="00863ED5"/>
    <w:rsid w:val="00864474"/>
    <w:rsid w:val="00864559"/>
    <w:rsid w:val="00865162"/>
    <w:rsid w:val="00865192"/>
    <w:rsid w:val="008657C2"/>
    <w:rsid w:val="00865C93"/>
    <w:rsid w:val="00866DB2"/>
    <w:rsid w:val="008676D4"/>
    <w:rsid w:val="00871BA3"/>
    <w:rsid w:val="00872267"/>
    <w:rsid w:val="008723E5"/>
    <w:rsid w:val="00872AE1"/>
    <w:rsid w:val="00874060"/>
    <w:rsid w:val="008775BC"/>
    <w:rsid w:val="00880E5D"/>
    <w:rsid w:val="0088122A"/>
    <w:rsid w:val="0088298F"/>
    <w:rsid w:val="00882F1B"/>
    <w:rsid w:val="00884DE3"/>
    <w:rsid w:val="008853E0"/>
    <w:rsid w:val="00890D42"/>
    <w:rsid w:val="00892992"/>
    <w:rsid w:val="00892D5A"/>
    <w:rsid w:val="00893070"/>
    <w:rsid w:val="00893FCE"/>
    <w:rsid w:val="00894FE3"/>
    <w:rsid w:val="0089517A"/>
    <w:rsid w:val="008A00BF"/>
    <w:rsid w:val="008A11B6"/>
    <w:rsid w:val="008A19F5"/>
    <w:rsid w:val="008A2F26"/>
    <w:rsid w:val="008A35BD"/>
    <w:rsid w:val="008A70CE"/>
    <w:rsid w:val="008B0890"/>
    <w:rsid w:val="008B1177"/>
    <w:rsid w:val="008B14DE"/>
    <w:rsid w:val="008B2199"/>
    <w:rsid w:val="008B3683"/>
    <w:rsid w:val="008B4233"/>
    <w:rsid w:val="008B585C"/>
    <w:rsid w:val="008C22F0"/>
    <w:rsid w:val="008C25E4"/>
    <w:rsid w:val="008C2DAE"/>
    <w:rsid w:val="008C33F3"/>
    <w:rsid w:val="008D0AAA"/>
    <w:rsid w:val="008D0F72"/>
    <w:rsid w:val="008E19BC"/>
    <w:rsid w:val="008E39B5"/>
    <w:rsid w:val="008E5D93"/>
    <w:rsid w:val="008E5EA8"/>
    <w:rsid w:val="008E6AA9"/>
    <w:rsid w:val="008E7017"/>
    <w:rsid w:val="008E7FD2"/>
    <w:rsid w:val="008F46E3"/>
    <w:rsid w:val="008F7DBF"/>
    <w:rsid w:val="008F7FF5"/>
    <w:rsid w:val="00900328"/>
    <w:rsid w:val="00901C86"/>
    <w:rsid w:val="00902FC5"/>
    <w:rsid w:val="00905792"/>
    <w:rsid w:val="009059A9"/>
    <w:rsid w:val="00905C48"/>
    <w:rsid w:val="009065D7"/>
    <w:rsid w:val="009078FF"/>
    <w:rsid w:val="00910546"/>
    <w:rsid w:val="009117E0"/>
    <w:rsid w:val="00912C3A"/>
    <w:rsid w:val="00912D8D"/>
    <w:rsid w:val="00913F95"/>
    <w:rsid w:val="00915342"/>
    <w:rsid w:val="009155C7"/>
    <w:rsid w:val="00915EC9"/>
    <w:rsid w:val="0091791C"/>
    <w:rsid w:val="00920383"/>
    <w:rsid w:val="009203BA"/>
    <w:rsid w:val="00920503"/>
    <w:rsid w:val="009207A4"/>
    <w:rsid w:val="0092173F"/>
    <w:rsid w:val="00923DB9"/>
    <w:rsid w:val="00924BEC"/>
    <w:rsid w:val="00924CA4"/>
    <w:rsid w:val="00924D75"/>
    <w:rsid w:val="0092515E"/>
    <w:rsid w:val="00926175"/>
    <w:rsid w:val="0092699A"/>
    <w:rsid w:val="009314B4"/>
    <w:rsid w:val="00931865"/>
    <w:rsid w:val="00932020"/>
    <w:rsid w:val="00932CC6"/>
    <w:rsid w:val="00932ED5"/>
    <w:rsid w:val="00933C1B"/>
    <w:rsid w:val="009357F2"/>
    <w:rsid w:val="00937F43"/>
    <w:rsid w:val="00940110"/>
    <w:rsid w:val="009422E2"/>
    <w:rsid w:val="00942D60"/>
    <w:rsid w:val="00942FBD"/>
    <w:rsid w:val="00944CF9"/>
    <w:rsid w:val="009450EC"/>
    <w:rsid w:val="0094770B"/>
    <w:rsid w:val="00950510"/>
    <w:rsid w:val="00950C48"/>
    <w:rsid w:val="00964F2E"/>
    <w:rsid w:val="0096553B"/>
    <w:rsid w:val="00970E35"/>
    <w:rsid w:val="009712EC"/>
    <w:rsid w:val="00973518"/>
    <w:rsid w:val="00973B93"/>
    <w:rsid w:val="00973BC3"/>
    <w:rsid w:val="00973CB4"/>
    <w:rsid w:val="00974B3B"/>
    <w:rsid w:val="00975A61"/>
    <w:rsid w:val="00976036"/>
    <w:rsid w:val="00980A73"/>
    <w:rsid w:val="00980C5B"/>
    <w:rsid w:val="00981327"/>
    <w:rsid w:val="00982392"/>
    <w:rsid w:val="00982ACB"/>
    <w:rsid w:val="00985D1B"/>
    <w:rsid w:val="00986C83"/>
    <w:rsid w:val="009872B4"/>
    <w:rsid w:val="009874B2"/>
    <w:rsid w:val="00990284"/>
    <w:rsid w:val="00991617"/>
    <w:rsid w:val="00992F41"/>
    <w:rsid w:val="009957BE"/>
    <w:rsid w:val="0099697B"/>
    <w:rsid w:val="00997108"/>
    <w:rsid w:val="009973C9"/>
    <w:rsid w:val="009976D1"/>
    <w:rsid w:val="00997E4E"/>
    <w:rsid w:val="009A1551"/>
    <w:rsid w:val="009A25A8"/>
    <w:rsid w:val="009A2B01"/>
    <w:rsid w:val="009A43C3"/>
    <w:rsid w:val="009A51BE"/>
    <w:rsid w:val="009A7CF8"/>
    <w:rsid w:val="009B07C6"/>
    <w:rsid w:val="009B2214"/>
    <w:rsid w:val="009B2267"/>
    <w:rsid w:val="009B2CD2"/>
    <w:rsid w:val="009B388D"/>
    <w:rsid w:val="009B4C6B"/>
    <w:rsid w:val="009B5492"/>
    <w:rsid w:val="009B59A8"/>
    <w:rsid w:val="009B6D29"/>
    <w:rsid w:val="009B7682"/>
    <w:rsid w:val="009C17BF"/>
    <w:rsid w:val="009C213C"/>
    <w:rsid w:val="009C2F1B"/>
    <w:rsid w:val="009C398B"/>
    <w:rsid w:val="009C4663"/>
    <w:rsid w:val="009C6412"/>
    <w:rsid w:val="009C770F"/>
    <w:rsid w:val="009D3C28"/>
    <w:rsid w:val="009D3FCE"/>
    <w:rsid w:val="009D4339"/>
    <w:rsid w:val="009D4EB1"/>
    <w:rsid w:val="009D4F17"/>
    <w:rsid w:val="009D52D0"/>
    <w:rsid w:val="009D6B61"/>
    <w:rsid w:val="009D7AA1"/>
    <w:rsid w:val="009D7C8C"/>
    <w:rsid w:val="009E0AE8"/>
    <w:rsid w:val="009E2006"/>
    <w:rsid w:val="009E32A5"/>
    <w:rsid w:val="009E3D19"/>
    <w:rsid w:val="009E4FD9"/>
    <w:rsid w:val="009E5374"/>
    <w:rsid w:val="009E6257"/>
    <w:rsid w:val="009F0D97"/>
    <w:rsid w:val="009F2D4B"/>
    <w:rsid w:val="009F345D"/>
    <w:rsid w:val="009F658F"/>
    <w:rsid w:val="009F6B66"/>
    <w:rsid w:val="00A00348"/>
    <w:rsid w:val="00A02675"/>
    <w:rsid w:val="00A02FA7"/>
    <w:rsid w:val="00A03C7D"/>
    <w:rsid w:val="00A0526B"/>
    <w:rsid w:val="00A06B24"/>
    <w:rsid w:val="00A10271"/>
    <w:rsid w:val="00A10C8A"/>
    <w:rsid w:val="00A10D43"/>
    <w:rsid w:val="00A11F73"/>
    <w:rsid w:val="00A1263F"/>
    <w:rsid w:val="00A12B18"/>
    <w:rsid w:val="00A13218"/>
    <w:rsid w:val="00A15206"/>
    <w:rsid w:val="00A15734"/>
    <w:rsid w:val="00A161D4"/>
    <w:rsid w:val="00A227A3"/>
    <w:rsid w:val="00A22975"/>
    <w:rsid w:val="00A24441"/>
    <w:rsid w:val="00A26D71"/>
    <w:rsid w:val="00A2718D"/>
    <w:rsid w:val="00A3082B"/>
    <w:rsid w:val="00A30EDD"/>
    <w:rsid w:val="00A33703"/>
    <w:rsid w:val="00A37F6C"/>
    <w:rsid w:val="00A439CD"/>
    <w:rsid w:val="00A43FAF"/>
    <w:rsid w:val="00A46335"/>
    <w:rsid w:val="00A46DCF"/>
    <w:rsid w:val="00A46E6D"/>
    <w:rsid w:val="00A47190"/>
    <w:rsid w:val="00A51E27"/>
    <w:rsid w:val="00A5601F"/>
    <w:rsid w:val="00A56330"/>
    <w:rsid w:val="00A563CE"/>
    <w:rsid w:val="00A57CF6"/>
    <w:rsid w:val="00A60B73"/>
    <w:rsid w:val="00A617BE"/>
    <w:rsid w:val="00A63CF4"/>
    <w:rsid w:val="00A640D5"/>
    <w:rsid w:val="00A64730"/>
    <w:rsid w:val="00A66316"/>
    <w:rsid w:val="00A66D60"/>
    <w:rsid w:val="00A71177"/>
    <w:rsid w:val="00A715CF"/>
    <w:rsid w:val="00A71A92"/>
    <w:rsid w:val="00A71AC6"/>
    <w:rsid w:val="00A71BCC"/>
    <w:rsid w:val="00A7440B"/>
    <w:rsid w:val="00A76A03"/>
    <w:rsid w:val="00A80080"/>
    <w:rsid w:val="00A8012A"/>
    <w:rsid w:val="00A80DD0"/>
    <w:rsid w:val="00A819FA"/>
    <w:rsid w:val="00A81CD6"/>
    <w:rsid w:val="00A824EF"/>
    <w:rsid w:val="00A85C8D"/>
    <w:rsid w:val="00A861E8"/>
    <w:rsid w:val="00A9008D"/>
    <w:rsid w:val="00A91204"/>
    <w:rsid w:val="00A943A3"/>
    <w:rsid w:val="00A960E9"/>
    <w:rsid w:val="00A97A89"/>
    <w:rsid w:val="00A97DFC"/>
    <w:rsid w:val="00AA02A0"/>
    <w:rsid w:val="00AA261C"/>
    <w:rsid w:val="00AA2B86"/>
    <w:rsid w:val="00AA4BE3"/>
    <w:rsid w:val="00AA646F"/>
    <w:rsid w:val="00AA6B32"/>
    <w:rsid w:val="00AB162F"/>
    <w:rsid w:val="00AB3097"/>
    <w:rsid w:val="00AB4061"/>
    <w:rsid w:val="00AB4951"/>
    <w:rsid w:val="00AB53C4"/>
    <w:rsid w:val="00AB545C"/>
    <w:rsid w:val="00AC2914"/>
    <w:rsid w:val="00AC2E3F"/>
    <w:rsid w:val="00AC6236"/>
    <w:rsid w:val="00AC689B"/>
    <w:rsid w:val="00AD365E"/>
    <w:rsid w:val="00AD637E"/>
    <w:rsid w:val="00AE0329"/>
    <w:rsid w:val="00AE63CC"/>
    <w:rsid w:val="00AE7139"/>
    <w:rsid w:val="00AF0B7D"/>
    <w:rsid w:val="00AF363D"/>
    <w:rsid w:val="00AF4D63"/>
    <w:rsid w:val="00AF5307"/>
    <w:rsid w:val="00AF69EE"/>
    <w:rsid w:val="00B031E6"/>
    <w:rsid w:val="00B03716"/>
    <w:rsid w:val="00B03B96"/>
    <w:rsid w:val="00B05484"/>
    <w:rsid w:val="00B05E1C"/>
    <w:rsid w:val="00B05E77"/>
    <w:rsid w:val="00B061BB"/>
    <w:rsid w:val="00B11BF4"/>
    <w:rsid w:val="00B1281C"/>
    <w:rsid w:val="00B129C4"/>
    <w:rsid w:val="00B15BB1"/>
    <w:rsid w:val="00B20DEF"/>
    <w:rsid w:val="00B21CED"/>
    <w:rsid w:val="00B243B0"/>
    <w:rsid w:val="00B266DA"/>
    <w:rsid w:val="00B30B10"/>
    <w:rsid w:val="00B30C51"/>
    <w:rsid w:val="00B315A0"/>
    <w:rsid w:val="00B323CA"/>
    <w:rsid w:val="00B3301A"/>
    <w:rsid w:val="00B33B5F"/>
    <w:rsid w:val="00B34A18"/>
    <w:rsid w:val="00B35B38"/>
    <w:rsid w:val="00B3680B"/>
    <w:rsid w:val="00B41440"/>
    <w:rsid w:val="00B41A41"/>
    <w:rsid w:val="00B468CE"/>
    <w:rsid w:val="00B46DEC"/>
    <w:rsid w:val="00B4784E"/>
    <w:rsid w:val="00B47A2F"/>
    <w:rsid w:val="00B5047A"/>
    <w:rsid w:val="00B51E75"/>
    <w:rsid w:val="00B52D18"/>
    <w:rsid w:val="00B542A7"/>
    <w:rsid w:val="00B55F49"/>
    <w:rsid w:val="00B5793F"/>
    <w:rsid w:val="00B579CB"/>
    <w:rsid w:val="00B626CD"/>
    <w:rsid w:val="00B62A22"/>
    <w:rsid w:val="00B642D1"/>
    <w:rsid w:val="00B64B48"/>
    <w:rsid w:val="00B653EE"/>
    <w:rsid w:val="00B65434"/>
    <w:rsid w:val="00B66C59"/>
    <w:rsid w:val="00B6743B"/>
    <w:rsid w:val="00B675B5"/>
    <w:rsid w:val="00B67C0E"/>
    <w:rsid w:val="00B70083"/>
    <w:rsid w:val="00B731E2"/>
    <w:rsid w:val="00B75C6B"/>
    <w:rsid w:val="00B778A0"/>
    <w:rsid w:val="00B83EF9"/>
    <w:rsid w:val="00B845DE"/>
    <w:rsid w:val="00B863A5"/>
    <w:rsid w:val="00B87A69"/>
    <w:rsid w:val="00B90FA2"/>
    <w:rsid w:val="00B9221C"/>
    <w:rsid w:val="00B97916"/>
    <w:rsid w:val="00BA36B0"/>
    <w:rsid w:val="00BA7165"/>
    <w:rsid w:val="00BB1268"/>
    <w:rsid w:val="00BB1F1D"/>
    <w:rsid w:val="00BB27CE"/>
    <w:rsid w:val="00BB28F6"/>
    <w:rsid w:val="00BB2B93"/>
    <w:rsid w:val="00BB3719"/>
    <w:rsid w:val="00BB38E4"/>
    <w:rsid w:val="00BB4135"/>
    <w:rsid w:val="00BB67CC"/>
    <w:rsid w:val="00BB683E"/>
    <w:rsid w:val="00BB71E1"/>
    <w:rsid w:val="00BC08AD"/>
    <w:rsid w:val="00BC0BCA"/>
    <w:rsid w:val="00BC2609"/>
    <w:rsid w:val="00BC6BA7"/>
    <w:rsid w:val="00BD0C16"/>
    <w:rsid w:val="00BD1B23"/>
    <w:rsid w:val="00BD1F1E"/>
    <w:rsid w:val="00BD2009"/>
    <w:rsid w:val="00BD31B7"/>
    <w:rsid w:val="00BD3E85"/>
    <w:rsid w:val="00BD625B"/>
    <w:rsid w:val="00BD7A83"/>
    <w:rsid w:val="00BD7F4A"/>
    <w:rsid w:val="00BE0725"/>
    <w:rsid w:val="00BE0D22"/>
    <w:rsid w:val="00BE1727"/>
    <w:rsid w:val="00BE4191"/>
    <w:rsid w:val="00BE5E34"/>
    <w:rsid w:val="00BE5E9D"/>
    <w:rsid w:val="00BE6B9C"/>
    <w:rsid w:val="00BE7006"/>
    <w:rsid w:val="00BF08D6"/>
    <w:rsid w:val="00BF1CF7"/>
    <w:rsid w:val="00BF2AEC"/>
    <w:rsid w:val="00BF2C17"/>
    <w:rsid w:val="00BF3C25"/>
    <w:rsid w:val="00BF4B8A"/>
    <w:rsid w:val="00BF68D9"/>
    <w:rsid w:val="00C00883"/>
    <w:rsid w:val="00C00AA0"/>
    <w:rsid w:val="00C00F39"/>
    <w:rsid w:val="00C024C4"/>
    <w:rsid w:val="00C02715"/>
    <w:rsid w:val="00C049A8"/>
    <w:rsid w:val="00C0528F"/>
    <w:rsid w:val="00C05DBB"/>
    <w:rsid w:val="00C068DB"/>
    <w:rsid w:val="00C070D6"/>
    <w:rsid w:val="00C07D75"/>
    <w:rsid w:val="00C13145"/>
    <w:rsid w:val="00C1400B"/>
    <w:rsid w:val="00C142E6"/>
    <w:rsid w:val="00C14623"/>
    <w:rsid w:val="00C14EEE"/>
    <w:rsid w:val="00C1556A"/>
    <w:rsid w:val="00C15D60"/>
    <w:rsid w:val="00C15F6C"/>
    <w:rsid w:val="00C165E8"/>
    <w:rsid w:val="00C20A05"/>
    <w:rsid w:val="00C20E65"/>
    <w:rsid w:val="00C210E3"/>
    <w:rsid w:val="00C23ED6"/>
    <w:rsid w:val="00C249BE"/>
    <w:rsid w:val="00C26053"/>
    <w:rsid w:val="00C2701F"/>
    <w:rsid w:val="00C31CD6"/>
    <w:rsid w:val="00C31FAC"/>
    <w:rsid w:val="00C33CC2"/>
    <w:rsid w:val="00C40B39"/>
    <w:rsid w:val="00C41160"/>
    <w:rsid w:val="00C411A7"/>
    <w:rsid w:val="00C4301E"/>
    <w:rsid w:val="00C4482F"/>
    <w:rsid w:val="00C4699C"/>
    <w:rsid w:val="00C53CC9"/>
    <w:rsid w:val="00C54AA6"/>
    <w:rsid w:val="00C5519E"/>
    <w:rsid w:val="00C5567F"/>
    <w:rsid w:val="00C564E1"/>
    <w:rsid w:val="00C577DA"/>
    <w:rsid w:val="00C57FA8"/>
    <w:rsid w:val="00C617CD"/>
    <w:rsid w:val="00C6203C"/>
    <w:rsid w:val="00C62C49"/>
    <w:rsid w:val="00C668F7"/>
    <w:rsid w:val="00C70740"/>
    <w:rsid w:val="00C72706"/>
    <w:rsid w:val="00C72B3F"/>
    <w:rsid w:val="00C73786"/>
    <w:rsid w:val="00C73989"/>
    <w:rsid w:val="00C73A2F"/>
    <w:rsid w:val="00C75676"/>
    <w:rsid w:val="00C7776B"/>
    <w:rsid w:val="00C77873"/>
    <w:rsid w:val="00C778D7"/>
    <w:rsid w:val="00C77B82"/>
    <w:rsid w:val="00C81809"/>
    <w:rsid w:val="00C81D1F"/>
    <w:rsid w:val="00C8231F"/>
    <w:rsid w:val="00C85023"/>
    <w:rsid w:val="00C87BEE"/>
    <w:rsid w:val="00C91E14"/>
    <w:rsid w:val="00C92209"/>
    <w:rsid w:val="00C93D6F"/>
    <w:rsid w:val="00C94923"/>
    <w:rsid w:val="00C94E07"/>
    <w:rsid w:val="00C95185"/>
    <w:rsid w:val="00C95648"/>
    <w:rsid w:val="00C95830"/>
    <w:rsid w:val="00C97532"/>
    <w:rsid w:val="00C97DF1"/>
    <w:rsid w:val="00CA0C09"/>
    <w:rsid w:val="00CA0DA2"/>
    <w:rsid w:val="00CA0F06"/>
    <w:rsid w:val="00CA1C21"/>
    <w:rsid w:val="00CA366B"/>
    <w:rsid w:val="00CA3C7E"/>
    <w:rsid w:val="00CA4697"/>
    <w:rsid w:val="00CA5167"/>
    <w:rsid w:val="00CB0B9A"/>
    <w:rsid w:val="00CB0E55"/>
    <w:rsid w:val="00CB129E"/>
    <w:rsid w:val="00CB1AED"/>
    <w:rsid w:val="00CB41C4"/>
    <w:rsid w:val="00CB6E56"/>
    <w:rsid w:val="00CC143A"/>
    <w:rsid w:val="00CC3037"/>
    <w:rsid w:val="00CC4BD5"/>
    <w:rsid w:val="00CC70A7"/>
    <w:rsid w:val="00CD07F7"/>
    <w:rsid w:val="00CD1AEA"/>
    <w:rsid w:val="00CD2B0C"/>
    <w:rsid w:val="00CD3E7D"/>
    <w:rsid w:val="00CD7095"/>
    <w:rsid w:val="00CD71EA"/>
    <w:rsid w:val="00CE23C1"/>
    <w:rsid w:val="00CE370F"/>
    <w:rsid w:val="00CE50F9"/>
    <w:rsid w:val="00CE68F1"/>
    <w:rsid w:val="00CE750F"/>
    <w:rsid w:val="00CE7892"/>
    <w:rsid w:val="00CF3CDC"/>
    <w:rsid w:val="00CF508C"/>
    <w:rsid w:val="00CF79CA"/>
    <w:rsid w:val="00D02ABF"/>
    <w:rsid w:val="00D03655"/>
    <w:rsid w:val="00D03A0D"/>
    <w:rsid w:val="00D1157B"/>
    <w:rsid w:val="00D118C0"/>
    <w:rsid w:val="00D12BFE"/>
    <w:rsid w:val="00D1370B"/>
    <w:rsid w:val="00D160CB"/>
    <w:rsid w:val="00D21055"/>
    <w:rsid w:val="00D21993"/>
    <w:rsid w:val="00D23259"/>
    <w:rsid w:val="00D245A1"/>
    <w:rsid w:val="00D247E3"/>
    <w:rsid w:val="00D26B59"/>
    <w:rsid w:val="00D3265C"/>
    <w:rsid w:val="00D33C74"/>
    <w:rsid w:val="00D34566"/>
    <w:rsid w:val="00D34900"/>
    <w:rsid w:val="00D36BFA"/>
    <w:rsid w:val="00D40473"/>
    <w:rsid w:val="00D407F3"/>
    <w:rsid w:val="00D40E2B"/>
    <w:rsid w:val="00D412CE"/>
    <w:rsid w:val="00D415E2"/>
    <w:rsid w:val="00D42055"/>
    <w:rsid w:val="00D442EA"/>
    <w:rsid w:val="00D44745"/>
    <w:rsid w:val="00D44FAA"/>
    <w:rsid w:val="00D45568"/>
    <w:rsid w:val="00D46C5D"/>
    <w:rsid w:val="00D46FCA"/>
    <w:rsid w:val="00D47410"/>
    <w:rsid w:val="00D52729"/>
    <w:rsid w:val="00D53A35"/>
    <w:rsid w:val="00D54F16"/>
    <w:rsid w:val="00D55262"/>
    <w:rsid w:val="00D560D5"/>
    <w:rsid w:val="00D56B5C"/>
    <w:rsid w:val="00D57450"/>
    <w:rsid w:val="00D6079A"/>
    <w:rsid w:val="00D60B33"/>
    <w:rsid w:val="00D61F02"/>
    <w:rsid w:val="00D62344"/>
    <w:rsid w:val="00D63320"/>
    <w:rsid w:val="00D647C3"/>
    <w:rsid w:val="00D64C14"/>
    <w:rsid w:val="00D6577A"/>
    <w:rsid w:val="00D67934"/>
    <w:rsid w:val="00D679A0"/>
    <w:rsid w:val="00D7145F"/>
    <w:rsid w:val="00D7294B"/>
    <w:rsid w:val="00D73D76"/>
    <w:rsid w:val="00D747D3"/>
    <w:rsid w:val="00D74AF9"/>
    <w:rsid w:val="00D75996"/>
    <w:rsid w:val="00D77CF0"/>
    <w:rsid w:val="00D8074F"/>
    <w:rsid w:val="00D80851"/>
    <w:rsid w:val="00D80D00"/>
    <w:rsid w:val="00D83788"/>
    <w:rsid w:val="00D83A23"/>
    <w:rsid w:val="00D844D3"/>
    <w:rsid w:val="00D845B9"/>
    <w:rsid w:val="00D84880"/>
    <w:rsid w:val="00D8783C"/>
    <w:rsid w:val="00D93031"/>
    <w:rsid w:val="00D935CC"/>
    <w:rsid w:val="00D94504"/>
    <w:rsid w:val="00D9633A"/>
    <w:rsid w:val="00D96902"/>
    <w:rsid w:val="00DA26F4"/>
    <w:rsid w:val="00DA2C5D"/>
    <w:rsid w:val="00DA43F0"/>
    <w:rsid w:val="00DA49BC"/>
    <w:rsid w:val="00DA6536"/>
    <w:rsid w:val="00DB04C6"/>
    <w:rsid w:val="00DB1A20"/>
    <w:rsid w:val="00DB3939"/>
    <w:rsid w:val="00DB5BE8"/>
    <w:rsid w:val="00DB5CFF"/>
    <w:rsid w:val="00DB7323"/>
    <w:rsid w:val="00DB7963"/>
    <w:rsid w:val="00DC14BA"/>
    <w:rsid w:val="00DC1C69"/>
    <w:rsid w:val="00DC2AA4"/>
    <w:rsid w:val="00DC2F43"/>
    <w:rsid w:val="00DC3B59"/>
    <w:rsid w:val="00DC48D4"/>
    <w:rsid w:val="00DD0B60"/>
    <w:rsid w:val="00DD2BE3"/>
    <w:rsid w:val="00DD532A"/>
    <w:rsid w:val="00DD5544"/>
    <w:rsid w:val="00DD5651"/>
    <w:rsid w:val="00DD6128"/>
    <w:rsid w:val="00DD6549"/>
    <w:rsid w:val="00DE1D52"/>
    <w:rsid w:val="00DE5383"/>
    <w:rsid w:val="00DE5D7E"/>
    <w:rsid w:val="00DE7A87"/>
    <w:rsid w:val="00DF1FD9"/>
    <w:rsid w:val="00DF2386"/>
    <w:rsid w:val="00DF56ED"/>
    <w:rsid w:val="00DF5ED6"/>
    <w:rsid w:val="00DF74BB"/>
    <w:rsid w:val="00DF769D"/>
    <w:rsid w:val="00DF7FE7"/>
    <w:rsid w:val="00E01053"/>
    <w:rsid w:val="00E020CF"/>
    <w:rsid w:val="00E055FD"/>
    <w:rsid w:val="00E06B21"/>
    <w:rsid w:val="00E07187"/>
    <w:rsid w:val="00E07C40"/>
    <w:rsid w:val="00E07CA0"/>
    <w:rsid w:val="00E11412"/>
    <w:rsid w:val="00E11432"/>
    <w:rsid w:val="00E14626"/>
    <w:rsid w:val="00E14956"/>
    <w:rsid w:val="00E14D9C"/>
    <w:rsid w:val="00E1689E"/>
    <w:rsid w:val="00E16C42"/>
    <w:rsid w:val="00E171B5"/>
    <w:rsid w:val="00E17BC9"/>
    <w:rsid w:val="00E17F7C"/>
    <w:rsid w:val="00E2100D"/>
    <w:rsid w:val="00E2139E"/>
    <w:rsid w:val="00E227A7"/>
    <w:rsid w:val="00E22A48"/>
    <w:rsid w:val="00E25095"/>
    <w:rsid w:val="00E251D1"/>
    <w:rsid w:val="00E26353"/>
    <w:rsid w:val="00E26F7F"/>
    <w:rsid w:val="00E31971"/>
    <w:rsid w:val="00E3454E"/>
    <w:rsid w:val="00E3486F"/>
    <w:rsid w:val="00E3626A"/>
    <w:rsid w:val="00E4250D"/>
    <w:rsid w:val="00E431F9"/>
    <w:rsid w:val="00E4413F"/>
    <w:rsid w:val="00E46367"/>
    <w:rsid w:val="00E46B14"/>
    <w:rsid w:val="00E50087"/>
    <w:rsid w:val="00E508E6"/>
    <w:rsid w:val="00E51BA9"/>
    <w:rsid w:val="00E558AD"/>
    <w:rsid w:val="00E55DA4"/>
    <w:rsid w:val="00E56CAA"/>
    <w:rsid w:val="00E60C17"/>
    <w:rsid w:val="00E6394C"/>
    <w:rsid w:val="00E63F0B"/>
    <w:rsid w:val="00E64A8A"/>
    <w:rsid w:val="00E65131"/>
    <w:rsid w:val="00E674C1"/>
    <w:rsid w:val="00E71350"/>
    <w:rsid w:val="00E72539"/>
    <w:rsid w:val="00E74503"/>
    <w:rsid w:val="00E74F91"/>
    <w:rsid w:val="00E76A95"/>
    <w:rsid w:val="00E77F2D"/>
    <w:rsid w:val="00E83B41"/>
    <w:rsid w:val="00E87196"/>
    <w:rsid w:val="00E90217"/>
    <w:rsid w:val="00E9076E"/>
    <w:rsid w:val="00E91BBD"/>
    <w:rsid w:val="00E9201F"/>
    <w:rsid w:val="00E933F1"/>
    <w:rsid w:val="00E95B02"/>
    <w:rsid w:val="00E965E6"/>
    <w:rsid w:val="00EA3A7F"/>
    <w:rsid w:val="00EA3F0A"/>
    <w:rsid w:val="00EA4B36"/>
    <w:rsid w:val="00EA5A21"/>
    <w:rsid w:val="00EA5FEA"/>
    <w:rsid w:val="00EA65AC"/>
    <w:rsid w:val="00EA6BD2"/>
    <w:rsid w:val="00EB31FA"/>
    <w:rsid w:val="00EB3479"/>
    <w:rsid w:val="00EB3BD9"/>
    <w:rsid w:val="00EB44AD"/>
    <w:rsid w:val="00EB472C"/>
    <w:rsid w:val="00EB6477"/>
    <w:rsid w:val="00EB77E1"/>
    <w:rsid w:val="00EB79D9"/>
    <w:rsid w:val="00EC0674"/>
    <w:rsid w:val="00EC28EF"/>
    <w:rsid w:val="00EC39C2"/>
    <w:rsid w:val="00EC5EA1"/>
    <w:rsid w:val="00EC7D03"/>
    <w:rsid w:val="00ED1055"/>
    <w:rsid w:val="00ED200E"/>
    <w:rsid w:val="00ED2CF3"/>
    <w:rsid w:val="00ED3EA2"/>
    <w:rsid w:val="00ED452C"/>
    <w:rsid w:val="00ED781D"/>
    <w:rsid w:val="00EE0276"/>
    <w:rsid w:val="00EE0D45"/>
    <w:rsid w:val="00EE22B9"/>
    <w:rsid w:val="00EE3352"/>
    <w:rsid w:val="00EE524F"/>
    <w:rsid w:val="00EE5590"/>
    <w:rsid w:val="00EE69E6"/>
    <w:rsid w:val="00EE7FBF"/>
    <w:rsid w:val="00EF2135"/>
    <w:rsid w:val="00EF5F25"/>
    <w:rsid w:val="00EF6A48"/>
    <w:rsid w:val="00F003C1"/>
    <w:rsid w:val="00F00626"/>
    <w:rsid w:val="00F03E6D"/>
    <w:rsid w:val="00F0417C"/>
    <w:rsid w:val="00F04299"/>
    <w:rsid w:val="00F04842"/>
    <w:rsid w:val="00F04C6A"/>
    <w:rsid w:val="00F04E25"/>
    <w:rsid w:val="00F052E9"/>
    <w:rsid w:val="00F05FD1"/>
    <w:rsid w:val="00F078F1"/>
    <w:rsid w:val="00F12640"/>
    <w:rsid w:val="00F12EF4"/>
    <w:rsid w:val="00F1351E"/>
    <w:rsid w:val="00F1463D"/>
    <w:rsid w:val="00F1492E"/>
    <w:rsid w:val="00F1574C"/>
    <w:rsid w:val="00F15E7B"/>
    <w:rsid w:val="00F16B60"/>
    <w:rsid w:val="00F201A7"/>
    <w:rsid w:val="00F214D8"/>
    <w:rsid w:val="00F2444B"/>
    <w:rsid w:val="00F30682"/>
    <w:rsid w:val="00F32549"/>
    <w:rsid w:val="00F32D03"/>
    <w:rsid w:val="00F3440B"/>
    <w:rsid w:val="00F344DE"/>
    <w:rsid w:val="00F34A22"/>
    <w:rsid w:val="00F34D7E"/>
    <w:rsid w:val="00F3524E"/>
    <w:rsid w:val="00F365EB"/>
    <w:rsid w:val="00F37597"/>
    <w:rsid w:val="00F40A59"/>
    <w:rsid w:val="00F44C48"/>
    <w:rsid w:val="00F50989"/>
    <w:rsid w:val="00F50BE7"/>
    <w:rsid w:val="00F50E9D"/>
    <w:rsid w:val="00F51F6F"/>
    <w:rsid w:val="00F556B2"/>
    <w:rsid w:val="00F57E51"/>
    <w:rsid w:val="00F658AC"/>
    <w:rsid w:val="00F67F42"/>
    <w:rsid w:val="00F73E71"/>
    <w:rsid w:val="00F75AE3"/>
    <w:rsid w:val="00F76827"/>
    <w:rsid w:val="00F802F1"/>
    <w:rsid w:val="00F82663"/>
    <w:rsid w:val="00F826A3"/>
    <w:rsid w:val="00F83252"/>
    <w:rsid w:val="00F85FA2"/>
    <w:rsid w:val="00F875CB"/>
    <w:rsid w:val="00F903F5"/>
    <w:rsid w:val="00F9085F"/>
    <w:rsid w:val="00F9117A"/>
    <w:rsid w:val="00F91284"/>
    <w:rsid w:val="00F9392D"/>
    <w:rsid w:val="00F94C62"/>
    <w:rsid w:val="00F97580"/>
    <w:rsid w:val="00F97A0A"/>
    <w:rsid w:val="00FA0203"/>
    <w:rsid w:val="00FA12B3"/>
    <w:rsid w:val="00FA4AC0"/>
    <w:rsid w:val="00FA4BFA"/>
    <w:rsid w:val="00FA6550"/>
    <w:rsid w:val="00FB11D0"/>
    <w:rsid w:val="00FB1570"/>
    <w:rsid w:val="00FB2D03"/>
    <w:rsid w:val="00FB3FCD"/>
    <w:rsid w:val="00FB52AD"/>
    <w:rsid w:val="00FB7D8A"/>
    <w:rsid w:val="00FC0BAC"/>
    <w:rsid w:val="00FC26D7"/>
    <w:rsid w:val="00FC289C"/>
    <w:rsid w:val="00FC34A3"/>
    <w:rsid w:val="00FC497B"/>
    <w:rsid w:val="00FC53F6"/>
    <w:rsid w:val="00FC6738"/>
    <w:rsid w:val="00FC7A9C"/>
    <w:rsid w:val="00FD0515"/>
    <w:rsid w:val="00FD2557"/>
    <w:rsid w:val="00FD2804"/>
    <w:rsid w:val="00FD307D"/>
    <w:rsid w:val="00FD3AC8"/>
    <w:rsid w:val="00FD3FBD"/>
    <w:rsid w:val="00FD52B3"/>
    <w:rsid w:val="00FD5CDF"/>
    <w:rsid w:val="00FE0655"/>
    <w:rsid w:val="00FE1F5B"/>
    <w:rsid w:val="00FE3400"/>
    <w:rsid w:val="00FE6D5F"/>
    <w:rsid w:val="00FF1499"/>
    <w:rsid w:val="00FF45D3"/>
    <w:rsid w:val="00FF59D6"/>
    <w:rsid w:val="00FF5ABB"/>
    <w:rsid w:val="00FF5AD3"/>
    <w:rsid w:val="00FF60D5"/>
    <w:rsid w:val="00FF7B82"/>
    <w:rsid w:val="38336398"/>
    <w:rsid w:val="689179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BA8D01"/>
  <w15:docId w15:val="{3FB7A9F1-EFDC-4AA0-8998-445E842F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ind w:left="43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34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622344"/>
    <w:pPr>
      <w:ind w:left="0" w:firstLine="0"/>
    </w:pPr>
    <w:rPr>
      <w:sz w:val="20"/>
      <w:szCs w:val="20"/>
    </w:rPr>
  </w:style>
  <w:style w:type="character" w:customStyle="1" w:styleId="CommentTextChar">
    <w:name w:val="Comment Text Char"/>
    <w:basedOn w:val="DefaultParagraphFont"/>
    <w:link w:val="CommentText"/>
    <w:uiPriority w:val="99"/>
    <w:rsid w:val="0062234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3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apple-converted-space">
    <w:name w:val="apple-converted-space"/>
    <w:basedOn w:val="DefaultParagraphFont"/>
    <w:rsid w:val="00341D30"/>
  </w:style>
  <w:style w:type="paragraph" w:customStyle="1" w:styleId="ColourfulListAccent11">
    <w:name w:val="Colourful List – Accent 11"/>
    <w:basedOn w:val="Normal"/>
    <w:uiPriority w:val="34"/>
    <w:qFormat/>
    <w:rsid w:val="00461085"/>
    <w:pPr>
      <w:ind w:left="720" w:firstLine="0"/>
      <w:contextualSpacing/>
      <w:jc w:val="both"/>
    </w:pPr>
    <w:rPr>
      <w:rFonts w:ascii="Tahoma" w:hAnsi="Tahoma"/>
    </w:rPr>
  </w:style>
  <w:style w:type="character" w:customStyle="1" w:styleId="UnresolvedMention1">
    <w:name w:val="Unresolved Mention1"/>
    <w:basedOn w:val="DefaultParagraphFont"/>
    <w:uiPriority w:val="99"/>
    <w:semiHidden/>
    <w:unhideWhenUsed/>
    <w:rsid w:val="00574960"/>
    <w:rPr>
      <w:color w:val="605E5C"/>
      <w:shd w:val="clear" w:color="auto" w:fill="E1DFDD"/>
    </w:rPr>
  </w:style>
  <w:style w:type="character" w:styleId="FollowedHyperlink">
    <w:name w:val="FollowedHyperlink"/>
    <w:basedOn w:val="DefaultParagraphFont"/>
    <w:uiPriority w:val="99"/>
    <w:semiHidden/>
    <w:unhideWhenUsed/>
    <w:rsid w:val="009357F2"/>
    <w:rPr>
      <w:color w:val="800080" w:themeColor="followedHyperlink"/>
      <w:u w:val="single"/>
    </w:rPr>
  </w:style>
  <w:style w:type="character" w:customStyle="1" w:styleId="UnresolvedMention2">
    <w:name w:val="Unresolved Mention2"/>
    <w:basedOn w:val="DefaultParagraphFont"/>
    <w:uiPriority w:val="99"/>
    <w:semiHidden/>
    <w:unhideWhenUsed/>
    <w:rsid w:val="00D34900"/>
    <w:rPr>
      <w:color w:val="605E5C"/>
      <w:shd w:val="clear" w:color="auto" w:fill="E1DFDD"/>
    </w:rPr>
  </w:style>
  <w:style w:type="character" w:styleId="UnresolvedMention">
    <w:name w:val="Unresolved Mention"/>
    <w:basedOn w:val="DefaultParagraphFont"/>
    <w:uiPriority w:val="99"/>
    <w:semiHidden/>
    <w:unhideWhenUsed/>
    <w:rsid w:val="00AF0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633519">
      <w:bodyDiv w:val="1"/>
      <w:marLeft w:val="0"/>
      <w:marRight w:val="0"/>
      <w:marTop w:val="0"/>
      <w:marBottom w:val="0"/>
      <w:divBdr>
        <w:top w:val="none" w:sz="0" w:space="0" w:color="auto"/>
        <w:left w:val="none" w:sz="0" w:space="0" w:color="auto"/>
        <w:bottom w:val="none" w:sz="0" w:space="0" w:color="auto"/>
        <w:right w:val="none" w:sz="0" w:space="0" w:color="auto"/>
      </w:divBdr>
    </w:div>
    <w:div w:id="240606680">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25399761">
      <w:bodyDiv w:val="1"/>
      <w:marLeft w:val="0"/>
      <w:marRight w:val="0"/>
      <w:marTop w:val="0"/>
      <w:marBottom w:val="0"/>
      <w:divBdr>
        <w:top w:val="none" w:sz="0" w:space="0" w:color="auto"/>
        <w:left w:val="none" w:sz="0" w:space="0" w:color="auto"/>
        <w:bottom w:val="none" w:sz="0" w:space="0" w:color="auto"/>
        <w:right w:val="none" w:sz="0" w:space="0" w:color="auto"/>
      </w:divBdr>
    </w:div>
    <w:div w:id="348724040">
      <w:bodyDiv w:val="1"/>
      <w:marLeft w:val="0"/>
      <w:marRight w:val="0"/>
      <w:marTop w:val="0"/>
      <w:marBottom w:val="0"/>
      <w:divBdr>
        <w:top w:val="none" w:sz="0" w:space="0" w:color="auto"/>
        <w:left w:val="none" w:sz="0" w:space="0" w:color="auto"/>
        <w:bottom w:val="none" w:sz="0" w:space="0" w:color="auto"/>
        <w:right w:val="none" w:sz="0" w:space="0" w:color="auto"/>
      </w:divBdr>
    </w:div>
    <w:div w:id="548955789">
      <w:bodyDiv w:val="1"/>
      <w:marLeft w:val="0"/>
      <w:marRight w:val="0"/>
      <w:marTop w:val="0"/>
      <w:marBottom w:val="0"/>
      <w:divBdr>
        <w:top w:val="none" w:sz="0" w:space="0" w:color="auto"/>
        <w:left w:val="none" w:sz="0" w:space="0" w:color="auto"/>
        <w:bottom w:val="none" w:sz="0" w:space="0" w:color="auto"/>
        <w:right w:val="none" w:sz="0" w:space="0" w:color="auto"/>
      </w:divBdr>
    </w:div>
    <w:div w:id="722751170">
      <w:bodyDiv w:val="1"/>
      <w:marLeft w:val="0"/>
      <w:marRight w:val="0"/>
      <w:marTop w:val="0"/>
      <w:marBottom w:val="0"/>
      <w:divBdr>
        <w:top w:val="none" w:sz="0" w:space="0" w:color="auto"/>
        <w:left w:val="none" w:sz="0" w:space="0" w:color="auto"/>
        <w:bottom w:val="none" w:sz="0" w:space="0" w:color="auto"/>
        <w:right w:val="none" w:sz="0" w:space="0" w:color="auto"/>
      </w:divBdr>
    </w:div>
    <w:div w:id="850337932">
      <w:bodyDiv w:val="1"/>
      <w:marLeft w:val="0"/>
      <w:marRight w:val="0"/>
      <w:marTop w:val="0"/>
      <w:marBottom w:val="0"/>
      <w:divBdr>
        <w:top w:val="none" w:sz="0" w:space="0" w:color="auto"/>
        <w:left w:val="none" w:sz="0" w:space="0" w:color="auto"/>
        <w:bottom w:val="none" w:sz="0" w:space="0" w:color="auto"/>
        <w:right w:val="none" w:sz="0" w:space="0" w:color="auto"/>
      </w:divBdr>
    </w:div>
    <w:div w:id="914626621">
      <w:bodyDiv w:val="1"/>
      <w:marLeft w:val="0"/>
      <w:marRight w:val="0"/>
      <w:marTop w:val="0"/>
      <w:marBottom w:val="0"/>
      <w:divBdr>
        <w:top w:val="none" w:sz="0" w:space="0" w:color="auto"/>
        <w:left w:val="none" w:sz="0" w:space="0" w:color="auto"/>
        <w:bottom w:val="none" w:sz="0" w:space="0" w:color="auto"/>
        <w:right w:val="none" w:sz="0" w:space="0" w:color="auto"/>
      </w:divBdr>
    </w:div>
    <w:div w:id="1048335584">
      <w:bodyDiv w:val="1"/>
      <w:marLeft w:val="0"/>
      <w:marRight w:val="0"/>
      <w:marTop w:val="0"/>
      <w:marBottom w:val="0"/>
      <w:divBdr>
        <w:top w:val="none" w:sz="0" w:space="0" w:color="auto"/>
        <w:left w:val="none" w:sz="0" w:space="0" w:color="auto"/>
        <w:bottom w:val="none" w:sz="0" w:space="0" w:color="auto"/>
        <w:right w:val="none" w:sz="0" w:space="0" w:color="auto"/>
      </w:divBdr>
    </w:div>
    <w:div w:id="1050223810">
      <w:bodyDiv w:val="1"/>
      <w:marLeft w:val="0"/>
      <w:marRight w:val="0"/>
      <w:marTop w:val="0"/>
      <w:marBottom w:val="0"/>
      <w:divBdr>
        <w:top w:val="none" w:sz="0" w:space="0" w:color="auto"/>
        <w:left w:val="none" w:sz="0" w:space="0" w:color="auto"/>
        <w:bottom w:val="none" w:sz="0" w:space="0" w:color="auto"/>
        <w:right w:val="none" w:sz="0" w:space="0" w:color="auto"/>
      </w:divBdr>
      <w:divsChild>
        <w:div w:id="144902293">
          <w:marLeft w:val="0"/>
          <w:marRight w:val="0"/>
          <w:marTop w:val="0"/>
          <w:marBottom w:val="0"/>
          <w:divBdr>
            <w:top w:val="none" w:sz="0" w:space="0" w:color="auto"/>
            <w:left w:val="none" w:sz="0" w:space="0" w:color="auto"/>
            <w:bottom w:val="none" w:sz="0" w:space="0" w:color="auto"/>
            <w:right w:val="none" w:sz="0" w:space="0" w:color="auto"/>
          </w:divBdr>
        </w:div>
      </w:divsChild>
    </w:div>
    <w:div w:id="1061558737">
      <w:bodyDiv w:val="1"/>
      <w:marLeft w:val="0"/>
      <w:marRight w:val="0"/>
      <w:marTop w:val="0"/>
      <w:marBottom w:val="0"/>
      <w:divBdr>
        <w:top w:val="none" w:sz="0" w:space="0" w:color="auto"/>
        <w:left w:val="none" w:sz="0" w:space="0" w:color="auto"/>
        <w:bottom w:val="none" w:sz="0" w:space="0" w:color="auto"/>
        <w:right w:val="none" w:sz="0" w:space="0" w:color="auto"/>
      </w:divBdr>
    </w:div>
    <w:div w:id="1188955206">
      <w:bodyDiv w:val="1"/>
      <w:marLeft w:val="0"/>
      <w:marRight w:val="0"/>
      <w:marTop w:val="0"/>
      <w:marBottom w:val="0"/>
      <w:divBdr>
        <w:top w:val="none" w:sz="0" w:space="0" w:color="auto"/>
        <w:left w:val="none" w:sz="0" w:space="0" w:color="auto"/>
        <w:bottom w:val="none" w:sz="0" w:space="0" w:color="auto"/>
        <w:right w:val="none" w:sz="0" w:space="0" w:color="auto"/>
      </w:divBdr>
    </w:div>
    <w:div w:id="1189637195">
      <w:bodyDiv w:val="1"/>
      <w:marLeft w:val="0"/>
      <w:marRight w:val="0"/>
      <w:marTop w:val="0"/>
      <w:marBottom w:val="0"/>
      <w:divBdr>
        <w:top w:val="none" w:sz="0" w:space="0" w:color="auto"/>
        <w:left w:val="none" w:sz="0" w:space="0" w:color="auto"/>
        <w:bottom w:val="none" w:sz="0" w:space="0" w:color="auto"/>
        <w:right w:val="none" w:sz="0" w:space="0" w:color="auto"/>
      </w:divBdr>
    </w:div>
    <w:div w:id="1261913179">
      <w:bodyDiv w:val="1"/>
      <w:marLeft w:val="0"/>
      <w:marRight w:val="0"/>
      <w:marTop w:val="0"/>
      <w:marBottom w:val="0"/>
      <w:divBdr>
        <w:top w:val="none" w:sz="0" w:space="0" w:color="auto"/>
        <w:left w:val="none" w:sz="0" w:space="0" w:color="auto"/>
        <w:bottom w:val="none" w:sz="0" w:space="0" w:color="auto"/>
        <w:right w:val="none" w:sz="0" w:space="0" w:color="auto"/>
      </w:divBdr>
    </w:div>
    <w:div w:id="1393965039">
      <w:bodyDiv w:val="1"/>
      <w:marLeft w:val="0"/>
      <w:marRight w:val="0"/>
      <w:marTop w:val="0"/>
      <w:marBottom w:val="0"/>
      <w:divBdr>
        <w:top w:val="none" w:sz="0" w:space="0" w:color="auto"/>
        <w:left w:val="none" w:sz="0" w:space="0" w:color="auto"/>
        <w:bottom w:val="none" w:sz="0" w:space="0" w:color="auto"/>
        <w:right w:val="none" w:sz="0" w:space="0" w:color="auto"/>
      </w:divBdr>
    </w:div>
    <w:div w:id="1554465412">
      <w:bodyDiv w:val="1"/>
      <w:marLeft w:val="0"/>
      <w:marRight w:val="0"/>
      <w:marTop w:val="0"/>
      <w:marBottom w:val="0"/>
      <w:divBdr>
        <w:top w:val="none" w:sz="0" w:space="0" w:color="auto"/>
        <w:left w:val="none" w:sz="0" w:space="0" w:color="auto"/>
        <w:bottom w:val="none" w:sz="0" w:space="0" w:color="auto"/>
        <w:right w:val="none" w:sz="0" w:space="0" w:color="auto"/>
      </w:divBdr>
    </w:div>
    <w:div w:id="1583219637">
      <w:bodyDiv w:val="1"/>
      <w:marLeft w:val="0"/>
      <w:marRight w:val="0"/>
      <w:marTop w:val="0"/>
      <w:marBottom w:val="0"/>
      <w:divBdr>
        <w:top w:val="none" w:sz="0" w:space="0" w:color="auto"/>
        <w:left w:val="none" w:sz="0" w:space="0" w:color="auto"/>
        <w:bottom w:val="none" w:sz="0" w:space="0" w:color="auto"/>
        <w:right w:val="none" w:sz="0" w:space="0" w:color="auto"/>
      </w:divBdr>
    </w:div>
    <w:div w:id="1583636519">
      <w:bodyDiv w:val="1"/>
      <w:marLeft w:val="0"/>
      <w:marRight w:val="0"/>
      <w:marTop w:val="0"/>
      <w:marBottom w:val="0"/>
      <w:divBdr>
        <w:top w:val="none" w:sz="0" w:space="0" w:color="auto"/>
        <w:left w:val="none" w:sz="0" w:space="0" w:color="auto"/>
        <w:bottom w:val="none" w:sz="0" w:space="0" w:color="auto"/>
        <w:right w:val="none" w:sz="0" w:space="0" w:color="auto"/>
      </w:divBdr>
    </w:div>
    <w:div w:id="1686519856">
      <w:bodyDiv w:val="1"/>
      <w:marLeft w:val="0"/>
      <w:marRight w:val="0"/>
      <w:marTop w:val="0"/>
      <w:marBottom w:val="0"/>
      <w:divBdr>
        <w:top w:val="none" w:sz="0" w:space="0" w:color="auto"/>
        <w:left w:val="none" w:sz="0" w:space="0" w:color="auto"/>
        <w:bottom w:val="none" w:sz="0" w:space="0" w:color="auto"/>
        <w:right w:val="none" w:sz="0" w:space="0" w:color="auto"/>
      </w:divBdr>
    </w:div>
    <w:div w:id="1688603549">
      <w:bodyDiv w:val="1"/>
      <w:marLeft w:val="0"/>
      <w:marRight w:val="0"/>
      <w:marTop w:val="0"/>
      <w:marBottom w:val="0"/>
      <w:divBdr>
        <w:top w:val="none" w:sz="0" w:space="0" w:color="auto"/>
        <w:left w:val="none" w:sz="0" w:space="0" w:color="auto"/>
        <w:bottom w:val="none" w:sz="0" w:space="0" w:color="auto"/>
        <w:right w:val="none" w:sz="0" w:space="0" w:color="auto"/>
      </w:divBdr>
    </w:div>
    <w:div w:id="1792547844">
      <w:bodyDiv w:val="1"/>
      <w:marLeft w:val="0"/>
      <w:marRight w:val="0"/>
      <w:marTop w:val="0"/>
      <w:marBottom w:val="0"/>
      <w:divBdr>
        <w:top w:val="none" w:sz="0" w:space="0" w:color="auto"/>
        <w:left w:val="none" w:sz="0" w:space="0" w:color="auto"/>
        <w:bottom w:val="none" w:sz="0" w:space="0" w:color="auto"/>
        <w:right w:val="none" w:sz="0" w:space="0" w:color="auto"/>
      </w:divBdr>
    </w:div>
    <w:div w:id="1903327920">
      <w:bodyDiv w:val="1"/>
      <w:marLeft w:val="0"/>
      <w:marRight w:val="0"/>
      <w:marTop w:val="0"/>
      <w:marBottom w:val="0"/>
      <w:divBdr>
        <w:top w:val="none" w:sz="0" w:space="0" w:color="auto"/>
        <w:left w:val="none" w:sz="0" w:space="0" w:color="auto"/>
        <w:bottom w:val="none" w:sz="0" w:space="0" w:color="auto"/>
        <w:right w:val="none" w:sz="0" w:space="0" w:color="auto"/>
      </w:divBdr>
      <w:divsChild>
        <w:div w:id="665403746">
          <w:marLeft w:val="0"/>
          <w:marRight w:val="0"/>
          <w:marTop w:val="0"/>
          <w:marBottom w:val="0"/>
          <w:divBdr>
            <w:top w:val="none" w:sz="0" w:space="0" w:color="auto"/>
            <w:left w:val="none" w:sz="0" w:space="0" w:color="auto"/>
            <w:bottom w:val="none" w:sz="0" w:space="0" w:color="auto"/>
            <w:right w:val="none" w:sz="0" w:space="0" w:color="auto"/>
          </w:divBdr>
        </w:div>
        <w:div w:id="1131442635">
          <w:marLeft w:val="0"/>
          <w:marRight w:val="0"/>
          <w:marTop w:val="0"/>
          <w:marBottom w:val="0"/>
          <w:divBdr>
            <w:top w:val="none" w:sz="0" w:space="0" w:color="auto"/>
            <w:left w:val="none" w:sz="0" w:space="0" w:color="auto"/>
            <w:bottom w:val="none" w:sz="0" w:space="0" w:color="auto"/>
            <w:right w:val="none" w:sz="0" w:space="0" w:color="auto"/>
          </w:divBdr>
        </w:div>
      </w:divsChild>
    </w:div>
    <w:div w:id="2032797209">
      <w:bodyDiv w:val="1"/>
      <w:marLeft w:val="0"/>
      <w:marRight w:val="0"/>
      <w:marTop w:val="0"/>
      <w:marBottom w:val="0"/>
      <w:divBdr>
        <w:top w:val="none" w:sz="0" w:space="0" w:color="auto"/>
        <w:left w:val="none" w:sz="0" w:space="0" w:color="auto"/>
        <w:bottom w:val="none" w:sz="0" w:space="0" w:color="auto"/>
        <w:right w:val="none" w:sz="0" w:space="0" w:color="auto"/>
      </w:divBdr>
    </w:div>
    <w:div w:id="2038507143">
      <w:bodyDiv w:val="1"/>
      <w:marLeft w:val="0"/>
      <w:marRight w:val="0"/>
      <w:marTop w:val="0"/>
      <w:marBottom w:val="0"/>
      <w:divBdr>
        <w:top w:val="none" w:sz="0" w:space="0" w:color="auto"/>
        <w:left w:val="none" w:sz="0" w:space="0" w:color="auto"/>
        <w:bottom w:val="none" w:sz="0" w:space="0" w:color="auto"/>
        <w:right w:val="none" w:sz="0" w:space="0" w:color="auto"/>
      </w:divBdr>
    </w:div>
    <w:div w:id="207280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fr/document/cadre-mondial-de-la-biodiversite-de-kunming-montreal-changer-lechelle-de-la-conservation" TargetMode="External"/><Relationship Id="rId2" Type="http://schemas.openxmlformats.org/officeDocument/2006/relationships/hyperlink" Target="https://www.ramsar.org/fr/document/sc63-doc20-proposition-technique-du-gest-sur-la-dotation-en-ressources-et-la-realisation" TargetMode="External"/><Relationship Id="rId1" Type="http://schemas.openxmlformats.org/officeDocument/2006/relationships/hyperlink" Target="https://www.ramsar.org/fr/document/groupe-devaluation-scientifique-et-technique-gest-plan-de-travail-pour-2023-2025" TargetMode="External"/><Relationship Id="rId5" Type="http://schemas.openxmlformats.org/officeDocument/2006/relationships/hyperlink" Target="https://www.ramsar.org/fr/document/sc63-inf3-submission-convention-wetlands-6th-meeting-ad-hoc-technical-expert-group" TargetMode="External"/><Relationship Id="rId4" Type="http://schemas.openxmlformats.org/officeDocument/2006/relationships/hyperlink" Target="https://www.ramsar.org/fr/document/intensifier-les-efforts-de-conservation-et-de-restauration-des-zones-humides-pour-met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C65F8C4AC9F84093461CDE75A30EEF" ma:contentTypeVersion="19" ma:contentTypeDescription="Create a new document." ma:contentTypeScope="" ma:versionID="67d8cc88134005dc3bf0f88fe02826f6">
  <xsd:schema xmlns:xsd="http://www.w3.org/2001/XMLSchema" xmlns:xs="http://www.w3.org/2001/XMLSchema" xmlns:p="http://schemas.microsoft.com/office/2006/metadata/properties" xmlns:ns2="7f63c67b-b937-46be-bc24-2bcbcc7e8e15" xmlns:ns3="b3f875c2-34b6-4961-b59d-2cfc4c8c9e2d" targetNamespace="http://schemas.microsoft.com/office/2006/metadata/properties" ma:root="true" ma:fieldsID="05d1e41302a60b5e9f921c3a01bcf9df" ns2:_="" ns3:_="">
    <xsd:import namespace="7f63c67b-b937-46be-bc24-2bcbcc7e8e15"/>
    <xsd:import namespace="b3f875c2-34b6-4961-b59d-2cfc4c8c9e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3c67b-b937-46be-bc24-2bcbcc7e8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f875c2-34b6-4961-b59d-2cfc4c8c9e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3f54ac-9445-4a1e-bcca-dbd34629a966}" ma:internalName="TaxCatchAll" ma:showField="CatchAllData" ma:web="b3f875c2-34b6-4961-b59d-2cfc4c8c9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3f875c2-34b6-4961-b59d-2cfc4c8c9e2d" xsi:nil="true"/>
    <lcf76f155ced4ddcb4097134ff3c332f xmlns="7f63c67b-b937-46be-bc24-2bcbcc7e8e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125FB1-5660-461C-AD2F-B78C4A64A4D2}">
  <ds:schemaRefs>
    <ds:schemaRef ds:uri="http://schemas.microsoft.com/sharepoint/v3/contenttype/forms"/>
  </ds:schemaRefs>
</ds:datastoreItem>
</file>

<file path=customXml/itemProps2.xml><?xml version="1.0" encoding="utf-8"?>
<ds:datastoreItem xmlns:ds="http://schemas.openxmlformats.org/officeDocument/2006/customXml" ds:itemID="{D508177E-BC29-41B0-8D02-3F5299B5D9DB}">
  <ds:schemaRefs>
    <ds:schemaRef ds:uri="http://schemas.openxmlformats.org/officeDocument/2006/bibliography"/>
  </ds:schemaRefs>
</ds:datastoreItem>
</file>

<file path=customXml/itemProps3.xml><?xml version="1.0" encoding="utf-8"?>
<ds:datastoreItem xmlns:ds="http://schemas.openxmlformats.org/officeDocument/2006/customXml" ds:itemID="{9BFA44A9-6ABB-44E3-8065-6EF20D1A1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3c67b-b937-46be-bc24-2bcbcc7e8e15"/>
    <ds:schemaRef ds:uri="b3f875c2-34b6-4961-b59d-2cfc4c8c9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0C7FD8-548A-4401-940E-BDB4F0CD01C6}">
  <ds:schemaRefs>
    <ds:schemaRef ds:uri="http://schemas.microsoft.com/office/2006/metadata/properties"/>
    <ds:schemaRef ds:uri="http://schemas.microsoft.com/office/infopath/2007/PartnerControls"/>
    <ds:schemaRef ds:uri="b3f875c2-34b6-4961-b59d-2cfc4c8c9e2d"/>
    <ds:schemaRef ds:uri="7f63c67b-b937-46be-bc24-2bcbcc7e8e1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3444</Words>
  <Characters>19632</Characters>
  <Application>Microsoft Office Word</Application>
  <DocSecurity>0</DocSecurity>
  <Lines>163</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Ramsar Secretariat</Company>
  <LinksUpToDate>false</LinksUpToDate>
  <CharactersWithSpaces>23030</CharactersWithSpaces>
  <SharedDoc>false</SharedDoc>
  <HyperlinkBase/>
  <HLinks>
    <vt:vector size="30" baseType="variant">
      <vt:variant>
        <vt:i4>4587542</vt:i4>
      </vt:variant>
      <vt:variant>
        <vt:i4>15</vt:i4>
      </vt:variant>
      <vt:variant>
        <vt:i4>0</vt:i4>
      </vt:variant>
      <vt:variant>
        <vt:i4>5</vt:i4>
      </vt:variant>
      <vt:variant>
        <vt:lpwstr>https://www.ramsar.org/document/kunming-montreal-global-biodiversity-framework-upscaling-wetland-conservation-restoration</vt:lpwstr>
      </vt:variant>
      <vt:variant>
        <vt:lpwstr/>
      </vt:variant>
      <vt:variant>
        <vt:i4>3145790</vt:i4>
      </vt:variant>
      <vt:variant>
        <vt:i4>12</vt:i4>
      </vt:variant>
      <vt:variant>
        <vt:i4>0</vt:i4>
      </vt:variant>
      <vt:variant>
        <vt:i4>5</vt:i4>
      </vt:variant>
      <vt:variant>
        <vt:lpwstr>https://www.ramsar.org/document/sc63-inf3-submission-convention-wetlands-6th-meeting-ad-hoc-technical-expert-group</vt:lpwstr>
      </vt:variant>
      <vt:variant>
        <vt:lpwstr/>
      </vt:variant>
      <vt:variant>
        <vt:i4>5439496</vt:i4>
      </vt:variant>
      <vt:variant>
        <vt:i4>9</vt:i4>
      </vt:variant>
      <vt:variant>
        <vt:i4>0</vt:i4>
      </vt:variant>
      <vt:variant>
        <vt:i4>5</vt:i4>
      </vt:variant>
      <vt:variant>
        <vt:lpwstr>https://www.ramsar.org/document/scaling-wetland-conservation-restoration-deliver-kunming-montreal-global-biodiversity</vt:lpwstr>
      </vt:variant>
      <vt:variant>
        <vt:lpwstr/>
      </vt:variant>
      <vt:variant>
        <vt:i4>4325458</vt:i4>
      </vt:variant>
      <vt:variant>
        <vt:i4>3</vt:i4>
      </vt:variant>
      <vt:variant>
        <vt:i4>0</vt:i4>
      </vt:variant>
      <vt:variant>
        <vt:i4>5</vt:i4>
      </vt:variant>
      <vt:variant>
        <vt:lpwstr>https://www.ramsar.org/document/sc63-doc20-technical-proposal-strp-resourcing-implementing-waterbird-population-estimates</vt:lpwstr>
      </vt:variant>
      <vt:variant>
        <vt:lpwstr/>
      </vt:variant>
      <vt:variant>
        <vt:i4>5308425</vt:i4>
      </vt:variant>
      <vt:variant>
        <vt:i4>0</vt:i4>
      </vt:variant>
      <vt:variant>
        <vt:i4>0</vt:i4>
      </vt:variant>
      <vt:variant>
        <vt:i4>5</vt:i4>
      </vt:variant>
      <vt:variant>
        <vt:lpwstr>https://www.ramsar.org/document/scientific-technical-review-panel-strp-workplan-2023-2025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5</cp:revision>
  <cp:lastPrinted>2016-10-07T07:08:00Z</cp:lastPrinted>
  <dcterms:created xsi:type="dcterms:W3CDTF">2024-10-18T13:59:00Z</dcterms:created>
  <dcterms:modified xsi:type="dcterms:W3CDTF">2024-10-22T08:20:00Z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DeRosaBM@state.gov</vt:lpwstr>
  </property>
  <property fmtid="{D5CDD505-2E9C-101B-9397-08002B2CF9AE}" pid="5" name="MSIP_Label_1665d9ee-429a-4d5f-97cc-cfb56e044a6e_SetDate">
    <vt:lpwstr>2020-09-14T16:36:06.2446694Z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57ea741e-f343-42e9-92ac-91f7201631da</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0x01010020C2866174F1EB4584C940634C144C32</vt:lpwstr>
  </property>
  <property fmtid="{D5CDD505-2E9C-101B-9397-08002B2CF9AE}" pid="12" name="MediaServiceImageTags">
    <vt:lpwstr/>
  </property>
</Properties>
</file>