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21E7" w14:textId="77777777" w:rsidR="00A61E86" w:rsidRPr="00A61E86" w:rsidRDefault="00A61E86" w:rsidP="00A61E8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A61E86">
        <w:rPr>
          <w:rFonts w:asciiTheme="minorHAnsi" w:hAnsiTheme="minorHAnsi" w:cstheme="minorHAnsi"/>
          <w:bCs/>
          <w:sz w:val="22"/>
          <w:szCs w:val="22"/>
          <w:lang w:val="fr-FR"/>
        </w:rPr>
        <w:t>CONVENTION SUR LES ZONES HUMIDES</w:t>
      </w:r>
    </w:p>
    <w:p w14:paraId="2F727AAA" w14:textId="2FB571B0" w:rsidR="00545C1A" w:rsidRPr="00A61E86" w:rsidRDefault="00A61E86" w:rsidP="00A61E8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A61E86">
        <w:rPr>
          <w:rFonts w:asciiTheme="minorHAnsi" w:hAnsiTheme="minorHAnsi" w:cstheme="minorHAnsi"/>
          <w:bCs/>
          <w:sz w:val="22"/>
          <w:szCs w:val="22"/>
          <w:lang w:val="fr-FR"/>
        </w:rPr>
        <w:t>64</w:t>
      </w:r>
      <w:r w:rsidRPr="00A61E86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Pr="00A61E8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</w:t>
      </w:r>
    </w:p>
    <w:p w14:paraId="55D8A7B2" w14:textId="2797239B" w:rsidR="00545C1A" w:rsidRPr="00FC4119" w:rsidRDefault="00545C1A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Gland, </w:t>
      </w:r>
      <w:r w:rsidR="00A61E86" w:rsidRPr="00FC4119">
        <w:rPr>
          <w:rFonts w:asciiTheme="minorHAnsi" w:hAnsiTheme="minorHAnsi" w:cstheme="minorHAnsi"/>
          <w:bCs/>
          <w:sz w:val="22"/>
          <w:szCs w:val="22"/>
          <w:lang w:val="fr-FR"/>
        </w:rPr>
        <w:t>Suisse</w:t>
      </w:r>
      <w:r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6356A9" w:rsidRPr="00FC4119">
        <w:rPr>
          <w:rFonts w:asciiTheme="minorHAnsi" w:hAnsiTheme="minorHAnsi" w:cstheme="minorHAnsi"/>
          <w:sz w:val="22"/>
          <w:szCs w:val="22"/>
          <w:lang w:val="fr-FR"/>
        </w:rPr>
        <w:t>20</w:t>
      </w:r>
      <w:r w:rsidR="00A61E86" w:rsidRPr="00FC4119">
        <w:rPr>
          <w:rFonts w:asciiTheme="minorHAnsi" w:hAnsiTheme="minorHAnsi" w:cstheme="minorHAnsi"/>
          <w:sz w:val="22"/>
          <w:szCs w:val="22"/>
          <w:lang w:val="fr-FR"/>
        </w:rPr>
        <w:t xml:space="preserve"> au </w:t>
      </w:r>
      <w:r w:rsidR="006356A9" w:rsidRPr="00FC4119">
        <w:rPr>
          <w:rFonts w:asciiTheme="minorHAnsi" w:hAnsiTheme="minorHAnsi" w:cstheme="minorHAnsi"/>
          <w:sz w:val="22"/>
          <w:szCs w:val="22"/>
          <w:lang w:val="fr-FR"/>
        </w:rPr>
        <w:t>24</w:t>
      </w:r>
      <w:r w:rsidRPr="00FC411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61E86" w:rsidRPr="00FC4119">
        <w:rPr>
          <w:rFonts w:asciiTheme="minorHAnsi" w:hAnsiTheme="minorHAnsi" w:cstheme="minorHAnsi"/>
          <w:sz w:val="22"/>
          <w:szCs w:val="22"/>
          <w:lang w:val="fr-FR"/>
        </w:rPr>
        <w:t>janvier</w:t>
      </w:r>
      <w:r w:rsidRPr="00FC411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857A9F" w:rsidRPr="00FC4119">
        <w:rPr>
          <w:rFonts w:asciiTheme="minorHAnsi" w:hAnsiTheme="minorHAnsi" w:cstheme="minorHAnsi"/>
          <w:sz w:val="22"/>
          <w:szCs w:val="22"/>
          <w:lang w:val="fr-FR"/>
        </w:rPr>
        <w:t>2025</w:t>
      </w:r>
    </w:p>
    <w:p w14:paraId="74D3C41D" w14:textId="77777777" w:rsidR="00065B8F" w:rsidRPr="00FC4119" w:rsidRDefault="00065B8F" w:rsidP="00065B8F">
      <w:pPr>
        <w:rPr>
          <w:lang w:val="fr-FR"/>
        </w:rPr>
      </w:pPr>
    </w:p>
    <w:p w14:paraId="7B1779A1" w14:textId="248A58B2" w:rsidR="00065B8F" w:rsidRPr="00FC4119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C4119">
        <w:rPr>
          <w:rFonts w:asciiTheme="minorHAnsi" w:hAnsiTheme="minorHAnsi" w:cstheme="minorHAnsi"/>
          <w:b/>
          <w:sz w:val="28"/>
          <w:szCs w:val="28"/>
          <w:lang w:val="fr-FR"/>
        </w:rPr>
        <w:t>SC</w:t>
      </w:r>
      <w:r w:rsidR="00F12376" w:rsidRPr="00FC4119">
        <w:rPr>
          <w:rFonts w:asciiTheme="minorHAnsi" w:hAnsiTheme="minorHAnsi" w:cstheme="minorHAnsi"/>
          <w:b/>
          <w:sz w:val="28"/>
          <w:szCs w:val="28"/>
          <w:lang w:val="fr-FR"/>
        </w:rPr>
        <w:t>6</w:t>
      </w:r>
      <w:r w:rsidR="006356A9" w:rsidRPr="00FC4119">
        <w:rPr>
          <w:rFonts w:asciiTheme="minorHAnsi" w:hAnsiTheme="minorHAnsi" w:cstheme="minorHAnsi"/>
          <w:b/>
          <w:sz w:val="28"/>
          <w:szCs w:val="28"/>
          <w:lang w:val="fr-FR"/>
        </w:rPr>
        <w:t>4</w:t>
      </w:r>
      <w:r w:rsidR="00F12376" w:rsidRPr="00FC4119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="00065B8F" w:rsidRPr="00FC4119">
        <w:rPr>
          <w:rFonts w:asciiTheme="minorHAnsi" w:hAnsiTheme="minorHAnsi" w:cstheme="minorHAnsi"/>
          <w:b/>
          <w:sz w:val="28"/>
          <w:szCs w:val="28"/>
          <w:lang w:val="fr-FR"/>
        </w:rPr>
        <w:t>Doc.</w:t>
      </w:r>
      <w:r w:rsidR="0022547B" w:rsidRPr="00FC4119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</w:p>
    <w:p w14:paraId="4EA21863" w14:textId="77777777" w:rsidR="00065B8F" w:rsidRPr="00FC4119" w:rsidRDefault="00065B8F" w:rsidP="00065B8F">
      <w:pPr>
        <w:jc w:val="center"/>
        <w:rPr>
          <w:rFonts w:asciiTheme="minorHAnsi" w:hAnsiTheme="minorHAnsi" w:cstheme="minorHAnsi"/>
          <w:bCs/>
          <w:lang w:val="fr-FR"/>
        </w:rPr>
      </w:pPr>
    </w:p>
    <w:p w14:paraId="3B8E7464" w14:textId="16BBC461" w:rsidR="00065B8F" w:rsidRPr="00A61E86" w:rsidRDefault="00A61E86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61E86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Rapport du </w:t>
      </w:r>
      <w:bookmarkStart w:id="0" w:name="_Hlk177634187"/>
      <w:r w:rsidRPr="00A61E86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Comité exécutif et du </w:t>
      </w:r>
      <w:bookmarkStart w:id="1" w:name="_Hlk177635647"/>
      <w:r w:rsidRPr="00A61E86">
        <w:rPr>
          <w:rFonts w:asciiTheme="minorHAnsi" w:hAnsiTheme="minorHAnsi" w:cstheme="minorHAnsi"/>
          <w:b/>
          <w:bCs/>
          <w:sz w:val="28"/>
          <w:szCs w:val="28"/>
          <w:lang w:val="fr-FR"/>
        </w:rPr>
        <w:t>Président du Comité p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ermanent</w:t>
      </w:r>
      <w:bookmarkEnd w:id="0"/>
      <w:bookmarkEnd w:id="1"/>
    </w:p>
    <w:p w14:paraId="631405C7" w14:textId="77777777" w:rsidR="006058B3" w:rsidRPr="00A61E86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22EA140" w14:textId="77777777" w:rsidR="00E95E62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7F7F60">
        <w:rPr>
          <w:rFonts w:asciiTheme="minorHAnsi" w:hAnsiTheme="minorHAnsi" w:cstheme="minorHAnsi"/>
          <w:b/>
          <w:bCs/>
          <w:noProof/>
          <w:sz w:val="28"/>
          <w:szCs w:val="28"/>
          <w:lang w:val="en-CA" w:eastAsia="en-CA"/>
        </w:rPr>
        <mc:AlternateContent>
          <mc:Choice Requires="wps">
            <w:drawing>
              <wp:inline distT="0" distB="0" distL="0" distR="0" wp14:anchorId="4864891A" wp14:editId="53EC8CFA">
                <wp:extent cx="5768340" cy="883920"/>
                <wp:effectExtent l="0" t="0" r="2286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41A" w14:textId="003966DF" w:rsidR="00CC5FED" w:rsidRPr="00CC5FED" w:rsidRDefault="00CC5FED" w:rsidP="00CC5FED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eastAsia="Times New Roman" w:hAnsiTheme="minorHAnsi" w:cstheme="minorHAnsi"/>
                                <w:b/>
                                <w:lang w:val="fr-CH" w:eastAsia="en-GB"/>
                              </w:rPr>
                            </w:pPr>
                            <w:r w:rsidRPr="00CC5FED">
                              <w:rPr>
                                <w:rFonts w:asciiTheme="minorHAnsi" w:eastAsia="Times New Roman" w:hAnsiTheme="minorHAnsi" w:cstheme="minorHAnsi"/>
                                <w:b/>
                                <w:lang w:val="fr-CH" w:eastAsia="en-GB"/>
                              </w:rPr>
                              <w:t>Mesure requise :</w:t>
                            </w:r>
                          </w:p>
                          <w:p w14:paraId="10B06E9B" w14:textId="77777777" w:rsidR="00CC5FED" w:rsidRPr="00FC4119" w:rsidRDefault="00CC5FED" w:rsidP="00CC5FED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eastAsia="Times New Roman" w:hAnsiTheme="minorHAnsi" w:cstheme="minorHAnsi"/>
                                <w:b/>
                                <w:lang w:val="fr-FR" w:eastAsia="en-GB"/>
                              </w:rPr>
                            </w:pPr>
                          </w:p>
                          <w:p w14:paraId="0FC78AE3" w14:textId="54D0F543" w:rsidR="00AA2EDD" w:rsidRPr="00CC5FED" w:rsidRDefault="00CC5FED" w:rsidP="00CC5FED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CC5FED">
                              <w:rPr>
                                <w:rFonts w:asciiTheme="minorHAnsi" w:eastAsia="Times New Roman" w:hAnsiTheme="minorHAnsi" w:cstheme="minorHAnsi"/>
                                <w:bCs/>
                                <w:lang w:val="fr-FR" w:eastAsia="en-GB"/>
                              </w:rPr>
                              <w:t xml:space="preserve">Le Comité permanent est invité à prendre note </w:t>
                            </w:r>
                            <w:r w:rsidRPr="00CC5FED">
                              <w:rPr>
                                <w:rFonts w:cs="Calibri"/>
                                <w:bCs/>
                                <w:lang w:val="fr-FR"/>
                              </w:rPr>
                              <w:t>du</w:t>
                            </w:r>
                            <w:r w:rsidR="00967BF4" w:rsidRPr="00CC5FED">
                              <w:rPr>
                                <w:rFonts w:cs="Calibri"/>
                                <w:bCs/>
                                <w:lang w:val="fr-FR"/>
                              </w:rPr>
                              <w:t xml:space="preserve"> pr</w:t>
                            </w:r>
                            <w:r w:rsidRPr="00CC5FED">
                              <w:rPr>
                                <w:rFonts w:cs="Calibri"/>
                                <w:bCs/>
                                <w:lang w:val="fr-FR"/>
                              </w:rPr>
                              <w:t>é</w:t>
                            </w:r>
                            <w:r w:rsidR="00967BF4" w:rsidRPr="00CC5FED">
                              <w:rPr>
                                <w:rFonts w:cs="Calibri"/>
                                <w:bCs/>
                                <w:lang w:val="fr-FR"/>
                              </w:rPr>
                              <w:t>sent</w:t>
                            </w:r>
                            <w:r w:rsidR="00967BF4" w:rsidRPr="00CC5FED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="000E637A" w:rsidRPr="00CC5FED">
                              <w:rPr>
                                <w:rFonts w:cs="Calibri"/>
                                <w:lang w:val="fr-FR"/>
                              </w:rPr>
                              <w:t>r</w:t>
                            </w:r>
                            <w:r w:rsidRPr="00CC5FED">
                              <w:rPr>
                                <w:rFonts w:cs="Calibri"/>
                                <w:lang w:val="fr-FR"/>
                              </w:rPr>
                              <w:t>ap</w:t>
                            </w:r>
                            <w:r w:rsidR="000E637A" w:rsidRPr="00CC5FED">
                              <w:rPr>
                                <w:rFonts w:cs="Calibri"/>
                                <w:lang w:val="fr-FR"/>
                              </w:rPr>
                              <w:t xml:space="preserve">port </w:t>
                            </w:r>
                            <w:r w:rsidRPr="00CC5FED">
                              <w:rPr>
                                <w:rFonts w:cs="Calibri"/>
                                <w:lang w:val="fr-FR"/>
                              </w:rPr>
                              <w:t>du Comité exécutif et du Président du Comité permanent</w:t>
                            </w:r>
                            <w:r w:rsidR="00D50230" w:rsidRPr="00CC5FED"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7527EE05" w14:textId="77777777" w:rsidR="007F7F60" w:rsidRPr="00CC5FED" w:rsidRDefault="007F7F60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ui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">
                <v:textbox>
                  <w:txbxContent>
                    <w:p w14:paraId="421A941A" w14:textId="003966DF" w:rsidR="00CC5FED" w:rsidRPr="00CC5FED" w:rsidRDefault="00CC5FED" w:rsidP="00CC5FED">
                      <w:pPr>
                        <w:pStyle w:val="ColorfulList-Accent11"/>
                        <w:ind w:left="0" w:firstLine="0"/>
                        <w:rPr>
                          <w:rFonts w:asciiTheme="minorHAnsi" w:eastAsia="Times New Roman" w:hAnsiTheme="minorHAnsi" w:cstheme="minorHAnsi"/>
                          <w:b/>
                          <w:lang w:val="fr-CH" w:eastAsia="en-GB"/>
                        </w:rPr>
                      </w:pPr>
                      <w:r w:rsidRPr="00CC5FED">
                        <w:rPr>
                          <w:rFonts w:asciiTheme="minorHAnsi" w:eastAsia="Times New Roman" w:hAnsiTheme="minorHAnsi" w:cstheme="minorHAnsi"/>
                          <w:b/>
                          <w:lang w:val="fr-CH" w:eastAsia="en-GB"/>
                        </w:rPr>
                        <w:t>Mesure requise :</w:t>
                      </w:r>
                    </w:p>
                    <w:p w14:paraId="10B06E9B" w14:textId="77777777" w:rsidR="00CC5FED" w:rsidRPr="00FC4119" w:rsidRDefault="00CC5FED" w:rsidP="00CC5FED">
                      <w:pPr>
                        <w:pStyle w:val="ColorfulList-Accent11"/>
                        <w:ind w:left="0" w:firstLine="0"/>
                        <w:rPr>
                          <w:rFonts w:asciiTheme="minorHAnsi" w:eastAsia="Times New Roman" w:hAnsiTheme="minorHAnsi" w:cstheme="minorHAnsi"/>
                          <w:b/>
                          <w:lang w:val="fr-FR" w:eastAsia="en-GB"/>
                        </w:rPr>
                      </w:pPr>
                    </w:p>
                    <w:p w14:paraId="0FC78AE3" w14:textId="54D0F543" w:rsidR="00AA2EDD" w:rsidRPr="00CC5FED" w:rsidRDefault="00CC5FED" w:rsidP="00CC5FED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CC5FED">
                        <w:rPr>
                          <w:rFonts w:asciiTheme="minorHAnsi" w:eastAsia="Times New Roman" w:hAnsiTheme="minorHAnsi" w:cstheme="minorHAnsi"/>
                          <w:bCs/>
                          <w:lang w:val="fr-FR" w:eastAsia="en-GB"/>
                        </w:rPr>
                        <w:t xml:space="preserve">Le Comité permanent est invité à prendre note </w:t>
                      </w:r>
                      <w:r w:rsidRPr="00CC5FED">
                        <w:rPr>
                          <w:rFonts w:cs="Calibri"/>
                          <w:bCs/>
                          <w:lang w:val="fr-FR"/>
                        </w:rPr>
                        <w:t>du</w:t>
                      </w:r>
                      <w:r w:rsidR="00967BF4" w:rsidRPr="00CC5FED">
                        <w:rPr>
                          <w:rFonts w:cs="Calibri"/>
                          <w:bCs/>
                          <w:lang w:val="fr-FR"/>
                        </w:rPr>
                        <w:t xml:space="preserve"> pr</w:t>
                      </w:r>
                      <w:r w:rsidRPr="00CC5FED">
                        <w:rPr>
                          <w:rFonts w:cs="Calibri"/>
                          <w:bCs/>
                          <w:lang w:val="fr-FR"/>
                        </w:rPr>
                        <w:t>é</w:t>
                      </w:r>
                      <w:r w:rsidR="00967BF4" w:rsidRPr="00CC5FED">
                        <w:rPr>
                          <w:rFonts w:cs="Calibri"/>
                          <w:bCs/>
                          <w:lang w:val="fr-FR"/>
                        </w:rPr>
                        <w:t>sent</w:t>
                      </w:r>
                      <w:r w:rsidR="00967BF4" w:rsidRPr="00CC5FED"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="000E637A" w:rsidRPr="00CC5FED">
                        <w:rPr>
                          <w:rFonts w:cs="Calibri"/>
                          <w:lang w:val="fr-FR"/>
                        </w:rPr>
                        <w:t>r</w:t>
                      </w:r>
                      <w:r w:rsidRPr="00CC5FED">
                        <w:rPr>
                          <w:rFonts w:cs="Calibri"/>
                          <w:lang w:val="fr-FR"/>
                        </w:rPr>
                        <w:t>ap</w:t>
                      </w:r>
                      <w:r w:rsidR="000E637A" w:rsidRPr="00CC5FED">
                        <w:rPr>
                          <w:rFonts w:cs="Calibri"/>
                          <w:lang w:val="fr-FR"/>
                        </w:rPr>
                        <w:t xml:space="preserve">port </w:t>
                      </w:r>
                      <w:r w:rsidRPr="00CC5FED">
                        <w:rPr>
                          <w:rFonts w:cs="Calibri"/>
                          <w:lang w:val="fr-FR"/>
                        </w:rPr>
                        <w:t>du Comité exécutif et du Président du Comité permanent</w:t>
                      </w:r>
                      <w:r w:rsidR="00D50230" w:rsidRPr="00CC5FED">
                        <w:rPr>
                          <w:lang w:val="fr-FR"/>
                        </w:rPr>
                        <w:t>.</w:t>
                      </w:r>
                    </w:p>
                    <w:p w14:paraId="7527EE05" w14:textId="77777777" w:rsidR="007F7F60" w:rsidRPr="00CC5FED" w:rsidRDefault="007F7F60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E32191" w14:textId="77777777" w:rsidR="006058B3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B72F1" w14:textId="77777777" w:rsidR="006058B3" w:rsidRDefault="006058B3" w:rsidP="005F680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57B64" w14:textId="057E84E4" w:rsidR="00773024" w:rsidRPr="00FC4119" w:rsidRDefault="00CC5FED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FC4119">
        <w:rPr>
          <w:rFonts w:asciiTheme="minorHAnsi" w:hAnsiTheme="minorHAnsi" w:cstheme="minorHAnsi"/>
          <w:b/>
          <w:bCs/>
          <w:sz w:val="22"/>
          <w:szCs w:val="22"/>
          <w:lang w:val="fr-FR"/>
        </w:rPr>
        <w:t>Contexte</w:t>
      </w:r>
    </w:p>
    <w:p w14:paraId="6A1B7E46" w14:textId="77777777" w:rsidR="00C32315" w:rsidRPr="00FC4119" w:rsidRDefault="00C32315" w:rsidP="005F680E">
      <w:pPr>
        <w:ind w:left="426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3BC82031" w14:textId="2ACCD8AC" w:rsidR="00CA5CD6" w:rsidRPr="00F805F5" w:rsidRDefault="005F680E" w:rsidP="005F680E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F805F5">
        <w:rPr>
          <w:rFonts w:asciiTheme="minorHAnsi" w:hAnsiTheme="minorHAnsi" w:cstheme="minorHAnsi"/>
          <w:bCs/>
          <w:sz w:val="22"/>
          <w:szCs w:val="22"/>
          <w:lang w:val="fr-FR"/>
        </w:rPr>
        <w:t>1.</w:t>
      </w:r>
      <w:r w:rsidRPr="00F805F5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e présent rapport contient un aperçu des travaux réalisés par le Président du Comité permanent et le Comité exécutif depuis la 63</w:t>
      </w:r>
      <w:r w:rsidR="00F805F5" w:rsidRPr="00F805F5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 </w:t>
      </w:r>
      <w:r w:rsidR="00E662CA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(SC6</w:t>
      </w:r>
      <w:r w:rsidR="006356A9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3</w:t>
      </w:r>
      <w:r w:rsidR="00E662CA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)</w:t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qui a eu lieu du 3 au 7 juin </w:t>
      </w:r>
      <w:r w:rsidR="00F12376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202</w:t>
      </w:r>
      <w:r w:rsidR="003D2C54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4</w:t>
      </w:r>
      <w:r w:rsidR="00F757C1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>jusqu’au</w:t>
      </w:r>
      <w:r w:rsidR="00F757C1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A00CE4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21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>o</w:t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ctobre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2024, date 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 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publication 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>des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documents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la 64</w:t>
      </w:r>
      <w:r w:rsidR="00F805F5" w:rsidRPr="00F805F5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</w:t>
      </w:r>
      <w:r w:rsidR="008B3068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14:paraId="0787CCB3" w14:textId="77777777" w:rsidR="00D631CE" w:rsidRPr="00F805F5" w:rsidRDefault="00D631CE" w:rsidP="005F680E">
      <w:pPr>
        <w:pStyle w:val="ListParagraph"/>
        <w:spacing w:after="0" w:line="240" w:lineRule="auto"/>
        <w:ind w:left="425" w:hanging="425"/>
        <w:rPr>
          <w:rFonts w:cstheme="minorHAnsi"/>
          <w:bCs/>
          <w:lang w:val="fr-FR"/>
        </w:rPr>
      </w:pPr>
    </w:p>
    <w:p w14:paraId="7FC49AC8" w14:textId="2F9B43D5" w:rsidR="00F1025C" w:rsidRPr="00F805F5" w:rsidRDefault="005F680E" w:rsidP="00017290">
      <w:pPr>
        <w:ind w:left="425" w:hanging="425"/>
        <w:jc w:val="left"/>
        <w:rPr>
          <w:rFonts w:asciiTheme="minorHAnsi" w:hAnsiTheme="minorHAnsi" w:cstheme="minorHAnsi"/>
          <w:sz w:val="22"/>
          <w:szCs w:val="22"/>
          <w:lang w:val="fr-FR"/>
        </w:rPr>
      </w:pPr>
      <w:r w:rsidRPr="00F805F5">
        <w:rPr>
          <w:rFonts w:asciiTheme="minorHAnsi" w:hAnsiTheme="minorHAnsi" w:cstheme="minorHAnsi"/>
          <w:bCs/>
          <w:sz w:val="22"/>
          <w:szCs w:val="22"/>
          <w:lang w:val="fr-FR"/>
        </w:rPr>
        <w:t>2.</w:t>
      </w:r>
      <w:r w:rsidRPr="00F805F5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Le</w:t>
      </w:r>
      <w:r w:rsidR="00D631CE" w:rsidRPr="00F805F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>r</w:t>
      </w:r>
      <w:r w:rsidR="00F805F5" w:rsidRPr="00F805F5">
        <w:rPr>
          <w:rFonts w:asciiTheme="minorHAnsi" w:hAnsiTheme="minorHAnsi" w:cstheme="minorHAnsi"/>
          <w:sz w:val="22"/>
          <w:szCs w:val="22"/>
          <w:lang w:val="fr-FR"/>
        </w:rPr>
        <w:t>ô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le </w:t>
      </w:r>
      <w:r w:rsidR="00F805F5" w:rsidRPr="00F805F5">
        <w:rPr>
          <w:rFonts w:asciiTheme="minorHAnsi" w:hAnsiTheme="minorHAnsi" w:cstheme="minorHAnsi"/>
          <w:sz w:val="22"/>
          <w:szCs w:val="22"/>
          <w:lang w:val="fr-FR"/>
        </w:rPr>
        <w:t>et la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composition </w:t>
      </w:r>
      <w:r w:rsidR="00F805F5" w:rsidRPr="00F805F5">
        <w:rPr>
          <w:rFonts w:asciiTheme="minorHAnsi" w:hAnsiTheme="minorHAnsi" w:cstheme="minorHAnsi"/>
          <w:sz w:val="22"/>
          <w:szCs w:val="22"/>
          <w:lang w:val="fr-FR"/>
        </w:rPr>
        <w:t>du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805F5" w:rsidRPr="00F805F5">
        <w:rPr>
          <w:rFonts w:asciiTheme="minorHAnsi" w:hAnsiTheme="minorHAnsi" w:cstheme="minorHAnsi"/>
          <w:bCs/>
          <w:sz w:val="22"/>
          <w:szCs w:val="22"/>
          <w:lang w:val="fr-FR"/>
        </w:rPr>
        <w:t>Comité exécutif sont décrits au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E4678" w:rsidRPr="00F805F5">
        <w:rPr>
          <w:rFonts w:asciiTheme="minorHAnsi" w:hAnsiTheme="minorHAnsi" w:cstheme="minorHAnsi"/>
          <w:sz w:val="22"/>
          <w:szCs w:val="22"/>
          <w:lang w:val="fr-FR"/>
        </w:rPr>
        <w:t>paragraph</w:t>
      </w:r>
      <w:r w:rsidR="00F805F5" w:rsidRPr="00F805F5">
        <w:rPr>
          <w:rFonts w:asciiTheme="minorHAnsi" w:hAnsiTheme="minorHAnsi" w:cstheme="minorHAnsi"/>
          <w:sz w:val="22"/>
          <w:szCs w:val="22"/>
          <w:lang w:val="fr-FR"/>
        </w:rPr>
        <w:t>e</w:t>
      </w:r>
      <w:r w:rsidR="002E4678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4 </w:t>
      </w:r>
      <w:r w:rsidR="00F805F5" w:rsidRPr="00F805F5">
        <w:rPr>
          <w:rFonts w:asciiTheme="minorHAnsi" w:hAnsiTheme="minorHAnsi" w:cstheme="minorHAnsi"/>
          <w:sz w:val="22"/>
          <w:szCs w:val="22"/>
          <w:lang w:val="fr-FR"/>
        </w:rPr>
        <w:t>de la</w:t>
      </w:r>
      <w:r w:rsidR="002E4678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>R</w:t>
      </w:r>
      <w:r w:rsidR="00F10565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>solution XIII.4</w:t>
      </w:r>
      <w:r w:rsidR="002E4678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805F5" w:rsidRPr="00F805F5">
        <w:rPr>
          <w:rFonts w:asciiTheme="minorHAnsi" w:hAnsiTheme="minorHAnsi" w:cstheme="minorHAnsi"/>
          <w:i/>
          <w:iCs/>
          <w:sz w:val="22"/>
          <w:szCs w:val="22"/>
          <w:lang w:val="fr-FR"/>
        </w:rPr>
        <w:t>Responsabilités, rôle et composition du Comité permanent et répartition régionale des pays dans le cadre de la Convention de Ramsar</w:t>
      </w:r>
      <w:r w:rsidR="00D631C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F10565">
        <w:rPr>
          <w:rFonts w:asciiTheme="minorHAnsi" w:hAnsiTheme="minorHAnsi" w:cstheme="minorHAnsi"/>
          <w:sz w:val="22"/>
          <w:szCs w:val="22"/>
          <w:lang w:val="fr-FR"/>
        </w:rPr>
        <w:t>où il est noté que</w:t>
      </w:r>
      <w:r w:rsidR="0017220E" w:rsidRPr="00F805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10565">
        <w:rPr>
          <w:rFonts w:asciiTheme="minorHAnsi" w:hAnsiTheme="minorHAnsi" w:cstheme="minorHAnsi"/>
          <w:sz w:val="22"/>
          <w:szCs w:val="22"/>
          <w:lang w:val="fr-FR"/>
        </w:rPr>
        <w:t>« </w:t>
      </w:r>
      <w:r w:rsidR="00F10565" w:rsidRPr="00F10565">
        <w:rPr>
          <w:rFonts w:asciiTheme="minorHAnsi" w:hAnsiTheme="minorHAnsi" w:cstheme="minorHAnsi"/>
          <w:sz w:val="22"/>
          <w:szCs w:val="22"/>
          <w:lang w:val="fr-FR"/>
        </w:rPr>
        <w:t>la supervision du Secrétariat par le Comité permanent est réalisée en son nom, entre les réunions du Comité permanent, par son Comité exécutif (président et vice-président du Comité permanent et président du Sous-groupe sur les finances) en collaboration avec la Secrétaire générale</w:t>
      </w:r>
      <w:r w:rsidR="00F10565">
        <w:rPr>
          <w:rFonts w:asciiTheme="minorHAnsi" w:hAnsiTheme="minorHAnsi" w:cstheme="minorHAnsi"/>
          <w:sz w:val="22"/>
          <w:szCs w:val="22"/>
          <w:lang w:val="fr-FR"/>
        </w:rPr>
        <w:t> »</w:t>
      </w:r>
      <w:r w:rsidRPr="00F805F5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3472EDDB" w14:textId="77777777" w:rsidR="00017290" w:rsidRPr="00F805F5" w:rsidRDefault="00017290" w:rsidP="0001729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81BC67F" w14:textId="6CD4233B" w:rsidR="00017290" w:rsidRPr="006678F8" w:rsidRDefault="00017290" w:rsidP="00017290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678F8">
        <w:rPr>
          <w:rFonts w:asciiTheme="minorHAnsi" w:hAnsiTheme="minorHAnsi" w:cstheme="minorHAnsi"/>
          <w:bCs/>
          <w:sz w:val="22"/>
          <w:szCs w:val="22"/>
          <w:lang w:val="fr-FR"/>
        </w:rPr>
        <w:t>3.</w:t>
      </w:r>
      <w:r w:rsidRPr="006678F8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>La composition du Comité exécutif est la suivante</w:t>
      </w:r>
      <w:r w:rsid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: la Chine qui préside le Comité permanent, le Gabon qui en est le </w:t>
      </w:r>
      <w:r w:rsidR="009F5970">
        <w:rPr>
          <w:rFonts w:asciiTheme="minorHAnsi" w:hAnsiTheme="minorHAnsi" w:cstheme="minorHAnsi"/>
          <w:bCs/>
          <w:sz w:val="22"/>
          <w:szCs w:val="22"/>
          <w:lang w:val="fr-FR"/>
        </w:rPr>
        <w:t>V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>ice-</w:t>
      </w:r>
      <w:r w:rsidR="009F5970">
        <w:rPr>
          <w:rFonts w:asciiTheme="minorHAnsi" w:hAnsiTheme="minorHAnsi" w:cstheme="minorHAnsi"/>
          <w:bCs/>
          <w:sz w:val="22"/>
          <w:szCs w:val="22"/>
          <w:lang w:val="fr-FR"/>
        </w:rPr>
        <w:t>P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résident et les </w:t>
      </w:r>
      <w:r w:rsidR="006678F8">
        <w:rPr>
          <w:rFonts w:asciiTheme="minorHAnsi" w:hAnsiTheme="minorHAnsi" w:cstheme="minorHAnsi"/>
          <w:bCs/>
          <w:sz w:val="22"/>
          <w:szCs w:val="22"/>
          <w:lang w:val="fr-FR"/>
        </w:rPr>
        <w:t>É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>tats-Unis d’Amériq</w:t>
      </w:r>
      <w:r w:rsidR="006678F8">
        <w:rPr>
          <w:rFonts w:asciiTheme="minorHAnsi" w:hAnsiTheme="minorHAnsi" w:cstheme="minorHAnsi"/>
          <w:bCs/>
          <w:sz w:val="22"/>
          <w:szCs w:val="22"/>
          <w:lang w:val="fr-FR"/>
        </w:rPr>
        <w:t>ue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6678F8">
        <w:rPr>
          <w:rFonts w:asciiTheme="minorHAnsi" w:hAnsiTheme="minorHAnsi" w:cstheme="minorHAnsi"/>
          <w:bCs/>
          <w:sz w:val="22"/>
          <w:szCs w:val="22"/>
          <w:lang w:val="fr-FR"/>
        </w:rPr>
        <w:t>qui président le Sous-groupe sur les finances</w:t>
      </w:r>
      <w:r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La Chine, 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qui assure la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présiden</w:t>
      </w:r>
      <w:r w:rsidR="009F5970">
        <w:rPr>
          <w:rFonts w:asciiTheme="minorHAnsi" w:hAnsiTheme="minorHAnsi" w:cstheme="minorHAnsi"/>
          <w:bCs/>
          <w:sz w:val="22"/>
          <w:szCs w:val="22"/>
          <w:lang w:val="fr-FR"/>
        </w:rPr>
        <w:t>c</w:t>
      </w:r>
      <w:r w:rsidR="006678F8" w:rsidRPr="006678F8">
        <w:rPr>
          <w:rFonts w:asciiTheme="minorHAnsi" w:hAnsiTheme="minorHAnsi" w:cstheme="minorHAnsi"/>
          <w:bCs/>
          <w:sz w:val="22"/>
          <w:szCs w:val="22"/>
          <w:lang w:val="fr-FR"/>
        </w:rPr>
        <w:t>e du Comité permanent p</w:t>
      </w:r>
      <w:r w:rsidR="006678F8">
        <w:rPr>
          <w:rFonts w:asciiTheme="minorHAnsi" w:hAnsiTheme="minorHAnsi" w:cstheme="minorHAnsi"/>
          <w:bCs/>
          <w:sz w:val="22"/>
          <w:szCs w:val="22"/>
          <w:lang w:val="fr-FR"/>
        </w:rPr>
        <w:t>réside aussi le Comité exécutif.</w:t>
      </w:r>
    </w:p>
    <w:p w14:paraId="1C9ACB1C" w14:textId="77777777" w:rsidR="00027DBC" w:rsidRPr="006678F8" w:rsidRDefault="00027DBC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96EA3E5" w14:textId="7B2DA209" w:rsidR="00F12376" w:rsidRPr="002905C9" w:rsidRDefault="006678F8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905C9">
        <w:rPr>
          <w:rFonts w:asciiTheme="minorHAnsi" w:hAnsiTheme="minorHAnsi" w:cstheme="minorHAnsi"/>
          <w:b/>
          <w:bCs/>
          <w:sz w:val="22"/>
          <w:szCs w:val="22"/>
          <w:lang w:val="fr-FR"/>
        </w:rPr>
        <w:t>Travaux entrepris par le Président du Comité permanent</w:t>
      </w:r>
      <w:r w:rsidR="00F12376" w:rsidRPr="002905C9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24928746" w14:textId="77777777" w:rsidR="00F12376" w:rsidRPr="002905C9" w:rsidRDefault="00F12376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245C3E4E" w14:textId="42720E1A" w:rsidR="00F12376" w:rsidRPr="002905C9" w:rsidRDefault="00017290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905C9">
        <w:rPr>
          <w:rFonts w:asciiTheme="minorHAnsi" w:hAnsiTheme="minorHAnsi" w:cstheme="minorHAnsi"/>
          <w:bCs/>
          <w:sz w:val="22"/>
          <w:szCs w:val="22"/>
          <w:lang w:val="fr-FR"/>
        </w:rPr>
        <w:t>4</w:t>
      </w:r>
      <w:r w:rsidR="00F12376" w:rsidRPr="002905C9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F12376" w:rsidRPr="002905C9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2905C9" w:rsidRPr="002905C9">
        <w:rPr>
          <w:rFonts w:asciiTheme="minorHAnsi" w:hAnsiTheme="minorHAnsi" w:cstheme="minorHAnsi"/>
          <w:bCs/>
          <w:sz w:val="22"/>
          <w:szCs w:val="22"/>
          <w:lang w:val="fr-FR"/>
        </w:rPr>
        <w:t>Depuis la 63</w:t>
      </w:r>
      <w:r w:rsidR="002905C9" w:rsidRPr="002905C9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2905C9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permanent, le Président est 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resté </w:t>
      </w:r>
      <w:r w:rsidR="002905C9" w:rsidRPr="002905C9">
        <w:rPr>
          <w:rFonts w:asciiTheme="minorHAnsi" w:hAnsiTheme="minorHAnsi" w:cstheme="minorHAnsi"/>
          <w:bCs/>
          <w:sz w:val="22"/>
          <w:szCs w:val="22"/>
          <w:lang w:val="fr-FR"/>
        </w:rPr>
        <w:t>régulièrement en contact avec la Secrétaire générale, par courriel ou appels virtuels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2905C9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afin de discuter 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>de la gestion du</w:t>
      </w:r>
      <w:r w:rsidR="00F72490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Secr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>é</w:t>
      </w:r>
      <w:r w:rsidR="00F72490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tariat 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ainsi que de la vision et des priorités de la </w:t>
      </w:r>
      <w:r w:rsidR="002905C9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Secrétaire générale 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>pour la période triennale</w:t>
      </w:r>
      <w:r w:rsidR="00233167" w:rsidRPr="002905C9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2A7D66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>et des meilleurs moyens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le Président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soutenir</w:t>
      </w:r>
      <w:r w:rsidR="002A7D66" w:rsidRPr="002905C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2905C9">
        <w:rPr>
          <w:rFonts w:asciiTheme="minorHAnsi" w:hAnsiTheme="minorHAnsi" w:cstheme="minorHAnsi"/>
          <w:bCs/>
          <w:sz w:val="22"/>
          <w:szCs w:val="22"/>
          <w:lang w:val="fr-FR"/>
        </w:rPr>
        <w:t>le Secrétariat et les Parties contractantes</w:t>
      </w:r>
      <w:r w:rsidR="002A7D66" w:rsidRPr="002905C9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14:paraId="01CF00D2" w14:textId="77777777" w:rsidR="00F12376" w:rsidRPr="002905C9" w:rsidRDefault="00F12376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D5F1A87" w14:textId="2447611D" w:rsidR="00F12376" w:rsidRPr="001133C2" w:rsidRDefault="00017290" w:rsidP="00017290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FC4119">
        <w:rPr>
          <w:rFonts w:asciiTheme="minorHAnsi" w:hAnsiTheme="minorHAnsi" w:cstheme="minorHAnsi"/>
          <w:bCs/>
          <w:sz w:val="22"/>
          <w:szCs w:val="22"/>
          <w:lang w:val="fr-FR"/>
        </w:rPr>
        <w:t>5</w:t>
      </w:r>
      <w:r w:rsidR="00F12376"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r w:rsidR="00F12376" w:rsidRPr="00FC4119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2905C9" w:rsidRPr="001133C2">
        <w:rPr>
          <w:rFonts w:asciiTheme="minorHAnsi" w:hAnsiTheme="minorHAnsi" w:cstheme="minorHAnsi"/>
          <w:bCs/>
          <w:sz w:val="22"/>
          <w:szCs w:val="22"/>
          <w:lang w:val="fr-FR"/>
        </w:rPr>
        <w:t>Durant la période du rapport, le Président a</w:t>
      </w:r>
      <w:r w:rsidR="002A7D66" w:rsidRPr="001133C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2905C9" w:rsidRPr="001133C2">
        <w:rPr>
          <w:rFonts w:asciiTheme="minorHAnsi" w:hAnsiTheme="minorHAnsi" w:cstheme="minorHAnsi"/>
          <w:bCs/>
          <w:sz w:val="22"/>
          <w:szCs w:val="22"/>
          <w:lang w:val="fr-FR"/>
        </w:rPr>
        <w:t>fourni</w:t>
      </w:r>
      <w:r w:rsidR="001133C2" w:rsidRPr="001133C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à la Secrétaire </w:t>
      </w:r>
      <w:r w:rsidR="001133C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générale des orientations sur des questions techniques et 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administratives.</w:t>
      </w:r>
      <w:r w:rsidR="00BA61F0" w:rsidRPr="001133C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</w:p>
    <w:p w14:paraId="41C98B3F" w14:textId="77777777" w:rsidR="00F12376" w:rsidRPr="001133C2" w:rsidRDefault="00F12376" w:rsidP="00680771">
      <w:pPr>
        <w:ind w:left="0" w:firstLine="0"/>
        <w:jc w:val="left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BEFBC29" w14:textId="744948AB" w:rsidR="00AA2EDD" w:rsidRPr="001133C2" w:rsidRDefault="001133C2" w:rsidP="00545C1A">
      <w:pPr>
        <w:keepNext/>
        <w:ind w:left="0" w:firstLine="0"/>
        <w:jc w:val="lef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2905C9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Travaux entrepris par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le Comité exécutif</w:t>
      </w:r>
    </w:p>
    <w:p w14:paraId="67126DA6" w14:textId="77777777" w:rsidR="00AA2EDD" w:rsidRPr="001133C2" w:rsidRDefault="00AA2EDD" w:rsidP="00545C1A">
      <w:pPr>
        <w:keepNext/>
        <w:ind w:left="1" w:firstLine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6ED1A766" w14:textId="10D3186B" w:rsidR="00F1025C" w:rsidRPr="001942B6" w:rsidRDefault="00680771" w:rsidP="00545C1A">
      <w:pPr>
        <w:keepNext/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C8460F">
        <w:rPr>
          <w:rFonts w:asciiTheme="minorHAnsi" w:hAnsiTheme="minorHAnsi" w:cstheme="minorHAnsi"/>
          <w:bCs/>
          <w:sz w:val="22"/>
          <w:szCs w:val="22"/>
          <w:lang w:val="fr-FR"/>
        </w:rPr>
        <w:t>6</w:t>
      </w:r>
      <w:r w:rsidR="00E662CA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E662CA" w:rsidRPr="00C8460F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11 septembre 2024, le Comité exécutif a tenu une réunion virtuelle et à cette occasion, le Secrétariat a 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décrit 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les préparatifs de la 64</w:t>
      </w:r>
      <w:r w:rsidR="00C8460F" w:rsidRPr="00C8460F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</w:t>
      </w:r>
      <w:r w:rsidR="00F1025C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Comité permanent</w:t>
      </w:r>
      <w:r w:rsidR="008B3068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les progr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ès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des 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groupes et sous-groupes de travail, les produits envisagés, les préparatifs de la 15</w:t>
      </w:r>
      <w:r w:rsidR="00C8460F" w:rsidRPr="00C8460F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Session de la</w:t>
      </w:r>
      <w:r w:rsidR="00586ED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 w:rsidRPr="00C8460F">
        <w:rPr>
          <w:rFonts w:asciiTheme="minorHAnsi" w:hAnsiTheme="minorHAnsi" w:cstheme="minorHAnsi"/>
          <w:bCs/>
          <w:sz w:val="22"/>
          <w:szCs w:val="22"/>
          <w:lang w:val="fr-FR"/>
        </w:rPr>
        <w:lastRenderedPageBreak/>
        <w:t>Conférence</w:t>
      </w:r>
      <w:r w:rsidR="00586ED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des</w:t>
      </w:r>
      <w:r w:rsidR="00586ED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Parties 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contractantes </w:t>
      </w:r>
      <w:r w:rsidR="00586ED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(</w:t>
      </w:r>
      <w:r w:rsidR="008B3068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COP15</w:t>
      </w:r>
      <w:r w:rsidR="00586ED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)</w:t>
      </w:r>
      <w:r w:rsidR="003C2A22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433594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un</w:t>
      </w:r>
      <w:r w:rsidR="00B85AC3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change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ment dans le rôle du Vice-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P</w:t>
      </w:r>
      <w:r w:rsidR="00C8460F">
        <w:rPr>
          <w:rFonts w:asciiTheme="minorHAnsi" w:hAnsiTheme="minorHAnsi" w:cstheme="minorHAnsi"/>
          <w:bCs/>
          <w:sz w:val="22"/>
          <w:szCs w:val="22"/>
          <w:lang w:val="fr-FR"/>
        </w:rPr>
        <w:t>résident du Groupe de surveillance des activités de CESP et enfin, les déplacements et activités de représentation prévus de la Secrétaire générale pour le reste de l’année 2024.</w:t>
      </w:r>
      <w:r w:rsidR="003E6879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 w:rsidRPr="001942B6">
        <w:rPr>
          <w:rFonts w:asciiTheme="minorHAnsi" w:hAnsiTheme="minorHAnsi" w:cstheme="minorHAnsi"/>
          <w:bCs/>
          <w:sz w:val="22"/>
          <w:szCs w:val="22"/>
          <w:lang w:val="fr-FR"/>
        </w:rPr>
        <w:t>Le Comité exécutif</w:t>
      </w:r>
      <w:r w:rsidR="003E6879" w:rsidRP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C8460F" w:rsidRPr="001942B6">
        <w:rPr>
          <w:rFonts w:asciiTheme="minorHAnsi" w:hAnsiTheme="minorHAnsi" w:cstheme="minorHAnsi"/>
          <w:bCs/>
          <w:sz w:val="22"/>
          <w:szCs w:val="22"/>
          <w:lang w:val="fr-FR"/>
        </w:rPr>
        <w:t>se réunira à nouveau</w:t>
      </w:r>
      <w:r w:rsidR="001942B6" w:rsidRP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 </w:t>
      </w:r>
      <w:r w:rsidR="00323215" w:rsidRP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19 </w:t>
      </w:r>
      <w:r w:rsidR="001942B6" w:rsidRPr="001942B6">
        <w:rPr>
          <w:rFonts w:asciiTheme="minorHAnsi" w:hAnsiTheme="minorHAnsi" w:cstheme="minorHAnsi"/>
          <w:bCs/>
          <w:sz w:val="22"/>
          <w:szCs w:val="22"/>
          <w:lang w:val="fr-FR"/>
        </w:rPr>
        <w:t>janvie</w:t>
      </w:r>
      <w:r w:rsidR="001942B6">
        <w:rPr>
          <w:rFonts w:asciiTheme="minorHAnsi" w:hAnsiTheme="minorHAnsi" w:cstheme="minorHAnsi"/>
          <w:bCs/>
          <w:sz w:val="22"/>
          <w:szCs w:val="22"/>
          <w:lang w:val="fr-FR"/>
        </w:rPr>
        <w:t>r</w:t>
      </w:r>
      <w:r w:rsidR="003963EE" w:rsidRP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2025</w:t>
      </w:r>
      <w:r w:rsid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avant la </w:t>
      </w:r>
      <w:r w:rsidR="001942B6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64</w:t>
      </w:r>
      <w:r w:rsidR="001942B6" w:rsidRPr="00C8460F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1942B6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</w:t>
      </w:r>
      <w:r w:rsidR="001942B6" w:rsidRP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pour discuter de la gestion des procès-verbaux de </w:t>
      </w:r>
      <w:r w:rsidR="00B41B16">
        <w:rPr>
          <w:rFonts w:asciiTheme="minorHAnsi" w:hAnsiTheme="minorHAnsi" w:cstheme="minorHAnsi"/>
          <w:bCs/>
          <w:sz w:val="22"/>
          <w:szCs w:val="22"/>
          <w:lang w:val="fr-FR"/>
        </w:rPr>
        <w:t>cette</w:t>
      </w:r>
      <w:r w:rsidR="001942B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</w:t>
      </w:r>
      <w:r w:rsidR="00323215" w:rsidRPr="001942B6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14:paraId="7C0FF9A6" w14:textId="77777777" w:rsidR="008222C9" w:rsidRPr="001942B6" w:rsidRDefault="008222C9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0BE9506A" w14:textId="68244C30" w:rsidR="00C63E7B" w:rsidRPr="0016046B" w:rsidRDefault="00B43EEF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7</w:t>
      </w:r>
      <w:r w:rsidR="008222C9"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r w:rsidR="00E662CA" w:rsidRPr="00FC4119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B41B16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Lors de la r</w:t>
      </w:r>
      <w:r w:rsidR="0016046B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é</w:t>
      </w:r>
      <w:r w:rsidR="00B41B16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union du 11 septembre, le</w:t>
      </w:r>
      <w:r w:rsidR="006E03EA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B41B16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Comité exécutif </w:t>
      </w:r>
      <w:r w:rsidR="0016046B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 décidé de convoquer une réunion du Groupe de travail sur la gestion le 8 octobre </w:t>
      </w:r>
      <w:r w:rsidR="006E03EA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2024 </w:t>
      </w:r>
      <w:r w:rsidR="0016046B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afin d’informer le groupe des activités et progr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ès</w:t>
      </w:r>
      <w:r w:rsidR="0016046B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du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Programme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de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communication,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é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ducation,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sensibilisation, 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participation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et renforcement des capacités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(</w:t>
      </w:r>
      <w:r w:rsidR="006E03EA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CE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6E03EA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P</w:t>
      </w:r>
      <w:r w:rsidR="00586ED4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)</w:t>
      </w:r>
      <w:r w:rsidR="00F72490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du Groupe d’évaluation scientifique et technique (GEST),</w:t>
      </w:r>
      <w:r w:rsidR="00F72490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des préparatifs de la </w:t>
      </w:r>
      <w:r w:rsidR="0016046B" w:rsidRPr="00C8460F">
        <w:rPr>
          <w:rFonts w:asciiTheme="minorHAnsi" w:hAnsiTheme="minorHAnsi" w:cstheme="minorHAnsi"/>
          <w:bCs/>
          <w:sz w:val="22"/>
          <w:szCs w:val="22"/>
          <w:lang w:val="fr-FR"/>
        </w:rPr>
        <w:t>64</w:t>
      </w:r>
      <w:r w:rsidR="0016046B" w:rsidRPr="00C8460F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16046B" w:rsidRPr="00C8460F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et de la</w:t>
      </w:r>
      <w:r w:rsidR="0010022E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F72490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COP15</w:t>
      </w:r>
      <w:r w:rsidR="00C6152E" w:rsidRPr="0016046B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="00F72490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16046B">
        <w:rPr>
          <w:rFonts w:asciiTheme="minorHAnsi" w:hAnsiTheme="minorHAnsi" w:cstheme="minorHAnsi"/>
          <w:bCs/>
          <w:sz w:val="22"/>
          <w:szCs w:val="22"/>
          <w:lang w:val="fr-FR"/>
        </w:rPr>
        <w:t>et de la finalisation du document d’orientation sur le recrutement d’un nouveau Secrétaire général</w:t>
      </w:r>
      <w:r w:rsidR="00F72490" w:rsidRPr="0016046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</w:p>
    <w:p w14:paraId="32CB1BA6" w14:textId="34F0755D" w:rsidR="00BA61F0" w:rsidRPr="0016046B" w:rsidRDefault="00BA61F0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07D34442" w14:textId="32C1FC41" w:rsidR="00BA61F0" w:rsidRPr="001E6060" w:rsidRDefault="00B43EEF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8</w:t>
      </w:r>
      <w:r w:rsidR="00BA61F0"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r w:rsidR="00BA61F0" w:rsidRPr="00FC4119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C8460F" w:rsidRPr="001E606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Comité exécutif </w:t>
      </w:r>
      <w:r w:rsidR="001E606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est resté à </w:t>
      </w:r>
      <w:r w:rsidR="009F597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la </w:t>
      </w:r>
      <w:r w:rsidR="001E606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>disposition</w:t>
      </w:r>
      <w:r w:rsidR="00FC4119" w:rsidRPr="00FC411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du Secrétariat</w:t>
      </w:r>
      <w:r w:rsidR="001E606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>, durant la période du rapport, pour fournir</w:t>
      </w:r>
      <w:r w:rsidR="00FC4119">
        <w:rPr>
          <w:rFonts w:asciiTheme="minorHAnsi" w:hAnsiTheme="minorHAnsi" w:cstheme="minorHAnsi"/>
          <w:bCs/>
          <w:sz w:val="22"/>
          <w:szCs w:val="22"/>
          <w:lang w:val="fr-FR"/>
        </w:rPr>
        <w:t>, sur demande,</w:t>
      </w:r>
      <w:r w:rsidR="001E606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des orientations sur les questions administratives et</w:t>
      </w:r>
      <w:r w:rsidR="001E606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gouvernance</w:t>
      </w:r>
      <w:r w:rsidR="00E16C2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BA61F0" w:rsidRPr="001E606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</w:p>
    <w:sectPr w:rsidR="00BA61F0" w:rsidRPr="001E6060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6924A" w14:textId="77777777" w:rsidR="003405FA" w:rsidRDefault="003405FA" w:rsidP="006058B3">
      <w:r>
        <w:separator/>
      </w:r>
    </w:p>
  </w:endnote>
  <w:endnote w:type="continuationSeparator" w:id="0">
    <w:p w14:paraId="5B98C167" w14:textId="77777777" w:rsidR="003405FA" w:rsidRDefault="003405FA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693F" w14:textId="5F240795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</w:t>
    </w:r>
    <w:r w:rsidR="00CE11A9">
      <w:rPr>
        <w:rFonts w:asciiTheme="minorHAnsi" w:hAnsiTheme="minorHAnsi" w:cstheme="minorHAnsi"/>
        <w:sz w:val="20"/>
        <w:szCs w:val="20"/>
      </w:rPr>
      <w:t>6</w:t>
    </w:r>
    <w:r w:rsidR="0010022E">
      <w:rPr>
        <w:rFonts w:asciiTheme="minorHAnsi" w:hAnsiTheme="minorHAnsi" w:cstheme="minorHAnsi"/>
        <w:sz w:val="20"/>
        <w:szCs w:val="20"/>
      </w:rPr>
      <w:t>4</w:t>
    </w:r>
    <w:r w:rsidR="0017220E">
      <w:rPr>
        <w:rFonts w:asciiTheme="minorHAnsi" w:hAnsiTheme="minorHAnsi" w:cstheme="minorHAnsi"/>
        <w:sz w:val="20"/>
        <w:szCs w:val="20"/>
      </w:rPr>
      <w:t xml:space="preserve"> </w:t>
    </w:r>
    <w:r w:rsidRPr="00967BF4">
      <w:rPr>
        <w:rFonts w:asciiTheme="minorHAnsi" w:hAnsiTheme="minorHAnsi" w:cstheme="minorHAnsi"/>
        <w:sz w:val="20"/>
        <w:szCs w:val="20"/>
      </w:rPr>
      <w:t>Doc.</w:t>
    </w:r>
    <w:r w:rsidR="00967BF4" w:rsidRPr="00967BF4">
      <w:rPr>
        <w:rFonts w:asciiTheme="minorHAnsi" w:hAnsiTheme="minorHAnsi" w:cstheme="minorHAnsi"/>
        <w:sz w:val="20"/>
        <w:szCs w:val="20"/>
      </w:rPr>
      <w:t>5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4D5BE8">
      <w:rPr>
        <w:rFonts w:asciiTheme="minorHAnsi" w:hAnsiTheme="minorHAnsi" w:cstheme="minorHAnsi"/>
        <w:noProof/>
        <w:sz w:val="20"/>
        <w:szCs w:val="20"/>
      </w:rPr>
      <w:t>2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0AE7" w14:textId="77777777" w:rsidR="003405FA" w:rsidRDefault="003405FA" w:rsidP="006058B3">
      <w:r>
        <w:separator/>
      </w:r>
    </w:p>
  </w:footnote>
  <w:footnote w:type="continuationSeparator" w:id="0">
    <w:p w14:paraId="49A09686" w14:textId="77777777" w:rsidR="003405FA" w:rsidRDefault="003405FA" w:rsidP="0060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BAC"/>
    <w:multiLevelType w:val="hybridMultilevel"/>
    <w:tmpl w:val="E1168806"/>
    <w:lvl w:ilvl="0" w:tplc="2BD4E44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1019">
    <w:abstractNumId w:val="4"/>
  </w:num>
  <w:num w:numId="2" w16cid:durableId="626132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8010465">
    <w:abstractNumId w:val="5"/>
  </w:num>
  <w:num w:numId="4" w16cid:durableId="1145927509">
    <w:abstractNumId w:val="0"/>
  </w:num>
  <w:num w:numId="5" w16cid:durableId="1002005441">
    <w:abstractNumId w:val="6"/>
  </w:num>
  <w:num w:numId="6" w16cid:durableId="19596385">
    <w:abstractNumId w:val="7"/>
  </w:num>
  <w:num w:numId="7" w16cid:durableId="317346541">
    <w:abstractNumId w:val="2"/>
  </w:num>
  <w:num w:numId="8" w16cid:durableId="690692193">
    <w:abstractNumId w:val="1"/>
  </w:num>
  <w:num w:numId="9" w16cid:durableId="69234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46CE"/>
    <w:rsid w:val="000054C2"/>
    <w:rsid w:val="00017290"/>
    <w:rsid w:val="000206E7"/>
    <w:rsid w:val="00022A0A"/>
    <w:rsid w:val="000250FF"/>
    <w:rsid w:val="000267EF"/>
    <w:rsid w:val="00027DBC"/>
    <w:rsid w:val="00046B52"/>
    <w:rsid w:val="00065171"/>
    <w:rsid w:val="00065B8F"/>
    <w:rsid w:val="00076CE7"/>
    <w:rsid w:val="00085EE7"/>
    <w:rsid w:val="00090B48"/>
    <w:rsid w:val="00091474"/>
    <w:rsid w:val="00095E33"/>
    <w:rsid w:val="000970CA"/>
    <w:rsid w:val="000A6138"/>
    <w:rsid w:val="000C71D4"/>
    <w:rsid w:val="000C7A56"/>
    <w:rsid w:val="000E637A"/>
    <w:rsid w:val="000E6B66"/>
    <w:rsid w:val="0010022E"/>
    <w:rsid w:val="001133C2"/>
    <w:rsid w:val="00131FA2"/>
    <w:rsid w:val="00144492"/>
    <w:rsid w:val="001529FF"/>
    <w:rsid w:val="0015336C"/>
    <w:rsid w:val="00155904"/>
    <w:rsid w:val="0016046B"/>
    <w:rsid w:val="0017220E"/>
    <w:rsid w:val="00175FA6"/>
    <w:rsid w:val="001942B6"/>
    <w:rsid w:val="001B6F33"/>
    <w:rsid w:val="001C341F"/>
    <w:rsid w:val="001C4D6A"/>
    <w:rsid w:val="001D2AF2"/>
    <w:rsid w:val="001E6060"/>
    <w:rsid w:val="0022547B"/>
    <w:rsid w:val="0022737C"/>
    <w:rsid w:val="002314AC"/>
    <w:rsid w:val="00233167"/>
    <w:rsid w:val="00241AEB"/>
    <w:rsid w:val="00244561"/>
    <w:rsid w:val="00250282"/>
    <w:rsid w:val="0025233F"/>
    <w:rsid w:val="002847D3"/>
    <w:rsid w:val="002905C9"/>
    <w:rsid w:val="00295E57"/>
    <w:rsid w:val="002A28D6"/>
    <w:rsid w:val="002A7D66"/>
    <w:rsid w:val="002E4678"/>
    <w:rsid w:val="002F0097"/>
    <w:rsid w:val="002F22EE"/>
    <w:rsid w:val="002F4875"/>
    <w:rsid w:val="00303D77"/>
    <w:rsid w:val="00305218"/>
    <w:rsid w:val="00307B7E"/>
    <w:rsid w:val="003149A3"/>
    <w:rsid w:val="00317FDC"/>
    <w:rsid w:val="00323215"/>
    <w:rsid w:val="003405FA"/>
    <w:rsid w:val="003501A9"/>
    <w:rsid w:val="00354D36"/>
    <w:rsid w:val="00391805"/>
    <w:rsid w:val="003963EE"/>
    <w:rsid w:val="003A3A91"/>
    <w:rsid w:val="003B2477"/>
    <w:rsid w:val="003C1C65"/>
    <w:rsid w:val="003C2A22"/>
    <w:rsid w:val="003D2C54"/>
    <w:rsid w:val="003E6879"/>
    <w:rsid w:val="003F53DD"/>
    <w:rsid w:val="00412077"/>
    <w:rsid w:val="00433594"/>
    <w:rsid w:val="00443985"/>
    <w:rsid w:val="00470DB8"/>
    <w:rsid w:val="00491BEE"/>
    <w:rsid w:val="0049654A"/>
    <w:rsid w:val="004A15AF"/>
    <w:rsid w:val="004B3ABF"/>
    <w:rsid w:val="004C38CF"/>
    <w:rsid w:val="004D5BE8"/>
    <w:rsid w:val="004E0DB3"/>
    <w:rsid w:val="004F7BE5"/>
    <w:rsid w:val="005078BB"/>
    <w:rsid w:val="0051038A"/>
    <w:rsid w:val="00535F9D"/>
    <w:rsid w:val="00545C1A"/>
    <w:rsid w:val="005535F2"/>
    <w:rsid w:val="005653D8"/>
    <w:rsid w:val="005658CB"/>
    <w:rsid w:val="005855E2"/>
    <w:rsid w:val="00586ED4"/>
    <w:rsid w:val="00594ED0"/>
    <w:rsid w:val="005C7B28"/>
    <w:rsid w:val="005D106B"/>
    <w:rsid w:val="005D7783"/>
    <w:rsid w:val="005F0C8D"/>
    <w:rsid w:val="005F680E"/>
    <w:rsid w:val="00603F76"/>
    <w:rsid w:val="006058B3"/>
    <w:rsid w:val="00610E89"/>
    <w:rsid w:val="006320E6"/>
    <w:rsid w:val="00634417"/>
    <w:rsid w:val="006356A9"/>
    <w:rsid w:val="00644C1D"/>
    <w:rsid w:val="00657299"/>
    <w:rsid w:val="006678F8"/>
    <w:rsid w:val="00680771"/>
    <w:rsid w:val="00686267"/>
    <w:rsid w:val="00692925"/>
    <w:rsid w:val="006978F0"/>
    <w:rsid w:val="006A7C44"/>
    <w:rsid w:val="006B72AF"/>
    <w:rsid w:val="006D3C88"/>
    <w:rsid w:val="006D5444"/>
    <w:rsid w:val="006E03EA"/>
    <w:rsid w:val="006E3B93"/>
    <w:rsid w:val="006F0B29"/>
    <w:rsid w:val="006F30DC"/>
    <w:rsid w:val="006F3186"/>
    <w:rsid w:val="006F48CA"/>
    <w:rsid w:val="00707224"/>
    <w:rsid w:val="007303FB"/>
    <w:rsid w:val="00741781"/>
    <w:rsid w:val="00750225"/>
    <w:rsid w:val="007557D5"/>
    <w:rsid w:val="0075712F"/>
    <w:rsid w:val="00773024"/>
    <w:rsid w:val="00780AFD"/>
    <w:rsid w:val="00790DB1"/>
    <w:rsid w:val="007916AF"/>
    <w:rsid w:val="00795C6E"/>
    <w:rsid w:val="007B1C3F"/>
    <w:rsid w:val="007E4217"/>
    <w:rsid w:val="007F7F60"/>
    <w:rsid w:val="00801042"/>
    <w:rsid w:val="008222C9"/>
    <w:rsid w:val="00826FE5"/>
    <w:rsid w:val="00853A4C"/>
    <w:rsid w:val="00857A9F"/>
    <w:rsid w:val="00857CD6"/>
    <w:rsid w:val="008627FE"/>
    <w:rsid w:val="00873BE1"/>
    <w:rsid w:val="0089103F"/>
    <w:rsid w:val="008952D7"/>
    <w:rsid w:val="008A1B89"/>
    <w:rsid w:val="008B3068"/>
    <w:rsid w:val="008C1D57"/>
    <w:rsid w:val="008C2764"/>
    <w:rsid w:val="008D0D24"/>
    <w:rsid w:val="008D1611"/>
    <w:rsid w:val="008F2E14"/>
    <w:rsid w:val="008F72BF"/>
    <w:rsid w:val="009032B8"/>
    <w:rsid w:val="0090644D"/>
    <w:rsid w:val="00910559"/>
    <w:rsid w:val="00921C07"/>
    <w:rsid w:val="009325C4"/>
    <w:rsid w:val="00936153"/>
    <w:rsid w:val="00956B48"/>
    <w:rsid w:val="009603AF"/>
    <w:rsid w:val="00960912"/>
    <w:rsid w:val="00967BF4"/>
    <w:rsid w:val="00973990"/>
    <w:rsid w:val="0097657A"/>
    <w:rsid w:val="009978A7"/>
    <w:rsid w:val="009A4362"/>
    <w:rsid w:val="009B769F"/>
    <w:rsid w:val="009C24AD"/>
    <w:rsid w:val="009C4474"/>
    <w:rsid w:val="009C6711"/>
    <w:rsid w:val="009D3818"/>
    <w:rsid w:val="009D3A3C"/>
    <w:rsid w:val="009E5358"/>
    <w:rsid w:val="009F5970"/>
    <w:rsid w:val="00A00CE4"/>
    <w:rsid w:val="00A32562"/>
    <w:rsid w:val="00A52A09"/>
    <w:rsid w:val="00A5503B"/>
    <w:rsid w:val="00A61167"/>
    <w:rsid w:val="00A61E86"/>
    <w:rsid w:val="00A95654"/>
    <w:rsid w:val="00AA2EDD"/>
    <w:rsid w:val="00AC138B"/>
    <w:rsid w:val="00AC56C4"/>
    <w:rsid w:val="00AE6055"/>
    <w:rsid w:val="00AE7B3F"/>
    <w:rsid w:val="00AF25A0"/>
    <w:rsid w:val="00AF28A3"/>
    <w:rsid w:val="00B02590"/>
    <w:rsid w:val="00B0440F"/>
    <w:rsid w:val="00B230C0"/>
    <w:rsid w:val="00B41B16"/>
    <w:rsid w:val="00B43EEF"/>
    <w:rsid w:val="00B71DD0"/>
    <w:rsid w:val="00B73411"/>
    <w:rsid w:val="00B85AC3"/>
    <w:rsid w:val="00B9629C"/>
    <w:rsid w:val="00BA61F0"/>
    <w:rsid w:val="00BB2E67"/>
    <w:rsid w:val="00BC5325"/>
    <w:rsid w:val="00BD08AD"/>
    <w:rsid w:val="00C17EF6"/>
    <w:rsid w:val="00C32315"/>
    <w:rsid w:val="00C36260"/>
    <w:rsid w:val="00C42E53"/>
    <w:rsid w:val="00C450F6"/>
    <w:rsid w:val="00C549D6"/>
    <w:rsid w:val="00C6152E"/>
    <w:rsid w:val="00C63E7B"/>
    <w:rsid w:val="00C648EB"/>
    <w:rsid w:val="00C8460F"/>
    <w:rsid w:val="00C87C2D"/>
    <w:rsid w:val="00CA333D"/>
    <w:rsid w:val="00CA5CD6"/>
    <w:rsid w:val="00CB2EBD"/>
    <w:rsid w:val="00CB40BA"/>
    <w:rsid w:val="00CC5FED"/>
    <w:rsid w:val="00CE11A9"/>
    <w:rsid w:val="00D04785"/>
    <w:rsid w:val="00D37C9C"/>
    <w:rsid w:val="00D47D43"/>
    <w:rsid w:val="00D50230"/>
    <w:rsid w:val="00D631CE"/>
    <w:rsid w:val="00D96CBB"/>
    <w:rsid w:val="00DD473F"/>
    <w:rsid w:val="00DF3152"/>
    <w:rsid w:val="00E06E63"/>
    <w:rsid w:val="00E16C20"/>
    <w:rsid w:val="00E205AD"/>
    <w:rsid w:val="00E414F9"/>
    <w:rsid w:val="00E662CA"/>
    <w:rsid w:val="00E70C14"/>
    <w:rsid w:val="00E74FFF"/>
    <w:rsid w:val="00E9062A"/>
    <w:rsid w:val="00E95E62"/>
    <w:rsid w:val="00EB0594"/>
    <w:rsid w:val="00EB6CF2"/>
    <w:rsid w:val="00EC3257"/>
    <w:rsid w:val="00EF4CF6"/>
    <w:rsid w:val="00F00776"/>
    <w:rsid w:val="00F1025C"/>
    <w:rsid w:val="00F10565"/>
    <w:rsid w:val="00F12376"/>
    <w:rsid w:val="00F16DB7"/>
    <w:rsid w:val="00F1700C"/>
    <w:rsid w:val="00F33930"/>
    <w:rsid w:val="00F42070"/>
    <w:rsid w:val="00F72490"/>
    <w:rsid w:val="00F757C1"/>
    <w:rsid w:val="00F805F5"/>
    <w:rsid w:val="00FC4119"/>
    <w:rsid w:val="00FD721C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  <w:style w:type="paragraph" w:customStyle="1" w:styleId="Standard">
    <w:name w:val="Standard"/>
    <w:rsid w:val="00F10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9565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1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5F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7E62-D040-4FFA-8656-8000DFEC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F4904-B7CF-401E-BE23-00A1E7FFE92B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DA2FB079-52A0-4B3E-B08C-FB8924F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2024-09-23T07:27:00Z</dcterms:created>
  <dcterms:modified xsi:type="dcterms:W3CDTF">2024-09-23T07:27:00Z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