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54225" w14:textId="705D24FA" w:rsidR="007A72F5" w:rsidRPr="007A72F5" w:rsidRDefault="007A72F5" w:rsidP="007A72F5">
      <w:pPr>
        <w:pBdr>
          <w:top w:val="single" w:sz="12" w:space="0" w:color="auto" w:shadow="1"/>
          <w:left w:val="single" w:sz="12" w:space="4" w:color="auto" w:shadow="1"/>
          <w:bottom w:val="single" w:sz="12" w:space="1" w:color="auto" w:shadow="1"/>
          <w:right w:val="single" w:sz="12" w:space="7" w:color="auto" w:shadow="1"/>
        </w:pBdr>
        <w:ind w:right="3781"/>
        <w:rPr>
          <w:bCs/>
          <w:lang w:val="fr-FR"/>
        </w:rPr>
      </w:pPr>
      <w:bookmarkStart w:id="0" w:name="_Hlk177117022"/>
      <w:r w:rsidRPr="007A72F5">
        <w:rPr>
          <w:bCs/>
          <w:lang w:val="fr-FR"/>
        </w:rPr>
        <w:t>CONVENTION SUR LES ZONES H</w:t>
      </w:r>
      <w:r>
        <w:rPr>
          <w:bCs/>
          <w:lang w:val="fr-FR"/>
        </w:rPr>
        <w:t>UMIDES</w:t>
      </w:r>
    </w:p>
    <w:p w14:paraId="55A5C80E" w14:textId="39890293" w:rsidR="007A72F5" w:rsidRPr="007A72F5" w:rsidRDefault="007A72F5" w:rsidP="007A72F5">
      <w:pPr>
        <w:pBdr>
          <w:top w:val="single" w:sz="12" w:space="0" w:color="auto" w:shadow="1"/>
          <w:left w:val="single" w:sz="12" w:space="4" w:color="auto" w:shadow="1"/>
          <w:bottom w:val="single" w:sz="12" w:space="1" w:color="auto" w:shadow="1"/>
          <w:right w:val="single" w:sz="12" w:space="7" w:color="auto" w:shadow="1"/>
        </w:pBdr>
        <w:ind w:right="3781"/>
        <w:rPr>
          <w:bCs/>
          <w:lang w:val="fr-FR"/>
        </w:rPr>
      </w:pPr>
      <w:r w:rsidRPr="007A72F5">
        <w:rPr>
          <w:bCs/>
          <w:lang w:val="fr-FR"/>
        </w:rPr>
        <w:t>64</w:t>
      </w:r>
      <w:r w:rsidRPr="007A72F5">
        <w:rPr>
          <w:bCs/>
          <w:vertAlign w:val="superscript"/>
          <w:lang w:val="fr-FR"/>
        </w:rPr>
        <w:t>e</w:t>
      </w:r>
      <w:r w:rsidR="00663742">
        <w:rPr>
          <w:bCs/>
          <w:lang w:val="fr-FR"/>
        </w:rPr>
        <w:t> </w:t>
      </w:r>
      <w:r w:rsidR="0045016B">
        <w:rPr>
          <w:bCs/>
          <w:lang w:val="fr-FR"/>
        </w:rPr>
        <w:t>r</w:t>
      </w:r>
      <w:r w:rsidRPr="007A72F5">
        <w:rPr>
          <w:bCs/>
          <w:lang w:val="fr-FR"/>
        </w:rPr>
        <w:t>éunion du Comité permanent</w:t>
      </w:r>
    </w:p>
    <w:p w14:paraId="4393BD61" w14:textId="6FA181F9" w:rsidR="007A72F5" w:rsidRPr="007A72F5" w:rsidRDefault="007A72F5" w:rsidP="007A72F5">
      <w:pPr>
        <w:pBdr>
          <w:top w:val="single" w:sz="12" w:space="0" w:color="auto" w:shadow="1"/>
          <w:left w:val="single" w:sz="12" w:space="4" w:color="auto" w:shadow="1"/>
          <w:bottom w:val="single" w:sz="12" w:space="1" w:color="auto" w:shadow="1"/>
          <w:right w:val="single" w:sz="12" w:space="7" w:color="auto" w:shadow="1"/>
        </w:pBdr>
        <w:ind w:right="3781"/>
        <w:rPr>
          <w:bCs/>
          <w:lang w:val="de-CH"/>
        </w:rPr>
      </w:pPr>
      <w:r w:rsidRPr="007A72F5">
        <w:rPr>
          <w:bCs/>
          <w:lang w:val="de-CH"/>
        </w:rPr>
        <w:t>Gland, Suisse, 20 au 24 janvier 2024</w:t>
      </w:r>
    </w:p>
    <w:bookmarkEnd w:id="0"/>
    <w:p w14:paraId="2BD24C97" w14:textId="77777777" w:rsidR="00DF2386" w:rsidRPr="00CA5004" w:rsidRDefault="00DF2386" w:rsidP="00014168">
      <w:pPr>
        <w:outlineLvl w:val="0"/>
        <w:rPr>
          <w:b/>
          <w:sz w:val="28"/>
          <w:szCs w:val="28"/>
          <w:lang w:val="de-CH"/>
        </w:rPr>
      </w:pPr>
    </w:p>
    <w:p w14:paraId="3DD11040" w14:textId="7AF8A80A" w:rsidR="00DF2386" w:rsidRPr="002F18BD" w:rsidRDefault="002E3BF8" w:rsidP="0014749C">
      <w:pPr>
        <w:jc w:val="right"/>
        <w:rPr>
          <w:b/>
          <w:sz w:val="28"/>
          <w:szCs w:val="28"/>
          <w:lang w:val="de-CH"/>
        </w:rPr>
      </w:pPr>
      <w:r>
        <w:rPr>
          <w:rFonts w:cs="Arial"/>
          <w:b/>
          <w:sz w:val="28"/>
          <w:szCs w:val="28"/>
          <w:lang w:val="de-CH"/>
        </w:rPr>
        <w:t>SC64</w:t>
      </w:r>
      <w:r w:rsidR="0014749C" w:rsidRPr="002F18BD">
        <w:rPr>
          <w:rFonts w:cs="Arial"/>
          <w:b/>
          <w:sz w:val="28"/>
          <w:szCs w:val="28"/>
          <w:lang w:val="de-CH"/>
        </w:rPr>
        <w:t xml:space="preserve"> </w:t>
      </w:r>
      <w:r w:rsidR="00FD76BF" w:rsidRPr="002F18BD">
        <w:rPr>
          <w:rFonts w:cs="Arial"/>
          <w:b/>
          <w:sz w:val="28"/>
          <w:szCs w:val="28"/>
          <w:lang w:val="de-CH"/>
        </w:rPr>
        <w:t>Doc</w:t>
      </w:r>
      <w:r w:rsidR="0014749C" w:rsidRPr="002F18BD">
        <w:rPr>
          <w:rFonts w:cs="Arial"/>
          <w:b/>
          <w:sz w:val="28"/>
          <w:szCs w:val="28"/>
          <w:lang w:val="de-CH"/>
        </w:rPr>
        <w:t>.</w:t>
      </w:r>
      <w:r w:rsidR="006E610A" w:rsidRPr="002F18BD">
        <w:rPr>
          <w:rFonts w:cs="Arial"/>
          <w:b/>
          <w:sz w:val="28"/>
          <w:szCs w:val="28"/>
          <w:lang w:val="de-CH"/>
        </w:rPr>
        <w:t>8</w:t>
      </w:r>
    </w:p>
    <w:p w14:paraId="18694776" w14:textId="77777777" w:rsidR="0014749C" w:rsidRPr="0045016B" w:rsidRDefault="0014749C" w:rsidP="00014168">
      <w:pPr>
        <w:jc w:val="center"/>
        <w:rPr>
          <w:rFonts w:cs="Arial"/>
          <w:b/>
          <w:sz w:val="28"/>
          <w:szCs w:val="28"/>
          <w:lang w:val="de-CH"/>
        </w:rPr>
      </w:pPr>
    </w:p>
    <w:p w14:paraId="5610CBA3" w14:textId="377BF17D" w:rsidR="00DF2386" w:rsidRPr="002F18BD" w:rsidRDefault="00737C66" w:rsidP="00A9552A">
      <w:pPr>
        <w:jc w:val="center"/>
        <w:rPr>
          <w:rFonts w:cs="Arial"/>
          <w:b/>
          <w:sz w:val="28"/>
          <w:szCs w:val="28"/>
          <w:lang w:val="fr-FR"/>
        </w:rPr>
      </w:pPr>
      <w:r w:rsidRPr="002F18BD">
        <w:rPr>
          <w:rFonts w:cs="Arial"/>
          <w:b/>
          <w:sz w:val="28"/>
          <w:szCs w:val="28"/>
          <w:lang w:val="fr-FR"/>
        </w:rPr>
        <w:t>R</w:t>
      </w:r>
      <w:r w:rsidR="00750B08" w:rsidRPr="002F18BD">
        <w:rPr>
          <w:rFonts w:cs="Arial"/>
          <w:b/>
          <w:sz w:val="28"/>
          <w:szCs w:val="28"/>
          <w:lang w:val="fr-FR"/>
        </w:rPr>
        <w:t>ap</w:t>
      </w:r>
      <w:r w:rsidRPr="002F18BD">
        <w:rPr>
          <w:rFonts w:cs="Arial"/>
          <w:b/>
          <w:sz w:val="28"/>
          <w:szCs w:val="28"/>
          <w:lang w:val="fr-FR"/>
        </w:rPr>
        <w:t xml:space="preserve">port </w:t>
      </w:r>
      <w:r w:rsidR="00750B08" w:rsidRPr="002F18BD">
        <w:rPr>
          <w:rFonts w:cs="Arial"/>
          <w:b/>
          <w:sz w:val="28"/>
          <w:szCs w:val="28"/>
          <w:lang w:val="fr-FR"/>
        </w:rPr>
        <w:t>du</w:t>
      </w:r>
      <w:r w:rsidRPr="002F18BD">
        <w:rPr>
          <w:rFonts w:cs="Arial"/>
          <w:b/>
          <w:sz w:val="28"/>
          <w:szCs w:val="28"/>
          <w:lang w:val="fr-FR"/>
        </w:rPr>
        <w:t xml:space="preserve"> </w:t>
      </w:r>
      <w:r w:rsidR="00A9552A" w:rsidRPr="002F18BD">
        <w:rPr>
          <w:rFonts w:cs="Arial"/>
          <w:b/>
          <w:sz w:val="28"/>
          <w:szCs w:val="28"/>
          <w:lang w:val="fr-FR"/>
        </w:rPr>
        <w:t>Secr</w:t>
      </w:r>
      <w:r w:rsidR="00750B08" w:rsidRPr="002F18BD">
        <w:rPr>
          <w:rFonts w:cs="Arial"/>
          <w:b/>
          <w:sz w:val="28"/>
          <w:szCs w:val="28"/>
          <w:lang w:val="fr-FR"/>
        </w:rPr>
        <w:t>é</w:t>
      </w:r>
      <w:r w:rsidR="00A9552A" w:rsidRPr="002F18BD">
        <w:rPr>
          <w:rFonts w:cs="Arial"/>
          <w:b/>
          <w:sz w:val="28"/>
          <w:szCs w:val="28"/>
          <w:lang w:val="fr-FR"/>
        </w:rPr>
        <w:t xml:space="preserve">tariat </w:t>
      </w:r>
      <w:r w:rsidR="00750B08" w:rsidRPr="002F18BD">
        <w:rPr>
          <w:rFonts w:cs="Arial"/>
          <w:b/>
          <w:sz w:val="28"/>
          <w:szCs w:val="28"/>
          <w:lang w:val="fr-FR"/>
        </w:rPr>
        <w:t xml:space="preserve">sur la mise en </w:t>
      </w:r>
      <w:r w:rsidR="008E4B43" w:rsidRPr="002F18BD">
        <w:rPr>
          <w:rFonts w:cs="Arial"/>
          <w:b/>
          <w:sz w:val="28"/>
          <w:szCs w:val="28"/>
          <w:lang w:val="fr-FR"/>
        </w:rPr>
        <w:t>œuvre des</w:t>
      </w:r>
      <w:r w:rsidR="00164682" w:rsidRPr="002F18BD">
        <w:rPr>
          <w:rFonts w:cs="Arial"/>
          <w:b/>
          <w:sz w:val="28"/>
          <w:szCs w:val="28"/>
          <w:lang w:val="fr-FR"/>
        </w:rPr>
        <w:t xml:space="preserve"> D</w:t>
      </w:r>
      <w:r w:rsidR="008E4B43" w:rsidRPr="002F18BD">
        <w:rPr>
          <w:rFonts w:cs="Arial"/>
          <w:b/>
          <w:sz w:val="28"/>
          <w:szCs w:val="28"/>
          <w:lang w:val="fr-FR"/>
        </w:rPr>
        <w:t>é</w:t>
      </w:r>
      <w:r w:rsidR="00164682" w:rsidRPr="002F18BD">
        <w:rPr>
          <w:rFonts w:cs="Arial"/>
          <w:b/>
          <w:sz w:val="28"/>
          <w:szCs w:val="28"/>
          <w:lang w:val="fr-FR"/>
        </w:rPr>
        <w:t xml:space="preserve">cisions </w:t>
      </w:r>
      <w:r w:rsidR="00E65069" w:rsidRPr="002F18BD">
        <w:rPr>
          <w:rFonts w:cs="Arial"/>
          <w:b/>
          <w:sz w:val="28"/>
          <w:szCs w:val="28"/>
          <w:lang w:val="fr-FR"/>
        </w:rPr>
        <w:br/>
      </w:r>
      <w:r w:rsidR="008E4B43" w:rsidRPr="002F18BD">
        <w:rPr>
          <w:rFonts w:cs="Arial"/>
          <w:b/>
          <w:sz w:val="28"/>
          <w:szCs w:val="28"/>
          <w:lang w:val="fr-FR"/>
        </w:rPr>
        <w:t>du</w:t>
      </w:r>
      <w:r w:rsidR="00164682" w:rsidRPr="002F18BD">
        <w:rPr>
          <w:rFonts w:cs="Arial"/>
          <w:b/>
          <w:sz w:val="28"/>
          <w:szCs w:val="28"/>
          <w:lang w:val="fr-FR"/>
        </w:rPr>
        <w:t xml:space="preserve"> Comit</w:t>
      </w:r>
      <w:r w:rsidR="008E4B43" w:rsidRPr="002F18BD">
        <w:rPr>
          <w:rFonts w:cs="Arial"/>
          <w:b/>
          <w:sz w:val="28"/>
          <w:szCs w:val="28"/>
          <w:lang w:val="fr-FR"/>
        </w:rPr>
        <w:t>é permanent</w:t>
      </w:r>
      <w:r w:rsidR="00164682" w:rsidRPr="002F18BD">
        <w:rPr>
          <w:rFonts w:cs="Arial"/>
          <w:b/>
          <w:sz w:val="28"/>
          <w:szCs w:val="28"/>
          <w:lang w:val="fr-FR"/>
        </w:rPr>
        <w:t xml:space="preserve"> </w:t>
      </w:r>
    </w:p>
    <w:p w14:paraId="5D611A48" w14:textId="77777777" w:rsidR="00A9552A" w:rsidRPr="00CA5004" w:rsidRDefault="00A9552A" w:rsidP="00A9552A">
      <w:pPr>
        <w:jc w:val="center"/>
        <w:rPr>
          <w:rFonts w:cs="Arial"/>
          <w:b/>
          <w:sz w:val="28"/>
          <w:szCs w:val="28"/>
          <w:lang w:val="fr-FR"/>
        </w:rPr>
      </w:pPr>
    </w:p>
    <w:p w14:paraId="61305258" w14:textId="77777777" w:rsidR="000C2489" w:rsidRPr="002F18BD" w:rsidRDefault="000C2489" w:rsidP="00014168">
      <w:pPr>
        <w:autoSpaceDE w:val="0"/>
        <w:autoSpaceDN w:val="0"/>
        <w:adjustRightInd w:val="0"/>
        <w:rPr>
          <w:rFonts w:asciiTheme="minorHAnsi" w:eastAsiaTheme="minorHAnsi" w:hAnsiTheme="minorHAnsi" w:cs="Calibri-Bold"/>
          <w:b/>
          <w:bCs/>
          <w:sz w:val="24"/>
          <w:szCs w:val="24"/>
        </w:rPr>
      </w:pPr>
      <w:r w:rsidRPr="002F18BD">
        <w:rPr>
          <w:noProof/>
          <w:sz w:val="24"/>
          <w:szCs w:val="24"/>
          <w:lang w:eastAsia="en-GB"/>
        </w:rPr>
        <mc:AlternateContent>
          <mc:Choice Requires="wps">
            <w:drawing>
              <wp:inline distT="0" distB="0" distL="0" distR="0" wp14:anchorId="62013487" wp14:editId="6BF012EB">
                <wp:extent cx="5602637" cy="681925"/>
                <wp:effectExtent l="0" t="0" r="1714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37" cy="681925"/>
                        </a:xfrm>
                        <a:prstGeom prst="rect">
                          <a:avLst/>
                        </a:prstGeom>
                        <a:solidFill>
                          <a:srgbClr val="FFFFFF"/>
                        </a:solidFill>
                        <a:ln w="9525">
                          <a:solidFill>
                            <a:srgbClr val="000000"/>
                          </a:solidFill>
                          <a:miter lim="800000"/>
                          <a:headEnd/>
                          <a:tailEnd/>
                        </a:ln>
                      </wps:spPr>
                      <wps:txbx>
                        <w:txbxContent>
                          <w:p w14:paraId="155D4708" w14:textId="4D7602B8" w:rsidR="000C2489" w:rsidRPr="008E4B43" w:rsidRDefault="008E4B43" w:rsidP="000C2489">
                            <w:pPr>
                              <w:rPr>
                                <w:b/>
                                <w:bCs/>
                                <w:lang w:val="fr-FR"/>
                              </w:rPr>
                            </w:pPr>
                            <w:r w:rsidRPr="008E4B43">
                              <w:rPr>
                                <w:b/>
                                <w:bCs/>
                                <w:lang w:val="fr-FR"/>
                              </w:rPr>
                              <w:t>Mesure</w:t>
                            </w:r>
                            <w:r w:rsidR="000C2489" w:rsidRPr="008E4B43">
                              <w:rPr>
                                <w:b/>
                                <w:bCs/>
                                <w:lang w:val="fr-FR"/>
                              </w:rPr>
                              <w:t xml:space="preserve"> requ</w:t>
                            </w:r>
                            <w:r w:rsidRPr="008E4B43">
                              <w:rPr>
                                <w:b/>
                                <w:bCs/>
                                <w:lang w:val="fr-FR"/>
                              </w:rPr>
                              <w:t>ise </w:t>
                            </w:r>
                            <w:r w:rsidR="000C2489" w:rsidRPr="008E4B43">
                              <w:rPr>
                                <w:b/>
                                <w:bCs/>
                                <w:lang w:val="fr-FR"/>
                              </w:rPr>
                              <w:t xml:space="preserve">: </w:t>
                            </w:r>
                          </w:p>
                          <w:p w14:paraId="367AB0B5" w14:textId="77777777" w:rsidR="000C2489" w:rsidRPr="008E4B43" w:rsidRDefault="000C2489" w:rsidP="000C2489">
                            <w:pPr>
                              <w:pStyle w:val="ColorfulList-Accent11"/>
                              <w:ind w:left="0"/>
                              <w:rPr>
                                <w:lang w:val="fr-FR"/>
                              </w:rPr>
                            </w:pPr>
                          </w:p>
                          <w:p w14:paraId="6F3E70B0" w14:textId="5B81E563" w:rsidR="00370C3C" w:rsidRPr="008E4B43" w:rsidRDefault="008E4B43" w:rsidP="002E3BF8">
                            <w:pPr>
                              <w:pStyle w:val="ColorfulList-Accent11"/>
                              <w:ind w:left="0" w:firstLine="0"/>
                              <w:rPr>
                                <w:rFonts w:cs="Calibri"/>
                                <w:lang w:val="fr-FR"/>
                              </w:rPr>
                            </w:pPr>
                            <w:r w:rsidRPr="008E4B43">
                              <w:rPr>
                                <w:lang w:val="fr-FR"/>
                              </w:rPr>
                              <w:t>Le</w:t>
                            </w:r>
                            <w:r w:rsidR="008A6505" w:rsidRPr="008E4B43">
                              <w:rPr>
                                <w:lang w:val="fr-FR"/>
                              </w:rPr>
                              <w:t xml:space="preserve"> </w:t>
                            </w:r>
                            <w:r w:rsidRPr="008E4B43">
                              <w:rPr>
                                <w:bCs/>
                                <w:lang w:val="fr-FR"/>
                              </w:rPr>
                              <w:t>Comité permanent</w:t>
                            </w:r>
                            <w:r w:rsidRPr="008E4B43">
                              <w:rPr>
                                <w:lang w:val="fr-FR"/>
                              </w:rPr>
                              <w:t xml:space="preserve"> </w:t>
                            </w:r>
                            <w:r>
                              <w:rPr>
                                <w:lang w:val="fr-FR"/>
                              </w:rPr>
                              <w:t>est invité à</w:t>
                            </w:r>
                            <w:r w:rsidR="002E3BF8">
                              <w:rPr>
                                <w:rFonts w:cs="Calibri"/>
                                <w:lang w:val="fr-FR"/>
                              </w:rPr>
                              <w:t xml:space="preserve"> </w:t>
                            </w:r>
                            <w:r w:rsidR="00F756EF">
                              <w:rPr>
                                <w:rFonts w:cs="Calibri"/>
                                <w:lang w:val="fr-FR"/>
                              </w:rPr>
                              <w:t>p</w:t>
                            </w:r>
                            <w:r w:rsidRPr="008E4B43">
                              <w:rPr>
                                <w:rFonts w:cs="Calibri"/>
                                <w:lang w:val="fr-FR"/>
                              </w:rPr>
                              <w:t>rendre n</w:t>
                            </w:r>
                            <w:r w:rsidR="000C2489" w:rsidRPr="008E4B43">
                              <w:rPr>
                                <w:rFonts w:cs="Calibri"/>
                                <w:lang w:val="fr-FR"/>
                              </w:rPr>
                              <w:t xml:space="preserve">ote </w:t>
                            </w:r>
                            <w:r w:rsidRPr="008E4B43">
                              <w:rPr>
                                <w:rFonts w:cs="Calibri"/>
                                <w:lang w:val="fr-FR"/>
                              </w:rPr>
                              <w:t>du</w:t>
                            </w:r>
                            <w:r w:rsidR="00164682" w:rsidRPr="008E4B43">
                              <w:rPr>
                                <w:rFonts w:cs="Calibri"/>
                                <w:lang w:val="fr-FR"/>
                              </w:rPr>
                              <w:t xml:space="preserve"> r</w:t>
                            </w:r>
                            <w:r w:rsidRPr="008E4B43">
                              <w:rPr>
                                <w:rFonts w:cs="Calibri"/>
                                <w:lang w:val="fr-FR"/>
                              </w:rPr>
                              <w:t>ap</w:t>
                            </w:r>
                            <w:r w:rsidR="00164682" w:rsidRPr="008E4B43">
                              <w:rPr>
                                <w:rFonts w:cs="Calibri"/>
                                <w:lang w:val="fr-FR"/>
                              </w:rPr>
                              <w:t>port pr</w:t>
                            </w:r>
                            <w:r w:rsidRPr="008E4B43">
                              <w:rPr>
                                <w:rFonts w:cs="Calibri"/>
                                <w:lang w:val="fr-FR"/>
                              </w:rPr>
                              <w:t>é</w:t>
                            </w:r>
                            <w:r w:rsidR="00164682" w:rsidRPr="008E4B43">
                              <w:rPr>
                                <w:rFonts w:cs="Calibri"/>
                                <w:lang w:val="fr-FR"/>
                              </w:rPr>
                              <w:t>par</w:t>
                            </w:r>
                            <w:r w:rsidRPr="008E4B43">
                              <w:rPr>
                                <w:rFonts w:cs="Calibri"/>
                                <w:lang w:val="fr-FR"/>
                              </w:rPr>
                              <w:t>é</w:t>
                            </w:r>
                            <w:r w:rsidR="00164682" w:rsidRPr="008E4B43">
                              <w:rPr>
                                <w:rFonts w:cs="Calibri"/>
                                <w:lang w:val="fr-FR"/>
                              </w:rPr>
                              <w:t xml:space="preserve"> </w:t>
                            </w:r>
                            <w:r>
                              <w:rPr>
                                <w:rFonts w:cs="Calibri"/>
                                <w:lang w:val="fr-FR"/>
                              </w:rPr>
                              <w:t>par le</w:t>
                            </w:r>
                            <w:r w:rsidR="00164682" w:rsidRPr="008E4B43">
                              <w:rPr>
                                <w:rFonts w:cs="Calibri"/>
                                <w:lang w:val="fr-FR"/>
                              </w:rPr>
                              <w:t xml:space="preserve"> </w:t>
                            </w:r>
                            <w:r w:rsidRPr="008E4B43">
                              <w:rPr>
                                <w:rFonts w:cs="Calibri"/>
                                <w:lang w:val="fr-FR"/>
                              </w:rPr>
                              <w:t>Secrétariat</w:t>
                            </w:r>
                            <w:r w:rsidR="0045016B">
                              <w:rPr>
                                <w:rFonts w:cs="Calibri"/>
                                <w:lang w:val="fr-FR"/>
                              </w:rPr>
                              <w:t>.</w:t>
                            </w:r>
                            <w:r w:rsidR="004D1CCA" w:rsidRPr="008E4B43">
                              <w:rPr>
                                <w:rFonts w:cs="Calibri"/>
                                <w:lang w:val="fr-FR"/>
                              </w:rPr>
                              <w:t xml:space="preserve"> </w:t>
                            </w:r>
                          </w:p>
                          <w:p w14:paraId="3B8476DD" w14:textId="5D8B42B7" w:rsidR="0083768D" w:rsidRPr="00E2439E" w:rsidRDefault="0083768D" w:rsidP="00DE5579">
                            <w:pPr>
                              <w:pStyle w:val="ColorfulList-Accent11"/>
                              <w:ind w:left="425"/>
                              <w:rPr>
                                <w:rFonts w:cs="Calibri"/>
                                <w:lang w:val="fr-FR"/>
                              </w:rPr>
                            </w:pPr>
                          </w:p>
                        </w:txbxContent>
                      </wps:txbx>
                      <wps:bodyPr rot="0" vert="horz" wrap="square" lIns="91440" tIns="45720" rIns="91440" bIns="45720" anchor="t" anchorCtr="0" upright="1">
                        <a:noAutofit/>
                      </wps:bodyPr>
                    </wps:wsp>
                  </a:graphicData>
                </a:graphic>
              </wp:inline>
            </w:drawing>
          </mc:Choice>
          <mc:Fallback>
            <w:pict>
              <v:shapetype w14:anchorId="62013487" id="_x0000_t202" coordsize="21600,21600" o:spt="202" path="m,l,21600r21600,l21600,xe">
                <v:stroke joinstyle="miter"/>
                <v:path gradientshapeok="t" o:connecttype="rect"/>
              </v:shapetype>
              <v:shape id="Text Box 1" o:spid="_x0000_s1026" type="#_x0000_t202" style="width:441.15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">
                <v:textbox>
                  <w:txbxContent>
                    <w:p w14:paraId="155D4708" w14:textId="4D7602B8" w:rsidR="000C2489" w:rsidRPr="008E4B43" w:rsidRDefault="008E4B43" w:rsidP="000C2489">
                      <w:pPr>
                        <w:rPr>
                          <w:b/>
                          <w:bCs/>
                          <w:lang w:val="fr-FR"/>
                        </w:rPr>
                      </w:pPr>
                      <w:r w:rsidRPr="008E4B43">
                        <w:rPr>
                          <w:b/>
                          <w:bCs/>
                          <w:lang w:val="fr-FR"/>
                        </w:rPr>
                        <w:t>Mesure</w:t>
                      </w:r>
                      <w:r w:rsidR="000C2489" w:rsidRPr="008E4B43">
                        <w:rPr>
                          <w:b/>
                          <w:bCs/>
                          <w:lang w:val="fr-FR"/>
                        </w:rPr>
                        <w:t xml:space="preserve"> requ</w:t>
                      </w:r>
                      <w:r w:rsidRPr="008E4B43">
                        <w:rPr>
                          <w:b/>
                          <w:bCs/>
                          <w:lang w:val="fr-FR"/>
                        </w:rPr>
                        <w:t>ise </w:t>
                      </w:r>
                      <w:r w:rsidR="000C2489" w:rsidRPr="008E4B43">
                        <w:rPr>
                          <w:b/>
                          <w:bCs/>
                          <w:lang w:val="fr-FR"/>
                        </w:rPr>
                        <w:t xml:space="preserve">: </w:t>
                      </w:r>
                    </w:p>
                    <w:p w14:paraId="367AB0B5" w14:textId="77777777" w:rsidR="000C2489" w:rsidRPr="008E4B43" w:rsidRDefault="000C2489" w:rsidP="000C2489">
                      <w:pPr>
                        <w:pStyle w:val="ColorfulList-Accent11"/>
                        <w:ind w:left="0"/>
                        <w:rPr>
                          <w:lang w:val="fr-FR"/>
                        </w:rPr>
                      </w:pPr>
                    </w:p>
                    <w:p w14:paraId="6F3E70B0" w14:textId="5B81E563" w:rsidR="00370C3C" w:rsidRPr="008E4B43" w:rsidRDefault="008E4B43" w:rsidP="002E3BF8">
                      <w:pPr>
                        <w:pStyle w:val="ColorfulList-Accent11"/>
                        <w:ind w:left="0" w:firstLine="0"/>
                        <w:rPr>
                          <w:rFonts w:cs="Calibri"/>
                          <w:lang w:val="fr-FR"/>
                        </w:rPr>
                      </w:pPr>
                      <w:r w:rsidRPr="008E4B43">
                        <w:rPr>
                          <w:lang w:val="fr-FR"/>
                        </w:rPr>
                        <w:t>Le</w:t>
                      </w:r>
                      <w:r w:rsidR="008A6505" w:rsidRPr="008E4B43">
                        <w:rPr>
                          <w:lang w:val="fr-FR"/>
                        </w:rPr>
                        <w:t xml:space="preserve"> </w:t>
                      </w:r>
                      <w:r w:rsidRPr="008E4B43">
                        <w:rPr>
                          <w:bCs/>
                          <w:lang w:val="fr-FR"/>
                        </w:rPr>
                        <w:t>Comité permanent</w:t>
                      </w:r>
                      <w:r w:rsidRPr="008E4B43">
                        <w:rPr>
                          <w:lang w:val="fr-FR"/>
                        </w:rPr>
                        <w:t xml:space="preserve"> </w:t>
                      </w:r>
                      <w:r>
                        <w:rPr>
                          <w:lang w:val="fr-FR"/>
                        </w:rPr>
                        <w:t>est invité à</w:t>
                      </w:r>
                      <w:r w:rsidR="002E3BF8">
                        <w:rPr>
                          <w:rFonts w:cs="Calibri"/>
                          <w:lang w:val="fr-FR"/>
                        </w:rPr>
                        <w:t xml:space="preserve"> </w:t>
                      </w:r>
                      <w:r w:rsidR="00F756EF">
                        <w:rPr>
                          <w:rFonts w:cs="Calibri"/>
                          <w:lang w:val="fr-FR"/>
                        </w:rPr>
                        <w:t>p</w:t>
                      </w:r>
                      <w:r w:rsidRPr="008E4B43">
                        <w:rPr>
                          <w:rFonts w:cs="Calibri"/>
                          <w:lang w:val="fr-FR"/>
                        </w:rPr>
                        <w:t>rendre n</w:t>
                      </w:r>
                      <w:r w:rsidR="000C2489" w:rsidRPr="008E4B43">
                        <w:rPr>
                          <w:rFonts w:cs="Calibri"/>
                          <w:lang w:val="fr-FR"/>
                        </w:rPr>
                        <w:t xml:space="preserve">ote </w:t>
                      </w:r>
                      <w:r w:rsidRPr="008E4B43">
                        <w:rPr>
                          <w:rFonts w:cs="Calibri"/>
                          <w:lang w:val="fr-FR"/>
                        </w:rPr>
                        <w:t>du</w:t>
                      </w:r>
                      <w:r w:rsidR="00164682" w:rsidRPr="008E4B43">
                        <w:rPr>
                          <w:rFonts w:cs="Calibri"/>
                          <w:lang w:val="fr-FR"/>
                        </w:rPr>
                        <w:t xml:space="preserve"> r</w:t>
                      </w:r>
                      <w:r w:rsidRPr="008E4B43">
                        <w:rPr>
                          <w:rFonts w:cs="Calibri"/>
                          <w:lang w:val="fr-FR"/>
                        </w:rPr>
                        <w:t>ap</w:t>
                      </w:r>
                      <w:r w:rsidR="00164682" w:rsidRPr="008E4B43">
                        <w:rPr>
                          <w:rFonts w:cs="Calibri"/>
                          <w:lang w:val="fr-FR"/>
                        </w:rPr>
                        <w:t>port pr</w:t>
                      </w:r>
                      <w:r w:rsidRPr="008E4B43">
                        <w:rPr>
                          <w:rFonts w:cs="Calibri"/>
                          <w:lang w:val="fr-FR"/>
                        </w:rPr>
                        <w:t>é</w:t>
                      </w:r>
                      <w:r w:rsidR="00164682" w:rsidRPr="008E4B43">
                        <w:rPr>
                          <w:rFonts w:cs="Calibri"/>
                          <w:lang w:val="fr-FR"/>
                        </w:rPr>
                        <w:t>par</w:t>
                      </w:r>
                      <w:r w:rsidRPr="008E4B43">
                        <w:rPr>
                          <w:rFonts w:cs="Calibri"/>
                          <w:lang w:val="fr-FR"/>
                        </w:rPr>
                        <w:t>é</w:t>
                      </w:r>
                      <w:r w:rsidR="00164682" w:rsidRPr="008E4B43">
                        <w:rPr>
                          <w:rFonts w:cs="Calibri"/>
                          <w:lang w:val="fr-FR"/>
                        </w:rPr>
                        <w:t xml:space="preserve"> </w:t>
                      </w:r>
                      <w:r>
                        <w:rPr>
                          <w:rFonts w:cs="Calibri"/>
                          <w:lang w:val="fr-FR"/>
                        </w:rPr>
                        <w:t>par le</w:t>
                      </w:r>
                      <w:r w:rsidR="00164682" w:rsidRPr="008E4B43">
                        <w:rPr>
                          <w:rFonts w:cs="Calibri"/>
                          <w:lang w:val="fr-FR"/>
                        </w:rPr>
                        <w:t xml:space="preserve"> </w:t>
                      </w:r>
                      <w:r w:rsidRPr="008E4B43">
                        <w:rPr>
                          <w:rFonts w:cs="Calibri"/>
                          <w:lang w:val="fr-FR"/>
                        </w:rPr>
                        <w:t>Secrétariat</w:t>
                      </w:r>
                      <w:r w:rsidR="0045016B">
                        <w:rPr>
                          <w:rFonts w:cs="Calibri"/>
                          <w:lang w:val="fr-FR"/>
                        </w:rPr>
                        <w:t>.</w:t>
                      </w:r>
                      <w:r w:rsidR="004D1CCA" w:rsidRPr="008E4B43">
                        <w:rPr>
                          <w:rFonts w:cs="Calibri"/>
                          <w:lang w:val="fr-FR"/>
                        </w:rPr>
                        <w:t xml:space="preserve"> </w:t>
                      </w:r>
                    </w:p>
                    <w:p w14:paraId="3B8476DD" w14:textId="5D8B42B7" w:rsidR="0083768D" w:rsidRPr="00E2439E" w:rsidRDefault="0083768D" w:rsidP="00DE5579">
                      <w:pPr>
                        <w:pStyle w:val="ColorfulList-Accent11"/>
                        <w:ind w:left="425"/>
                        <w:rPr>
                          <w:rFonts w:cs="Calibri"/>
                          <w:lang w:val="fr-FR"/>
                        </w:rPr>
                      </w:pPr>
                    </w:p>
                  </w:txbxContent>
                </v:textbox>
                <w10:anchorlock/>
              </v:shape>
            </w:pict>
          </mc:Fallback>
        </mc:AlternateContent>
      </w:r>
    </w:p>
    <w:p w14:paraId="15D3E0B3" w14:textId="77777777" w:rsidR="009E0AE8" w:rsidRPr="002F18BD" w:rsidRDefault="009E0AE8" w:rsidP="006A2401">
      <w:pPr>
        <w:rPr>
          <w:rFonts w:cs="Arial"/>
          <w:b/>
        </w:rPr>
      </w:pPr>
    </w:p>
    <w:p w14:paraId="7C5FE7A0" w14:textId="77777777" w:rsidR="00370C3C" w:rsidRPr="002F18BD" w:rsidRDefault="00370C3C" w:rsidP="009C5199">
      <w:pPr>
        <w:rPr>
          <w:rFonts w:cs="Arial"/>
          <w:b/>
        </w:rPr>
      </w:pPr>
    </w:p>
    <w:p w14:paraId="0645D299" w14:textId="67A286D7" w:rsidR="000C2489" w:rsidRPr="002F18BD" w:rsidRDefault="000904F6" w:rsidP="0007175F">
      <w:pPr>
        <w:rPr>
          <w:rFonts w:cs="Arial"/>
          <w:b/>
          <w:lang w:val="fr-FR"/>
        </w:rPr>
      </w:pPr>
      <w:r w:rsidRPr="002F18BD">
        <w:rPr>
          <w:rFonts w:cs="Arial"/>
          <w:b/>
          <w:lang w:val="fr-FR"/>
        </w:rPr>
        <w:t>Contexte et</w:t>
      </w:r>
      <w:r w:rsidR="004D1CCA" w:rsidRPr="002F18BD">
        <w:rPr>
          <w:rFonts w:cs="Arial"/>
          <w:b/>
          <w:lang w:val="fr-FR"/>
        </w:rPr>
        <w:t xml:space="preserve"> introduction</w:t>
      </w:r>
    </w:p>
    <w:p w14:paraId="3FACF998" w14:textId="77777777" w:rsidR="004B6C84" w:rsidRPr="002F18BD" w:rsidRDefault="004B6C84" w:rsidP="009C5199">
      <w:pPr>
        <w:rPr>
          <w:rFonts w:ascii="Garamond" w:hAnsi="Garamond" w:cs="Arial"/>
          <w:lang w:val="fr-FR"/>
        </w:rPr>
      </w:pPr>
    </w:p>
    <w:p w14:paraId="69F01708" w14:textId="1AE2BA53" w:rsidR="00A240F0" w:rsidRPr="002F18BD" w:rsidRDefault="00275F13" w:rsidP="00A240F0">
      <w:pPr>
        <w:rPr>
          <w:rFonts w:cs="Arial"/>
          <w:lang w:val="fr-FR"/>
        </w:rPr>
      </w:pPr>
      <w:r w:rsidRPr="002F18BD">
        <w:rPr>
          <w:rFonts w:cs="Arial"/>
          <w:lang w:val="fr-FR"/>
        </w:rPr>
        <w:t>1.</w:t>
      </w:r>
      <w:r w:rsidRPr="002F18BD">
        <w:rPr>
          <w:rFonts w:cs="Arial"/>
          <w:lang w:val="fr-FR"/>
        </w:rPr>
        <w:tab/>
      </w:r>
      <w:r w:rsidR="000904F6" w:rsidRPr="002F18BD">
        <w:rPr>
          <w:rFonts w:cs="Arial"/>
          <w:lang w:val="fr-FR"/>
        </w:rPr>
        <w:t>À la</w:t>
      </w:r>
      <w:r w:rsidR="004B6C84" w:rsidRPr="002F18BD">
        <w:rPr>
          <w:rFonts w:cs="Arial"/>
          <w:lang w:val="fr-FR"/>
        </w:rPr>
        <w:t xml:space="preserve"> 1</w:t>
      </w:r>
      <w:r w:rsidR="00A240F0" w:rsidRPr="002F18BD">
        <w:rPr>
          <w:rFonts w:cs="Arial"/>
          <w:lang w:val="fr-FR"/>
        </w:rPr>
        <w:t>4</w:t>
      </w:r>
      <w:r w:rsidR="000904F6" w:rsidRPr="002F18BD">
        <w:rPr>
          <w:rFonts w:cs="Arial"/>
          <w:vertAlign w:val="superscript"/>
          <w:lang w:val="fr-FR"/>
        </w:rPr>
        <w:t>e</w:t>
      </w:r>
      <w:r w:rsidR="00663742">
        <w:rPr>
          <w:rFonts w:cs="Arial"/>
          <w:vertAlign w:val="superscript"/>
          <w:lang w:val="fr-FR"/>
        </w:rPr>
        <w:t> </w:t>
      </w:r>
      <w:r w:rsidR="00663742">
        <w:rPr>
          <w:rFonts w:cs="Arial"/>
          <w:lang w:val="fr-FR"/>
        </w:rPr>
        <w:t>s</w:t>
      </w:r>
      <w:r w:rsidR="000904F6" w:rsidRPr="002F18BD">
        <w:rPr>
          <w:rFonts w:cs="Arial"/>
          <w:lang w:val="fr-FR"/>
        </w:rPr>
        <w:t>ession de la</w:t>
      </w:r>
      <w:r w:rsidR="008775BB" w:rsidRPr="002F18BD">
        <w:rPr>
          <w:rFonts w:cs="Arial"/>
          <w:lang w:val="fr-FR"/>
        </w:rPr>
        <w:t xml:space="preserve"> </w:t>
      </w:r>
      <w:r w:rsidR="004B6C84" w:rsidRPr="002F18BD">
        <w:rPr>
          <w:rFonts w:cs="Arial"/>
          <w:lang w:val="fr-FR"/>
        </w:rPr>
        <w:t>Conf</w:t>
      </w:r>
      <w:r w:rsidR="000904F6" w:rsidRPr="002F18BD">
        <w:rPr>
          <w:rFonts w:cs="Arial"/>
          <w:lang w:val="fr-FR"/>
        </w:rPr>
        <w:t>é</w:t>
      </w:r>
      <w:r w:rsidR="004B6C84" w:rsidRPr="002F18BD">
        <w:rPr>
          <w:rFonts w:cs="Arial"/>
          <w:lang w:val="fr-FR"/>
        </w:rPr>
        <w:t xml:space="preserve">rence </w:t>
      </w:r>
      <w:r w:rsidR="000904F6" w:rsidRPr="002F18BD">
        <w:rPr>
          <w:rFonts w:cs="Arial"/>
          <w:lang w:val="fr-FR"/>
        </w:rPr>
        <w:t>des</w:t>
      </w:r>
      <w:r w:rsidR="008775BB" w:rsidRPr="002F18BD">
        <w:rPr>
          <w:rFonts w:cs="Arial"/>
          <w:lang w:val="fr-FR"/>
        </w:rPr>
        <w:t xml:space="preserve"> </w:t>
      </w:r>
      <w:r w:rsidR="004B6C84" w:rsidRPr="002F18BD">
        <w:rPr>
          <w:rFonts w:cs="Arial"/>
          <w:lang w:val="fr-FR"/>
        </w:rPr>
        <w:t>Parties</w:t>
      </w:r>
      <w:r w:rsidR="000904F6" w:rsidRPr="002F18BD">
        <w:rPr>
          <w:rFonts w:cs="Arial"/>
          <w:lang w:val="fr-FR"/>
        </w:rPr>
        <w:t xml:space="preserve"> contractantes</w:t>
      </w:r>
      <w:r w:rsidR="004B6C84" w:rsidRPr="002F18BD">
        <w:rPr>
          <w:rFonts w:cs="Arial"/>
          <w:lang w:val="fr-FR"/>
        </w:rPr>
        <w:t xml:space="preserve"> </w:t>
      </w:r>
      <w:r w:rsidR="008775BB" w:rsidRPr="002F18BD">
        <w:rPr>
          <w:rFonts w:cs="Arial"/>
          <w:lang w:val="fr-FR"/>
        </w:rPr>
        <w:t>(COP1</w:t>
      </w:r>
      <w:r w:rsidR="00A240F0" w:rsidRPr="002F18BD">
        <w:rPr>
          <w:rFonts w:cs="Arial"/>
          <w:lang w:val="fr-FR"/>
        </w:rPr>
        <w:t>4</w:t>
      </w:r>
      <w:r w:rsidR="008775BB" w:rsidRPr="002F18BD">
        <w:rPr>
          <w:rFonts w:cs="Arial"/>
          <w:lang w:val="fr-FR"/>
        </w:rPr>
        <w:t xml:space="preserve">) </w:t>
      </w:r>
      <w:r w:rsidR="000904F6" w:rsidRPr="002F18BD">
        <w:rPr>
          <w:rFonts w:cs="Arial"/>
          <w:lang w:val="fr-FR"/>
        </w:rPr>
        <w:t>e</w:t>
      </w:r>
      <w:r w:rsidR="004B6C84" w:rsidRPr="002F18BD">
        <w:rPr>
          <w:rFonts w:cs="Arial"/>
          <w:lang w:val="fr-FR"/>
        </w:rPr>
        <w:t>n 20</w:t>
      </w:r>
      <w:r w:rsidR="00A240F0" w:rsidRPr="002F18BD">
        <w:rPr>
          <w:rFonts w:cs="Arial"/>
          <w:lang w:val="fr-FR"/>
        </w:rPr>
        <w:t>22</w:t>
      </w:r>
      <w:r w:rsidR="004B6C84" w:rsidRPr="002F18BD">
        <w:rPr>
          <w:rFonts w:cs="Arial"/>
          <w:lang w:val="fr-FR"/>
        </w:rPr>
        <w:t xml:space="preserve">, </w:t>
      </w:r>
      <w:r w:rsidR="000904F6" w:rsidRPr="002F18BD">
        <w:rPr>
          <w:rFonts w:cs="Arial"/>
          <w:lang w:val="fr-FR"/>
        </w:rPr>
        <w:t>les</w:t>
      </w:r>
      <w:r w:rsidR="004B6C84" w:rsidRPr="002F18BD">
        <w:rPr>
          <w:rFonts w:cs="Arial"/>
          <w:lang w:val="fr-FR"/>
        </w:rPr>
        <w:t xml:space="preserve"> Parties </w:t>
      </w:r>
      <w:r w:rsidR="000904F6" w:rsidRPr="002F18BD">
        <w:rPr>
          <w:rFonts w:cs="Arial"/>
          <w:lang w:val="fr-FR"/>
        </w:rPr>
        <w:t xml:space="preserve">ont </w:t>
      </w:r>
      <w:r w:rsidR="004B6C84" w:rsidRPr="002F18BD">
        <w:rPr>
          <w:rFonts w:cs="Arial"/>
          <w:lang w:val="fr-FR"/>
        </w:rPr>
        <w:t>a</w:t>
      </w:r>
      <w:r w:rsidR="00A240F0" w:rsidRPr="002F18BD">
        <w:rPr>
          <w:rFonts w:cs="Arial"/>
          <w:lang w:val="fr-FR"/>
        </w:rPr>
        <w:t>dopt</w:t>
      </w:r>
      <w:r w:rsidR="000904F6" w:rsidRPr="002F18BD">
        <w:rPr>
          <w:rFonts w:cs="Arial"/>
          <w:lang w:val="fr-FR"/>
        </w:rPr>
        <w:t>é la</w:t>
      </w:r>
      <w:r w:rsidR="00A240F0" w:rsidRPr="002F18BD">
        <w:rPr>
          <w:rFonts w:cs="Arial"/>
          <w:lang w:val="fr-FR"/>
        </w:rPr>
        <w:t xml:space="preserve"> R</w:t>
      </w:r>
      <w:r w:rsidR="000904F6" w:rsidRPr="002F18BD">
        <w:rPr>
          <w:rFonts w:cs="Arial"/>
          <w:lang w:val="fr-FR"/>
        </w:rPr>
        <w:t>é</w:t>
      </w:r>
      <w:r w:rsidR="00A240F0" w:rsidRPr="002F18BD">
        <w:rPr>
          <w:rFonts w:cs="Arial"/>
          <w:lang w:val="fr-FR"/>
        </w:rPr>
        <w:t xml:space="preserve">solution XIV.5 </w:t>
      </w:r>
      <w:r w:rsidR="000904F6" w:rsidRPr="002F18BD">
        <w:rPr>
          <w:rFonts w:cs="Arial"/>
          <w:lang w:val="fr-FR"/>
        </w:rPr>
        <w:t>dont le paragraphe 13 stipule</w:t>
      </w:r>
      <w:r w:rsidR="00A240F0" w:rsidRPr="002F18BD">
        <w:rPr>
          <w:rFonts w:cs="Calibri"/>
          <w:lang w:val="fr-FR"/>
        </w:rPr>
        <w:t xml:space="preserve"> </w:t>
      </w:r>
      <w:r w:rsidR="000904F6" w:rsidRPr="002F18BD">
        <w:rPr>
          <w:rFonts w:cs="Calibri"/>
          <w:i/>
          <w:iCs/>
          <w:lang w:val="fr-FR"/>
        </w:rPr>
        <w:t>« </w:t>
      </w:r>
      <w:r w:rsidR="000904F6" w:rsidRPr="002F18BD">
        <w:rPr>
          <w:rFonts w:cs="Calibri"/>
          <w:i/>
          <w:lang w:val="fr-FR"/>
        </w:rPr>
        <w:t xml:space="preserve">que la procédure d’enregistrement et de maintien des Décisions du Comité permanent est décidée par le Comité permanent lui-même, à condition que toutes les Décisions actuelles et antérieures soient facilement accessibles sur le site </w:t>
      </w:r>
      <w:r w:rsidR="001E3B50" w:rsidRPr="002F18BD">
        <w:rPr>
          <w:rFonts w:cs="Calibri"/>
          <w:i/>
          <w:lang w:val="fr-FR"/>
        </w:rPr>
        <w:t>W</w:t>
      </w:r>
      <w:r w:rsidR="000904F6" w:rsidRPr="002F18BD">
        <w:rPr>
          <w:rFonts w:cs="Calibri"/>
          <w:i/>
          <w:lang w:val="fr-FR"/>
        </w:rPr>
        <w:t>eb de la Convention »</w:t>
      </w:r>
      <w:r w:rsidR="00C84B2B">
        <w:rPr>
          <w:rFonts w:cs="Calibri"/>
          <w:lang w:val="fr-FR"/>
        </w:rPr>
        <w:t>.</w:t>
      </w:r>
    </w:p>
    <w:p w14:paraId="3AB06D71" w14:textId="77777777" w:rsidR="001A2D10" w:rsidRPr="002F18BD" w:rsidRDefault="001A2D10" w:rsidP="009C5199">
      <w:pPr>
        <w:pStyle w:val="ListParagraph"/>
        <w:ind w:left="426"/>
        <w:rPr>
          <w:rFonts w:cs="Arial"/>
          <w:lang w:val="fr-FR"/>
        </w:rPr>
      </w:pPr>
    </w:p>
    <w:p w14:paraId="1D63523B" w14:textId="778ED377" w:rsidR="000E373A" w:rsidRPr="002F18BD" w:rsidRDefault="00275F13" w:rsidP="000E373A">
      <w:pPr>
        <w:contextualSpacing/>
        <w:rPr>
          <w:rFonts w:cstheme="minorHAnsi"/>
          <w:b/>
          <w:lang w:val="fr-FR"/>
        </w:rPr>
      </w:pPr>
      <w:r w:rsidRPr="002F18BD">
        <w:rPr>
          <w:lang w:val="fr-FR"/>
        </w:rPr>
        <w:t>2.</w:t>
      </w:r>
      <w:r w:rsidRPr="002F18BD">
        <w:rPr>
          <w:lang w:val="fr-FR"/>
        </w:rPr>
        <w:tab/>
      </w:r>
      <w:r w:rsidR="000904F6" w:rsidRPr="002F18BD">
        <w:rPr>
          <w:lang w:val="fr-FR"/>
        </w:rPr>
        <w:t>En application de cette</w:t>
      </w:r>
      <w:r w:rsidR="000E373A" w:rsidRPr="002F18BD">
        <w:rPr>
          <w:lang w:val="fr-FR"/>
        </w:rPr>
        <w:t xml:space="preserve"> instruction,</w:t>
      </w:r>
      <w:r w:rsidR="000E373A" w:rsidRPr="002F18BD">
        <w:rPr>
          <w:i/>
          <w:lang w:val="fr-FR"/>
        </w:rPr>
        <w:t xml:space="preserve"> </w:t>
      </w:r>
      <w:r w:rsidR="000904F6" w:rsidRPr="002F18BD">
        <w:rPr>
          <w:lang w:val="fr-FR"/>
        </w:rPr>
        <w:t>le</w:t>
      </w:r>
      <w:r w:rsidR="005369A8" w:rsidRPr="002F18BD">
        <w:rPr>
          <w:lang w:val="fr-FR"/>
        </w:rPr>
        <w:t xml:space="preserve"> </w:t>
      </w:r>
      <w:r w:rsidR="000904F6" w:rsidRPr="002F18BD">
        <w:rPr>
          <w:lang w:val="fr-FR"/>
        </w:rPr>
        <w:t>Comité permanent à sa 62</w:t>
      </w:r>
      <w:r w:rsidR="000904F6" w:rsidRPr="002F18BD">
        <w:rPr>
          <w:vertAlign w:val="superscript"/>
          <w:lang w:val="fr-FR"/>
        </w:rPr>
        <w:t>e</w:t>
      </w:r>
      <w:r w:rsidR="00663742">
        <w:rPr>
          <w:lang w:val="fr-FR"/>
        </w:rPr>
        <w:t> </w:t>
      </w:r>
      <w:r w:rsidR="00C84B2B">
        <w:rPr>
          <w:lang w:val="fr-FR"/>
        </w:rPr>
        <w:t>r</w:t>
      </w:r>
      <w:r w:rsidR="000904F6" w:rsidRPr="002F18BD">
        <w:rPr>
          <w:lang w:val="fr-FR"/>
        </w:rPr>
        <w:t>éunion</w:t>
      </w:r>
      <w:r w:rsidR="005369A8" w:rsidRPr="002F18BD">
        <w:rPr>
          <w:lang w:val="fr-FR"/>
        </w:rPr>
        <w:t xml:space="preserve"> (SC62), </w:t>
      </w:r>
      <w:r w:rsidR="000904F6" w:rsidRPr="002F18BD">
        <w:rPr>
          <w:lang w:val="fr-FR"/>
        </w:rPr>
        <w:t>dans la</w:t>
      </w:r>
      <w:r w:rsidR="00CC6417" w:rsidRPr="002F18BD">
        <w:rPr>
          <w:lang w:val="fr-FR"/>
        </w:rPr>
        <w:t xml:space="preserve"> </w:t>
      </w:r>
      <w:r w:rsidR="000E373A" w:rsidRPr="002F18BD">
        <w:rPr>
          <w:rFonts w:cstheme="minorHAnsi"/>
          <w:lang w:val="fr-FR"/>
        </w:rPr>
        <w:t>D</w:t>
      </w:r>
      <w:r w:rsidR="000904F6" w:rsidRPr="002F18BD">
        <w:rPr>
          <w:rFonts w:cstheme="minorHAnsi"/>
          <w:lang w:val="fr-FR"/>
        </w:rPr>
        <w:t>é</w:t>
      </w:r>
      <w:r w:rsidR="000E373A" w:rsidRPr="002F18BD">
        <w:rPr>
          <w:rFonts w:cstheme="minorHAnsi"/>
          <w:lang w:val="fr-FR"/>
        </w:rPr>
        <w:t>cision SC62-21</w:t>
      </w:r>
      <w:r w:rsidR="005369A8" w:rsidRPr="002F18BD">
        <w:rPr>
          <w:rFonts w:cstheme="minorHAnsi"/>
          <w:lang w:val="fr-FR"/>
        </w:rPr>
        <w:t>,</w:t>
      </w:r>
      <w:r w:rsidR="001E3B50" w:rsidRPr="002F18BD">
        <w:rPr>
          <w:rFonts w:cstheme="minorHAnsi"/>
          <w:lang w:val="fr-FR"/>
        </w:rPr>
        <w:t xml:space="preserve"> a approuvé</w:t>
      </w:r>
      <w:r w:rsidR="005369A8" w:rsidRPr="002F18BD">
        <w:rPr>
          <w:rFonts w:cstheme="minorHAnsi"/>
          <w:lang w:val="fr-FR"/>
        </w:rPr>
        <w:t xml:space="preserve"> </w:t>
      </w:r>
      <w:r w:rsidR="00FB31F4" w:rsidRPr="002F18BD">
        <w:rPr>
          <w:rFonts w:cstheme="minorHAnsi"/>
          <w:lang w:val="fr-FR"/>
        </w:rPr>
        <w:t>« </w:t>
      </w:r>
      <w:r w:rsidR="001E3B50" w:rsidRPr="002F18BD">
        <w:rPr>
          <w:rFonts w:cstheme="minorHAnsi"/>
          <w:i/>
          <w:lang w:val="fr-FR"/>
        </w:rPr>
        <w:t>le processus en trois étapes décrit au paragraphe 23 du document SC62 Doc.15, pour le maintien de la liste des Décisions en vigueur du Comité permanent, à condition que les Décisions anciennes exclues de la liste ne deviennent pas caduques mais restent accessibles sur le site Web de la Convention et puissent être intégrées dans la liste si l’on décide qu’elles sont encore valables</w:t>
      </w:r>
      <w:r w:rsidR="000E373A" w:rsidRPr="002F18BD">
        <w:rPr>
          <w:rFonts w:cstheme="minorHAnsi"/>
          <w:i/>
          <w:lang w:val="fr-FR"/>
        </w:rPr>
        <w:t>.</w:t>
      </w:r>
      <w:r w:rsidR="00FB31F4" w:rsidRPr="002F18BD">
        <w:rPr>
          <w:rFonts w:cstheme="minorHAnsi"/>
          <w:b/>
          <w:lang w:val="fr-FR"/>
        </w:rPr>
        <w:t> »</w:t>
      </w:r>
    </w:p>
    <w:p w14:paraId="46F7933C" w14:textId="5B63B658" w:rsidR="000B5B72" w:rsidRPr="002F18BD" w:rsidRDefault="000B5B72" w:rsidP="000E373A">
      <w:pPr>
        <w:contextualSpacing/>
        <w:rPr>
          <w:rFonts w:cstheme="minorHAnsi"/>
          <w:b/>
          <w:i/>
          <w:lang w:val="fr-FR"/>
        </w:rPr>
      </w:pPr>
    </w:p>
    <w:p w14:paraId="03369F81" w14:textId="2040A9AD" w:rsidR="00BB0557" w:rsidRPr="0045016B" w:rsidRDefault="00BB0557" w:rsidP="00BB0557">
      <w:pPr>
        <w:pStyle w:val="CommentText"/>
        <w:rPr>
          <w:rFonts w:cstheme="minorHAnsi"/>
          <w:sz w:val="22"/>
          <w:szCs w:val="22"/>
          <w:lang w:val="fr-FR"/>
        </w:rPr>
      </w:pPr>
      <w:r w:rsidRPr="0045016B">
        <w:rPr>
          <w:sz w:val="22"/>
          <w:szCs w:val="22"/>
          <w:lang w:val="fr-FR"/>
        </w:rPr>
        <w:t>3.</w:t>
      </w:r>
      <w:r w:rsidRPr="0045016B">
        <w:rPr>
          <w:sz w:val="22"/>
          <w:szCs w:val="22"/>
          <w:lang w:val="fr-FR"/>
        </w:rPr>
        <w:tab/>
      </w:r>
      <w:r w:rsidR="0045016B" w:rsidRPr="0045016B">
        <w:rPr>
          <w:rFonts w:cs="Arial"/>
          <w:lang w:val="fr-FR"/>
        </w:rPr>
        <w:t>À</w:t>
      </w:r>
      <w:r w:rsidR="0045016B" w:rsidRPr="0045016B" w:rsidDel="0045016B">
        <w:rPr>
          <w:sz w:val="22"/>
          <w:szCs w:val="22"/>
          <w:lang w:val="fr-FR"/>
        </w:rPr>
        <w:t xml:space="preserve"> </w:t>
      </w:r>
      <w:r w:rsidR="0045016B" w:rsidRPr="0045016B">
        <w:rPr>
          <w:sz w:val="22"/>
          <w:szCs w:val="22"/>
          <w:lang w:val="fr-FR"/>
        </w:rPr>
        <w:t>sa 63</w:t>
      </w:r>
      <w:r w:rsidR="0045016B" w:rsidRPr="00C84B2B">
        <w:rPr>
          <w:sz w:val="22"/>
          <w:szCs w:val="22"/>
          <w:vertAlign w:val="superscript"/>
          <w:lang w:val="fr-FR"/>
        </w:rPr>
        <w:t>e</w:t>
      </w:r>
      <w:r w:rsidR="00663742">
        <w:rPr>
          <w:sz w:val="22"/>
          <w:szCs w:val="22"/>
          <w:lang w:val="fr-FR"/>
        </w:rPr>
        <w:t> </w:t>
      </w:r>
      <w:r w:rsidR="0045016B" w:rsidRPr="0045016B">
        <w:rPr>
          <w:sz w:val="22"/>
          <w:szCs w:val="22"/>
          <w:lang w:val="fr-FR"/>
        </w:rPr>
        <w:t>r</w:t>
      </w:r>
      <w:r w:rsidR="0045016B">
        <w:rPr>
          <w:sz w:val="22"/>
          <w:szCs w:val="22"/>
          <w:lang w:val="fr-FR"/>
        </w:rPr>
        <w:t>é</w:t>
      </w:r>
      <w:r w:rsidR="0045016B" w:rsidRPr="0045016B">
        <w:rPr>
          <w:sz w:val="22"/>
          <w:szCs w:val="22"/>
          <w:lang w:val="fr-FR"/>
        </w:rPr>
        <w:t>union, le Comité permanent a pris note du rapport pr</w:t>
      </w:r>
      <w:r w:rsidR="0045016B">
        <w:rPr>
          <w:sz w:val="22"/>
          <w:szCs w:val="22"/>
          <w:lang w:val="fr-FR"/>
        </w:rPr>
        <w:t>é</w:t>
      </w:r>
      <w:r w:rsidR="0045016B" w:rsidRPr="0045016B">
        <w:rPr>
          <w:sz w:val="22"/>
          <w:szCs w:val="22"/>
          <w:lang w:val="fr-FR"/>
        </w:rPr>
        <w:t>par</w:t>
      </w:r>
      <w:r w:rsidR="0045016B">
        <w:rPr>
          <w:sz w:val="22"/>
          <w:szCs w:val="22"/>
          <w:lang w:val="fr-FR"/>
        </w:rPr>
        <w:t>é</w:t>
      </w:r>
      <w:r w:rsidR="0045016B" w:rsidRPr="0045016B">
        <w:rPr>
          <w:sz w:val="22"/>
          <w:szCs w:val="22"/>
          <w:lang w:val="fr-FR"/>
        </w:rPr>
        <w:t xml:space="preserve"> par le Secrétariat et a confirm</w:t>
      </w:r>
      <w:r w:rsidR="0045016B">
        <w:rPr>
          <w:sz w:val="22"/>
          <w:szCs w:val="22"/>
          <w:lang w:val="fr-FR"/>
        </w:rPr>
        <w:t>é</w:t>
      </w:r>
      <w:r w:rsidR="0045016B" w:rsidRPr="0045016B">
        <w:rPr>
          <w:sz w:val="22"/>
          <w:szCs w:val="22"/>
          <w:lang w:val="fr-FR"/>
        </w:rPr>
        <w:t xml:space="preserve"> que les deux listes de Décisions de la 24</w:t>
      </w:r>
      <w:r w:rsidR="0045016B" w:rsidRPr="00C84B2B">
        <w:rPr>
          <w:sz w:val="22"/>
          <w:szCs w:val="22"/>
          <w:vertAlign w:val="superscript"/>
          <w:lang w:val="fr-FR"/>
        </w:rPr>
        <w:t>e</w:t>
      </w:r>
      <w:r w:rsidR="0045016B" w:rsidRPr="0045016B">
        <w:rPr>
          <w:sz w:val="22"/>
          <w:szCs w:val="22"/>
          <w:lang w:val="fr-FR"/>
        </w:rPr>
        <w:t xml:space="preserve"> à la 62</w:t>
      </w:r>
      <w:r w:rsidR="0045016B" w:rsidRPr="00C84B2B">
        <w:rPr>
          <w:sz w:val="22"/>
          <w:szCs w:val="22"/>
          <w:vertAlign w:val="superscript"/>
          <w:lang w:val="fr-FR"/>
        </w:rPr>
        <w:t>e</w:t>
      </w:r>
      <w:r w:rsidR="00663742">
        <w:rPr>
          <w:sz w:val="22"/>
          <w:szCs w:val="22"/>
          <w:lang w:val="fr-FR"/>
        </w:rPr>
        <w:t> </w:t>
      </w:r>
      <w:r w:rsidR="0045016B" w:rsidRPr="0045016B">
        <w:rPr>
          <w:sz w:val="22"/>
          <w:szCs w:val="22"/>
          <w:lang w:val="fr-FR"/>
        </w:rPr>
        <w:t>réunion du Comité permanent</w:t>
      </w:r>
      <w:r w:rsidR="00C84B2B">
        <w:rPr>
          <w:sz w:val="22"/>
          <w:szCs w:val="22"/>
          <w:lang w:val="fr-FR"/>
        </w:rPr>
        <w:t>,</w:t>
      </w:r>
      <w:r w:rsidR="0045016B" w:rsidRPr="0045016B">
        <w:rPr>
          <w:sz w:val="22"/>
          <w:szCs w:val="22"/>
          <w:lang w:val="fr-FR"/>
        </w:rPr>
        <w:t xml:space="preserve"> qui se trouvent à </w:t>
      </w:r>
      <w:r w:rsidR="0045016B" w:rsidRPr="00AC0AF1">
        <w:rPr>
          <w:sz w:val="22"/>
          <w:szCs w:val="22"/>
          <w:lang w:val="fr-FR"/>
        </w:rPr>
        <w:t xml:space="preserve">l’adresse </w:t>
      </w:r>
      <w:bookmarkStart w:id="1" w:name="_Hlk168473348"/>
      <w:r w:rsidR="00AC0AF1" w:rsidRPr="00AC0AF1">
        <w:rPr>
          <w:sz w:val="22"/>
          <w:szCs w:val="22"/>
          <w:lang w:val="fr-FR"/>
        </w:rPr>
        <w:fldChar w:fldCharType="begin"/>
      </w:r>
      <w:r w:rsidR="00AC0AF1" w:rsidRPr="00AC0AF1">
        <w:rPr>
          <w:sz w:val="22"/>
          <w:szCs w:val="22"/>
          <w:lang w:val="fr-FR"/>
        </w:rPr>
        <w:instrText>HYPERLINK "https://www.ramsar.org/fr/document/list-standing-committee-decisions-which-have-been-implemented-are-no-longer-effect"</w:instrText>
      </w:r>
      <w:r w:rsidR="00AC0AF1" w:rsidRPr="00AC0AF1">
        <w:rPr>
          <w:sz w:val="22"/>
          <w:szCs w:val="22"/>
          <w:lang w:val="fr-FR"/>
        </w:rPr>
      </w:r>
      <w:r w:rsidR="00AC0AF1" w:rsidRPr="00AC0AF1">
        <w:rPr>
          <w:sz w:val="22"/>
          <w:szCs w:val="22"/>
          <w:lang w:val="fr-FR"/>
        </w:rPr>
        <w:fldChar w:fldCharType="separate"/>
      </w:r>
      <w:r w:rsidR="00AC0AF1" w:rsidRPr="00AC0AF1">
        <w:rPr>
          <w:rStyle w:val="Hyperlink"/>
          <w:sz w:val="22"/>
          <w:szCs w:val="22"/>
          <w:lang w:val="fr-FR"/>
        </w:rPr>
        <w:t>https://www.ramsar.org/fr/document/list-standing-committee-decisions-which-have-been-implemented-are-no-longer-effect</w:t>
      </w:r>
      <w:r w:rsidR="00AC0AF1" w:rsidRPr="00AC0AF1">
        <w:rPr>
          <w:sz w:val="22"/>
          <w:szCs w:val="22"/>
          <w:lang w:val="fr-FR"/>
        </w:rPr>
        <w:fldChar w:fldCharType="end"/>
      </w:r>
      <w:r w:rsidR="00AC0AF1" w:rsidRPr="00AC0AF1">
        <w:rPr>
          <w:sz w:val="22"/>
          <w:szCs w:val="22"/>
          <w:lang w:val="fr-FR"/>
        </w:rPr>
        <w:t xml:space="preserve"> </w:t>
      </w:r>
      <w:r w:rsidR="0045016B" w:rsidRPr="00AC0AF1">
        <w:rPr>
          <w:sz w:val="22"/>
          <w:szCs w:val="22"/>
          <w:lang w:val="fr-FR"/>
        </w:rPr>
        <w:t>et</w:t>
      </w:r>
      <w:r w:rsidR="0045016B" w:rsidRPr="0045016B">
        <w:rPr>
          <w:sz w:val="22"/>
          <w:szCs w:val="22"/>
          <w:lang w:val="fr-FR"/>
        </w:rPr>
        <w:t xml:space="preserve"> à l’annexe 1 </w:t>
      </w:r>
      <w:r w:rsidR="0045016B">
        <w:rPr>
          <w:sz w:val="22"/>
          <w:szCs w:val="22"/>
          <w:lang w:val="fr-FR"/>
        </w:rPr>
        <w:t>du document SC63 Doc.8</w:t>
      </w:r>
      <w:r w:rsidR="00C84B2B">
        <w:rPr>
          <w:sz w:val="22"/>
          <w:szCs w:val="22"/>
          <w:lang w:val="fr-FR"/>
        </w:rPr>
        <w:t>,</w:t>
      </w:r>
      <w:r w:rsidR="0045016B">
        <w:rPr>
          <w:sz w:val="22"/>
          <w:szCs w:val="22"/>
          <w:lang w:val="fr-FR"/>
        </w:rPr>
        <w:t xml:space="preserve"> </w:t>
      </w:r>
      <w:r w:rsidR="0045016B" w:rsidRPr="0045016B">
        <w:rPr>
          <w:sz w:val="22"/>
          <w:szCs w:val="22"/>
          <w:lang w:val="fr-FR"/>
        </w:rPr>
        <w:t>remplissent les deux premières étapes du processus approuvé dans la Décision SC62-21</w:t>
      </w:r>
      <w:r w:rsidRPr="0045016B">
        <w:rPr>
          <w:rFonts w:cstheme="minorHAnsi"/>
          <w:sz w:val="22"/>
          <w:szCs w:val="22"/>
          <w:lang w:val="fr-FR"/>
        </w:rPr>
        <w:t>.</w:t>
      </w:r>
    </w:p>
    <w:p w14:paraId="6191C172" w14:textId="77777777" w:rsidR="00BB0557" w:rsidRPr="0045016B" w:rsidRDefault="00BB0557" w:rsidP="00BB0557">
      <w:pPr>
        <w:rPr>
          <w:rFonts w:cstheme="minorHAnsi"/>
          <w:lang w:val="fr-FR"/>
        </w:rPr>
      </w:pPr>
    </w:p>
    <w:p w14:paraId="2FB72B5A" w14:textId="6F398D57" w:rsidR="00BB0557" w:rsidRPr="0045016B" w:rsidRDefault="00BB0557" w:rsidP="00BB0557">
      <w:pPr>
        <w:rPr>
          <w:rFonts w:cstheme="minorHAnsi"/>
          <w:lang w:val="fr-FR"/>
        </w:rPr>
      </w:pPr>
      <w:r w:rsidRPr="00C84B2B">
        <w:rPr>
          <w:rFonts w:cstheme="minorHAnsi"/>
          <w:lang w:val="fr-FR"/>
        </w:rPr>
        <w:t>4.</w:t>
      </w:r>
      <w:r w:rsidRPr="00C84B2B">
        <w:rPr>
          <w:rFonts w:cstheme="minorHAnsi"/>
          <w:lang w:val="fr-FR"/>
        </w:rPr>
        <w:tab/>
      </w:r>
      <w:bookmarkEnd w:id="1"/>
      <w:r w:rsidR="0045016B" w:rsidRPr="0045016B">
        <w:rPr>
          <w:rFonts w:cstheme="minorHAnsi"/>
          <w:lang w:val="fr-FR"/>
        </w:rPr>
        <w:t>En outre, dans sa d</w:t>
      </w:r>
      <w:r w:rsidR="0045016B">
        <w:rPr>
          <w:rFonts w:cstheme="minorHAnsi"/>
          <w:lang w:val="fr-FR"/>
        </w:rPr>
        <w:t>é</w:t>
      </w:r>
      <w:r w:rsidR="0045016B" w:rsidRPr="0045016B">
        <w:rPr>
          <w:rFonts w:cstheme="minorHAnsi"/>
          <w:lang w:val="fr-FR"/>
        </w:rPr>
        <w:t xml:space="preserve">cision SC63-18, le Comité permanent </w:t>
      </w:r>
      <w:r w:rsidR="0045016B">
        <w:rPr>
          <w:rFonts w:cstheme="minorHAnsi"/>
          <w:lang w:val="fr-FR"/>
        </w:rPr>
        <w:t>a « </w:t>
      </w:r>
      <w:r w:rsidR="0045016B" w:rsidRPr="0045016B">
        <w:rPr>
          <w:rFonts w:cstheme="minorHAnsi"/>
          <w:i/>
          <w:iCs/>
          <w:lang w:val="fr-FR"/>
        </w:rPr>
        <w:t xml:space="preserve">décid[é] que les Décisions considérées comme </w:t>
      </w:r>
      <w:r w:rsidR="00663742">
        <w:rPr>
          <w:rFonts w:cstheme="minorHAnsi"/>
          <w:i/>
          <w:iCs/>
          <w:lang w:val="fr-FR"/>
        </w:rPr>
        <w:t>“</w:t>
      </w:r>
      <w:r w:rsidR="0045016B" w:rsidRPr="0045016B">
        <w:rPr>
          <w:rFonts w:cstheme="minorHAnsi"/>
          <w:i/>
          <w:iCs/>
          <w:lang w:val="fr-FR"/>
        </w:rPr>
        <w:t>en attente</w:t>
      </w:r>
      <w:r w:rsidR="00663742">
        <w:rPr>
          <w:rFonts w:cstheme="minorHAnsi"/>
          <w:i/>
          <w:iCs/>
          <w:lang w:val="fr-FR"/>
        </w:rPr>
        <w:t>”</w:t>
      </w:r>
      <w:r w:rsidR="0045016B" w:rsidRPr="0045016B">
        <w:rPr>
          <w:rFonts w:cstheme="minorHAnsi"/>
          <w:i/>
          <w:iCs/>
          <w:lang w:val="fr-FR"/>
        </w:rPr>
        <w:t xml:space="preserve"> seront présentées lors de futures réunions du Comité permanent comme indiqué au paragraphe 4 du document SC63 Doc.8</w:t>
      </w:r>
      <w:r w:rsidR="00663742">
        <w:rPr>
          <w:rFonts w:cstheme="minorHAnsi"/>
          <w:i/>
          <w:iCs/>
          <w:lang w:val="fr-FR"/>
        </w:rPr>
        <w:t> </w:t>
      </w:r>
      <w:r w:rsidR="0045016B" w:rsidRPr="0045016B">
        <w:rPr>
          <w:rFonts w:cstheme="minorHAnsi"/>
          <w:i/>
          <w:iCs/>
          <w:lang w:val="fr-FR"/>
        </w:rPr>
        <w:t xml:space="preserve">; et que les Décisions considérées comme </w:t>
      </w:r>
      <w:r w:rsidR="00663742">
        <w:rPr>
          <w:rFonts w:cstheme="minorHAnsi"/>
          <w:i/>
          <w:iCs/>
          <w:lang w:val="fr-FR"/>
        </w:rPr>
        <w:t>“</w:t>
      </w:r>
      <w:r w:rsidR="0045016B" w:rsidRPr="0045016B">
        <w:rPr>
          <w:rFonts w:cstheme="minorHAnsi"/>
          <w:i/>
          <w:iCs/>
          <w:lang w:val="fr-FR"/>
        </w:rPr>
        <w:t>appliquées</w:t>
      </w:r>
      <w:r w:rsidR="00663742">
        <w:rPr>
          <w:rFonts w:cstheme="minorHAnsi"/>
          <w:i/>
          <w:iCs/>
          <w:lang w:val="fr-FR"/>
        </w:rPr>
        <w:t>”</w:t>
      </w:r>
      <w:r w:rsidR="0045016B" w:rsidRPr="0045016B">
        <w:rPr>
          <w:rFonts w:cstheme="minorHAnsi"/>
          <w:i/>
          <w:iCs/>
          <w:lang w:val="fr-FR"/>
        </w:rPr>
        <w:t xml:space="preserve"> ne seront pas présentées lors de futures réunions du Comité permanent. Le Comité permanent [a] recommand[é] que, le cas échéant, les Décisions </w:t>
      </w:r>
      <w:r w:rsidR="00663742">
        <w:rPr>
          <w:rFonts w:cstheme="minorHAnsi"/>
          <w:i/>
          <w:iCs/>
          <w:lang w:val="fr-FR"/>
        </w:rPr>
        <w:t>“</w:t>
      </w:r>
      <w:r w:rsidR="0045016B" w:rsidRPr="0045016B">
        <w:rPr>
          <w:rFonts w:cstheme="minorHAnsi"/>
          <w:i/>
          <w:iCs/>
          <w:lang w:val="fr-FR"/>
        </w:rPr>
        <w:t>en attente</w:t>
      </w:r>
      <w:r w:rsidR="00663742">
        <w:rPr>
          <w:rFonts w:cstheme="minorHAnsi"/>
          <w:i/>
          <w:iCs/>
          <w:lang w:val="fr-FR"/>
        </w:rPr>
        <w:t>”</w:t>
      </w:r>
      <w:r w:rsidR="0045016B" w:rsidRPr="0045016B">
        <w:rPr>
          <w:rFonts w:cstheme="minorHAnsi"/>
          <w:i/>
          <w:iCs/>
          <w:lang w:val="fr-FR"/>
        </w:rPr>
        <w:t xml:space="preserve"> soient intégrées dans de futures Résolutions afin de pouvoir être considérées comme </w:t>
      </w:r>
      <w:r w:rsidR="00663742">
        <w:rPr>
          <w:rFonts w:cstheme="minorHAnsi"/>
          <w:i/>
          <w:iCs/>
          <w:lang w:val="fr-FR"/>
        </w:rPr>
        <w:t>“</w:t>
      </w:r>
      <w:r w:rsidR="0045016B" w:rsidRPr="0045016B">
        <w:rPr>
          <w:rFonts w:cstheme="minorHAnsi"/>
          <w:i/>
          <w:iCs/>
          <w:lang w:val="fr-FR"/>
        </w:rPr>
        <w:t>appliquées</w:t>
      </w:r>
      <w:r w:rsidR="00663742">
        <w:rPr>
          <w:rFonts w:cstheme="minorHAnsi"/>
          <w:i/>
          <w:iCs/>
          <w:lang w:val="fr-FR"/>
        </w:rPr>
        <w:t>”</w:t>
      </w:r>
      <w:r w:rsidR="0045016B" w:rsidRPr="0045016B">
        <w:rPr>
          <w:rFonts w:cstheme="minorHAnsi"/>
          <w:i/>
          <w:iCs/>
          <w:lang w:val="fr-FR"/>
        </w:rPr>
        <w:t xml:space="preserve"> et retirées de la liste des Décisions </w:t>
      </w:r>
      <w:r w:rsidR="00663742">
        <w:rPr>
          <w:rFonts w:cstheme="minorHAnsi"/>
          <w:i/>
          <w:iCs/>
          <w:lang w:val="fr-FR"/>
        </w:rPr>
        <w:t>“</w:t>
      </w:r>
      <w:r w:rsidR="0045016B" w:rsidRPr="0045016B">
        <w:rPr>
          <w:rFonts w:cstheme="minorHAnsi"/>
          <w:i/>
          <w:iCs/>
          <w:lang w:val="fr-FR"/>
        </w:rPr>
        <w:t>en attente</w:t>
      </w:r>
      <w:r w:rsidR="00663742">
        <w:rPr>
          <w:rFonts w:cstheme="minorHAnsi"/>
          <w:i/>
          <w:iCs/>
          <w:lang w:val="fr-FR"/>
        </w:rPr>
        <w:t>”</w:t>
      </w:r>
      <w:r w:rsidR="0045016B">
        <w:rPr>
          <w:rFonts w:cstheme="minorHAnsi"/>
          <w:lang w:val="fr-FR"/>
        </w:rPr>
        <w:t> »</w:t>
      </w:r>
      <w:r w:rsidR="0045016B" w:rsidRPr="0045016B">
        <w:rPr>
          <w:rFonts w:cstheme="minorHAnsi"/>
          <w:lang w:val="fr-FR"/>
        </w:rPr>
        <w:t>.</w:t>
      </w:r>
    </w:p>
    <w:p w14:paraId="2106EC9F" w14:textId="77777777" w:rsidR="00BB0557" w:rsidRPr="0045016B" w:rsidRDefault="00BB0557" w:rsidP="00BB0557">
      <w:pPr>
        <w:ind w:left="0" w:firstLine="0"/>
        <w:rPr>
          <w:rFonts w:cstheme="minorHAnsi"/>
          <w:lang w:val="fr-FR"/>
        </w:rPr>
      </w:pPr>
    </w:p>
    <w:p w14:paraId="3CDDC899" w14:textId="530381DD" w:rsidR="00A47F9E" w:rsidRPr="00D712CF" w:rsidRDefault="00BB0557" w:rsidP="00E65069">
      <w:pPr>
        <w:pStyle w:val="NoSpacing"/>
        <w:rPr>
          <w:rFonts w:cs="Arial"/>
          <w:b/>
          <w:sz w:val="24"/>
          <w:szCs w:val="24"/>
          <w:lang w:val="fr-FR"/>
        </w:rPr>
      </w:pPr>
      <w:r w:rsidRPr="00C84B2B">
        <w:rPr>
          <w:rFonts w:cstheme="minorBidi"/>
          <w:lang w:val="fr-FR"/>
        </w:rPr>
        <w:t xml:space="preserve">5. </w:t>
      </w:r>
      <w:r w:rsidRPr="00C84B2B">
        <w:rPr>
          <w:lang w:val="fr-FR"/>
        </w:rPr>
        <w:tab/>
      </w:r>
      <w:r w:rsidR="00D712CF" w:rsidRPr="00D712CF">
        <w:rPr>
          <w:lang w:val="fr-FR"/>
        </w:rPr>
        <w:t xml:space="preserve">La liste des Décisions </w:t>
      </w:r>
      <w:r w:rsidR="00C84B2B">
        <w:rPr>
          <w:lang w:val="fr-FR"/>
        </w:rPr>
        <w:t>« </w:t>
      </w:r>
      <w:r w:rsidR="00D712CF" w:rsidRPr="00D712CF">
        <w:rPr>
          <w:lang w:val="fr-FR"/>
        </w:rPr>
        <w:t>en attente</w:t>
      </w:r>
      <w:r w:rsidR="00C84B2B">
        <w:rPr>
          <w:lang w:val="fr-FR"/>
        </w:rPr>
        <w:t> »</w:t>
      </w:r>
      <w:r w:rsidR="00D712CF" w:rsidRPr="00D712CF">
        <w:rPr>
          <w:lang w:val="fr-FR"/>
        </w:rPr>
        <w:t xml:space="preserve"> est incluse en annexe 1 du pr</w:t>
      </w:r>
      <w:r w:rsidR="00D712CF">
        <w:rPr>
          <w:lang w:val="fr-FR"/>
        </w:rPr>
        <w:t>é</w:t>
      </w:r>
      <w:r w:rsidR="00D712CF" w:rsidRPr="00D712CF">
        <w:rPr>
          <w:lang w:val="fr-FR"/>
        </w:rPr>
        <w:t xml:space="preserve">sent document. Elle </w:t>
      </w:r>
      <w:r w:rsidR="00D712CF" w:rsidRPr="00804644">
        <w:rPr>
          <w:lang w:val="fr-FR"/>
        </w:rPr>
        <w:t xml:space="preserve">comprend cinq </w:t>
      </w:r>
      <w:r w:rsidR="007E6EC4" w:rsidRPr="00804644">
        <w:rPr>
          <w:lang w:val="fr-FR"/>
        </w:rPr>
        <w:t>d</w:t>
      </w:r>
      <w:r w:rsidR="00D712CF" w:rsidRPr="00804644">
        <w:rPr>
          <w:lang w:val="fr-FR"/>
        </w:rPr>
        <w:t xml:space="preserve">écisions </w:t>
      </w:r>
      <w:r w:rsidR="007E6EC4" w:rsidRPr="00804644">
        <w:rPr>
          <w:lang w:val="fr-FR"/>
        </w:rPr>
        <w:t xml:space="preserve">ou </w:t>
      </w:r>
      <w:r w:rsidR="00804644">
        <w:rPr>
          <w:lang w:val="fr-FR"/>
        </w:rPr>
        <w:t>parties</w:t>
      </w:r>
      <w:r w:rsidR="007E6EC4" w:rsidRPr="00804644">
        <w:rPr>
          <w:lang w:val="fr-FR"/>
        </w:rPr>
        <w:t xml:space="preserve"> de décisions prises lors </w:t>
      </w:r>
      <w:r w:rsidR="00D712CF" w:rsidRPr="00804644">
        <w:rPr>
          <w:lang w:val="fr-FR"/>
        </w:rPr>
        <w:t>de la 63</w:t>
      </w:r>
      <w:r w:rsidR="00D712CF" w:rsidRPr="00804644">
        <w:rPr>
          <w:vertAlign w:val="superscript"/>
          <w:lang w:val="fr-FR"/>
        </w:rPr>
        <w:t>e</w:t>
      </w:r>
      <w:r w:rsidR="00663742" w:rsidRPr="00804644">
        <w:rPr>
          <w:lang w:val="fr-FR"/>
        </w:rPr>
        <w:t> </w:t>
      </w:r>
      <w:r w:rsidR="00D712CF" w:rsidRPr="00804644">
        <w:rPr>
          <w:lang w:val="fr-FR"/>
        </w:rPr>
        <w:t xml:space="preserve">réunion du Comité permanent, trois </w:t>
      </w:r>
      <w:r w:rsidR="007E6EC4" w:rsidRPr="00804644">
        <w:rPr>
          <w:lang w:val="fr-FR"/>
        </w:rPr>
        <w:t xml:space="preserve">prises lors </w:t>
      </w:r>
      <w:r w:rsidR="00D712CF" w:rsidRPr="00804644">
        <w:rPr>
          <w:lang w:val="fr-FR"/>
        </w:rPr>
        <w:t xml:space="preserve">de </w:t>
      </w:r>
      <w:r w:rsidR="00C84B2B" w:rsidRPr="00804644">
        <w:rPr>
          <w:lang w:val="fr-FR"/>
        </w:rPr>
        <w:t>s</w:t>
      </w:r>
      <w:r w:rsidR="00D712CF" w:rsidRPr="00804644">
        <w:rPr>
          <w:lang w:val="fr-FR"/>
        </w:rPr>
        <w:t>a 62</w:t>
      </w:r>
      <w:r w:rsidR="00D712CF" w:rsidRPr="00804644">
        <w:rPr>
          <w:vertAlign w:val="superscript"/>
          <w:lang w:val="fr-FR"/>
        </w:rPr>
        <w:t>e</w:t>
      </w:r>
      <w:r w:rsidR="00663742" w:rsidRPr="00804644">
        <w:rPr>
          <w:lang w:val="fr-FR"/>
        </w:rPr>
        <w:t> </w:t>
      </w:r>
      <w:r w:rsidR="00D712CF" w:rsidRPr="00804644">
        <w:rPr>
          <w:lang w:val="fr-FR"/>
        </w:rPr>
        <w:t xml:space="preserve">réunion et douze </w:t>
      </w:r>
      <w:r w:rsidR="007E6EC4" w:rsidRPr="00804644">
        <w:rPr>
          <w:lang w:val="fr-FR"/>
        </w:rPr>
        <w:t>prises lors</w:t>
      </w:r>
      <w:r w:rsidR="00D712CF" w:rsidRPr="00804644">
        <w:rPr>
          <w:lang w:val="fr-FR"/>
        </w:rPr>
        <w:t xml:space="preserve"> de réunions précédentes. Le Secrétariat a noté </w:t>
      </w:r>
      <w:r w:rsidR="00C84B2B" w:rsidRPr="00804644">
        <w:rPr>
          <w:lang w:val="fr-FR"/>
        </w:rPr>
        <w:t>la</w:t>
      </w:r>
      <w:r w:rsidR="00D712CF" w:rsidRPr="00804644">
        <w:rPr>
          <w:lang w:val="fr-FR"/>
        </w:rPr>
        <w:t xml:space="preserve"> proposition de clore ou d’appliquer chaque</w:t>
      </w:r>
      <w:r w:rsidR="00D712CF" w:rsidRPr="00D712CF">
        <w:rPr>
          <w:lang w:val="fr-FR"/>
        </w:rPr>
        <w:t xml:space="preserve"> </w:t>
      </w:r>
      <w:r w:rsidR="00D712CF">
        <w:rPr>
          <w:lang w:val="fr-FR"/>
        </w:rPr>
        <w:t>Décision</w:t>
      </w:r>
      <w:r w:rsidR="007E6EC4">
        <w:rPr>
          <w:lang w:val="fr-FR"/>
        </w:rPr>
        <w:t xml:space="preserve">, dans certains cas en </w:t>
      </w:r>
      <w:r w:rsidR="007E6EC4">
        <w:rPr>
          <w:lang w:val="fr-FR"/>
        </w:rPr>
        <w:lastRenderedPageBreak/>
        <w:t>les intégrant aux projets de résolutions soumis à la 64</w:t>
      </w:r>
      <w:r w:rsidR="007E6EC4" w:rsidRPr="007E6EC4">
        <w:rPr>
          <w:vertAlign w:val="superscript"/>
          <w:lang w:val="fr-FR"/>
        </w:rPr>
        <w:t>e</w:t>
      </w:r>
      <w:r w:rsidR="007E6EC4">
        <w:rPr>
          <w:lang w:val="fr-FR"/>
        </w:rPr>
        <w:t xml:space="preserve"> réunion du Comité permanent</w:t>
      </w:r>
      <w:r w:rsidR="00D712CF">
        <w:rPr>
          <w:lang w:val="fr-FR"/>
        </w:rPr>
        <w:t xml:space="preserve">. </w:t>
      </w:r>
      <w:r w:rsidR="00D712CF" w:rsidRPr="00D712CF">
        <w:rPr>
          <w:lang w:val="fr-FR"/>
        </w:rPr>
        <w:t>Dans certains cas, les Décisions ont un effet</w:t>
      </w:r>
      <w:r w:rsidR="00D712CF">
        <w:rPr>
          <w:lang w:val="fr-FR"/>
        </w:rPr>
        <w:t xml:space="preserve"> permanent.</w:t>
      </w:r>
      <w:r w:rsidR="00216875" w:rsidRPr="00D712CF">
        <w:rPr>
          <w:lang w:val="fr-FR"/>
        </w:rPr>
        <w:t xml:space="preserve"> </w:t>
      </w:r>
      <w:r w:rsidR="00A47F9E" w:rsidRPr="00D712CF">
        <w:rPr>
          <w:rFonts w:cs="Arial"/>
          <w:b/>
          <w:sz w:val="24"/>
          <w:szCs w:val="24"/>
          <w:lang w:val="fr-FR"/>
        </w:rPr>
        <w:br w:type="page"/>
      </w:r>
    </w:p>
    <w:p w14:paraId="1FCF8AAA" w14:textId="3719814A" w:rsidR="00EC673C" w:rsidRPr="002F18BD" w:rsidRDefault="00EC673C" w:rsidP="00EC673C">
      <w:pPr>
        <w:ind w:left="0" w:firstLine="0"/>
        <w:rPr>
          <w:rFonts w:cs="Arial"/>
          <w:b/>
          <w:sz w:val="24"/>
          <w:szCs w:val="24"/>
          <w:lang w:val="fr-FR"/>
        </w:rPr>
      </w:pPr>
      <w:r w:rsidRPr="002F18BD">
        <w:rPr>
          <w:rFonts w:cs="Arial"/>
          <w:b/>
          <w:sz w:val="24"/>
          <w:szCs w:val="24"/>
          <w:lang w:val="fr-FR"/>
        </w:rPr>
        <w:lastRenderedPageBreak/>
        <w:t>Annex</w:t>
      </w:r>
      <w:r w:rsidR="00C6033A" w:rsidRPr="002F18BD">
        <w:rPr>
          <w:rFonts w:cs="Arial"/>
          <w:b/>
          <w:sz w:val="24"/>
          <w:szCs w:val="24"/>
          <w:lang w:val="fr-FR"/>
        </w:rPr>
        <w:t>e</w:t>
      </w:r>
      <w:r w:rsidRPr="002F18BD">
        <w:rPr>
          <w:rFonts w:cs="Arial"/>
          <w:b/>
          <w:sz w:val="24"/>
          <w:szCs w:val="24"/>
          <w:lang w:val="fr-FR"/>
        </w:rPr>
        <w:t xml:space="preserve"> </w:t>
      </w:r>
      <w:r w:rsidR="00A47F9E" w:rsidRPr="002F18BD">
        <w:rPr>
          <w:rFonts w:cs="Arial"/>
          <w:b/>
          <w:sz w:val="24"/>
          <w:szCs w:val="24"/>
          <w:lang w:val="fr-FR"/>
        </w:rPr>
        <w:t>1</w:t>
      </w:r>
    </w:p>
    <w:p w14:paraId="04622011" w14:textId="1385176B" w:rsidR="00A47F9E" w:rsidRPr="002F18BD" w:rsidRDefault="00A47F9E" w:rsidP="00EC673C">
      <w:pPr>
        <w:ind w:left="0" w:firstLine="0"/>
        <w:rPr>
          <w:rFonts w:cs="Arial"/>
          <w:b/>
          <w:sz w:val="24"/>
          <w:szCs w:val="24"/>
          <w:lang w:val="fr-FR"/>
        </w:rPr>
      </w:pPr>
      <w:r w:rsidRPr="002F18BD">
        <w:rPr>
          <w:rFonts w:cs="Arial"/>
          <w:b/>
          <w:sz w:val="24"/>
          <w:szCs w:val="24"/>
          <w:lang w:val="fr-FR"/>
        </w:rPr>
        <w:t>List</w:t>
      </w:r>
      <w:r w:rsidR="00C6033A" w:rsidRPr="002F18BD">
        <w:rPr>
          <w:rFonts w:cs="Arial"/>
          <w:b/>
          <w:sz w:val="24"/>
          <w:szCs w:val="24"/>
          <w:lang w:val="fr-FR"/>
        </w:rPr>
        <w:t>e</w:t>
      </w:r>
      <w:r w:rsidRPr="002F18BD">
        <w:rPr>
          <w:rFonts w:cs="Arial"/>
          <w:b/>
          <w:sz w:val="24"/>
          <w:szCs w:val="24"/>
          <w:lang w:val="fr-FR"/>
        </w:rPr>
        <w:t xml:space="preserve"> </w:t>
      </w:r>
      <w:r w:rsidR="00C6033A" w:rsidRPr="002F18BD">
        <w:rPr>
          <w:rFonts w:cs="Arial"/>
          <w:b/>
          <w:sz w:val="24"/>
          <w:szCs w:val="24"/>
          <w:lang w:val="fr-FR"/>
        </w:rPr>
        <w:t>de</w:t>
      </w:r>
      <w:r w:rsidRPr="002F18BD">
        <w:rPr>
          <w:rFonts w:cs="Arial"/>
          <w:b/>
          <w:sz w:val="24"/>
          <w:szCs w:val="24"/>
          <w:lang w:val="fr-FR"/>
        </w:rPr>
        <w:t xml:space="preserve"> D</w:t>
      </w:r>
      <w:r w:rsidR="00C6033A" w:rsidRPr="002F18BD">
        <w:rPr>
          <w:rFonts w:cs="Arial"/>
          <w:b/>
          <w:sz w:val="24"/>
          <w:szCs w:val="24"/>
          <w:lang w:val="fr-FR"/>
        </w:rPr>
        <w:t>é</w:t>
      </w:r>
      <w:r w:rsidRPr="002F18BD">
        <w:rPr>
          <w:rFonts w:cs="Arial"/>
          <w:b/>
          <w:sz w:val="24"/>
          <w:szCs w:val="24"/>
          <w:lang w:val="fr-FR"/>
        </w:rPr>
        <w:t xml:space="preserve">cisions </w:t>
      </w:r>
      <w:r w:rsidR="00581ABF" w:rsidRPr="002F18BD">
        <w:rPr>
          <w:rFonts w:cs="Arial"/>
          <w:b/>
          <w:sz w:val="24"/>
          <w:szCs w:val="24"/>
          <w:lang w:val="fr-FR"/>
        </w:rPr>
        <w:t>« </w:t>
      </w:r>
      <w:r w:rsidR="00C6033A" w:rsidRPr="002F18BD">
        <w:rPr>
          <w:rFonts w:cs="Arial"/>
          <w:b/>
          <w:sz w:val="24"/>
          <w:szCs w:val="24"/>
          <w:lang w:val="fr-FR"/>
        </w:rPr>
        <w:t>en attente</w:t>
      </w:r>
      <w:r w:rsidR="00581ABF" w:rsidRPr="002F18BD">
        <w:rPr>
          <w:rFonts w:cs="Arial"/>
          <w:b/>
          <w:sz w:val="24"/>
          <w:szCs w:val="24"/>
          <w:lang w:val="fr-FR"/>
        </w:rPr>
        <w:t> »</w:t>
      </w:r>
      <w:r w:rsidR="00C6033A" w:rsidRPr="002F18BD">
        <w:rPr>
          <w:rFonts w:cs="Arial"/>
          <w:b/>
          <w:sz w:val="24"/>
          <w:szCs w:val="24"/>
          <w:lang w:val="fr-FR"/>
        </w:rPr>
        <w:t xml:space="preserve"> du Comité permanent</w:t>
      </w:r>
    </w:p>
    <w:p w14:paraId="47083E9A" w14:textId="22567450" w:rsidR="00A47F9E" w:rsidRPr="002F18BD" w:rsidRDefault="00A47F9E" w:rsidP="00EC673C">
      <w:pPr>
        <w:ind w:left="0" w:firstLine="0"/>
        <w:rPr>
          <w:rFonts w:cs="Arial"/>
          <w:b/>
          <w:sz w:val="24"/>
          <w:szCs w:val="24"/>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88"/>
        <w:gridCol w:w="850"/>
        <w:gridCol w:w="4394"/>
        <w:gridCol w:w="2977"/>
      </w:tblGrid>
      <w:tr w:rsidR="002F18BD" w:rsidRPr="002F18BD" w14:paraId="639F31B7" w14:textId="77777777" w:rsidTr="007324BA">
        <w:trPr>
          <w:cantSplit/>
          <w:tblHeader/>
        </w:trPr>
        <w:tc>
          <w:tcPr>
            <w:tcW w:w="988" w:type="dxa"/>
            <w:shd w:val="clear" w:color="auto" w:fill="auto"/>
            <w:hideMark/>
          </w:tcPr>
          <w:p w14:paraId="7314BFEC" w14:textId="3F10F162" w:rsidR="00A47F9E" w:rsidRPr="002F18BD" w:rsidRDefault="00C6033A" w:rsidP="007324BA">
            <w:pPr>
              <w:ind w:left="0" w:firstLine="0"/>
              <w:jc w:val="center"/>
              <w:rPr>
                <w:rFonts w:asciiTheme="minorHAnsi" w:eastAsia="Times New Roman" w:hAnsiTheme="minorHAnsi" w:cstheme="minorHAnsi"/>
                <w:b/>
                <w:bCs/>
                <w:sz w:val="20"/>
                <w:szCs w:val="20"/>
                <w:lang w:eastAsia="en-GB"/>
              </w:rPr>
            </w:pPr>
            <w:r w:rsidRPr="002F18BD">
              <w:rPr>
                <w:rFonts w:asciiTheme="minorHAnsi" w:eastAsia="Times New Roman" w:hAnsiTheme="minorHAnsi" w:cstheme="minorHAnsi"/>
                <w:b/>
                <w:bCs/>
                <w:sz w:val="20"/>
                <w:szCs w:val="20"/>
                <w:lang w:eastAsia="en-GB"/>
              </w:rPr>
              <w:t>Réunion</w:t>
            </w:r>
          </w:p>
        </w:tc>
        <w:tc>
          <w:tcPr>
            <w:tcW w:w="850" w:type="dxa"/>
            <w:shd w:val="clear" w:color="auto" w:fill="auto"/>
            <w:hideMark/>
          </w:tcPr>
          <w:p w14:paraId="7E13B7F1" w14:textId="426D5A61" w:rsidR="00A47F9E" w:rsidRPr="002F18BD" w:rsidRDefault="00C6033A" w:rsidP="007324BA">
            <w:pPr>
              <w:ind w:left="0" w:firstLine="0"/>
              <w:jc w:val="center"/>
              <w:rPr>
                <w:rFonts w:asciiTheme="minorHAnsi" w:eastAsia="Times New Roman" w:hAnsiTheme="minorHAnsi" w:cstheme="minorHAnsi"/>
                <w:b/>
                <w:bCs/>
                <w:sz w:val="20"/>
                <w:szCs w:val="20"/>
                <w:lang w:eastAsia="en-GB"/>
              </w:rPr>
            </w:pPr>
            <w:r w:rsidRPr="002F18BD">
              <w:rPr>
                <w:rFonts w:asciiTheme="minorHAnsi" w:eastAsia="Times New Roman" w:hAnsiTheme="minorHAnsi" w:cstheme="minorHAnsi"/>
                <w:b/>
                <w:bCs/>
                <w:sz w:val="20"/>
                <w:szCs w:val="20"/>
                <w:lang w:eastAsia="en-GB"/>
              </w:rPr>
              <w:t>Année</w:t>
            </w:r>
          </w:p>
        </w:tc>
        <w:tc>
          <w:tcPr>
            <w:tcW w:w="4394" w:type="dxa"/>
          </w:tcPr>
          <w:p w14:paraId="55849874" w14:textId="4C911C79" w:rsidR="00A47F9E" w:rsidRPr="002F18BD" w:rsidRDefault="00A47F9E" w:rsidP="007324BA">
            <w:pPr>
              <w:ind w:left="0" w:firstLine="0"/>
              <w:jc w:val="center"/>
              <w:rPr>
                <w:rFonts w:asciiTheme="minorHAnsi" w:eastAsia="Times New Roman" w:hAnsiTheme="minorHAnsi" w:cstheme="minorHAnsi"/>
                <w:b/>
                <w:bCs/>
                <w:sz w:val="20"/>
                <w:szCs w:val="20"/>
                <w:lang w:eastAsia="en-GB"/>
              </w:rPr>
            </w:pPr>
            <w:r w:rsidRPr="002F18BD">
              <w:rPr>
                <w:rFonts w:asciiTheme="minorHAnsi" w:eastAsia="Times New Roman" w:hAnsiTheme="minorHAnsi" w:cstheme="minorHAnsi"/>
                <w:b/>
                <w:bCs/>
                <w:sz w:val="20"/>
                <w:szCs w:val="20"/>
                <w:lang w:eastAsia="en-GB"/>
              </w:rPr>
              <w:t>Tit</w:t>
            </w:r>
            <w:r w:rsidR="00C6033A" w:rsidRPr="002F18BD">
              <w:rPr>
                <w:rFonts w:asciiTheme="minorHAnsi" w:eastAsia="Times New Roman" w:hAnsiTheme="minorHAnsi" w:cstheme="minorHAnsi"/>
                <w:b/>
                <w:bCs/>
                <w:sz w:val="20"/>
                <w:szCs w:val="20"/>
                <w:lang w:eastAsia="en-GB"/>
              </w:rPr>
              <w:t>re</w:t>
            </w:r>
          </w:p>
        </w:tc>
        <w:tc>
          <w:tcPr>
            <w:tcW w:w="2977" w:type="dxa"/>
          </w:tcPr>
          <w:p w14:paraId="5AD97660" w14:textId="44F038FC" w:rsidR="00A47F9E" w:rsidRPr="002F18BD" w:rsidRDefault="00A47F9E" w:rsidP="007324BA">
            <w:pPr>
              <w:ind w:left="0" w:firstLine="0"/>
              <w:jc w:val="center"/>
              <w:rPr>
                <w:rFonts w:asciiTheme="minorHAnsi" w:eastAsia="Times New Roman" w:hAnsiTheme="minorHAnsi" w:cstheme="minorHAnsi"/>
                <w:b/>
                <w:bCs/>
                <w:sz w:val="20"/>
                <w:szCs w:val="20"/>
                <w:lang w:eastAsia="en-GB"/>
              </w:rPr>
            </w:pPr>
            <w:r w:rsidRPr="002F18BD">
              <w:rPr>
                <w:rFonts w:asciiTheme="minorHAnsi" w:eastAsia="Times New Roman" w:hAnsiTheme="minorHAnsi" w:cstheme="minorHAnsi"/>
                <w:b/>
                <w:bCs/>
                <w:sz w:val="20"/>
                <w:szCs w:val="20"/>
                <w:lang w:eastAsia="en-GB"/>
              </w:rPr>
              <w:t>Comment</w:t>
            </w:r>
            <w:r w:rsidR="00C6033A" w:rsidRPr="002F18BD">
              <w:rPr>
                <w:rFonts w:asciiTheme="minorHAnsi" w:eastAsia="Times New Roman" w:hAnsiTheme="minorHAnsi" w:cstheme="minorHAnsi"/>
                <w:b/>
                <w:bCs/>
                <w:sz w:val="20"/>
                <w:szCs w:val="20"/>
                <w:lang w:eastAsia="en-GB"/>
              </w:rPr>
              <w:t>aire</w:t>
            </w:r>
            <w:r w:rsidRPr="002F18BD">
              <w:rPr>
                <w:rFonts w:asciiTheme="minorHAnsi" w:eastAsia="Times New Roman" w:hAnsiTheme="minorHAnsi" w:cstheme="minorHAnsi"/>
                <w:b/>
                <w:bCs/>
                <w:sz w:val="20"/>
                <w:szCs w:val="20"/>
                <w:lang w:eastAsia="en-GB"/>
              </w:rPr>
              <w:t xml:space="preserve"> / </w:t>
            </w:r>
            <w:r w:rsidR="00C6033A" w:rsidRPr="002F18BD">
              <w:rPr>
                <w:rFonts w:asciiTheme="minorHAnsi" w:eastAsia="Times New Roman" w:hAnsiTheme="minorHAnsi" w:cstheme="minorHAnsi"/>
                <w:b/>
                <w:bCs/>
                <w:sz w:val="20"/>
                <w:szCs w:val="20"/>
                <w:lang w:eastAsia="en-GB"/>
              </w:rPr>
              <w:t>Mesure proposée</w:t>
            </w:r>
          </w:p>
        </w:tc>
      </w:tr>
      <w:tr w:rsidR="002E3BF8" w:rsidRPr="00D21F56" w14:paraId="614A50B3" w14:textId="77777777" w:rsidTr="007324BA">
        <w:trPr>
          <w:cantSplit/>
        </w:trPr>
        <w:tc>
          <w:tcPr>
            <w:tcW w:w="988" w:type="dxa"/>
            <w:shd w:val="clear" w:color="auto" w:fill="auto"/>
            <w:hideMark/>
          </w:tcPr>
          <w:p w14:paraId="6D432872" w14:textId="0E052049" w:rsidR="002E3BF8" w:rsidRPr="002F18BD" w:rsidRDefault="002E3BF8" w:rsidP="002E3BF8">
            <w:pPr>
              <w:ind w:left="0" w:firstLine="0"/>
              <w:rPr>
                <w:rFonts w:asciiTheme="minorHAnsi" w:eastAsia="Times New Roman" w:hAnsiTheme="minorHAnsi" w:cstheme="minorHAnsi"/>
                <w:sz w:val="20"/>
                <w:szCs w:val="20"/>
                <w:lang w:eastAsia="en-GB"/>
              </w:rPr>
            </w:pPr>
            <w:r w:rsidRPr="006557EB">
              <w:rPr>
                <w:rFonts w:eastAsia="Times New Roman" w:cs="Calibri"/>
                <w:sz w:val="20"/>
                <w:szCs w:val="20"/>
                <w:lang w:eastAsia="en-GB"/>
              </w:rPr>
              <w:t xml:space="preserve"> SC63</w:t>
            </w:r>
          </w:p>
        </w:tc>
        <w:tc>
          <w:tcPr>
            <w:tcW w:w="850" w:type="dxa"/>
            <w:shd w:val="clear" w:color="auto" w:fill="auto"/>
            <w:hideMark/>
          </w:tcPr>
          <w:p w14:paraId="44739DFE" w14:textId="75B4469D" w:rsidR="002E3BF8" w:rsidRPr="002F18BD" w:rsidRDefault="002E3BF8" w:rsidP="002E3BF8">
            <w:pPr>
              <w:ind w:left="0" w:firstLine="0"/>
              <w:rPr>
                <w:rFonts w:asciiTheme="minorHAnsi" w:eastAsia="Times New Roman" w:hAnsiTheme="minorHAnsi" w:cstheme="minorHAnsi"/>
                <w:sz w:val="20"/>
                <w:szCs w:val="20"/>
                <w:lang w:eastAsia="en-GB"/>
              </w:rPr>
            </w:pPr>
            <w:r w:rsidRPr="006557EB">
              <w:rPr>
                <w:rFonts w:eastAsia="Times New Roman" w:cs="Calibri"/>
                <w:sz w:val="20"/>
                <w:szCs w:val="20"/>
                <w:lang w:eastAsia="en-GB"/>
              </w:rPr>
              <w:t>2024</w:t>
            </w:r>
          </w:p>
        </w:tc>
        <w:tc>
          <w:tcPr>
            <w:tcW w:w="4394" w:type="dxa"/>
          </w:tcPr>
          <w:p w14:paraId="428E21E6" w14:textId="18463294" w:rsidR="002E3BF8" w:rsidRPr="00651D18" w:rsidRDefault="00651D18" w:rsidP="002E3BF8">
            <w:pPr>
              <w:ind w:left="0" w:firstLine="0"/>
              <w:rPr>
                <w:rFonts w:eastAsia="Times New Roman" w:cs="Calibri"/>
                <w:bCs/>
                <w:sz w:val="20"/>
                <w:szCs w:val="20"/>
                <w:lang w:val="fr-FR" w:eastAsia="en-GB"/>
              </w:rPr>
            </w:pPr>
            <w:r w:rsidRPr="00651D18">
              <w:rPr>
                <w:rFonts w:eastAsia="Times New Roman" w:cs="Calibri"/>
                <w:bCs/>
                <w:sz w:val="20"/>
                <w:szCs w:val="20"/>
                <w:lang w:val="fr-FR" w:eastAsia="en-GB"/>
              </w:rPr>
              <w:t>Décision SC63-13 : Le Comité permanent</w:t>
            </w:r>
            <w:r>
              <w:rPr>
                <w:rFonts w:eastAsia="Times New Roman" w:cs="Calibri"/>
                <w:bCs/>
                <w:sz w:val="20"/>
                <w:szCs w:val="20"/>
                <w:lang w:val="fr-FR" w:eastAsia="en-GB"/>
              </w:rPr>
              <w:t> :</w:t>
            </w:r>
          </w:p>
          <w:p w14:paraId="6C7A86E1" w14:textId="4C08D6C3" w:rsidR="00651D18" w:rsidRPr="00651D18" w:rsidRDefault="00651D18" w:rsidP="00651D18">
            <w:pPr>
              <w:ind w:left="0" w:firstLine="0"/>
              <w:rPr>
                <w:rFonts w:eastAsia="Times New Roman" w:cs="Calibri"/>
                <w:bCs/>
                <w:sz w:val="20"/>
                <w:szCs w:val="20"/>
                <w:lang w:val="fr-FR" w:eastAsia="en-GB"/>
              </w:rPr>
            </w:pPr>
            <w:r w:rsidRPr="00651D18">
              <w:rPr>
                <w:rFonts w:eastAsia="Times New Roman" w:cs="Calibri"/>
                <w:bCs/>
                <w:sz w:val="20"/>
                <w:szCs w:val="20"/>
                <w:lang w:val="fr-FR" w:eastAsia="en-GB"/>
              </w:rPr>
              <w:t xml:space="preserve">c. approuve les orientations sur le rôle du Secrétariat concernant sa collaboration avec les Parties contractantes pour la préparation des projets de </w:t>
            </w:r>
            <w:r w:rsidR="00A97100">
              <w:rPr>
                <w:rFonts w:eastAsia="Times New Roman" w:cs="Calibri"/>
                <w:bCs/>
                <w:sz w:val="20"/>
                <w:szCs w:val="20"/>
                <w:lang w:val="fr-FR" w:eastAsia="en-GB"/>
              </w:rPr>
              <w:t>r</w:t>
            </w:r>
            <w:r w:rsidRPr="00651D18">
              <w:rPr>
                <w:rFonts w:eastAsia="Times New Roman" w:cs="Calibri"/>
                <w:bCs/>
                <w:sz w:val="20"/>
                <w:szCs w:val="20"/>
                <w:lang w:val="fr-FR" w:eastAsia="en-GB"/>
              </w:rPr>
              <w:t>ésolutions, et la procédure pour ce faire, avant et après la 64</w:t>
            </w:r>
            <w:r w:rsidRPr="00651D18">
              <w:rPr>
                <w:rFonts w:eastAsia="Times New Roman" w:cs="Calibri"/>
                <w:bCs/>
                <w:sz w:val="20"/>
                <w:szCs w:val="20"/>
                <w:vertAlign w:val="superscript"/>
                <w:lang w:val="fr-FR" w:eastAsia="en-GB"/>
              </w:rPr>
              <w:t>e</w:t>
            </w:r>
            <w:r w:rsidRPr="00651D18">
              <w:rPr>
                <w:rFonts w:eastAsia="Times New Roman" w:cs="Calibri"/>
                <w:bCs/>
                <w:sz w:val="20"/>
                <w:szCs w:val="20"/>
                <w:lang w:val="fr-FR" w:eastAsia="en-GB"/>
              </w:rPr>
              <w:t> réunion du Comité permanent, comme proposé dans les paragraphes 7 à 10 ; et</w:t>
            </w:r>
          </w:p>
          <w:p w14:paraId="2280E76D" w14:textId="1A2EFEB7" w:rsidR="002E3BF8" w:rsidRPr="00651D18" w:rsidRDefault="00651D18" w:rsidP="002E3BF8">
            <w:pPr>
              <w:ind w:left="0" w:firstLine="0"/>
              <w:rPr>
                <w:rFonts w:eastAsia="Times New Roman" w:cs="Calibri"/>
                <w:bCs/>
                <w:sz w:val="20"/>
                <w:szCs w:val="20"/>
                <w:lang w:val="fr-FR" w:eastAsia="en-GB"/>
              </w:rPr>
            </w:pPr>
            <w:r w:rsidRPr="00651D18">
              <w:rPr>
                <w:rFonts w:eastAsia="Times New Roman" w:cs="Calibri"/>
                <w:bCs/>
                <w:sz w:val="20"/>
                <w:szCs w:val="20"/>
                <w:lang w:val="fr-FR" w:eastAsia="en-GB"/>
              </w:rPr>
              <w:t xml:space="preserve">d. donne instruction au Secrétariat de suivre, pour la COP15, la procédure d’examen des projets de </w:t>
            </w:r>
            <w:r w:rsidR="00A97100">
              <w:rPr>
                <w:rFonts w:eastAsia="Times New Roman" w:cs="Calibri"/>
                <w:bCs/>
                <w:sz w:val="20"/>
                <w:szCs w:val="20"/>
                <w:lang w:val="fr-FR" w:eastAsia="en-GB"/>
              </w:rPr>
              <w:t>r</w:t>
            </w:r>
            <w:r w:rsidRPr="00651D18">
              <w:rPr>
                <w:rFonts w:eastAsia="Times New Roman" w:cs="Calibri"/>
                <w:bCs/>
                <w:sz w:val="20"/>
                <w:szCs w:val="20"/>
                <w:lang w:val="fr-FR" w:eastAsia="en-GB"/>
              </w:rPr>
              <w:t>ésolutions appliquée pour la COP14, en améliorant la logistique s’il y a lieu.</w:t>
            </w:r>
          </w:p>
        </w:tc>
        <w:tc>
          <w:tcPr>
            <w:tcW w:w="2977" w:type="dxa"/>
          </w:tcPr>
          <w:p w14:paraId="463B0562" w14:textId="446D3EFC" w:rsidR="002E3BF8" w:rsidRPr="00651D18" w:rsidRDefault="00651D18" w:rsidP="002E3BF8">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E3BF8" w:rsidRPr="00D21F56" w14:paraId="1B35773C" w14:textId="77777777" w:rsidTr="007324BA">
        <w:trPr>
          <w:cantSplit/>
        </w:trPr>
        <w:tc>
          <w:tcPr>
            <w:tcW w:w="988" w:type="dxa"/>
            <w:shd w:val="clear" w:color="auto" w:fill="auto"/>
          </w:tcPr>
          <w:p w14:paraId="342B3C4C" w14:textId="5D68F2B8" w:rsidR="002E3BF8" w:rsidRPr="006557EB" w:rsidRDefault="002E3BF8" w:rsidP="002E3BF8">
            <w:pPr>
              <w:ind w:left="0" w:firstLine="0"/>
              <w:rPr>
                <w:rFonts w:eastAsia="Times New Roman" w:cs="Calibri"/>
                <w:sz w:val="20"/>
                <w:szCs w:val="20"/>
                <w:lang w:eastAsia="en-GB"/>
              </w:rPr>
            </w:pPr>
            <w:r w:rsidRPr="00651D18">
              <w:rPr>
                <w:rFonts w:eastAsia="Times New Roman" w:cs="Calibri"/>
                <w:sz w:val="20"/>
                <w:szCs w:val="20"/>
                <w:lang w:val="fr-FR" w:eastAsia="en-GB"/>
              </w:rPr>
              <w:t xml:space="preserve"> </w:t>
            </w:r>
            <w:r w:rsidRPr="006557EB">
              <w:rPr>
                <w:rFonts w:eastAsia="Times New Roman" w:cs="Calibri"/>
                <w:sz w:val="20"/>
                <w:szCs w:val="20"/>
                <w:lang w:eastAsia="en-GB"/>
              </w:rPr>
              <w:t>SC63</w:t>
            </w:r>
          </w:p>
        </w:tc>
        <w:tc>
          <w:tcPr>
            <w:tcW w:w="850" w:type="dxa"/>
            <w:shd w:val="clear" w:color="auto" w:fill="auto"/>
          </w:tcPr>
          <w:p w14:paraId="79B50540" w14:textId="1E345F74" w:rsidR="002E3BF8" w:rsidRPr="006557EB" w:rsidRDefault="002E3BF8" w:rsidP="002E3BF8">
            <w:pPr>
              <w:ind w:left="0" w:firstLine="0"/>
              <w:rPr>
                <w:rFonts w:eastAsia="Times New Roman" w:cs="Calibri"/>
                <w:sz w:val="20"/>
                <w:szCs w:val="20"/>
                <w:lang w:eastAsia="en-GB"/>
              </w:rPr>
            </w:pPr>
            <w:r w:rsidRPr="006557EB">
              <w:rPr>
                <w:rFonts w:eastAsia="Times New Roman" w:cs="Calibri"/>
                <w:sz w:val="20"/>
                <w:szCs w:val="20"/>
                <w:lang w:eastAsia="en-GB"/>
              </w:rPr>
              <w:t>2024</w:t>
            </w:r>
          </w:p>
        </w:tc>
        <w:tc>
          <w:tcPr>
            <w:tcW w:w="4394" w:type="dxa"/>
          </w:tcPr>
          <w:p w14:paraId="1FE4CAE3" w14:textId="77777777" w:rsidR="00821A7A" w:rsidRPr="00821A7A" w:rsidRDefault="00821A7A" w:rsidP="00821A7A">
            <w:pPr>
              <w:ind w:left="0" w:firstLine="0"/>
              <w:rPr>
                <w:rFonts w:eastAsia="Times New Roman" w:cs="Calibri"/>
                <w:bCs/>
                <w:sz w:val="20"/>
                <w:szCs w:val="20"/>
                <w:lang w:val="fr-FR" w:eastAsia="en-GB"/>
              </w:rPr>
            </w:pPr>
            <w:r w:rsidRPr="00821A7A">
              <w:rPr>
                <w:rFonts w:eastAsia="Times New Roman" w:cs="Calibri"/>
                <w:bCs/>
                <w:sz w:val="20"/>
                <w:szCs w:val="20"/>
                <w:lang w:val="fr-FR" w:eastAsia="en-GB"/>
              </w:rPr>
              <w:t>Décision SC63-22 : Le Comité permanent :</w:t>
            </w:r>
          </w:p>
          <w:p w14:paraId="27482CE6" w14:textId="30AA6F97" w:rsidR="00821A7A" w:rsidRPr="00821A7A" w:rsidRDefault="00821A7A" w:rsidP="00821A7A">
            <w:pPr>
              <w:ind w:left="0" w:firstLine="0"/>
              <w:rPr>
                <w:rFonts w:eastAsia="Times New Roman" w:cs="Calibri"/>
                <w:bCs/>
                <w:sz w:val="20"/>
                <w:szCs w:val="20"/>
                <w:lang w:val="fr-FR" w:eastAsia="en-GB"/>
              </w:rPr>
            </w:pPr>
            <w:r w:rsidRPr="00821A7A">
              <w:rPr>
                <w:rFonts w:eastAsia="Times New Roman" w:cs="Calibri"/>
                <w:bCs/>
                <w:sz w:val="20"/>
                <w:szCs w:val="20"/>
                <w:lang w:val="fr-FR" w:eastAsia="en-GB"/>
              </w:rPr>
              <w:t xml:space="preserve">- approuve les quatre projets de </w:t>
            </w:r>
            <w:r w:rsidR="00A97100">
              <w:rPr>
                <w:rFonts w:eastAsia="Times New Roman" w:cs="Calibri"/>
                <w:bCs/>
                <w:sz w:val="20"/>
                <w:szCs w:val="20"/>
                <w:lang w:val="fr-FR" w:eastAsia="en-GB"/>
              </w:rPr>
              <w:t>r</w:t>
            </w:r>
            <w:r w:rsidRPr="00821A7A">
              <w:rPr>
                <w:rFonts w:eastAsia="Times New Roman" w:cs="Calibri"/>
                <w:bCs/>
                <w:sz w:val="20"/>
                <w:szCs w:val="20"/>
                <w:lang w:val="fr-FR" w:eastAsia="en-GB"/>
              </w:rPr>
              <w:t xml:space="preserve">ésolutions regroupées figurant dans les documents SC63 Doc.16.2, SC63 Doc.16.3, SC63 Doc.16.4 modifié conformément aux discussions du Comité, et SC63 Doc.16.5 ; </w:t>
            </w:r>
          </w:p>
          <w:p w14:paraId="309759B1" w14:textId="13AC1134" w:rsidR="002E3BF8" w:rsidRPr="00821A7A" w:rsidRDefault="00821A7A" w:rsidP="00821A7A">
            <w:pPr>
              <w:ind w:left="0" w:firstLine="0"/>
              <w:rPr>
                <w:rFonts w:eastAsia="Times New Roman" w:cs="Calibri"/>
                <w:bCs/>
                <w:sz w:val="20"/>
                <w:szCs w:val="20"/>
                <w:lang w:val="fr-FR" w:eastAsia="en-GB"/>
              </w:rPr>
            </w:pPr>
            <w:r w:rsidRPr="00821A7A">
              <w:rPr>
                <w:rFonts w:eastAsia="Times New Roman" w:cs="Calibri"/>
                <w:bCs/>
                <w:sz w:val="20"/>
                <w:szCs w:val="20"/>
                <w:lang w:val="fr-FR" w:eastAsia="en-GB"/>
              </w:rPr>
              <w:t xml:space="preserve">- charge le Secrétariat de soumettre les projets de </w:t>
            </w:r>
            <w:r w:rsidR="00A97100">
              <w:rPr>
                <w:rFonts w:eastAsia="Times New Roman" w:cs="Calibri"/>
                <w:bCs/>
                <w:sz w:val="20"/>
                <w:szCs w:val="20"/>
                <w:lang w:val="fr-FR" w:eastAsia="en-GB"/>
              </w:rPr>
              <w:t>r</w:t>
            </w:r>
            <w:r w:rsidRPr="00821A7A">
              <w:rPr>
                <w:rFonts w:eastAsia="Times New Roman" w:cs="Calibri"/>
                <w:bCs/>
                <w:sz w:val="20"/>
                <w:szCs w:val="20"/>
                <w:lang w:val="fr-FR" w:eastAsia="en-GB"/>
              </w:rPr>
              <w:t>ésolutions regroupées figurant dans les documents SC63 Doc.16.2, SC63 Doc.16.4 tel que modifié, et SC63 Doc.16.5 pour examen et adoption par la Conférence des Parties à sa 15</w:t>
            </w:r>
            <w:r w:rsidRPr="00821A7A">
              <w:rPr>
                <w:rFonts w:eastAsia="Times New Roman" w:cs="Calibri"/>
                <w:bCs/>
                <w:sz w:val="20"/>
                <w:szCs w:val="20"/>
                <w:vertAlign w:val="superscript"/>
                <w:lang w:val="fr-FR" w:eastAsia="en-GB"/>
              </w:rPr>
              <w:t>e</w:t>
            </w:r>
            <w:r w:rsidRPr="00821A7A">
              <w:rPr>
                <w:rFonts w:eastAsia="Times New Roman" w:cs="Calibri"/>
                <w:bCs/>
                <w:sz w:val="20"/>
                <w:szCs w:val="20"/>
                <w:lang w:val="fr-FR" w:eastAsia="en-GB"/>
              </w:rPr>
              <w:t> session</w:t>
            </w:r>
            <w:r w:rsidR="00663742">
              <w:rPr>
                <w:rFonts w:eastAsia="Times New Roman" w:cs="Calibri"/>
                <w:bCs/>
                <w:sz w:val="20"/>
                <w:szCs w:val="20"/>
                <w:lang w:val="fr-FR" w:eastAsia="en-GB"/>
              </w:rPr>
              <w:t>.</w:t>
            </w:r>
          </w:p>
        </w:tc>
        <w:tc>
          <w:tcPr>
            <w:tcW w:w="2977" w:type="dxa"/>
          </w:tcPr>
          <w:p w14:paraId="3958B571" w14:textId="51FEE767" w:rsidR="002E3BF8" w:rsidRPr="00651D18" w:rsidRDefault="00651D18" w:rsidP="002E3BF8">
            <w:pPr>
              <w:ind w:left="0" w:firstLine="0"/>
              <w:rPr>
                <w:rFonts w:eastAsia="Times New Roman" w:cs="Calibr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E3BF8" w:rsidRPr="00D21F56" w14:paraId="5DC31BD2" w14:textId="77777777" w:rsidTr="007324BA">
        <w:trPr>
          <w:cantSplit/>
        </w:trPr>
        <w:tc>
          <w:tcPr>
            <w:tcW w:w="988" w:type="dxa"/>
            <w:shd w:val="clear" w:color="auto" w:fill="auto"/>
            <w:hideMark/>
          </w:tcPr>
          <w:p w14:paraId="7B06C388" w14:textId="6A709E8C" w:rsidR="002E3BF8" w:rsidRPr="002F18BD" w:rsidRDefault="002E3BF8" w:rsidP="002E3BF8">
            <w:pPr>
              <w:ind w:left="0" w:firstLine="0"/>
              <w:rPr>
                <w:rFonts w:asciiTheme="minorHAnsi" w:eastAsia="Times New Roman" w:hAnsiTheme="minorHAnsi" w:cstheme="minorHAnsi"/>
                <w:sz w:val="20"/>
                <w:szCs w:val="20"/>
                <w:lang w:eastAsia="en-GB"/>
              </w:rPr>
            </w:pPr>
            <w:r w:rsidRPr="00651D18">
              <w:rPr>
                <w:rFonts w:eastAsia="Times New Roman" w:cs="Calibri"/>
                <w:sz w:val="20"/>
                <w:szCs w:val="20"/>
                <w:lang w:val="fr-FR" w:eastAsia="en-GB"/>
              </w:rPr>
              <w:t xml:space="preserve"> </w:t>
            </w:r>
            <w:r w:rsidRPr="006557EB">
              <w:rPr>
                <w:rFonts w:eastAsia="Times New Roman" w:cs="Calibri"/>
                <w:sz w:val="20"/>
                <w:szCs w:val="20"/>
                <w:lang w:eastAsia="en-GB"/>
              </w:rPr>
              <w:t>SC63</w:t>
            </w:r>
          </w:p>
        </w:tc>
        <w:tc>
          <w:tcPr>
            <w:tcW w:w="850" w:type="dxa"/>
            <w:shd w:val="clear" w:color="auto" w:fill="auto"/>
            <w:hideMark/>
          </w:tcPr>
          <w:p w14:paraId="4D8836CF" w14:textId="7D7F46AF" w:rsidR="002E3BF8" w:rsidRPr="002F18BD" w:rsidRDefault="002E3BF8" w:rsidP="002E3BF8">
            <w:pPr>
              <w:ind w:left="0" w:firstLine="0"/>
              <w:rPr>
                <w:rFonts w:asciiTheme="minorHAnsi" w:eastAsia="Times New Roman" w:hAnsiTheme="minorHAnsi" w:cstheme="minorHAnsi"/>
                <w:sz w:val="20"/>
                <w:szCs w:val="20"/>
                <w:lang w:eastAsia="en-GB"/>
              </w:rPr>
            </w:pPr>
            <w:r w:rsidRPr="006557EB">
              <w:rPr>
                <w:rFonts w:eastAsia="Times New Roman" w:cs="Calibri"/>
                <w:sz w:val="20"/>
                <w:szCs w:val="20"/>
                <w:lang w:eastAsia="en-GB"/>
              </w:rPr>
              <w:t>2024</w:t>
            </w:r>
          </w:p>
        </w:tc>
        <w:tc>
          <w:tcPr>
            <w:tcW w:w="4394" w:type="dxa"/>
          </w:tcPr>
          <w:p w14:paraId="7DAB8D85" w14:textId="16C7A203" w:rsidR="002E3BF8" w:rsidRPr="00821A7A" w:rsidRDefault="00821A7A" w:rsidP="002E3BF8">
            <w:pPr>
              <w:ind w:left="0" w:firstLine="0"/>
              <w:rPr>
                <w:rFonts w:eastAsia="Times New Roman" w:cs="Calibri"/>
                <w:sz w:val="20"/>
                <w:szCs w:val="20"/>
                <w:lang w:val="fr-FR" w:eastAsia="en-GB"/>
              </w:rPr>
            </w:pPr>
            <w:r w:rsidRPr="00821A7A">
              <w:rPr>
                <w:rFonts w:eastAsia="Times New Roman" w:cs="Calibri"/>
                <w:sz w:val="20"/>
                <w:szCs w:val="20"/>
                <w:lang w:val="fr-FR" w:eastAsia="en-GB"/>
              </w:rPr>
              <w:t>Décision SC63-23 : Le Comité permanent prend note du rapport du Groupe de surveillance des activités de CESP figurant dans le document SC63 Doc.17.1, et charge le Groupe de poursuivre les discussions sur la nécessité et l’intérêt d’un nouveau logo, en y incluant les considérations budgétaires, en consultation avec les Parties intéressées et le Secrétariat, et de faire rapport sur l’état d’avancement de ce point à la 67</w:t>
            </w:r>
            <w:r w:rsidRPr="00821A7A">
              <w:rPr>
                <w:rFonts w:eastAsia="Times New Roman" w:cs="Calibri"/>
                <w:sz w:val="20"/>
                <w:szCs w:val="20"/>
                <w:vertAlign w:val="superscript"/>
                <w:lang w:val="fr-FR" w:eastAsia="en-GB"/>
              </w:rPr>
              <w:t>e</w:t>
            </w:r>
            <w:r w:rsidRPr="00821A7A">
              <w:rPr>
                <w:rFonts w:eastAsia="Times New Roman" w:cs="Calibri"/>
                <w:sz w:val="20"/>
                <w:szCs w:val="20"/>
                <w:lang w:val="fr-FR" w:eastAsia="en-GB"/>
              </w:rPr>
              <w:t> réunion du Comité permanent.</w:t>
            </w:r>
          </w:p>
        </w:tc>
        <w:tc>
          <w:tcPr>
            <w:tcW w:w="2977" w:type="dxa"/>
          </w:tcPr>
          <w:p w14:paraId="30013391" w14:textId="11AEF223" w:rsidR="002E3BF8" w:rsidRPr="00BF0361" w:rsidRDefault="00BF0361" w:rsidP="002E3BF8">
            <w:pPr>
              <w:ind w:left="0" w:firstLine="0"/>
              <w:rPr>
                <w:rFonts w:eastAsia="Times New Roman" w:cs="Calibri"/>
                <w:sz w:val="20"/>
                <w:szCs w:val="20"/>
                <w:lang w:val="fr-FR" w:eastAsia="en-GB"/>
              </w:rPr>
            </w:pPr>
            <w:r w:rsidRPr="00CC7176">
              <w:rPr>
                <w:rFonts w:asciiTheme="minorHAnsi" w:eastAsia="Times New Roman" w:hAnsiTheme="minorHAnsi" w:cstheme="minorHAnsi"/>
                <w:sz w:val="20"/>
                <w:szCs w:val="20"/>
                <w:lang w:val="fr-FR" w:eastAsia="en-GB"/>
              </w:rPr>
              <w:t>Certains éléments de la Décision sont applicables à toute la durée de la période triennale actuelle et de la période triennale 2025-2028.</w:t>
            </w:r>
          </w:p>
          <w:p w14:paraId="39611DDB" w14:textId="039EF914" w:rsidR="002E3BF8" w:rsidRPr="00BF0361" w:rsidRDefault="002E3BF8" w:rsidP="002E3BF8">
            <w:pPr>
              <w:ind w:left="0" w:firstLine="0"/>
              <w:rPr>
                <w:rFonts w:asciiTheme="minorHAnsi" w:eastAsia="Times New Roman" w:hAnsiTheme="minorHAnsi" w:cstheme="minorHAnsi"/>
                <w:sz w:val="20"/>
                <w:szCs w:val="20"/>
                <w:lang w:val="fr-FR" w:eastAsia="en-GB"/>
              </w:rPr>
            </w:pPr>
          </w:p>
        </w:tc>
      </w:tr>
      <w:tr w:rsidR="002E3BF8" w:rsidRPr="00D21F56" w14:paraId="45DCA61F" w14:textId="77777777" w:rsidTr="007324BA">
        <w:trPr>
          <w:cantSplit/>
        </w:trPr>
        <w:tc>
          <w:tcPr>
            <w:tcW w:w="988" w:type="dxa"/>
            <w:shd w:val="clear" w:color="auto" w:fill="auto"/>
            <w:hideMark/>
          </w:tcPr>
          <w:p w14:paraId="210F2926" w14:textId="3EC4AEA8" w:rsidR="002E3BF8" w:rsidRPr="002F18BD" w:rsidRDefault="002E3BF8" w:rsidP="002E3BF8">
            <w:pPr>
              <w:ind w:left="0" w:firstLine="0"/>
              <w:rPr>
                <w:rFonts w:asciiTheme="minorHAnsi" w:eastAsia="Times New Roman" w:hAnsiTheme="minorHAnsi" w:cstheme="minorHAnsi"/>
                <w:sz w:val="20"/>
                <w:szCs w:val="20"/>
                <w:lang w:eastAsia="en-GB"/>
              </w:rPr>
            </w:pPr>
            <w:r w:rsidRPr="00BF0361">
              <w:rPr>
                <w:rFonts w:eastAsia="Times New Roman" w:cs="Calibri"/>
                <w:sz w:val="20"/>
                <w:szCs w:val="20"/>
                <w:lang w:val="fr-FR" w:eastAsia="en-GB"/>
              </w:rPr>
              <w:t xml:space="preserve"> </w:t>
            </w:r>
            <w:r w:rsidRPr="006557EB">
              <w:rPr>
                <w:rFonts w:eastAsia="Times New Roman" w:cs="Calibri"/>
                <w:sz w:val="20"/>
                <w:szCs w:val="20"/>
                <w:lang w:eastAsia="en-GB"/>
              </w:rPr>
              <w:t>SC63</w:t>
            </w:r>
          </w:p>
        </w:tc>
        <w:tc>
          <w:tcPr>
            <w:tcW w:w="850" w:type="dxa"/>
            <w:shd w:val="clear" w:color="auto" w:fill="auto"/>
            <w:hideMark/>
          </w:tcPr>
          <w:p w14:paraId="5DAA52D2" w14:textId="1A6D3228" w:rsidR="002E3BF8" w:rsidRPr="002F18BD" w:rsidRDefault="002E3BF8" w:rsidP="002E3BF8">
            <w:pPr>
              <w:ind w:left="0" w:firstLine="0"/>
              <w:rPr>
                <w:rFonts w:asciiTheme="minorHAnsi" w:eastAsia="Times New Roman" w:hAnsiTheme="minorHAnsi" w:cstheme="minorHAnsi"/>
                <w:sz w:val="20"/>
                <w:szCs w:val="20"/>
                <w:lang w:eastAsia="en-GB"/>
              </w:rPr>
            </w:pPr>
            <w:r w:rsidRPr="006557EB">
              <w:rPr>
                <w:rFonts w:eastAsia="Times New Roman" w:cs="Calibri"/>
                <w:sz w:val="20"/>
                <w:szCs w:val="20"/>
                <w:lang w:eastAsia="en-GB"/>
              </w:rPr>
              <w:t>2024</w:t>
            </w:r>
          </w:p>
        </w:tc>
        <w:tc>
          <w:tcPr>
            <w:tcW w:w="4394" w:type="dxa"/>
          </w:tcPr>
          <w:p w14:paraId="6A382F15" w14:textId="6A29FB2D" w:rsidR="002E3BF8" w:rsidRPr="00821A7A" w:rsidRDefault="00821A7A" w:rsidP="002E3BF8">
            <w:pPr>
              <w:ind w:left="0" w:firstLine="0"/>
              <w:rPr>
                <w:rFonts w:eastAsia="Times New Roman" w:cs="Calibri"/>
                <w:bCs/>
                <w:sz w:val="20"/>
                <w:szCs w:val="20"/>
                <w:lang w:val="fr-FR" w:eastAsia="en-GB"/>
              </w:rPr>
            </w:pPr>
            <w:r w:rsidRPr="00821A7A">
              <w:rPr>
                <w:rFonts w:eastAsia="Times New Roman" w:cs="Calibri"/>
                <w:bCs/>
                <w:sz w:val="20"/>
                <w:szCs w:val="20"/>
                <w:lang w:val="fr-FR" w:eastAsia="en-GB"/>
              </w:rPr>
              <w:t>Décision SC63-27 : Le Comité permanent prend note de l’état d’avancement des travaux du Secrétariat visant à proposer un mécanisme d’appui aux Parties contractantes pour la réalisation de leurs inventaires nationaux des zones humides et demande au Secrétariat de mener des activités de collecte de fonds pour amplifier le développement du mécanisme d’appui proposé.</w:t>
            </w:r>
          </w:p>
        </w:tc>
        <w:tc>
          <w:tcPr>
            <w:tcW w:w="2977" w:type="dxa"/>
          </w:tcPr>
          <w:p w14:paraId="08732EF2" w14:textId="6795D499" w:rsidR="002E3BF8" w:rsidRPr="00651D18" w:rsidRDefault="00651D18" w:rsidP="002E3BF8">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2E3BF8" w:rsidRPr="00D21F56" w14:paraId="693690CE" w14:textId="77777777" w:rsidTr="007324BA">
        <w:trPr>
          <w:cantSplit/>
        </w:trPr>
        <w:tc>
          <w:tcPr>
            <w:tcW w:w="988" w:type="dxa"/>
            <w:shd w:val="clear" w:color="auto" w:fill="auto"/>
            <w:hideMark/>
          </w:tcPr>
          <w:p w14:paraId="3CDDD38C" w14:textId="66886BFD" w:rsidR="002E3BF8" w:rsidRPr="002F18BD" w:rsidRDefault="002E3BF8" w:rsidP="002E3BF8">
            <w:pPr>
              <w:ind w:left="0" w:firstLine="0"/>
              <w:rPr>
                <w:rFonts w:asciiTheme="minorHAnsi" w:eastAsia="Times New Roman" w:hAnsiTheme="minorHAnsi" w:cstheme="minorHAnsi"/>
                <w:sz w:val="20"/>
                <w:szCs w:val="20"/>
                <w:lang w:eastAsia="en-GB"/>
              </w:rPr>
            </w:pPr>
            <w:r w:rsidRPr="00651D18">
              <w:rPr>
                <w:rFonts w:eastAsia="Times New Roman" w:cs="Calibri"/>
                <w:sz w:val="20"/>
                <w:szCs w:val="20"/>
                <w:lang w:val="fr-FR" w:eastAsia="en-GB"/>
              </w:rPr>
              <w:lastRenderedPageBreak/>
              <w:t xml:space="preserve"> </w:t>
            </w:r>
            <w:r w:rsidRPr="006557EB">
              <w:rPr>
                <w:rFonts w:eastAsia="Times New Roman" w:cs="Calibri"/>
                <w:sz w:val="20"/>
                <w:szCs w:val="20"/>
                <w:lang w:eastAsia="en-GB"/>
              </w:rPr>
              <w:t>SC63</w:t>
            </w:r>
          </w:p>
        </w:tc>
        <w:tc>
          <w:tcPr>
            <w:tcW w:w="850" w:type="dxa"/>
            <w:shd w:val="clear" w:color="auto" w:fill="auto"/>
            <w:hideMark/>
          </w:tcPr>
          <w:p w14:paraId="250964FF" w14:textId="1AA3B3D6" w:rsidR="002E3BF8" w:rsidRPr="002F18BD" w:rsidRDefault="002E3BF8" w:rsidP="002E3BF8">
            <w:pPr>
              <w:ind w:left="0" w:firstLine="0"/>
              <w:rPr>
                <w:rFonts w:asciiTheme="minorHAnsi" w:eastAsia="Times New Roman" w:hAnsiTheme="minorHAnsi" w:cstheme="minorHAnsi"/>
                <w:sz w:val="20"/>
                <w:szCs w:val="20"/>
                <w:lang w:eastAsia="en-GB"/>
              </w:rPr>
            </w:pPr>
            <w:r w:rsidRPr="006557EB">
              <w:rPr>
                <w:rFonts w:eastAsia="Times New Roman" w:cs="Calibri"/>
                <w:sz w:val="20"/>
                <w:szCs w:val="20"/>
                <w:lang w:eastAsia="en-GB"/>
              </w:rPr>
              <w:t>2024</w:t>
            </w:r>
          </w:p>
        </w:tc>
        <w:tc>
          <w:tcPr>
            <w:tcW w:w="4394" w:type="dxa"/>
          </w:tcPr>
          <w:p w14:paraId="74745AE2" w14:textId="1536D3F0" w:rsidR="002E3BF8" w:rsidRPr="00821A7A" w:rsidRDefault="00821A7A" w:rsidP="002E3BF8">
            <w:pPr>
              <w:ind w:left="0" w:firstLine="0"/>
              <w:rPr>
                <w:rFonts w:eastAsia="Times New Roman" w:cs="Calibri"/>
                <w:bCs/>
                <w:sz w:val="20"/>
                <w:szCs w:val="20"/>
                <w:lang w:val="fr-FR" w:eastAsia="en-GB"/>
              </w:rPr>
            </w:pPr>
            <w:r w:rsidRPr="00821A7A">
              <w:rPr>
                <w:rFonts w:eastAsia="Times New Roman" w:cs="Calibri"/>
                <w:bCs/>
                <w:sz w:val="20"/>
                <w:szCs w:val="20"/>
                <w:lang w:val="fr-FR" w:eastAsia="en-GB"/>
              </w:rPr>
              <w:t>Décision SC63-30 : Le Comité permanent prend note du rapport du Président du Groupe d’évaluation scientifique et technique, tel que présenté dans le document SC63 Doc.19, ainsi que des commentaires formulés par les Parties ; demande au GEST de préparer et de planifier l’étude du Système de classification des types de zones humides, à mettre en œuvre en tant que tâche hautement prioritaire durant la période triennale 2025-2027 ; et demande au GEST d’organiser, en collaboration avec le Secrétariat, une consultation avec des spécialistes de l’observation de la Terre sur l’élaboration d’une initiative visant à favoriser le dialogue, l’échange de connaissances et la communication d’orientations en matière d’observation de la Terre à l’appui de l’inventaire, de l’évaluation, du suivi et de la conservation des zones humides.</w:t>
            </w:r>
          </w:p>
        </w:tc>
        <w:tc>
          <w:tcPr>
            <w:tcW w:w="2977" w:type="dxa"/>
          </w:tcPr>
          <w:p w14:paraId="2ECF7E8C" w14:textId="46BCD795" w:rsidR="002E3BF8" w:rsidRPr="00651D18" w:rsidRDefault="00651D18" w:rsidP="002E3BF8">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B34C1B" w:rsidRPr="00D21F56" w14:paraId="2B500FE8" w14:textId="77777777" w:rsidTr="007324BA">
        <w:trPr>
          <w:cantSplit/>
        </w:trPr>
        <w:tc>
          <w:tcPr>
            <w:tcW w:w="988" w:type="dxa"/>
            <w:shd w:val="clear" w:color="auto" w:fill="auto"/>
          </w:tcPr>
          <w:p w14:paraId="5E760A01" w14:textId="20A6E74F" w:rsidR="00B34C1B" w:rsidRPr="00651D18" w:rsidRDefault="00B34C1B" w:rsidP="00B34C1B">
            <w:pPr>
              <w:ind w:left="0" w:firstLine="0"/>
              <w:rPr>
                <w:rFonts w:eastAsia="Times New Roman" w:cs="Calibri"/>
                <w:sz w:val="20"/>
                <w:szCs w:val="20"/>
                <w:lang w:val="fr-FR" w:eastAsia="en-GB"/>
              </w:rPr>
            </w:pPr>
            <w:r w:rsidRPr="00B0551C">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tcPr>
          <w:p w14:paraId="716AC33E" w14:textId="3E0497DE" w:rsidR="00B34C1B" w:rsidRPr="006557EB" w:rsidRDefault="00B34C1B" w:rsidP="00B34C1B">
            <w:pPr>
              <w:ind w:left="0" w:firstLine="0"/>
              <w:rPr>
                <w:rFonts w:eastAsia="Times New Roman" w:cs="Calibr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27D11D88" w14:textId="2B2296A0" w:rsidR="00B34C1B" w:rsidRPr="00821A7A" w:rsidRDefault="00B34C1B" w:rsidP="00B34C1B">
            <w:pPr>
              <w:ind w:left="0" w:firstLine="0"/>
              <w:rPr>
                <w:rFonts w:eastAsia="Times New Roman" w:cs="Calibri"/>
                <w:bCs/>
                <w:sz w:val="20"/>
                <w:szCs w:val="20"/>
                <w:lang w:val="fr-FR" w:eastAsia="en-GB"/>
              </w:rPr>
            </w:pPr>
            <w:r w:rsidRPr="002F18BD">
              <w:rPr>
                <w:rFonts w:asciiTheme="minorHAnsi" w:eastAsia="Times New Roman" w:hAnsiTheme="minorHAnsi" w:cstheme="minorHAnsi"/>
                <w:sz w:val="20"/>
                <w:szCs w:val="20"/>
                <w:lang w:val="fr-FR" w:eastAsia="en-GB"/>
              </w:rPr>
              <w:t>Décision SC62-17</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établit un groupe de travail chargé de piloter le processus visant à assurer le renforcement institutionnel pour soutenir l’application de la Convention, y compris par la préparation d’un projet de résolution pour examen par le Comité permanent à sa 63</w:t>
            </w:r>
            <w:r w:rsidRPr="00663742">
              <w:rPr>
                <w:rFonts w:asciiTheme="minorHAnsi" w:eastAsia="Times New Roman" w:hAnsiTheme="minorHAnsi" w:cstheme="minorHAnsi"/>
                <w:sz w:val="20"/>
                <w:szCs w:val="20"/>
                <w:vertAlign w:val="superscript"/>
                <w:lang w:val="fr-FR" w:eastAsia="en-GB"/>
              </w:rPr>
              <w:t>e</w:t>
            </w:r>
            <w:r w:rsidR="00663742">
              <w:rPr>
                <w:rFonts w:asciiTheme="minorHAnsi" w:eastAsia="Times New Roman" w:hAnsiTheme="minorHAnsi" w:cstheme="minorHAnsi"/>
                <w:sz w:val="20"/>
                <w:szCs w:val="20"/>
                <w:lang w:val="fr-FR" w:eastAsia="en-GB"/>
              </w:rPr>
              <w:t xml:space="preserve"> r</w:t>
            </w:r>
            <w:r w:rsidRPr="002F18BD">
              <w:rPr>
                <w:rFonts w:asciiTheme="minorHAnsi" w:eastAsia="Times New Roman" w:hAnsiTheme="minorHAnsi" w:cstheme="minorHAnsi"/>
                <w:sz w:val="20"/>
                <w:szCs w:val="20"/>
                <w:lang w:val="fr-FR" w:eastAsia="en-GB"/>
              </w:rPr>
              <w:t>éunion.</w:t>
            </w:r>
          </w:p>
        </w:tc>
        <w:tc>
          <w:tcPr>
            <w:tcW w:w="2977" w:type="dxa"/>
          </w:tcPr>
          <w:p w14:paraId="1C66B590" w14:textId="10C34996" w:rsidR="00B34C1B" w:rsidRPr="002F18BD" w:rsidRDefault="00B34C1B" w:rsidP="00B34C1B">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BB0557" w:rsidRPr="00D21F56" w14:paraId="3CBE6F5E" w14:textId="77777777" w:rsidTr="007324BA">
        <w:trPr>
          <w:cantSplit/>
        </w:trPr>
        <w:tc>
          <w:tcPr>
            <w:tcW w:w="988" w:type="dxa"/>
            <w:shd w:val="clear" w:color="auto" w:fill="auto"/>
            <w:hideMark/>
          </w:tcPr>
          <w:p w14:paraId="5F71CF8A" w14:textId="0BF2376D"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2C33C89C" w14:textId="66451036"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59A3DC97" w14:textId="68F93138" w:rsidR="00BB0557" w:rsidRPr="002F18BD" w:rsidRDefault="00BB0557" w:rsidP="00BB0557">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SC62-37</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prend note des mesures énumérées aux paragraphes 15, 17, 18 et 19 du document SC62 Doc.8.2 en vue de continuer d’encourager le versement des contributions annuelles par les Parties contractantes</w:t>
            </w:r>
            <w:r w:rsidR="00266206">
              <w:rPr>
                <w:rFonts w:asciiTheme="minorHAnsi" w:eastAsia="Times New Roman" w:hAnsiTheme="minorHAnsi" w:cstheme="minorHAnsi"/>
                <w:sz w:val="20"/>
                <w:szCs w:val="20"/>
                <w:lang w:val="fr-FR" w:eastAsia="en-GB"/>
              </w:rPr>
              <w:t>.</w:t>
            </w:r>
          </w:p>
        </w:tc>
        <w:tc>
          <w:tcPr>
            <w:tcW w:w="2977" w:type="dxa"/>
          </w:tcPr>
          <w:p w14:paraId="7E52777A" w14:textId="289EA786" w:rsidR="00BB0557" w:rsidRPr="006E2705" w:rsidRDefault="00BF0361" w:rsidP="00BB0557">
            <w:pPr>
              <w:ind w:left="0" w:firstLine="0"/>
              <w:rPr>
                <w:rFonts w:asciiTheme="minorHAnsi" w:eastAsia="Times New Roman" w:hAnsiTheme="minorHAnsi" w:cstheme="minorHAnsi"/>
                <w:sz w:val="20"/>
                <w:szCs w:val="20"/>
                <w:lang w:val="fr-FR" w:eastAsia="en-GB"/>
              </w:rPr>
            </w:pPr>
            <w:r w:rsidRPr="007E6EC4">
              <w:rPr>
                <w:rFonts w:eastAsia="Times New Roman" w:cs="Calibri"/>
                <w:sz w:val="20"/>
                <w:szCs w:val="20"/>
                <w:lang w:val="fr-FR" w:eastAsia="en-GB"/>
              </w:rPr>
              <w:t xml:space="preserve">Intégrée au projet de </w:t>
            </w:r>
            <w:r w:rsidR="00A97100">
              <w:rPr>
                <w:rFonts w:eastAsia="Times New Roman" w:cs="Calibri"/>
                <w:sz w:val="20"/>
                <w:szCs w:val="20"/>
                <w:lang w:val="fr-FR" w:eastAsia="en-GB"/>
              </w:rPr>
              <w:t>r</w:t>
            </w:r>
            <w:r w:rsidRPr="007E6EC4">
              <w:rPr>
                <w:rFonts w:eastAsia="Times New Roman" w:cs="Calibri"/>
                <w:sz w:val="20"/>
                <w:szCs w:val="20"/>
                <w:lang w:val="fr-FR" w:eastAsia="en-GB"/>
              </w:rPr>
              <w:t xml:space="preserve">ésolution </w:t>
            </w:r>
            <w:r w:rsidR="006E2705" w:rsidRPr="007E6EC4">
              <w:rPr>
                <w:rFonts w:eastAsia="Times New Roman" w:cs="Calibri"/>
                <w:sz w:val="20"/>
                <w:szCs w:val="20"/>
                <w:lang w:val="fr-FR" w:eastAsia="en-GB"/>
              </w:rPr>
              <w:t xml:space="preserve">sur les questions financières et budgétaires : voir les paragraphes </w:t>
            </w:r>
            <w:r w:rsidR="007E6EC4" w:rsidRPr="007E6EC4">
              <w:rPr>
                <w:rFonts w:eastAsia="Times New Roman" w:cs="Calibri"/>
                <w:sz w:val="20"/>
                <w:szCs w:val="20"/>
                <w:lang w:val="fr-FR" w:eastAsia="en-GB"/>
              </w:rPr>
              <w:t>17</w:t>
            </w:r>
            <w:r w:rsidR="006E2705" w:rsidRPr="007E6EC4">
              <w:rPr>
                <w:rFonts w:eastAsia="Times New Roman" w:cs="Calibri"/>
                <w:sz w:val="20"/>
                <w:szCs w:val="20"/>
                <w:lang w:val="fr-FR" w:eastAsia="en-GB"/>
              </w:rPr>
              <w:t xml:space="preserve"> et </w:t>
            </w:r>
            <w:r w:rsidR="007E6EC4" w:rsidRPr="007E6EC4">
              <w:rPr>
                <w:rFonts w:eastAsia="Times New Roman" w:cs="Calibri"/>
                <w:sz w:val="20"/>
                <w:szCs w:val="20"/>
                <w:lang w:val="fr-FR" w:eastAsia="en-GB"/>
              </w:rPr>
              <w:t>18</w:t>
            </w:r>
            <w:r w:rsidR="006E2705" w:rsidRPr="007E6EC4">
              <w:rPr>
                <w:rFonts w:eastAsia="Times New Roman" w:cs="Calibri"/>
                <w:sz w:val="20"/>
                <w:szCs w:val="20"/>
                <w:lang w:val="fr-FR" w:eastAsia="en-GB"/>
              </w:rPr>
              <w:t xml:space="preserve"> du projet de </w:t>
            </w:r>
            <w:r w:rsidR="007E6EC4" w:rsidRPr="007E6EC4">
              <w:rPr>
                <w:rFonts w:eastAsia="Times New Roman" w:cs="Calibri"/>
                <w:sz w:val="20"/>
                <w:szCs w:val="20"/>
                <w:lang w:val="fr-FR" w:eastAsia="en-GB"/>
              </w:rPr>
              <w:t>r</w:t>
            </w:r>
            <w:r w:rsidR="006E2705" w:rsidRPr="007E6EC4">
              <w:rPr>
                <w:rFonts w:eastAsia="Times New Roman" w:cs="Calibri"/>
                <w:sz w:val="20"/>
                <w:szCs w:val="20"/>
                <w:lang w:val="fr-FR" w:eastAsia="en-GB"/>
              </w:rPr>
              <w:t xml:space="preserve">ésolution en annexe du document SC64 Doc.9.3. </w:t>
            </w:r>
          </w:p>
        </w:tc>
      </w:tr>
      <w:tr w:rsidR="00B0551C" w:rsidRPr="00D21F56" w14:paraId="3CDE60C1" w14:textId="77777777" w:rsidTr="007324BA">
        <w:trPr>
          <w:cantSplit/>
        </w:trPr>
        <w:tc>
          <w:tcPr>
            <w:tcW w:w="988" w:type="dxa"/>
            <w:shd w:val="clear" w:color="auto" w:fill="auto"/>
            <w:hideMark/>
          </w:tcPr>
          <w:p w14:paraId="4485BCBE" w14:textId="68F8A7FD" w:rsidR="00B0551C" w:rsidRPr="002F18BD" w:rsidRDefault="00B0551C" w:rsidP="00B34C1B">
            <w:pPr>
              <w:ind w:left="0" w:firstLine="0"/>
              <w:rPr>
                <w:rFonts w:asciiTheme="minorHAnsi" w:eastAsia="Times New Roman" w:hAnsiTheme="minorHAnsi" w:cstheme="minorHAnsi"/>
                <w:sz w:val="20"/>
                <w:szCs w:val="20"/>
                <w:lang w:eastAsia="en-GB"/>
              </w:rPr>
            </w:pPr>
            <w:r w:rsidRPr="006E2705">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SC62</w:t>
            </w:r>
          </w:p>
        </w:tc>
        <w:tc>
          <w:tcPr>
            <w:tcW w:w="850" w:type="dxa"/>
            <w:shd w:val="clear" w:color="auto" w:fill="auto"/>
            <w:hideMark/>
          </w:tcPr>
          <w:p w14:paraId="59A69FE9" w14:textId="26517DBD" w:rsidR="00B0551C" w:rsidRPr="002F18BD" w:rsidRDefault="00B0551C" w:rsidP="00B34C1B">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2023</w:t>
            </w:r>
          </w:p>
        </w:tc>
        <w:tc>
          <w:tcPr>
            <w:tcW w:w="4394" w:type="dxa"/>
          </w:tcPr>
          <w:p w14:paraId="68519425" w14:textId="7AB0048E" w:rsidR="00B0551C" w:rsidRPr="002F18BD" w:rsidRDefault="00B0551C" w:rsidP="00B34C1B">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SC62-50</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demande au Groupe d’évaluation scientifique et technique de débattre de l’application du système actuel de classification des zones humides Ramsar à sa 26</w:t>
            </w:r>
            <w:r w:rsidRPr="001C6396">
              <w:rPr>
                <w:rFonts w:asciiTheme="minorHAnsi" w:eastAsia="Times New Roman" w:hAnsiTheme="minorHAnsi" w:cstheme="minorHAnsi"/>
                <w:sz w:val="20"/>
                <w:szCs w:val="20"/>
                <w:vertAlign w:val="superscript"/>
                <w:lang w:val="fr-FR" w:eastAsia="en-GB"/>
              </w:rPr>
              <w:t>e</w:t>
            </w:r>
            <w:r w:rsidR="001C6396">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val="fr-FR" w:eastAsia="en-GB"/>
              </w:rPr>
              <w:t>réunion et de faire rapport à la 63</w:t>
            </w:r>
            <w:r w:rsidRPr="00663742">
              <w:rPr>
                <w:rFonts w:asciiTheme="minorHAnsi" w:eastAsia="Times New Roman" w:hAnsiTheme="minorHAnsi" w:cstheme="minorHAnsi"/>
                <w:sz w:val="20"/>
                <w:szCs w:val="20"/>
                <w:vertAlign w:val="superscript"/>
                <w:lang w:val="fr-FR" w:eastAsia="en-GB"/>
              </w:rPr>
              <w:t>e</w:t>
            </w:r>
            <w:r w:rsidR="00663742">
              <w:rPr>
                <w:rFonts w:asciiTheme="minorHAnsi" w:eastAsia="Times New Roman" w:hAnsiTheme="minorHAnsi" w:cstheme="minorHAnsi"/>
                <w:sz w:val="20"/>
                <w:szCs w:val="20"/>
                <w:lang w:val="fr-FR" w:eastAsia="en-GB"/>
              </w:rPr>
              <w:t xml:space="preserve"> r</w:t>
            </w:r>
            <w:r w:rsidRPr="002F18BD">
              <w:rPr>
                <w:rFonts w:asciiTheme="minorHAnsi" w:eastAsia="Times New Roman" w:hAnsiTheme="minorHAnsi" w:cstheme="minorHAnsi"/>
                <w:sz w:val="20"/>
                <w:szCs w:val="20"/>
                <w:lang w:val="fr-FR" w:eastAsia="en-GB"/>
              </w:rPr>
              <w:t>éunion du Comité permanent avec, si nécessaire, une esquisse d’approche proposée pour un examen technique, en consultation avec les Parties contractantes, les Organisations internationales partenaires et d’autres accords multilatéraux sur l’environnement, et demande au GEST d’examiner le recours à une enquête auprès des Correspondants nationaux du GEST pour rassembler des données d’expérience techniques de différentes régions sur le système de classification.</w:t>
            </w:r>
          </w:p>
        </w:tc>
        <w:tc>
          <w:tcPr>
            <w:tcW w:w="2977" w:type="dxa"/>
          </w:tcPr>
          <w:p w14:paraId="1CAD3BDD" w14:textId="12CAFBC2" w:rsidR="00B0551C" w:rsidRPr="002F18BD" w:rsidRDefault="00B0551C" w:rsidP="00B34C1B">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Certains éléments de la Décision sont applicables à toute la durée de la période triennale.</w:t>
            </w:r>
          </w:p>
        </w:tc>
      </w:tr>
      <w:tr w:rsidR="00BB0557" w:rsidRPr="00CC7176" w14:paraId="0A39B34A" w14:textId="77777777" w:rsidTr="007324BA">
        <w:trPr>
          <w:cantSplit/>
        </w:trPr>
        <w:tc>
          <w:tcPr>
            <w:tcW w:w="988" w:type="dxa"/>
            <w:shd w:val="clear" w:color="auto" w:fill="auto"/>
            <w:hideMark/>
          </w:tcPr>
          <w:p w14:paraId="7832F2B2" w14:textId="10290DE8"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lastRenderedPageBreak/>
              <w:t xml:space="preserve"> </w:t>
            </w:r>
            <w:r w:rsidRPr="002F18BD">
              <w:rPr>
                <w:rFonts w:asciiTheme="minorHAnsi" w:eastAsia="Times New Roman" w:hAnsiTheme="minorHAnsi" w:cstheme="minorHAnsi"/>
                <w:sz w:val="20"/>
                <w:szCs w:val="20"/>
                <w:lang w:eastAsia="en-GB"/>
              </w:rPr>
              <w:t>SC59</w:t>
            </w:r>
          </w:p>
        </w:tc>
        <w:tc>
          <w:tcPr>
            <w:tcW w:w="850" w:type="dxa"/>
            <w:shd w:val="clear" w:color="auto" w:fill="auto"/>
            <w:hideMark/>
          </w:tcPr>
          <w:p w14:paraId="559585B5" w14:textId="12073B40"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2021</w:t>
            </w:r>
          </w:p>
        </w:tc>
        <w:tc>
          <w:tcPr>
            <w:tcW w:w="4394" w:type="dxa"/>
          </w:tcPr>
          <w:p w14:paraId="64375215" w14:textId="4DABB5DE" w:rsidR="00BB0557" w:rsidRPr="002F18BD" w:rsidRDefault="00BB0557" w:rsidP="00BB0557">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SC59-25</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prend note avec inquiétude des difficultés causées par la date de remise des états financiers vérifiés, laquelle a entraîné une communication tardive des documents financiers et empêché le respect de l’article 10 du Règlement intérieur, et de demander à la Secrétaire générale de prendre les mesures nécessaires pour que tous les documents financiers non liés à la vérification des comptes, en particulier ceux qui concernent des demandes de fonds supplémentaires, soient distribués conformément à l’article 10 avant les réunions du Sous-groupe sur les finances, afin de permettre un examen adéquat et approprié de toutes les questions budgétaires.</w:t>
            </w:r>
          </w:p>
        </w:tc>
        <w:tc>
          <w:tcPr>
            <w:tcW w:w="2977" w:type="dxa"/>
          </w:tcPr>
          <w:p w14:paraId="3954EDF5" w14:textId="12264FA4" w:rsidR="00BB0557" w:rsidRPr="00C84B2B" w:rsidRDefault="007E6EC4" w:rsidP="00BB0557">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p>
        </w:tc>
      </w:tr>
      <w:tr w:rsidR="00B0551C" w:rsidRPr="00CC7176" w14:paraId="189DC030" w14:textId="77777777" w:rsidTr="007324BA">
        <w:trPr>
          <w:cantSplit/>
        </w:trPr>
        <w:tc>
          <w:tcPr>
            <w:tcW w:w="988" w:type="dxa"/>
            <w:shd w:val="clear" w:color="auto" w:fill="auto"/>
            <w:hideMark/>
          </w:tcPr>
          <w:p w14:paraId="629FC4D8" w14:textId="0606F2BE" w:rsidR="00B0551C" w:rsidRPr="002F18BD" w:rsidRDefault="00B0551C" w:rsidP="00B34C1B">
            <w:pPr>
              <w:ind w:left="0" w:firstLine="0"/>
              <w:rPr>
                <w:rFonts w:asciiTheme="minorHAnsi" w:eastAsia="Times New Roman" w:hAnsiTheme="minorHAnsi" w:cstheme="minorHAnsi"/>
                <w:sz w:val="20"/>
                <w:szCs w:val="20"/>
                <w:lang w:eastAsia="en-GB"/>
              </w:rPr>
            </w:pPr>
            <w:r w:rsidRPr="00C84B2B">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SC57</w:t>
            </w:r>
          </w:p>
        </w:tc>
        <w:tc>
          <w:tcPr>
            <w:tcW w:w="850" w:type="dxa"/>
            <w:shd w:val="clear" w:color="auto" w:fill="auto"/>
            <w:hideMark/>
          </w:tcPr>
          <w:p w14:paraId="264F7DB1" w14:textId="539B2782" w:rsidR="00B0551C" w:rsidRPr="002F18BD" w:rsidRDefault="00B0551C" w:rsidP="00B34C1B">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2019</w:t>
            </w:r>
          </w:p>
        </w:tc>
        <w:tc>
          <w:tcPr>
            <w:tcW w:w="4394" w:type="dxa"/>
          </w:tcPr>
          <w:p w14:paraId="5295C65E" w14:textId="2035FB44" w:rsidR="00B0551C" w:rsidRPr="002F18BD" w:rsidRDefault="00B0551C" w:rsidP="00B34C1B">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SC57-38</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xml:space="preserve">: Le Comité permanent </w:t>
            </w:r>
            <w:r w:rsidR="00CA5004" w:rsidRPr="00CA5004">
              <w:rPr>
                <w:rFonts w:eastAsia="Times New Roman" w:cs="Calibri"/>
                <w:sz w:val="20"/>
                <w:szCs w:val="20"/>
                <w:lang w:val="fr-FR" w:eastAsia="en-GB"/>
              </w:rPr>
              <w:t xml:space="preserve">[…] </w:t>
            </w:r>
            <w:r w:rsidRPr="002F18BD">
              <w:rPr>
                <w:rFonts w:asciiTheme="minorHAnsi" w:eastAsia="Times New Roman" w:hAnsiTheme="minorHAnsi" w:cstheme="minorHAnsi"/>
                <w:sz w:val="20"/>
                <w:szCs w:val="20"/>
                <w:lang w:val="fr-FR" w:eastAsia="en-GB"/>
              </w:rPr>
              <w:t>approuve les mesures suivantes</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a. adopter l</w:t>
            </w:r>
            <w:r w:rsidR="00663742">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t>utilisation des expressions standard «</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fonds administratifs</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et «</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non administratifs</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pour décrire les fonds Ramsar</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br/>
              <w:t>b. accepter de collaborer avec l’auditeur lors de ses réunions annuelles, en examinant la façon la plus rentable de travailler, notamment la participation virtuelle, ou en partageant le rapport de l’auditeur au moins trois mois avant l’ouverture de la session (voire plus tôt), conformément au Règlement intérieur applicable aux documents de conférence</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et</w:t>
            </w:r>
            <w:r w:rsidRPr="002F18BD">
              <w:rPr>
                <w:rFonts w:asciiTheme="minorHAnsi" w:eastAsia="Times New Roman" w:hAnsiTheme="minorHAnsi" w:cstheme="minorHAnsi"/>
                <w:sz w:val="20"/>
                <w:szCs w:val="20"/>
                <w:lang w:val="fr-FR" w:eastAsia="en-GB"/>
              </w:rPr>
              <w:br/>
              <w:t xml:space="preserve">c. demander que le Secrétariat reçoive et communique à l’avance par courriel les questions des membres du Sous-groupe et récupère les réponses données par l’auditeur à temps pour la réunion.  </w:t>
            </w:r>
          </w:p>
        </w:tc>
        <w:tc>
          <w:tcPr>
            <w:tcW w:w="2977" w:type="dxa"/>
          </w:tcPr>
          <w:p w14:paraId="56E7E089" w14:textId="7B176AE8" w:rsidR="00B0551C" w:rsidRPr="002F18BD" w:rsidRDefault="007E6EC4" w:rsidP="00B34C1B">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p>
        </w:tc>
      </w:tr>
      <w:tr w:rsidR="00BB0557" w:rsidRPr="00D21F56" w14:paraId="32977EDB" w14:textId="77777777" w:rsidTr="007324BA">
        <w:trPr>
          <w:cantSplit/>
        </w:trPr>
        <w:tc>
          <w:tcPr>
            <w:tcW w:w="988" w:type="dxa"/>
            <w:shd w:val="clear" w:color="auto" w:fill="auto"/>
            <w:hideMark/>
          </w:tcPr>
          <w:p w14:paraId="76E2B1CC" w14:textId="29953997"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SC57</w:t>
            </w:r>
          </w:p>
        </w:tc>
        <w:tc>
          <w:tcPr>
            <w:tcW w:w="850" w:type="dxa"/>
            <w:shd w:val="clear" w:color="auto" w:fill="auto"/>
            <w:hideMark/>
          </w:tcPr>
          <w:p w14:paraId="71CBE06F" w14:textId="5CCF2906"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2019</w:t>
            </w:r>
          </w:p>
        </w:tc>
        <w:tc>
          <w:tcPr>
            <w:tcW w:w="4394" w:type="dxa"/>
          </w:tcPr>
          <w:p w14:paraId="356DEFF2" w14:textId="466B444C" w:rsidR="00BB0557" w:rsidRPr="007E6EC4" w:rsidRDefault="00BB0557" w:rsidP="00BB0557">
            <w:pPr>
              <w:ind w:left="0" w:firstLine="0"/>
              <w:rPr>
                <w:rFonts w:asciiTheme="minorHAnsi" w:eastAsia="Times New Roman" w:hAnsiTheme="minorHAnsi" w:cstheme="minorHAnsi"/>
                <w:sz w:val="20"/>
                <w:szCs w:val="20"/>
                <w:lang w:val="fr-FR" w:eastAsia="en-GB"/>
              </w:rPr>
            </w:pPr>
            <w:r w:rsidRPr="007E6EC4">
              <w:rPr>
                <w:rFonts w:asciiTheme="minorHAnsi" w:eastAsia="Times New Roman" w:hAnsiTheme="minorHAnsi" w:cstheme="minorHAnsi"/>
                <w:sz w:val="20"/>
                <w:szCs w:val="20"/>
                <w:lang w:val="fr-FR" w:eastAsia="en-GB"/>
              </w:rPr>
              <w:t>Décision SC57-50</w:t>
            </w:r>
            <w:r w:rsidR="00663742" w:rsidRPr="007E6EC4">
              <w:rPr>
                <w:rFonts w:asciiTheme="minorHAnsi" w:eastAsia="Times New Roman" w:hAnsiTheme="minorHAnsi" w:cstheme="minorHAnsi"/>
                <w:sz w:val="20"/>
                <w:szCs w:val="20"/>
                <w:lang w:val="fr-FR" w:eastAsia="en-GB"/>
              </w:rPr>
              <w:t> </w:t>
            </w:r>
            <w:r w:rsidRPr="007E6EC4">
              <w:rPr>
                <w:rFonts w:asciiTheme="minorHAnsi" w:eastAsia="Times New Roman" w:hAnsiTheme="minorHAnsi" w:cstheme="minorHAnsi"/>
                <w:sz w:val="20"/>
                <w:szCs w:val="20"/>
                <w:lang w:val="fr-FR" w:eastAsia="en-GB"/>
              </w:rPr>
              <w:t>: Conformément aux responsabilités définies dans la Résolution 5.2, Questions financières et budgétaires, annexe 3, paragraphe 8, le Comité permanent décide que les soldes non engagés/non dépensés des lignes budgétaires peuvent être reportés à l</w:t>
            </w:r>
            <w:r w:rsidR="00663742" w:rsidRPr="007E6EC4">
              <w:rPr>
                <w:rFonts w:asciiTheme="minorHAnsi" w:eastAsia="Times New Roman" w:hAnsiTheme="minorHAnsi" w:cstheme="minorHAnsi"/>
                <w:sz w:val="20"/>
                <w:szCs w:val="20"/>
                <w:lang w:val="fr-FR" w:eastAsia="en-GB"/>
              </w:rPr>
              <w:t>’</w:t>
            </w:r>
            <w:r w:rsidRPr="007E6EC4">
              <w:rPr>
                <w:rFonts w:asciiTheme="minorHAnsi" w:eastAsia="Times New Roman" w:hAnsiTheme="minorHAnsi" w:cstheme="minorHAnsi"/>
                <w:sz w:val="20"/>
                <w:szCs w:val="20"/>
                <w:lang w:val="fr-FR" w:eastAsia="en-GB"/>
              </w:rPr>
              <w:t>année suivante pendant la période triennale et présentés à la réunion suivante du Sous-groupe sur les finances.</w:t>
            </w:r>
            <w:r w:rsidRPr="007E6EC4">
              <w:rPr>
                <w:rFonts w:asciiTheme="minorHAnsi" w:eastAsia="Times New Roman" w:hAnsiTheme="minorHAnsi" w:cstheme="minorHAnsi"/>
                <w:strike/>
                <w:sz w:val="20"/>
                <w:szCs w:val="20"/>
                <w:lang w:val="fr-FR" w:eastAsia="en-GB"/>
              </w:rPr>
              <w:t xml:space="preserve"> </w:t>
            </w:r>
          </w:p>
        </w:tc>
        <w:tc>
          <w:tcPr>
            <w:tcW w:w="2977" w:type="dxa"/>
          </w:tcPr>
          <w:p w14:paraId="559AE6DD" w14:textId="7FFE3BD4" w:rsidR="00BB0557" w:rsidRPr="007E6EC4" w:rsidRDefault="006E2705" w:rsidP="00BB0557">
            <w:pPr>
              <w:ind w:left="0" w:firstLine="0"/>
              <w:rPr>
                <w:rFonts w:asciiTheme="minorHAnsi" w:eastAsia="Times New Roman" w:hAnsiTheme="minorHAnsi" w:cstheme="minorHAnsi"/>
                <w:sz w:val="20"/>
                <w:szCs w:val="20"/>
                <w:lang w:val="fr-FR" w:eastAsia="en-GB"/>
              </w:rPr>
            </w:pPr>
            <w:r w:rsidRPr="007E6EC4">
              <w:rPr>
                <w:rFonts w:eastAsia="Times New Roman" w:cs="Calibri"/>
                <w:sz w:val="20"/>
                <w:szCs w:val="20"/>
                <w:lang w:val="fr-FR" w:eastAsia="en-GB"/>
              </w:rPr>
              <w:t xml:space="preserve">Intégrée au projet de </w:t>
            </w:r>
            <w:r w:rsidR="007E6EC4" w:rsidRPr="007E6EC4">
              <w:rPr>
                <w:rFonts w:eastAsia="Times New Roman" w:cs="Calibri"/>
                <w:sz w:val="20"/>
                <w:szCs w:val="20"/>
                <w:lang w:val="fr-FR" w:eastAsia="en-GB"/>
              </w:rPr>
              <w:t>r</w:t>
            </w:r>
            <w:r w:rsidRPr="007E6EC4">
              <w:rPr>
                <w:rFonts w:eastAsia="Times New Roman" w:cs="Calibri"/>
                <w:sz w:val="20"/>
                <w:szCs w:val="20"/>
                <w:lang w:val="fr-FR" w:eastAsia="en-GB"/>
              </w:rPr>
              <w:t xml:space="preserve">ésolution sur les questions financières et budgétaires : voir le paragraphe </w:t>
            </w:r>
            <w:r w:rsidR="007E6EC4" w:rsidRPr="007E6EC4">
              <w:rPr>
                <w:rFonts w:eastAsia="Times New Roman" w:cs="Calibri"/>
                <w:sz w:val="20"/>
                <w:szCs w:val="20"/>
                <w:lang w:val="fr-FR" w:eastAsia="en-GB"/>
              </w:rPr>
              <w:t>25</w:t>
            </w:r>
            <w:r w:rsidRPr="007E6EC4">
              <w:rPr>
                <w:rFonts w:eastAsia="Times New Roman" w:cs="Calibri"/>
                <w:sz w:val="20"/>
                <w:szCs w:val="20"/>
                <w:lang w:val="fr-FR" w:eastAsia="en-GB"/>
              </w:rPr>
              <w:t xml:space="preserve"> du projet de </w:t>
            </w:r>
            <w:r w:rsidR="007E6EC4" w:rsidRPr="007E6EC4">
              <w:rPr>
                <w:rFonts w:eastAsia="Times New Roman" w:cs="Calibri"/>
                <w:sz w:val="20"/>
                <w:szCs w:val="20"/>
                <w:lang w:val="fr-FR" w:eastAsia="en-GB"/>
              </w:rPr>
              <w:t>r</w:t>
            </w:r>
            <w:r w:rsidRPr="007E6EC4">
              <w:rPr>
                <w:rFonts w:eastAsia="Times New Roman" w:cs="Calibri"/>
                <w:sz w:val="20"/>
                <w:szCs w:val="20"/>
                <w:lang w:val="fr-FR" w:eastAsia="en-GB"/>
              </w:rPr>
              <w:t>ésolution</w:t>
            </w:r>
            <w:r w:rsidR="007E6EC4" w:rsidRPr="007E6EC4">
              <w:rPr>
                <w:rFonts w:eastAsia="Times New Roman" w:cs="Calibri"/>
                <w:sz w:val="20"/>
                <w:szCs w:val="20"/>
                <w:lang w:val="fr-FR" w:eastAsia="en-GB"/>
              </w:rPr>
              <w:t xml:space="preserve">, qui figure dans le </w:t>
            </w:r>
            <w:r w:rsidRPr="007E6EC4">
              <w:rPr>
                <w:rFonts w:eastAsia="Times New Roman" w:cs="Calibri"/>
                <w:sz w:val="20"/>
                <w:szCs w:val="20"/>
                <w:lang w:val="fr-FR" w:eastAsia="en-GB"/>
              </w:rPr>
              <w:t xml:space="preserve">document SC64 Doc.9.3. </w:t>
            </w:r>
          </w:p>
        </w:tc>
      </w:tr>
      <w:tr w:rsidR="00B0551C" w:rsidRPr="002E3BF8" w14:paraId="552346B5" w14:textId="77777777" w:rsidTr="007324BA">
        <w:trPr>
          <w:cantSplit/>
        </w:trPr>
        <w:tc>
          <w:tcPr>
            <w:tcW w:w="988" w:type="dxa"/>
            <w:shd w:val="clear" w:color="auto" w:fill="auto"/>
            <w:hideMark/>
          </w:tcPr>
          <w:p w14:paraId="78EA77D7" w14:textId="681282F4" w:rsidR="00B0551C" w:rsidRPr="002F18BD" w:rsidRDefault="00B0551C" w:rsidP="00B34C1B">
            <w:pPr>
              <w:ind w:left="0" w:firstLine="0"/>
              <w:rPr>
                <w:rFonts w:asciiTheme="minorHAnsi" w:eastAsia="Times New Roman" w:hAnsiTheme="minorHAnsi" w:cstheme="minorHAnsi"/>
                <w:sz w:val="20"/>
                <w:szCs w:val="20"/>
                <w:lang w:eastAsia="en-GB"/>
              </w:rPr>
            </w:pPr>
            <w:r w:rsidRPr="00C84B2B">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SC53</w:t>
            </w:r>
          </w:p>
        </w:tc>
        <w:tc>
          <w:tcPr>
            <w:tcW w:w="850" w:type="dxa"/>
            <w:shd w:val="clear" w:color="auto" w:fill="auto"/>
            <w:hideMark/>
          </w:tcPr>
          <w:p w14:paraId="56045C9A" w14:textId="2936C6B9" w:rsidR="00B0551C" w:rsidRPr="002F18BD" w:rsidRDefault="00B0551C" w:rsidP="00B34C1B">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2017</w:t>
            </w:r>
          </w:p>
        </w:tc>
        <w:tc>
          <w:tcPr>
            <w:tcW w:w="4394" w:type="dxa"/>
          </w:tcPr>
          <w:p w14:paraId="00617690" w14:textId="452CC604" w:rsidR="00B0551C" w:rsidRPr="002F18BD" w:rsidRDefault="00B0551C" w:rsidP="00B34C1B">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SC53-22</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décide que ses futures réunions continueront d’être tenues à Gland et accueille favorablement l’offre de la Suisse de collaborer avec le Secrétariat pour envisager la possibilité d’une visite dans un Site Ramsar de Suisse lors d’une future réunion, sans faire appel au budget administratif.</w:t>
            </w:r>
          </w:p>
        </w:tc>
        <w:tc>
          <w:tcPr>
            <w:tcW w:w="2977" w:type="dxa"/>
          </w:tcPr>
          <w:p w14:paraId="360E1408" w14:textId="6C1E8BBF" w:rsidR="00B0551C" w:rsidRPr="002F18BD" w:rsidRDefault="00B0551C" w:rsidP="00B34C1B">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p>
        </w:tc>
      </w:tr>
      <w:tr w:rsidR="00E32E6C" w:rsidRPr="00D21F56" w14:paraId="43D10350" w14:textId="77777777" w:rsidTr="007324BA">
        <w:trPr>
          <w:cantSplit/>
        </w:trPr>
        <w:tc>
          <w:tcPr>
            <w:tcW w:w="988" w:type="dxa"/>
            <w:shd w:val="clear" w:color="auto" w:fill="auto"/>
            <w:hideMark/>
          </w:tcPr>
          <w:p w14:paraId="40DE6C9F" w14:textId="6AE3FF1E" w:rsidR="00E32E6C" w:rsidRPr="002F18BD" w:rsidRDefault="00E32E6C"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lastRenderedPageBreak/>
              <w:t xml:space="preserve"> </w:t>
            </w:r>
            <w:r w:rsidRPr="002F18BD">
              <w:rPr>
                <w:rFonts w:asciiTheme="minorHAnsi" w:eastAsia="Times New Roman" w:hAnsiTheme="minorHAnsi" w:cstheme="minorHAnsi"/>
                <w:sz w:val="20"/>
                <w:szCs w:val="20"/>
                <w:lang w:eastAsia="en-GB"/>
              </w:rPr>
              <w:t>SC43</w:t>
            </w:r>
          </w:p>
        </w:tc>
        <w:tc>
          <w:tcPr>
            <w:tcW w:w="850" w:type="dxa"/>
            <w:shd w:val="clear" w:color="auto" w:fill="auto"/>
            <w:hideMark/>
          </w:tcPr>
          <w:p w14:paraId="2FF9EC73" w14:textId="47BF0EEB" w:rsidR="00E32E6C" w:rsidRPr="002F18BD" w:rsidRDefault="00E32E6C"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2011</w:t>
            </w:r>
          </w:p>
        </w:tc>
        <w:tc>
          <w:tcPr>
            <w:tcW w:w="4394" w:type="dxa"/>
          </w:tcPr>
          <w:p w14:paraId="21F0C5B4" w14:textId="61B561E4"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SC43-8</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Afin de simplifier le processus de remplacement, le cas échéant, de membres du Groupe de surveillance des activités de CESP, le Comité permanent décide que si l’un des Correspondants nationaux de la CESP démissionne durant la première moitié de la période triennale pour laquelle ce correspondant a été élu, le Secrétariat doit choisir un remplaçant dans la liste des nominations reçues pour la période triennale sans se soucier du maintien de l’équilibre régional.</w:t>
            </w:r>
          </w:p>
        </w:tc>
        <w:tc>
          <w:tcPr>
            <w:tcW w:w="2977" w:type="dxa"/>
          </w:tcPr>
          <w:p w14:paraId="2CDD60A2" w14:textId="3BA71A48" w:rsidR="00E32E6C" w:rsidRPr="006E2705" w:rsidRDefault="007E6EC4" w:rsidP="00BB0557">
            <w:pPr>
              <w:ind w:left="0" w:firstLine="0"/>
              <w:rPr>
                <w:rFonts w:asciiTheme="minorHAnsi" w:eastAsia="Times New Roman" w:hAnsiTheme="minorHAnsi" w:cstheme="minorHAnsi"/>
                <w:sz w:val="20"/>
                <w:szCs w:val="20"/>
                <w:lang w:val="fr-FR" w:eastAsia="en-GB"/>
              </w:rPr>
            </w:pPr>
            <w:r w:rsidRPr="007E6EC4">
              <w:rPr>
                <w:rFonts w:asciiTheme="minorHAnsi" w:eastAsia="Times New Roman" w:hAnsiTheme="minorHAnsi" w:cstheme="minorHAnsi"/>
                <w:sz w:val="20"/>
                <w:szCs w:val="20"/>
                <w:lang w:val="fr-FR" w:eastAsia="en-GB"/>
              </w:rPr>
              <w:t xml:space="preserve">Remplacé par les nouvelles dispositions décrites dans </w:t>
            </w:r>
            <w:r w:rsidR="00C84B2B" w:rsidRPr="007E6EC4">
              <w:rPr>
                <w:rFonts w:eastAsia="Times New Roman" w:cs="Calibri"/>
                <w:sz w:val="20"/>
                <w:szCs w:val="20"/>
                <w:lang w:val="fr-FR" w:eastAsia="en-GB"/>
              </w:rPr>
              <w:t>l’</w:t>
            </w:r>
            <w:r w:rsidR="006E2705" w:rsidRPr="007E6EC4">
              <w:rPr>
                <w:rFonts w:eastAsia="Times New Roman" w:cs="Calibri"/>
                <w:sz w:val="20"/>
                <w:szCs w:val="20"/>
                <w:lang w:val="fr-FR" w:eastAsia="en-GB"/>
              </w:rPr>
              <w:t xml:space="preserve">annexe 2 du projet de </w:t>
            </w:r>
            <w:r w:rsidRPr="007E6EC4">
              <w:rPr>
                <w:rFonts w:eastAsia="Times New Roman" w:cs="Calibri"/>
                <w:sz w:val="20"/>
                <w:szCs w:val="20"/>
                <w:lang w:val="fr-FR" w:eastAsia="en-GB"/>
              </w:rPr>
              <w:t>r</w:t>
            </w:r>
            <w:r w:rsidR="006E2705" w:rsidRPr="007E6EC4">
              <w:rPr>
                <w:rFonts w:eastAsia="Times New Roman" w:cs="Calibri"/>
                <w:sz w:val="20"/>
                <w:szCs w:val="20"/>
                <w:lang w:val="fr-FR" w:eastAsia="en-GB"/>
              </w:rPr>
              <w:t>ésolution sur la CESP</w:t>
            </w:r>
            <w:r w:rsidRPr="007E6EC4">
              <w:rPr>
                <w:rFonts w:eastAsia="Times New Roman" w:cs="Calibri"/>
                <w:sz w:val="20"/>
                <w:szCs w:val="20"/>
                <w:lang w:val="fr-FR" w:eastAsia="en-GB"/>
              </w:rPr>
              <w:t>, qui figure dans le</w:t>
            </w:r>
            <w:r w:rsidR="006E2705" w:rsidRPr="007E6EC4">
              <w:rPr>
                <w:rFonts w:eastAsia="Times New Roman" w:cs="Calibri"/>
                <w:sz w:val="20"/>
                <w:szCs w:val="20"/>
                <w:lang w:val="fr-FR" w:eastAsia="en-GB"/>
              </w:rPr>
              <w:t xml:space="preserve"> document SC64 Doc.15.2.</w:t>
            </w:r>
          </w:p>
        </w:tc>
      </w:tr>
      <w:tr w:rsidR="00BB0557" w:rsidRPr="00D21F56" w14:paraId="71A79A76" w14:textId="77777777" w:rsidTr="007324BA">
        <w:trPr>
          <w:cantSplit/>
        </w:trPr>
        <w:tc>
          <w:tcPr>
            <w:tcW w:w="988" w:type="dxa"/>
            <w:shd w:val="clear" w:color="auto" w:fill="auto"/>
            <w:hideMark/>
          </w:tcPr>
          <w:p w14:paraId="4478F372" w14:textId="3CCC8DBD" w:rsidR="00BB0557" w:rsidRPr="002F18BD" w:rsidRDefault="00BB0557" w:rsidP="00BB0557">
            <w:pPr>
              <w:ind w:left="0" w:firstLine="0"/>
              <w:rPr>
                <w:rFonts w:asciiTheme="minorHAnsi" w:eastAsia="Times New Roman" w:hAnsiTheme="minorHAnsi" w:cstheme="minorHAnsi"/>
                <w:sz w:val="20"/>
                <w:szCs w:val="20"/>
                <w:lang w:eastAsia="en-GB"/>
              </w:rPr>
            </w:pPr>
            <w:r w:rsidRPr="006E2705">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SC42</w:t>
            </w:r>
          </w:p>
        </w:tc>
        <w:tc>
          <w:tcPr>
            <w:tcW w:w="850" w:type="dxa"/>
            <w:shd w:val="clear" w:color="auto" w:fill="auto"/>
            <w:hideMark/>
          </w:tcPr>
          <w:p w14:paraId="6F203F04" w14:textId="0E666E45"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2011</w:t>
            </w:r>
          </w:p>
        </w:tc>
        <w:tc>
          <w:tcPr>
            <w:tcW w:w="4394" w:type="dxa"/>
          </w:tcPr>
          <w:p w14:paraId="431E7E27" w14:textId="72BE1EA0" w:rsidR="00BB0557" w:rsidRPr="002F18BD" w:rsidRDefault="00BB0557" w:rsidP="00BB0557">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SC42-8</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décide que l’élection du nouveau Comité permanent doit avoir lieu assez tôt dans le déroulement de la COP pour donner du temps aux nouveaux membres de mieux comprendre leurs rôles et responsabilités. Le Comité permanent décide que les réunions régionales pré-COP doivent commencer à identifier leurs nouveaux représentants qui seront nommés au Comité permanent par la COP et terminer leur sélection durant les réunions régionales qui précéderont l’inauguration de la COP</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lorsque les nouveaux membres du Comité permanent seront élus, ils seront chargés de participer, en qualité d’observateurs, aux réunions du Comité de la Conférence tout au long de la COP, et assumeront leurs fonctions de nouveaux membres du Comité permanent à la clôture de la COP.</w:t>
            </w:r>
          </w:p>
        </w:tc>
        <w:tc>
          <w:tcPr>
            <w:tcW w:w="2977" w:type="dxa"/>
          </w:tcPr>
          <w:p w14:paraId="03DA8832" w14:textId="0E891303" w:rsidR="00BB0557" w:rsidRPr="008F7DB8" w:rsidRDefault="008F7DB8" w:rsidP="00BB0557">
            <w:pPr>
              <w:ind w:left="0" w:firstLine="0"/>
              <w:rPr>
                <w:rFonts w:asciiTheme="minorHAnsi" w:eastAsia="Times New Roman" w:hAnsiTheme="minorHAnsi" w:cstheme="minorHAnsi"/>
                <w:sz w:val="20"/>
                <w:szCs w:val="20"/>
                <w:lang w:val="fr-FR" w:eastAsia="en-GB"/>
              </w:rPr>
            </w:pPr>
            <w:r w:rsidRPr="007E6EC4">
              <w:rPr>
                <w:rFonts w:eastAsia="Times New Roman" w:cs="Calibri"/>
                <w:sz w:val="20"/>
                <w:szCs w:val="20"/>
                <w:lang w:val="fr-FR" w:eastAsia="en-GB"/>
              </w:rPr>
              <w:t xml:space="preserve">Intégrée au projet de </w:t>
            </w:r>
            <w:r w:rsidR="007E6EC4" w:rsidRPr="007E6EC4">
              <w:rPr>
                <w:rFonts w:eastAsia="Times New Roman" w:cs="Calibri"/>
                <w:sz w:val="20"/>
                <w:szCs w:val="20"/>
                <w:lang w:val="fr-FR" w:eastAsia="en-GB"/>
              </w:rPr>
              <w:t>r</w:t>
            </w:r>
            <w:r w:rsidRPr="007E6EC4">
              <w:rPr>
                <w:rFonts w:eastAsia="Times New Roman" w:cs="Calibri"/>
                <w:sz w:val="20"/>
                <w:szCs w:val="20"/>
                <w:lang w:val="fr-FR" w:eastAsia="en-GB"/>
              </w:rPr>
              <w:t xml:space="preserve">ésolution sur les rôles et responsabilités du Comité permanent : voir les paragraphes 6 et 9 de l’annexe 1 du </w:t>
            </w:r>
            <w:r w:rsidR="00BB0557" w:rsidRPr="007E6EC4">
              <w:rPr>
                <w:rFonts w:eastAsia="Times New Roman" w:cs="Calibri"/>
                <w:sz w:val="20"/>
                <w:szCs w:val="20"/>
                <w:lang w:val="fr-FR" w:eastAsia="en-GB"/>
              </w:rPr>
              <w:t>document SC64 Doc.13.</w:t>
            </w:r>
          </w:p>
        </w:tc>
      </w:tr>
      <w:tr w:rsidR="00E32E6C" w:rsidRPr="002E3BF8" w14:paraId="5B82D214" w14:textId="77777777" w:rsidTr="007324BA">
        <w:trPr>
          <w:cantSplit/>
        </w:trPr>
        <w:tc>
          <w:tcPr>
            <w:tcW w:w="988" w:type="dxa"/>
            <w:shd w:val="clear" w:color="auto" w:fill="auto"/>
            <w:hideMark/>
          </w:tcPr>
          <w:p w14:paraId="45DD98D4" w14:textId="0C461A60" w:rsidR="00E32E6C" w:rsidRPr="002F18BD" w:rsidRDefault="00E32E6C" w:rsidP="00E32E6C">
            <w:pPr>
              <w:ind w:left="0" w:firstLine="0"/>
              <w:rPr>
                <w:rFonts w:asciiTheme="minorHAnsi" w:eastAsia="Times New Roman" w:hAnsiTheme="minorHAnsi" w:cstheme="minorHAnsi"/>
                <w:sz w:val="20"/>
                <w:szCs w:val="20"/>
                <w:lang w:eastAsia="en-GB"/>
              </w:rPr>
            </w:pPr>
            <w:r w:rsidRPr="008F7DB8">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SC42</w:t>
            </w:r>
          </w:p>
        </w:tc>
        <w:tc>
          <w:tcPr>
            <w:tcW w:w="850" w:type="dxa"/>
            <w:shd w:val="clear" w:color="auto" w:fill="auto"/>
            <w:hideMark/>
          </w:tcPr>
          <w:p w14:paraId="613CCF83" w14:textId="786E808E" w:rsidR="00E32E6C" w:rsidRPr="002F18BD" w:rsidRDefault="00E32E6C"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2011</w:t>
            </w:r>
          </w:p>
        </w:tc>
        <w:tc>
          <w:tcPr>
            <w:tcW w:w="4394" w:type="dxa"/>
            <w:tcBorders>
              <w:bottom w:val="single" w:sz="4" w:space="0" w:color="auto"/>
            </w:tcBorders>
          </w:tcPr>
          <w:p w14:paraId="74F1ADE7" w14:textId="47132AAA"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SC42-32</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demande au Secrétariat de poursuivre les discussions avec la Suisse sur les possibilités futures concernant son statut d’observateur permanent et de continuer de rechercher un avis juridique pour l’interprétation du Règlement intérieur concernant les pratiques du Comité permanent</w:t>
            </w:r>
            <w:r w:rsidR="00663742">
              <w:rPr>
                <w:rFonts w:asciiTheme="minorHAnsi" w:eastAsia="Times New Roman" w:hAnsiTheme="minorHAnsi" w:cstheme="minorHAnsi"/>
                <w:sz w:val="20"/>
                <w:szCs w:val="20"/>
                <w:lang w:val="fr-FR" w:eastAsia="en-GB"/>
              </w:rPr>
              <w:t>.</w:t>
            </w:r>
          </w:p>
        </w:tc>
        <w:tc>
          <w:tcPr>
            <w:tcW w:w="2977" w:type="dxa"/>
            <w:tcBorders>
              <w:bottom w:val="single" w:sz="4" w:space="0" w:color="auto"/>
            </w:tcBorders>
          </w:tcPr>
          <w:p w14:paraId="76A96489" w14:textId="4E0F6003"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w:t>
            </w:r>
            <w:r w:rsidRPr="002F18BD">
              <w:rPr>
                <w:rFonts w:asciiTheme="minorHAnsi" w:eastAsia="Times New Roman" w:hAnsiTheme="minorHAnsi" w:cstheme="minorHAnsi"/>
                <w:sz w:val="20"/>
                <w:szCs w:val="20"/>
                <w:lang w:eastAsia="en-GB"/>
              </w:rPr>
              <w:t xml:space="preserve">. </w:t>
            </w:r>
          </w:p>
        </w:tc>
      </w:tr>
      <w:tr w:rsidR="007324BA" w:rsidRPr="00D21F56" w14:paraId="1D33AE1E" w14:textId="77777777" w:rsidTr="00D21F56">
        <w:trPr>
          <w:cantSplit/>
        </w:trPr>
        <w:tc>
          <w:tcPr>
            <w:tcW w:w="988" w:type="dxa"/>
            <w:vMerge w:val="restart"/>
            <w:shd w:val="clear" w:color="auto" w:fill="auto"/>
            <w:hideMark/>
          </w:tcPr>
          <w:p w14:paraId="44C24246" w14:textId="2C0BBA76" w:rsidR="007324BA" w:rsidRPr="002F18BD" w:rsidRDefault="007324BA"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 xml:space="preserve"> SC40</w:t>
            </w:r>
          </w:p>
        </w:tc>
        <w:tc>
          <w:tcPr>
            <w:tcW w:w="850" w:type="dxa"/>
            <w:vMerge w:val="restart"/>
            <w:shd w:val="clear" w:color="auto" w:fill="auto"/>
            <w:hideMark/>
          </w:tcPr>
          <w:p w14:paraId="6B755EAE" w14:textId="58FD17B5" w:rsidR="007324BA" w:rsidRPr="002F18BD" w:rsidRDefault="007324BA"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2009</w:t>
            </w:r>
          </w:p>
        </w:tc>
        <w:tc>
          <w:tcPr>
            <w:tcW w:w="4394" w:type="dxa"/>
            <w:tcBorders>
              <w:bottom w:val="single" w:sz="4" w:space="0" w:color="auto"/>
            </w:tcBorders>
          </w:tcPr>
          <w:p w14:paraId="10BE1E98" w14:textId="3EB7554D" w:rsidR="007324BA" w:rsidRPr="002F18BD" w:rsidRDefault="007324BA"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SC40-4</w:t>
            </w:r>
            <w:r>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xml:space="preserve">: </w:t>
            </w:r>
            <w:r>
              <w:rPr>
                <w:rFonts w:asciiTheme="minorHAnsi" w:eastAsia="Times New Roman" w:hAnsiTheme="minorHAnsi" w:cstheme="minorHAnsi"/>
                <w:sz w:val="20"/>
                <w:szCs w:val="20"/>
                <w:lang w:val="fr-FR" w:eastAsia="en-GB"/>
              </w:rPr>
              <w:t>L</w:t>
            </w:r>
            <w:r w:rsidRPr="002F18BD">
              <w:rPr>
                <w:rFonts w:asciiTheme="minorHAnsi" w:eastAsia="Times New Roman" w:hAnsiTheme="minorHAnsi" w:cstheme="minorHAnsi"/>
                <w:sz w:val="20"/>
                <w:szCs w:val="20"/>
                <w:lang w:val="fr-FR" w:eastAsia="en-GB"/>
              </w:rPr>
              <w:t xml:space="preserve">e Comité permanent décide qu’en principe, il convient de maintenir la continuité (anciens présidents, etc.) dans tous les sous-groupes du Comité permanent et, en particulier, dans les sous-groupes sur les finances et sur la COP. </w:t>
            </w:r>
          </w:p>
        </w:tc>
        <w:tc>
          <w:tcPr>
            <w:tcW w:w="2977" w:type="dxa"/>
            <w:tcBorders>
              <w:bottom w:val="single" w:sz="4" w:space="0" w:color="auto"/>
            </w:tcBorders>
          </w:tcPr>
          <w:p w14:paraId="68A8578D" w14:textId="4DBA319B" w:rsidR="007324BA" w:rsidRPr="00CA5004" w:rsidRDefault="007324BA" w:rsidP="00E32E6C">
            <w:pPr>
              <w:ind w:left="0" w:firstLine="0"/>
              <w:rPr>
                <w:rFonts w:eastAsia="Times New Roman" w:cs="Calibri"/>
                <w:sz w:val="20"/>
                <w:szCs w:val="20"/>
                <w:lang w:val="fr-FR" w:eastAsia="en-GB"/>
              </w:rPr>
            </w:pPr>
            <w:r w:rsidRPr="00CA5004">
              <w:rPr>
                <w:rFonts w:eastAsia="Times New Roman" w:cs="Calibri"/>
                <w:sz w:val="20"/>
                <w:szCs w:val="20"/>
                <w:lang w:val="fr-FR" w:eastAsia="en-GB"/>
              </w:rPr>
              <w:t xml:space="preserve">Intégrée au projet de </w:t>
            </w:r>
            <w:r w:rsidR="00A97100" w:rsidRPr="00CA5004">
              <w:rPr>
                <w:rFonts w:eastAsia="Times New Roman" w:cs="Calibri"/>
                <w:sz w:val="20"/>
                <w:szCs w:val="20"/>
                <w:lang w:val="fr-FR" w:eastAsia="en-GB"/>
              </w:rPr>
              <w:t>r</w:t>
            </w:r>
            <w:r w:rsidRPr="00CA5004">
              <w:rPr>
                <w:rFonts w:eastAsia="Times New Roman" w:cs="Calibri"/>
                <w:sz w:val="20"/>
                <w:szCs w:val="20"/>
                <w:lang w:val="fr-FR" w:eastAsia="en-GB"/>
              </w:rPr>
              <w:t>ésolution sur les rôles et responsabilités du Comité permanent : voir le paragraphe 8 de l’annexe 1 du document SC64 Doc.13.</w:t>
            </w:r>
          </w:p>
        </w:tc>
      </w:tr>
      <w:tr w:rsidR="007324BA" w:rsidRPr="00D21F56" w14:paraId="73908193" w14:textId="77777777" w:rsidTr="00D21F56">
        <w:trPr>
          <w:cantSplit/>
        </w:trPr>
        <w:tc>
          <w:tcPr>
            <w:tcW w:w="988" w:type="dxa"/>
            <w:vMerge/>
            <w:shd w:val="clear" w:color="auto" w:fill="auto"/>
          </w:tcPr>
          <w:p w14:paraId="6FF726FB" w14:textId="77777777" w:rsidR="007324BA" w:rsidRPr="007324BA" w:rsidRDefault="007324BA" w:rsidP="00E32E6C">
            <w:pPr>
              <w:ind w:left="0" w:firstLine="0"/>
              <w:rPr>
                <w:rFonts w:asciiTheme="minorHAnsi" w:eastAsia="Times New Roman" w:hAnsiTheme="minorHAnsi" w:cstheme="minorHAnsi"/>
                <w:sz w:val="20"/>
                <w:szCs w:val="20"/>
                <w:lang w:val="fr-FR" w:eastAsia="en-GB"/>
              </w:rPr>
            </w:pPr>
          </w:p>
        </w:tc>
        <w:tc>
          <w:tcPr>
            <w:tcW w:w="850" w:type="dxa"/>
            <w:vMerge/>
            <w:shd w:val="clear" w:color="auto" w:fill="auto"/>
          </w:tcPr>
          <w:p w14:paraId="779F57E7" w14:textId="77777777" w:rsidR="007324BA" w:rsidRPr="007324BA" w:rsidRDefault="007324BA" w:rsidP="00E32E6C">
            <w:pPr>
              <w:ind w:left="0" w:firstLine="0"/>
              <w:rPr>
                <w:rFonts w:asciiTheme="minorHAnsi" w:eastAsia="Times New Roman" w:hAnsiTheme="minorHAnsi" w:cstheme="minorHAnsi"/>
                <w:sz w:val="20"/>
                <w:szCs w:val="20"/>
                <w:lang w:val="fr-FR" w:eastAsia="en-GB"/>
              </w:rPr>
            </w:pPr>
          </w:p>
        </w:tc>
        <w:tc>
          <w:tcPr>
            <w:tcW w:w="4394" w:type="dxa"/>
            <w:tcBorders>
              <w:top w:val="single" w:sz="4" w:space="0" w:color="auto"/>
            </w:tcBorders>
          </w:tcPr>
          <w:p w14:paraId="36FC2856" w14:textId="77777777" w:rsidR="007324BA" w:rsidRPr="002F18BD" w:rsidRDefault="007324BA" w:rsidP="007324BA">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Il convient d’associer au Comité de surveillance du GEST, l’ancien Président du Comité permanent et au Groupe de surveillance des activités de CESP, l’ancien Vice-président du Comité permanent, de manière à maintenir cette continuité. Cependant, comme une décision de la COP sera nécessaire pour introduire officiellement ces modifications dans les deux groupes, il serait utile d’introduire ce changement dans le cycle actuel sous forme de rôles «</w:t>
            </w:r>
            <w:r>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de droit</w:t>
            </w:r>
            <w:r>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à condition qu’il n’y ait pas de conséquences financières supplémentaires.</w:t>
            </w:r>
          </w:p>
        </w:tc>
        <w:tc>
          <w:tcPr>
            <w:tcW w:w="2977" w:type="dxa"/>
            <w:tcBorders>
              <w:top w:val="single" w:sz="4" w:space="0" w:color="auto"/>
            </w:tcBorders>
          </w:tcPr>
          <w:p w14:paraId="02A448FB" w14:textId="77777777" w:rsidR="007324BA" w:rsidRPr="00CA5004" w:rsidRDefault="007324BA" w:rsidP="007324BA">
            <w:pPr>
              <w:ind w:left="0" w:firstLine="0"/>
              <w:rPr>
                <w:rFonts w:eastAsia="Times New Roman" w:cs="Calibri"/>
                <w:sz w:val="20"/>
                <w:szCs w:val="20"/>
                <w:lang w:val="fr-FR" w:eastAsia="en-GB"/>
              </w:rPr>
            </w:pPr>
            <w:r w:rsidRPr="00CA5004">
              <w:rPr>
                <w:rFonts w:eastAsia="Times New Roman" w:cs="Calibri"/>
                <w:sz w:val="20"/>
                <w:szCs w:val="20"/>
                <w:lang w:val="fr-FR" w:eastAsia="en-GB"/>
              </w:rPr>
              <w:t>Appliquée en ce qui concerne le Comité de surveillance du GEST : la Résolution XII.5 donne instruction au Groupe de travail sur la gestion du Comité permanent de reprendre le rôle du Comité de surveillance du GEST, et la Résolution IX.24 détermine que l’ancien Président du Comité permanent est membre du Groupe de travail sur la gestion.</w:t>
            </w:r>
          </w:p>
        </w:tc>
      </w:tr>
      <w:tr w:rsidR="00E32E6C" w:rsidRPr="00D21F56" w14:paraId="6D660C42" w14:textId="77777777" w:rsidTr="007324BA">
        <w:trPr>
          <w:cantSplit/>
        </w:trPr>
        <w:tc>
          <w:tcPr>
            <w:tcW w:w="988" w:type="dxa"/>
            <w:shd w:val="clear" w:color="auto" w:fill="auto"/>
            <w:hideMark/>
          </w:tcPr>
          <w:p w14:paraId="7B1EA163" w14:textId="3CB4542C" w:rsidR="00E32E6C" w:rsidRPr="002F18BD" w:rsidRDefault="00E32E6C" w:rsidP="00E32E6C">
            <w:pPr>
              <w:ind w:left="0" w:firstLine="0"/>
              <w:rPr>
                <w:rFonts w:asciiTheme="minorHAnsi" w:eastAsia="Times New Roman" w:hAnsiTheme="minorHAnsi" w:cstheme="minorHAnsi"/>
                <w:sz w:val="20"/>
                <w:szCs w:val="20"/>
                <w:lang w:eastAsia="en-GB"/>
              </w:rPr>
            </w:pPr>
            <w:r w:rsidRPr="001735CA">
              <w:rPr>
                <w:rFonts w:asciiTheme="minorHAnsi" w:eastAsia="Times New Roman" w:hAnsiTheme="minorHAnsi" w:cstheme="minorHAnsi"/>
                <w:sz w:val="20"/>
                <w:szCs w:val="20"/>
                <w:lang w:val="fr-FR" w:eastAsia="en-GB"/>
              </w:rPr>
              <w:lastRenderedPageBreak/>
              <w:t xml:space="preserve"> </w:t>
            </w:r>
            <w:r w:rsidRPr="002F18BD">
              <w:rPr>
                <w:rFonts w:asciiTheme="minorHAnsi" w:eastAsia="Times New Roman" w:hAnsiTheme="minorHAnsi" w:cstheme="minorHAnsi"/>
                <w:sz w:val="20"/>
                <w:szCs w:val="20"/>
                <w:lang w:eastAsia="en-GB"/>
              </w:rPr>
              <w:t>SC34</w:t>
            </w:r>
          </w:p>
        </w:tc>
        <w:tc>
          <w:tcPr>
            <w:tcW w:w="850" w:type="dxa"/>
            <w:shd w:val="clear" w:color="auto" w:fill="auto"/>
            <w:hideMark/>
          </w:tcPr>
          <w:p w14:paraId="61224108" w14:textId="6D0DF286" w:rsidR="00E32E6C" w:rsidRPr="002F18BD" w:rsidRDefault="00E32E6C"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2006</w:t>
            </w:r>
          </w:p>
        </w:tc>
        <w:tc>
          <w:tcPr>
            <w:tcW w:w="4394" w:type="dxa"/>
          </w:tcPr>
          <w:p w14:paraId="7A25C9A9" w14:textId="5ED7368F"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SC34-2</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prend note du Rapport de la réunion des OIP et du Secrétariat, organisée en février 2006, et prie le Secrétariat et les OIP de donner un caractère régulier à ces réunions qui devraient avoir lieu sur une base annuelle. Le Comité permanent prie les OIP d</w:t>
            </w:r>
            <w:r w:rsidR="00663742">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t>établir des contacts directs avec les Correspondants nationaux des Parties et de collaborer lorsqu</w:t>
            </w:r>
            <w:r w:rsidR="00663742">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t>il y a plus d</w:t>
            </w:r>
            <w:r w:rsidR="00663742">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t>une OIP établie dans une Partie donnée</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il encourage en outre les Parties à accueillir des responsables locaux des OIP dans leurs Comités nationaux Ramsar/pour les zones humides. Le Comité permanent prie aussi instamment les membres du Comité permanent d</w:t>
            </w:r>
            <w:r w:rsidR="00663742">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t>expliquer le rôle des OIP auprès de</w:t>
            </w:r>
            <w:r>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val="fr-FR" w:eastAsia="en-GB"/>
              </w:rPr>
              <w:t>Ramsar à d</w:t>
            </w:r>
            <w:r w:rsidR="00663742">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t>autres fonctionnaires de leurs gouvernements respectifs. Le Comité permanent prie les OIP d</w:t>
            </w:r>
            <w:r w:rsidR="00663742">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t>aider les Parties, le cas échéant, à appliquer le Plan de travail conjoint Ramsar/CDB, et invite les OIP à faire régulièrement rapport au Comité permanent sur leurs activités à ce propos.</w:t>
            </w:r>
          </w:p>
        </w:tc>
        <w:tc>
          <w:tcPr>
            <w:tcW w:w="2977" w:type="dxa"/>
          </w:tcPr>
          <w:p w14:paraId="16B65EF8" w14:textId="4F50D78A"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 Pourrait être intégrée à un projet de résolution futur.</w:t>
            </w:r>
          </w:p>
        </w:tc>
      </w:tr>
      <w:tr w:rsidR="00BB0557" w:rsidRPr="00D21F56" w14:paraId="5D68AAC3" w14:textId="77777777" w:rsidTr="007324BA">
        <w:trPr>
          <w:cantSplit/>
        </w:trPr>
        <w:tc>
          <w:tcPr>
            <w:tcW w:w="988" w:type="dxa"/>
            <w:shd w:val="clear" w:color="auto" w:fill="auto"/>
            <w:hideMark/>
          </w:tcPr>
          <w:p w14:paraId="4684D21A" w14:textId="513E9DDE"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SC30</w:t>
            </w:r>
          </w:p>
        </w:tc>
        <w:tc>
          <w:tcPr>
            <w:tcW w:w="850" w:type="dxa"/>
            <w:shd w:val="clear" w:color="auto" w:fill="auto"/>
            <w:hideMark/>
          </w:tcPr>
          <w:p w14:paraId="707D126C" w14:textId="6A3B21CA" w:rsidR="00BB0557" w:rsidRPr="002F18BD" w:rsidRDefault="00BB0557" w:rsidP="00BB0557">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2004</w:t>
            </w:r>
          </w:p>
        </w:tc>
        <w:tc>
          <w:tcPr>
            <w:tcW w:w="4394" w:type="dxa"/>
          </w:tcPr>
          <w:p w14:paraId="0938B76B" w14:textId="33FCE5A8" w:rsidR="00BB0557" w:rsidRPr="002F18BD" w:rsidRDefault="00BB0557" w:rsidP="00BB0557">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SC30-9</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xml:space="preserve">: </w:t>
            </w:r>
            <w:r w:rsidR="00C1090F">
              <w:rPr>
                <w:rFonts w:asciiTheme="minorHAnsi" w:eastAsia="Times New Roman" w:hAnsiTheme="minorHAnsi" w:cstheme="minorHAnsi"/>
                <w:sz w:val="20"/>
                <w:szCs w:val="20"/>
                <w:lang w:val="fr-FR" w:eastAsia="en-GB"/>
              </w:rPr>
              <w:t>L</w:t>
            </w:r>
            <w:r w:rsidRPr="002F18BD">
              <w:rPr>
                <w:rFonts w:asciiTheme="minorHAnsi" w:eastAsia="Times New Roman" w:hAnsiTheme="minorHAnsi" w:cstheme="minorHAnsi"/>
                <w:sz w:val="20"/>
                <w:szCs w:val="20"/>
                <w:lang w:val="fr-FR" w:eastAsia="en-GB"/>
              </w:rPr>
              <w:t>e Comité permanent reconnaît l’importance des réunions à moyen terme de groupes régionaux de Parties et de pays qui préparent leur adhésion et adopte, comme objectif, l’organisation d’au moins une réunion intersessions de chaque groupe régional durant chaque période triennale. Le Comité permanent recommande de placer les réunions proposées sous la responsabilité d’un pays ou de plusieurs pays du groupe régional concerné, en collaboration avec le Bureau et de veiller à maintenir une certaine souplesse dans les buts et les questions à discuter durant la réunion afin de pouvoir traiter les questions et besoins prioritaires des pays concernés. Il serait bon de prendre appui sur d’autres réunions pertinentes qui ont lieu dans la région concernée. Le Bureau fournira des avis aux pays organisateurs et participera aux réunions, le cas échéant.</w:t>
            </w:r>
          </w:p>
        </w:tc>
        <w:tc>
          <w:tcPr>
            <w:tcW w:w="2977" w:type="dxa"/>
          </w:tcPr>
          <w:p w14:paraId="5FE132D9" w14:textId="5ED3BCDB" w:rsidR="00BB0557" w:rsidRPr="00CA5004" w:rsidRDefault="001735CA" w:rsidP="00BB0557">
            <w:pPr>
              <w:ind w:left="0" w:firstLine="0"/>
              <w:rPr>
                <w:rFonts w:asciiTheme="minorHAnsi" w:eastAsia="Times New Roman" w:hAnsiTheme="minorHAnsi" w:cstheme="minorHAnsi"/>
                <w:sz w:val="20"/>
                <w:szCs w:val="20"/>
                <w:lang w:val="fr-FR" w:eastAsia="en-GB"/>
              </w:rPr>
            </w:pPr>
            <w:r w:rsidRPr="00CA5004">
              <w:rPr>
                <w:rFonts w:eastAsia="Times New Roman" w:cs="Calibri"/>
                <w:sz w:val="20"/>
                <w:szCs w:val="20"/>
                <w:lang w:val="fr-FR" w:eastAsia="en-GB"/>
              </w:rPr>
              <w:t xml:space="preserve">Intégrée au projet de </w:t>
            </w:r>
            <w:r w:rsidR="00A97100" w:rsidRPr="00CA5004">
              <w:rPr>
                <w:rFonts w:eastAsia="Times New Roman" w:cs="Calibri"/>
                <w:sz w:val="20"/>
                <w:szCs w:val="20"/>
                <w:lang w:val="fr-FR" w:eastAsia="en-GB"/>
              </w:rPr>
              <w:t>r</w:t>
            </w:r>
            <w:r w:rsidRPr="00CA5004">
              <w:rPr>
                <w:rFonts w:eastAsia="Times New Roman" w:cs="Calibri"/>
                <w:sz w:val="20"/>
                <w:szCs w:val="20"/>
                <w:lang w:val="fr-FR" w:eastAsia="en-GB"/>
              </w:rPr>
              <w:t xml:space="preserve">ésolution sur les rôles et responsabilités du Comité permanent : voir le paragraphe 5 de l’annexe 3 du </w:t>
            </w:r>
            <w:r w:rsidR="00BB0557" w:rsidRPr="00CA5004">
              <w:rPr>
                <w:rFonts w:eastAsia="Times New Roman" w:cs="Calibri"/>
                <w:sz w:val="20"/>
                <w:szCs w:val="20"/>
                <w:lang w:val="fr-FR" w:eastAsia="en-GB"/>
              </w:rPr>
              <w:t xml:space="preserve">document SC64 Doc.13. </w:t>
            </w:r>
          </w:p>
        </w:tc>
      </w:tr>
      <w:tr w:rsidR="00E32E6C" w:rsidRPr="00D21F56" w14:paraId="5A29B6AB" w14:textId="77777777" w:rsidTr="007324BA">
        <w:trPr>
          <w:cantSplit/>
        </w:trPr>
        <w:tc>
          <w:tcPr>
            <w:tcW w:w="988" w:type="dxa"/>
            <w:shd w:val="clear" w:color="auto" w:fill="auto"/>
            <w:hideMark/>
          </w:tcPr>
          <w:p w14:paraId="136BE551" w14:textId="53737EDF" w:rsidR="00E32E6C" w:rsidRPr="002F18BD" w:rsidRDefault="00E32E6C" w:rsidP="00E32E6C">
            <w:pPr>
              <w:ind w:left="0" w:firstLine="0"/>
              <w:rPr>
                <w:rFonts w:asciiTheme="minorHAnsi" w:eastAsia="Times New Roman" w:hAnsiTheme="minorHAnsi" w:cstheme="minorHAnsi"/>
                <w:sz w:val="20"/>
                <w:szCs w:val="20"/>
                <w:lang w:eastAsia="en-GB"/>
              </w:rPr>
            </w:pPr>
            <w:r w:rsidRPr="001735CA">
              <w:rPr>
                <w:rFonts w:asciiTheme="minorHAnsi" w:eastAsia="Times New Roman" w:hAnsiTheme="minorHAnsi" w:cstheme="minorHAnsi"/>
                <w:sz w:val="20"/>
                <w:szCs w:val="20"/>
                <w:lang w:val="fr-FR" w:eastAsia="en-GB"/>
              </w:rPr>
              <w:lastRenderedPageBreak/>
              <w:t xml:space="preserve"> </w:t>
            </w:r>
            <w:r w:rsidRPr="002F18BD">
              <w:rPr>
                <w:rFonts w:asciiTheme="minorHAnsi" w:eastAsia="Times New Roman" w:hAnsiTheme="minorHAnsi" w:cstheme="minorHAnsi"/>
                <w:sz w:val="20"/>
                <w:szCs w:val="20"/>
                <w:lang w:eastAsia="en-GB"/>
              </w:rPr>
              <w:t>SC26</w:t>
            </w:r>
          </w:p>
        </w:tc>
        <w:tc>
          <w:tcPr>
            <w:tcW w:w="850" w:type="dxa"/>
            <w:shd w:val="clear" w:color="auto" w:fill="auto"/>
            <w:hideMark/>
          </w:tcPr>
          <w:p w14:paraId="2D490C2D" w14:textId="10D71C50" w:rsidR="00E32E6C" w:rsidRPr="002F18BD" w:rsidRDefault="00E32E6C"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2001</w:t>
            </w:r>
          </w:p>
        </w:tc>
        <w:tc>
          <w:tcPr>
            <w:tcW w:w="4394" w:type="dxa"/>
          </w:tcPr>
          <w:p w14:paraId="6664D337" w14:textId="3F99A8FD"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SC26-40</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xml:space="preserve">: </w:t>
            </w:r>
            <w:r w:rsidR="00C1090F">
              <w:rPr>
                <w:rFonts w:asciiTheme="minorHAnsi" w:eastAsia="Times New Roman" w:hAnsiTheme="minorHAnsi" w:cstheme="minorHAnsi"/>
                <w:sz w:val="20"/>
                <w:szCs w:val="20"/>
                <w:lang w:val="fr-FR" w:eastAsia="en-GB"/>
              </w:rPr>
              <w:t>L</w:t>
            </w:r>
            <w:r w:rsidRPr="002F18BD">
              <w:rPr>
                <w:rFonts w:asciiTheme="minorHAnsi" w:eastAsia="Times New Roman" w:hAnsiTheme="minorHAnsi" w:cstheme="minorHAnsi"/>
                <w:sz w:val="20"/>
                <w:szCs w:val="20"/>
                <w:lang w:val="fr-FR" w:eastAsia="en-GB"/>
              </w:rPr>
              <w:t>e Comité permanent décide que, sauf décision contraire prise dans des résolutions de la Conférence des Parties contractantes, l’attribution de fonds par le Bureau pour permettre à des délégués d’assister aux réunions de Ramsar se fera comme suit</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a) les fonds doivent aller en priorité à un délégué de chaque Partie contractante Ramsar figurant sur la liste des Nations Unies des pays les moins développés (PMD)</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b) les fonds supplémentaires seront attribués à un délégué de Parties contractantes qui sont des pays en développement et des pays en transition économique</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val="fr-FR" w:eastAsia="en-GB"/>
              </w:rPr>
              <w:br/>
              <w:t>c) si des fonds sont encore disponibles, ils seront attribués à deuxième délégué des PMD</w:t>
            </w:r>
            <w:r w:rsidRPr="002F18BD">
              <w:rPr>
                <w:rFonts w:asciiTheme="minorHAnsi" w:eastAsia="Times New Roman" w:hAnsiTheme="minorHAnsi" w:cstheme="minorHAnsi"/>
                <w:sz w:val="20"/>
                <w:szCs w:val="20"/>
                <w:lang w:val="fr-FR" w:eastAsia="en-GB"/>
              </w:rPr>
              <w:br/>
              <w:t>d) si des fonds sont encore disponibles, ils seront attribués à un deuxième délégué de pays en développement et de pays en transition économique.</w:t>
            </w:r>
          </w:p>
        </w:tc>
        <w:tc>
          <w:tcPr>
            <w:tcW w:w="2977" w:type="dxa"/>
          </w:tcPr>
          <w:p w14:paraId="4507E003" w14:textId="6AC91B85"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 Pourrait être intégrée à un projet de résolution futur.</w:t>
            </w:r>
          </w:p>
        </w:tc>
      </w:tr>
      <w:tr w:rsidR="00E32E6C" w:rsidRPr="00D21F56" w14:paraId="2CA1CF2E" w14:textId="77777777" w:rsidTr="007324BA">
        <w:trPr>
          <w:cantSplit/>
        </w:trPr>
        <w:tc>
          <w:tcPr>
            <w:tcW w:w="988" w:type="dxa"/>
            <w:shd w:val="clear" w:color="auto" w:fill="auto"/>
            <w:hideMark/>
          </w:tcPr>
          <w:p w14:paraId="0D51A753" w14:textId="4ECD6E3C" w:rsidR="00E32E6C" w:rsidRPr="002F18BD" w:rsidRDefault="00E32E6C"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val="fr-FR" w:eastAsia="en-GB"/>
              </w:rPr>
              <w:t xml:space="preserve"> </w:t>
            </w:r>
            <w:r w:rsidRPr="002F18BD">
              <w:rPr>
                <w:rFonts w:asciiTheme="minorHAnsi" w:eastAsia="Times New Roman" w:hAnsiTheme="minorHAnsi" w:cstheme="minorHAnsi"/>
                <w:sz w:val="20"/>
                <w:szCs w:val="20"/>
                <w:lang w:eastAsia="en-GB"/>
              </w:rPr>
              <w:t>SC25</w:t>
            </w:r>
          </w:p>
        </w:tc>
        <w:tc>
          <w:tcPr>
            <w:tcW w:w="850" w:type="dxa"/>
            <w:shd w:val="clear" w:color="auto" w:fill="auto"/>
            <w:hideMark/>
          </w:tcPr>
          <w:p w14:paraId="108CCF88" w14:textId="3A0ADF8B" w:rsidR="00E32E6C" w:rsidRPr="002F18BD" w:rsidRDefault="00E32E6C" w:rsidP="00E32E6C">
            <w:pPr>
              <w:ind w:left="0" w:firstLine="0"/>
              <w:rPr>
                <w:rFonts w:asciiTheme="minorHAnsi" w:eastAsia="Times New Roman" w:hAnsiTheme="minorHAnsi" w:cstheme="minorHAnsi"/>
                <w:sz w:val="20"/>
                <w:szCs w:val="20"/>
                <w:lang w:eastAsia="en-GB"/>
              </w:rPr>
            </w:pPr>
            <w:r w:rsidRPr="002F18BD">
              <w:rPr>
                <w:rFonts w:asciiTheme="minorHAnsi" w:eastAsia="Times New Roman" w:hAnsiTheme="minorHAnsi" w:cstheme="minorHAnsi"/>
                <w:sz w:val="20"/>
                <w:szCs w:val="20"/>
                <w:lang w:eastAsia="en-GB"/>
              </w:rPr>
              <w:t>2000</w:t>
            </w:r>
          </w:p>
        </w:tc>
        <w:tc>
          <w:tcPr>
            <w:tcW w:w="4394" w:type="dxa"/>
          </w:tcPr>
          <w:p w14:paraId="0502469D" w14:textId="4A1C32D2"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Décision SC25-28</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Le Comité permanent décide que</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a) la Liste des bénéficiaires de l’aide établie par le CAD/OCDE continuera d’être utilisée, mutatis mutandis, pour les Parties contractantes à la Convention de Ramsar et d’autres pays pouvant prétendre à l’adhésion, pour déterminer l’admissibilité au FPS établie dans la Résolution VI.6</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b) le Bureau, lorsqu’il attribuera une aide pour participer à des réunions de Ramsar utilisera la Liste CAD/OCDE dans l’ordre de priorité suivant</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i) Parties contractantes de la partie I de la Liste</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ii) Parties contractantes de la partie II de la Liste</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pays d’Europe centrale et orientale et nouveaux États indépendants de l’ex-Union soviétique</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iii) Parties contractantes de la partie II de la Liste</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 pays et territoires en développement les plus avancés</w:t>
            </w:r>
            <w:r w:rsidR="00663742">
              <w:rPr>
                <w:rFonts w:asciiTheme="minorHAnsi" w:eastAsia="Times New Roman" w:hAnsiTheme="minorHAnsi" w:cstheme="minorHAnsi"/>
                <w:sz w:val="20"/>
                <w:szCs w:val="20"/>
                <w:lang w:val="fr-FR" w:eastAsia="en-GB"/>
              </w:rPr>
              <w:t> </w:t>
            </w:r>
            <w:r w:rsidRPr="002F18BD">
              <w:rPr>
                <w:rFonts w:asciiTheme="minorHAnsi" w:eastAsia="Times New Roman" w:hAnsiTheme="minorHAnsi" w:cstheme="minorHAnsi"/>
                <w:sz w:val="20"/>
                <w:szCs w:val="20"/>
                <w:lang w:val="fr-FR" w:eastAsia="en-GB"/>
              </w:rPr>
              <w:t>;</w:t>
            </w:r>
            <w:r w:rsidRPr="002F18BD">
              <w:rPr>
                <w:rFonts w:asciiTheme="minorHAnsi" w:eastAsia="Times New Roman" w:hAnsiTheme="minorHAnsi" w:cstheme="minorHAnsi"/>
                <w:sz w:val="20"/>
                <w:szCs w:val="20"/>
                <w:lang w:val="fr-FR" w:eastAsia="en-GB"/>
              </w:rPr>
              <w:br/>
              <w:t xml:space="preserve">c) le Bureau préparera un rapport sur les règlements et la pratique en la matière appliqués par d’autres conventions relatives à l’environnement pour examen à la prochaine réunion du Comité permanent et communication possible, avec recommandation, à la COP8. </w:t>
            </w:r>
          </w:p>
        </w:tc>
        <w:tc>
          <w:tcPr>
            <w:tcW w:w="2977" w:type="dxa"/>
          </w:tcPr>
          <w:p w14:paraId="435B9CF9" w14:textId="1EA2783F" w:rsidR="00E32E6C" w:rsidRPr="002F18BD" w:rsidRDefault="00E32E6C" w:rsidP="00E32E6C">
            <w:pPr>
              <w:ind w:left="0" w:firstLine="0"/>
              <w:rPr>
                <w:rFonts w:asciiTheme="minorHAnsi" w:eastAsia="Times New Roman" w:hAnsiTheme="minorHAnsi" w:cstheme="minorHAnsi"/>
                <w:sz w:val="20"/>
                <w:szCs w:val="20"/>
                <w:lang w:val="fr-FR" w:eastAsia="en-GB"/>
              </w:rPr>
            </w:pPr>
            <w:r w:rsidRPr="002F18BD">
              <w:rPr>
                <w:rFonts w:asciiTheme="minorHAnsi" w:eastAsia="Times New Roman" w:hAnsiTheme="minorHAnsi" w:cstheme="minorHAnsi"/>
                <w:sz w:val="20"/>
                <w:szCs w:val="20"/>
                <w:lang w:val="fr-FR" w:eastAsia="en-GB"/>
              </w:rPr>
              <w:t>Application permanente. Pourrait être intégrée à un projet de résolution futur.</w:t>
            </w:r>
          </w:p>
        </w:tc>
      </w:tr>
    </w:tbl>
    <w:p w14:paraId="69B8D6C9" w14:textId="77777777" w:rsidR="00A47F9E" w:rsidRPr="002F18BD" w:rsidRDefault="00A47F9E" w:rsidP="00EC673C">
      <w:pPr>
        <w:ind w:left="0" w:firstLine="0"/>
        <w:rPr>
          <w:rFonts w:cs="Arial"/>
          <w:b/>
          <w:sz w:val="24"/>
          <w:szCs w:val="24"/>
          <w:lang w:val="fr-FR"/>
        </w:rPr>
      </w:pPr>
    </w:p>
    <w:p w14:paraId="42DEA47E" w14:textId="72594665" w:rsidR="00A47F9E" w:rsidRPr="002F18BD" w:rsidRDefault="00A47F9E" w:rsidP="00EC673C">
      <w:pPr>
        <w:ind w:left="0" w:firstLine="0"/>
        <w:rPr>
          <w:rFonts w:cs="Arial"/>
          <w:b/>
          <w:sz w:val="24"/>
          <w:szCs w:val="24"/>
          <w:lang w:val="fr-FR"/>
        </w:rPr>
      </w:pPr>
    </w:p>
    <w:p w14:paraId="65EE7B9D" w14:textId="77777777" w:rsidR="00A47F9E" w:rsidRPr="002F18BD" w:rsidRDefault="00A47F9E" w:rsidP="00EC673C">
      <w:pPr>
        <w:ind w:left="0" w:firstLine="0"/>
        <w:rPr>
          <w:rFonts w:cs="Arial"/>
          <w:b/>
          <w:sz w:val="24"/>
          <w:szCs w:val="24"/>
          <w:lang w:val="fr-FR"/>
        </w:rPr>
      </w:pPr>
    </w:p>
    <w:sectPr w:rsidR="00A47F9E" w:rsidRPr="002F18BD" w:rsidSect="002137E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EDDC" w14:textId="77777777" w:rsidR="000C76C4" w:rsidRDefault="000C76C4" w:rsidP="00DF2386">
      <w:r>
        <w:separator/>
      </w:r>
    </w:p>
  </w:endnote>
  <w:endnote w:type="continuationSeparator" w:id="0">
    <w:p w14:paraId="0DC3D591" w14:textId="77777777" w:rsidR="000C76C4" w:rsidRDefault="000C76C4" w:rsidP="00DF2386">
      <w:r>
        <w:continuationSeparator/>
      </w:r>
    </w:p>
  </w:endnote>
  <w:endnote w:type="continuationNotice" w:id="1">
    <w:p w14:paraId="63D73B37" w14:textId="77777777" w:rsidR="000C76C4" w:rsidRDefault="000C7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9FF0" w14:textId="77777777" w:rsidR="00663742" w:rsidRDefault="0066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4DC5" w14:textId="3034F4E6" w:rsidR="00F73E71" w:rsidRDefault="001A05BE" w:rsidP="002137E0">
    <w:pPr>
      <w:pStyle w:val="Header"/>
      <w:rPr>
        <w:noProof/>
      </w:rPr>
    </w:pPr>
    <w:r w:rsidRPr="00533848">
      <w:rPr>
        <w:sz w:val="20"/>
        <w:szCs w:val="20"/>
      </w:rPr>
      <w:t>SC</w:t>
    </w:r>
    <w:r w:rsidR="00164682">
      <w:rPr>
        <w:sz w:val="20"/>
        <w:szCs w:val="20"/>
      </w:rPr>
      <w:t>6</w:t>
    </w:r>
    <w:r w:rsidR="00780889">
      <w:rPr>
        <w:sz w:val="20"/>
        <w:szCs w:val="20"/>
      </w:rPr>
      <w:t>4</w:t>
    </w:r>
    <w:r>
      <w:rPr>
        <w:sz w:val="20"/>
        <w:szCs w:val="20"/>
      </w:rPr>
      <w:t xml:space="preserve"> </w:t>
    </w:r>
    <w:r w:rsidR="00737C66">
      <w:rPr>
        <w:sz w:val="20"/>
        <w:szCs w:val="20"/>
      </w:rPr>
      <w:t>Doc.</w:t>
    </w:r>
    <w:r w:rsidR="00164682">
      <w:rPr>
        <w:sz w:val="20"/>
        <w:szCs w:val="20"/>
      </w:rPr>
      <w:t>8</w:t>
    </w:r>
    <w:r w:rsidR="00F73E71">
      <w:tab/>
    </w:r>
    <w:r w:rsidR="00F73E71">
      <w:tab/>
    </w:r>
    <w:sdt>
      <w:sdtPr>
        <w:id w:val="-1790969534"/>
        <w:docPartObj>
          <w:docPartGallery w:val="Page Numbers (Top of Page)"/>
          <w:docPartUnique/>
        </w:docPartObj>
      </w:sdtPr>
      <w:sdtEndPr>
        <w:rPr>
          <w:noProof/>
        </w:rPr>
      </w:sdtEndPr>
      <w:sdtContent>
        <w:r w:rsidR="00F73E71" w:rsidRPr="00F344DE">
          <w:rPr>
            <w:sz w:val="20"/>
            <w:szCs w:val="20"/>
          </w:rPr>
          <w:fldChar w:fldCharType="begin"/>
        </w:r>
        <w:r w:rsidR="00F73E71" w:rsidRPr="00F344DE">
          <w:rPr>
            <w:sz w:val="20"/>
            <w:szCs w:val="20"/>
          </w:rPr>
          <w:instrText xml:space="preserve"> PAGE   \* MERGEFORMAT </w:instrText>
        </w:r>
        <w:r w:rsidR="00F73E71" w:rsidRPr="00F344DE">
          <w:rPr>
            <w:sz w:val="20"/>
            <w:szCs w:val="20"/>
          </w:rPr>
          <w:fldChar w:fldCharType="separate"/>
        </w:r>
        <w:r w:rsidR="00FC17BF">
          <w:rPr>
            <w:noProof/>
            <w:sz w:val="20"/>
            <w:szCs w:val="20"/>
          </w:rPr>
          <w:t>9</w:t>
        </w:r>
        <w:r w:rsidR="00F73E71"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9FE2" w14:textId="77777777" w:rsidR="00663742" w:rsidRDefault="0066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4546C" w14:textId="77777777" w:rsidR="000C76C4" w:rsidRDefault="000C76C4" w:rsidP="00DF2386">
      <w:r>
        <w:separator/>
      </w:r>
    </w:p>
  </w:footnote>
  <w:footnote w:type="continuationSeparator" w:id="0">
    <w:p w14:paraId="5368AE95" w14:textId="77777777" w:rsidR="000C76C4" w:rsidRDefault="000C76C4" w:rsidP="00DF2386">
      <w:r>
        <w:continuationSeparator/>
      </w:r>
    </w:p>
  </w:footnote>
  <w:footnote w:type="continuationNotice" w:id="1">
    <w:p w14:paraId="48FD1F5E" w14:textId="77777777" w:rsidR="000C76C4" w:rsidRDefault="000C7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5DC4" w14:textId="77777777" w:rsidR="0023536F" w:rsidRDefault="00D21F56">
    <w:pPr>
      <w:pStyle w:val="Header"/>
    </w:pPr>
    <w:r>
      <w:rPr>
        <w:noProof/>
      </w:rPr>
      <w:pict w14:anchorId="6DBF0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1204" o:spid="_x0000_s1026" type="#_x0000_t136" style="position:absolute;left:0;text-align:left;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34A7" w14:textId="77777777" w:rsidR="00663742" w:rsidRDefault="00663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7179" w14:textId="77777777" w:rsidR="00663742" w:rsidRDefault="00663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BA0"/>
    <w:multiLevelType w:val="hybridMultilevel"/>
    <w:tmpl w:val="12743B06"/>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33655"/>
    <w:multiLevelType w:val="hybridMultilevel"/>
    <w:tmpl w:val="38569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061B5940"/>
    <w:multiLevelType w:val="hybridMultilevel"/>
    <w:tmpl w:val="5CD0F0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4F78A1"/>
    <w:multiLevelType w:val="hybridMultilevel"/>
    <w:tmpl w:val="5874EBF6"/>
    <w:lvl w:ilvl="0" w:tplc="921E2F9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5D0D22"/>
    <w:multiLevelType w:val="hybridMultilevel"/>
    <w:tmpl w:val="F38CF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221063"/>
    <w:multiLevelType w:val="hybridMultilevel"/>
    <w:tmpl w:val="143A5C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D613DDB"/>
    <w:multiLevelType w:val="hybridMultilevel"/>
    <w:tmpl w:val="1834E9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80394"/>
    <w:multiLevelType w:val="hybridMultilevel"/>
    <w:tmpl w:val="D820ED6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8"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4E6FE4"/>
    <w:multiLevelType w:val="hybridMultilevel"/>
    <w:tmpl w:val="6686A1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C4C4664"/>
    <w:multiLevelType w:val="hybridMultilevel"/>
    <w:tmpl w:val="6F6611EE"/>
    <w:lvl w:ilvl="0" w:tplc="15DA8912">
      <w:start w:val="1"/>
      <w:numFmt w:val="bullet"/>
      <w:lvlText w:val="-"/>
      <w:lvlJc w:val="left"/>
      <w:pPr>
        <w:ind w:left="720" w:hanging="360"/>
      </w:pPr>
      <w:rPr>
        <w:rFonts w:ascii="Calibri"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1"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3" w15:restartNumberingAfterBreak="0">
    <w:nsid w:val="63075551"/>
    <w:multiLevelType w:val="hybridMultilevel"/>
    <w:tmpl w:val="5C6E6138"/>
    <w:lvl w:ilvl="0" w:tplc="011A96D8">
      <w:start w:val="1"/>
      <w:numFmt w:val="lowerLetter"/>
      <w:lvlText w:val="%1."/>
      <w:lvlJc w:val="left"/>
      <w:pPr>
        <w:ind w:left="785" w:hanging="360"/>
      </w:pPr>
      <w:rPr>
        <w:rFonts w:ascii="Calibri" w:hAnsi="Calibri" w:cs="Times New Roman" w:hint="default"/>
        <w:b/>
        <w:bCs w:val="0"/>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34" w15:restartNumberingAfterBreak="0">
    <w:nsid w:val="657574E5"/>
    <w:multiLevelType w:val="hybridMultilevel"/>
    <w:tmpl w:val="83EC93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B96B9E"/>
    <w:multiLevelType w:val="hybridMultilevel"/>
    <w:tmpl w:val="FB56A2A4"/>
    <w:lvl w:ilvl="0" w:tplc="15DA8912">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1669F5"/>
    <w:multiLevelType w:val="hybridMultilevel"/>
    <w:tmpl w:val="EA823B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319503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994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605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351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750186">
    <w:abstractNumId w:val="23"/>
  </w:num>
  <w:num w:numId="6" w16cid:durableId="1070924668">
    <w:abstractNumId w:val="35"/>
  </w:num>
  <w:num w:numId="7" w16cid:durableId="1627808440">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988837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210838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7742273">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8853008">
    <w:abstractNumId w:val="35"/>
  </w:num>
  <w:num w:numId="12" w16cid:durableId="1979871361">
    <w:abstractNumId w:val="10"/>
  </w:num>
  <w:num w:numId="13" w16cid:durableId="1761221169">
    <w:abstractNumId w:val="24"/>
  </w:num>
  <w:num w:numId="14" w16cid:durableId="919561140">
    <w:abstractNumId w:val="19"/>
  </w:num>
  <w:num w:numId="15" w16cid:durableId="1288505373">
    <w:abstractNumId w:val="5"/>
  </w:num>
  <w:num w:numId="16" w16cid:durableId="749425039">
    <w:abstractNumId w:val="21"/>
  </w:num>
  <w:num w:numId="17" w16cid:durableId="1457337660">
    <w:abstractNumId w:val="28"/>
  </w:num>
  <w:num w:numId="18" w16cid:durableId="618798220">
    <w:abstractNumId w:val="40"/>
  </w:num>
  <w:num w:numId="19" w16cid:durableId="274792473">
    <w:abstractNumId w:val="37"/>
  </w:num>
  <w:num w:numId="20" w16cid:durableId="1473332604">
    <w:abstractNumId w:val="30"/>
  </w:num>
  <w:num w:numId="21" w16cid:durableId="217594022">
    <w:abstractNumId w:val="32"/>
  </w:num>
  <w:num w:numId="22" w16cid:durableId="1042096376">
    <w:abstractNumId w:val="22"/>
  </w:num>
  <w:num w:numId="23" w16cid:durableId="2125345370">
    <w:abstractNumId w:val="29"/>
  </w:num>
  <w:num w:numId="24" w16cid:durableId="1294821996">
    <w:abstractNumId w:val="26"/>
  </w:num>
  <w:num w:numId="25" w16cid:durableId="310137743">
    <w:abstractNumId w:val="36"/>
  </w:num>
  <w:num w:numId="26" w16cid:durableId="1531411326">
    <w:abstractNumId w:val="15"/>
  </w:num>
  <w:num w:numId="27" w16cid:durableId="961227915">
    <w:abstractNumId w:val="2"/>
  </w:num>
  <w:num w:numId="28" w16cid:durableId="1969511430">
    <w:abstractNumId w:val="18"/>
  </w:num>
  <w:num w:numId="29" w16cid:durableId="1952010089">
    <w:abstractNumId w:val="6"/>
  </w:num>
  <w:num w:numId="30" w16cid:durableId="802697096">
    <w:abstractNumId w:val="16"/>
  </w:num>
  <w:num w:numId="31" w16cid:durableId="1267614935">
    <w:abstractNumId w:val="1"/>
  </w:num>
  <w:num w:numId="32" w16cid:durableId="208616851">
    <w:abstractNumId w:val="12"/>
  </w:num>
  <w:num w:numId="33" w16cid:durableId="557714116">
    <w:abstractNumId w:val="25"/>
  </w:num>
  <w:num w:numId="34" w16cid:durableId="945967329">
    <w:abstractNumId w:val="39"/>
  </w:num>
  <w:num w:numId="35" w16cid:durableId="2063669713">
    <w:abstractNumId w:val="38"/>
  </w:num>
  <w:num w:numId="36" w16cid:durableId="688411254">
    <w:abstractNumId w:val="27"/>
  </w:num>
  <w:num w:numId="37" w16cid:durableId="1751344901">
    <w:abstractNumId w:val="9"/>
  </w:num>
  <w:num w:numId="38" w16cid:durableId="1796949681">
    <w:abstractNumId w:val="8"/>
  </w:num>
  <w:num w:numId="39" w16cid:durableId="1926568408">
    <w:abstractNumId w:val="0"/>
  </w:num>
  <w:num w:numId="40" w16cid:durableId="1544949992">
    <w:abstractNumId w:val="7"/>
  </w:num>
  <w:num w:numId="41" w16cid:durableId="18358241">
    <w:abstractNumId w:val="34"/>
  </w:num>
  <w:num w:numId="42" w16cid:durableId="1910965125">
    <w:abstractNumId w:val="8"/>
  </w:num>
  <w:num w:numId="43" w16cid:durableId="1884950080">
    <w:abstractNumId w:val="4"/>
  </w:num>
  <w:num w:numId="44" w16cid:durableId="13459401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oNotTrackFormattin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86"/>
    <w:rsid w:val="0000603F"/>
    <w:rsid w:val="00014168"/>
    <w:rsid w:val="000142B6"/>
    <w:rsid w:val="00017A16"/>
    <w:rsid w:val="00020F2E"/>
    <w:rsid w:val="00020F65"/>
    <w:rsid w:val="000217EF"/>
    <w:rsid w:val="00023125"/>
    <w:rsid w:val="00026E09"/>
    <w:rsid w:val="0003169F"/>
    <w:rsid w:val="00037CE0"/>
    <w:rsid w:val="00042981"/>
    <w:rsid w:val="0004527D"/>
    <w:rsid w:val="00050158"/>
    <w:rsid w:val="00053929"/>
    <w:rsid w:val="00064DAD"/>
    <w:rsid w:val="000710E1"/>
    <w:rsid w:val="0007175F"/>
    <w:rsid w:val="00074DE8"/>
    <w:rsid w:val="000904F6"/>
    <w:rsid w:val="00093844"/>
    <w:rsid w:val="00096787"/>
    <w:rsid w:val="000A3E3E"/>
    <w:rsid w:val="000B5B72"/>
    <w:rsid w:val="000C2489"/>
    <w:rsid w:val="000C2BE5"/>
    <w:rsid w:val="000C3C2B"/>
    <w:rsid w:val="000C76C4"/>
    <w:rsid w:val="000D5C76"/>
    <w:rsid w:val="000E2FA0"/>
    <w:rsid w:val="000E373A"/>
    <w:rsid w:val="000E47E9"/>
    <w:rsid w:val="0010271F"/>
    <w:rsid w:val="00103213"/>
    <w:rsid w:val="00107C49"/>
    <w:rsid w:val="00110A5F"/>
    <w:rsid w:val="00116E09"/>
    <w:rsid w:val="0012096C"/>
    <w:rsid w:val="001251CA"/>
    <w:rsid w:val="00127828"/>
    <w:rsid w:val="00133A51"/>
    <w:rsid w:val="00146012"/>
    <w:rsid w:val="0014749C"/>
    <w:rsid w:val="00161BDA"/>
    <w:rsid w:val="00162642"/>
    <w:rsid w:val="00164682"/>
    <w:rsid w:val="00171618"/>
    <w:rsid w:val="001735CA"/>
    <w:rsid w:val="001819B1"/>
    <w:rsid w:val="001821C6"/>
    <w:rsid w:val="0019225B"/>
    <w:rsid w:val="001A05BE"/>
    <w:rsid w:val="001A2D10"/>
    <w:rsid w:val="001A44B6"/>
    <w:rsid w:val="001B64DE"/>
    <w:rsid w:val="001C5E41"/>
    <w:rsid w:val="001C6396"/>
    <w:rsid w:val="001C77BC"/>
    <w:rsid w:val="001C7BC9"/>
    <w:rsid w:val="001D0052"/>
    <w:rsid w:val="001D0B46"/>
    <w:rsid w:val="001D48BB"/>
    <w:rsid w:val="001D4BF8"/>
    <w:rsid w:val="001D5ACC"/>
    <w:rsid w:val="001D6486"/>
    <w:rsid w:val="001E00E3"/>
    <w:rsid w:val="001E2E28"/>
    <w:rsid w:val="001E3B50"/>
    <w:rsid w:val="001F2349"/>
    <w:rsid w:val="002005D2"/>
    <w:rsid w:val="0020298B"/>
    <w:rsid w:val="002050C8"/>
    <w:rsid w:val="00205D7F"/>
    <w:rsid w:val="00206111"/>
    <w:rsid w:val="002137E0"/>
    <w:rsid w:val="00216875"/>
    <w:rsid w:val="00225738"/>
    <w:rsid w:val="002279E3"/>
    <w:rsid w:val="002323BD"/>
    <w:rsid w:val="0023536F"/>
    <w:rsid w:val="002530B9"/>
    <w:rsid w:val="00255EB3"/>
    <w:rsid w:val="0025780B"/>
    <w:rsid w:val="00266206"/>
    <w:rsid w:val="00270483"/>
    <w:rsid w:val="002741AC"/>
    <w:rsid w:val="00275F13"/>
    <w:rsid w:val="00276205"/>
    <w:rsid w:val="00277716"/>
    <w:rsid w:val="00277FE2"/>
    <w:rsid w:val="002819C0"/>
    <w:rsid w:val="00282445"/>
    <w:rsid w:val="0028594D"/>
    <w:rsid w:val="00295556"/>
    <w:rsid w:val="00295BB5"/>
    <w:rsid w:val="002A3C25"/>
    <w:rsid w:val="002A5A4D"/>
    <w:rsid w:val="002B4262"/>
    <w:rsid w:val="002B63A2"/>
    <w:rsid w:val="002B64DD"/>
    <w:rsid w:val="002B6B21"/>
    <w:rsid w:val="002C274B"/>
    <w:rsid w:val="002C31C7"/>
    <w:rsid w:val="002C5633"/>
    <w:rsid w:val="002D5A4D"/>
    <w:rsid w:val="002E0026"/>
    <w:rsid w:val="002E22AF"/>
    <w:rsid w:val="002E3BF8"/>
    <w:rsid w:val="002F18BD"/>
    <w:rsid w:val="002F4E3F"/>
    <w:rsid w:val="002F6155"/>
    <w:rsid w:val="002F739F"/>
    <w:rsid w:val="00302586"/>
    <w:rsid w:val="00303113"/>
    <w:rsid w:val="00304865"/>
    <w:rsid w:val="00307E02"/>
    <w:rsid w:val="00313561"/>
    <w:rsid w:val="00317263"/>
    <w:rsid w:val="003209B0"/>
    <w:rsid w:val="00324398"/>
    <w:rsid w:val="00343AF3"/>
    <w:rsid w:val="00345BA2"/>
    <w:rsid w:val="0036257A"/>
    <w:rsid w:val="00363C99"/>
    <w:rsid w:val="0036636E"/>
    <w:rsid w:val="003678B2"/>
    <w:rsid w:val="00370C3C"/>
    <w:rsid w:val="00372E1B"/>
    <w:rsid w:val="003737D2"/>
    <w:rsid w:val="003742F2"/>
    <w:rsid w:val="00376C19"/>
    <w:rsid w:val="003813B9"/>
    <w:rsid w:val="00384FC3"/>
    <w:rsid w:val="00385CE9"/>
    <w:rsid w:val="003961B3"/>
    <w:rsid w:val="003A3804"/>
    <w:rsid w:val="003A525D"/>
    <w:rsid w:val="003A52BE"/>
    <w:rsid w:val="003A5866"/>
    <w:rsid w:val="003A6E9F"/>
    <w:rsid w:val="003B4355"/>
    <w:rsid w:val="003B7A9B"/>
    <w:rsid w:val="003C2D9F"/>
    <w:rsid w:val="003C7106"/>
    <w:rsid w:val="003D3ECE"/>
    <w:rsid w:val="003D4CD6"/>
    <w:rsid w:val="003E2E04"/>
    <w:rsid w:val="003E656F"/>
    <w:rsid w:val="0041185A"/>
    <w:rsid w:val="00415131"/>
    <w:rsid w:val="00420882"/>
    <w:rsid w:val="004228C7"/>
    <w:rsid w:val="004269AE"/>
    <w:rsid w:val="0042798B"/>
    <w:rsid w:val="0043294E"/>
    <w:rsid w:val="00434475"/>
    <w:rsid w:val="00434756"/>
    <w:rsid w:val="00434913"/>
    <w:rsid w:val="0044217A"/>
    <w:rsid w:val="004433B6"/>
    <w:rsid w:val="00446734"/>
    <w:rsid w:val="004474F8"/>
    <w:rsid w:val="0045016B"/>
    <w:rsid w:val="004541BC"/>
    <w:rsid w:val="0046072E"/>
    <w:rsid w:val="004659EB"/>
    <w:rsid w:val="00472990"/>
    <w:rsid w:val="00477550"/>
    <w:rsid w:val="0047785E"/>
    <w:rsid w:val="00483903"/>
    <w:rsid w:val="004844A8"/>
    <w:rsid w:val="00491089"/>
    <w:rsid w:val="00492FBC"/>
    <w:rsid w:val="00493991"/>
    <w:rsid w:val="00496803"/>
    <w:rsid w:val="004B6688"/>
    <w:rsid w:val="004B6C84"/>
    <w:rsid w:val="004B71D7"/>
    <w:rsid w:val="004C3718"/>
    <w:rsid w:val="004D1CCA"/>
    <w:rsid w:val="004D3113"/>
    <w:rsid w:val="004D5E80"/>
    <w:rsid w:val="004D633A"/>
    <w:rsid w:val="004E172A"/>
    <w:rsid w:val="004F376E"/>
    <w:rsid w:val="00506DC3"/>
    <w:rsid w:val="005209BF"/>
    <w:rsid w:val="005244A4"/>
    <w:rsid w:val="00527783"/>
    <w:rsid w:val="0053230D"/>
    <w:rsid w:val="00533848"/>
    <w:rsid w:val="005369A8"/>
    <w:rsid w:val="00551ABC"/>
    <w:rsid w:val="005814B5"/>
    <w:rsid w:val="00581ABF"/>
    <w:rsid w:val="005824BD"/>
    <w:rsid w:val="005828B0"/>
    <w:rsid w:val="00592F6E"/>
    <w:rsid w:val="005932A7"/>
    <w:rsid w:val="0059787B"/>
    <w:rsid w:val="005A5E7A"/>
    <w:rsid w:val="005A746A"/>
    <w:rsid w:val="005A7C2F"/>
    <w:rsid w:val="005C67DF"/>
    <w:rsid w:val="005D18C3"/>
    <w:rsid w:val="005D3E9D"/>
    <w:rsid w:val="005D559B"/>
    <w:rsid w:val="005D6030"/>
    <w:rsid w:val="005D725E"/>
    <w:rsid w:val="005D7A68"/>
    <w:rsid w:val="005D7AD1"/>
    <w:rsid w:val="005E4F2E"/>
    <w:rsid w:val="005E69D3"/>
    <w:rsid w:val="005E7C7A"/>
    <w:rsid w:val="005F0C60"/>
    <w:rsid w:val="005F4543"/>
    <w:rsid w:val="006020B8"/>
    <w:rsid w:val="00610B09"/>
    <w:rsid w:val="00615F8C"/>
    <w:rsid w:val="006164EF"/>
    <w:rsid w:val="00617F53"/>
    <w:rsid w:val="00621F90"/>
    <w:rsid w:val="00624A4C"/>
    <w:rsid w:val="006256D3"/>
    <w:rsid w:val="00627BB7"/>
    <w:rsid w:val="00630676"/>
    <w:rsid w:val="00635B36"/>
    <w:rsid w:val="00640E50"/>
    <w:rsid w:val="00644A13"/>
    <w:rsid w:val="00645342"/>
    <w:rsid w:val="00646299"/>
    <w:rsid w:val="0065136E"/>
    <w:rsid w:val="00651AE4"/>
    <w:rsid w:val="00651D18"/>
    <w:rsid w:val="006562C1"/>
    <w:rsid w:val="006624BF"/>
    <w:rsid w:val="00663742"/>
    <w:rsid w:val="00664F26"/>
    <w:rsid w:val="00667549"/>
    <w:rsid w:val="00670C49"/>
    <w:rsid w:val="00670D71"/>
    <w:rsid w:val="00696BC2"/>
    <w:rsid w:val="006A1B0C"/>
    <w:rsid w:val="006A2401"/>
    <w:rsid w:val="006C2212"/>
    <w:rsid w:val="006D1093"/>
    <w:rsid w:val="006D7318"/>
    <w:rsid w:val="006E2705"/>
    <w:rsid w:val="006E48A4"/>
    <w:rsid w:val="006E5D74"/>
    <w:rsid w:val="006E610A"/>
    <w:rsid w:val="006E7528"/>
    <w:rsid w:val="006E7DCE"/>
    <w:rsid w:val="006F0FD6"/>
    <w:rsid w:val="006F44D4"/>
    <w:rsid w:val="006F48A3"/>
    <w:rsid w:val="007050B9"/>
    <w:rsid w:val="007050FF"/>
    <w:rsid w:val="00725BE7"/>
    <w:rsid w:val="007324BA"/>
    <w:rsid w:val="00737C66"/>
    <w:rsid w:val="00742C91"/>
    <w:rsid w:val="0074363F"/>
    <w:rsid w:val="00746E20"/>
    <w:rsid w:val="00750B08"/>
    <w:rsid w:val="00752764"/>
    <w:rsid w:val="00752BE7"/>
    <w:rsid w:val="00754DB3"/>
    <w:rsid w:val="00764452"/>
    <w:rsid w:val="00765652"/>
    <w:rsid w:val="00766962"/>
    <w:rsid w:val="00766BA8"/>
    <w:rsid w:val="00767BA9"/>
    <w:rsid w:val="00770FFD"/>
    <w:rsid w:val="00771677"/>
    <w:rsid w:val="00772753"/>
    <w:rsid w:val="00772DFC"/>
    <w:rsid w:val="00775287"/>
    <w:rsid w:val="00776FFB"/>
    <w:rsid w:val="007774F2"/>
    <w:rsid w:val="00780889"/>
    <w:rsid w:val="007810BB"/>
    <w:rsid w:val="007844C4"/>
    <w:rsid w:val="00794652"/>
    <w:rsid w:val="00794E45"/>
    <w:rsid w:val="0079693F"/>
    <w:rsid w:val="007A1C92"/>
    <w:rsid w:val="007A5107"/>
    <w:rsid w:val="007A72F5"/>
    <w:rsid w:val="007C3908"/>
    <w:rsid w:val="007C4093"/>
    <w:rsid w:val="007D2BB6"/>
    <w:rsid w:val="007D33F4"/>
    <w:rsid w:val="007E136A"/>
    <w:rsid w:val="007E5E8A"/>
    <w:rsid w:val="007E6EC4"/>
    <w:rsid w:val="007F3ABE"/>
    <w:rsid w:val="007F5813"/>
    <w:rsid w:val="00804644"/>
    <w:rsid w:val="00807057"/>
    <w:rsid w:val="00810A6E"/>
    <w:rsid w:val="00821433"/>
    <w:rsid w:val="00821A70"/>
    <w:rsid w:val="00821A7A"/>
    <w:rsid w:val="00822D08"/>
    <w:rsid w:val="00830792"/>
    <w:rsid w:val="008312CB"/>
    <w:rsid w:val="00831E7F"/>
    <w:rsid w:val="008328E9"/>
    <w:rsid w:val="00835BCB"/>
    <w:rsid w:val="00835CDC"/>
    <w:rsid w:val="0083768D"/>
    <w:rsid w:val="00850B09"/>
    <w:rsid w:val="008577C0"/>
    <w:rsid w:val="00863B9D"/>
    <w:rsid w:val="00863BE6"/>
    <w:rsid w:val="00873205"/>
    <w:rsid w:val="008733A1"/>
    <w:rsid w:val="008752D1"/>
    <w:rsid w:val="008775BB"/>
    <w:rsid w:val="008775BC"/>
    <w:rsid w:val="00877EA0"/>
    <w:rsid w:val="00882F1B"/>
    <w:rsid w:val="00884E1E"/>
    <w:rsid w:val="008972CB"/>
    <w:rsid w:val="008A6505"/>
    <w:rsid w:val="008A70CE"/>
    <w:rsid w:val="008C0651"/>
    <w:rsid w:val="008C25E4"/>
    <w:rsid w:val="008C2DAE"/>
    <w:rsid w:val="008D0A75"/>
    <w:rsid w:val="008D12FA"/>
    <w:rsid w:val="008E09FA"/>
    <w:rsid w:val="008E1456"/>
    <w:rsid w:val="008E2347"/>
    <w:rsid w:val="008E28FF"/>
    <w:rsid w:val="008E4B43"/>
    <w:rsid w:val="008E4F79"/>
    <w:rsid w:val="008F377A"/>
    <w:rsid w:val="008F7C7B"/>
    <w:rsid w:val="008F7DB8"/>
    <w:rsid w:val="009013CA"/>
    <w:rsid w:val="009059A9"/>
    <w:rsid w:val="00910FBD"/>
    <w:rsid w:val="009155E4"/>
    <w:rsid w:val="0092149A"/>
    <w:rsid w:val="009215F7"/>
    <w:rsid w:val="0092193E"/>
    <w:rsid w:val="0092515E"/>
    <w:rsid w:val="009305DB"/>
    <w:rsid w:val="009311A1"/>
    <w:rsid w:val="009418A1"/>
    <w:rsid w:val="00941AA9"/>
    <w:rsid w:val="00942FBD"/>
    <w:rsid w:val="00944B04"/>
    <w:rsid w:val="0094770B"/>
    <w:rsid w:val="009501B1"/>
    <w:rsid w:val="00960D15"/>
    <w:rsid w:val="00964154"/>
    <w:rsid w:val="00967BF0"/>
    <w:rsid w:val="009744DA"/>
    <w:rsid w:val="00976BFC"/>
    <w:rsid w:val="00977079"/>
    <w:rsid w:val="009835BC"/>
    <w:rsid w:val="00990126"/>
    <w:rsid w:val="00993D54"/>
    <w:rsid w:val="009B2267"/>
    <w:rsid w:val="009B2288"/>
    <w:rsid w:val="009B7B70"/>
    <w:rsid w:val="009C0ABF"/>
    <w:rsid w:val="009C19BE"/>
    <w:rsid w:val="009C2662"/>
    <w:rsid w:val="009C5199"/>
    <w:rsid w:val="009C56A3"/>
    <w:rsid w:val="009D3DAF"/>
    <w:rsid w:val="009E0AE8"/>
    <w:rsid w:val="009E5374"/>
    <w:rsid w:val="009E7368"/>
    <w:rsid w:val="009F345D"/>
    <w:rsid w:val="009F6A76"/>
    <w:rsid w:val="00A00C84"/>
    <w:rsid w:val="00A01EA6"/>
    <w:rsid w:val="00A02529"/>
    <w:rsid w:val="00A13218"/>
    <w:rsid w:val="00A20D3D"/>
    <w:rsid w:val="00A227A3"/>
    <w:rsid w:val="00A240F0"/>
    <w:rsid w:val="00A25E54"/>
    <w:rsid w:val="00A35538"/>
    <w:rsid w:val="00A36200"/>
    <w:rsid w:val="00A47F9E"/>
    <w:rsid w:val="00A5033C"/>
    <w:rsid w:val="00A534EB"/>
    <w:rsid w:val="00A53A55"/>
    <w:rsid w:val="00A54D5B"/>
    <w:rsid w:val="00A60B73"/>
    <w:rsid w:val="00A62CCF"/>
    <w:rsid w:val="00A706F0"/>
    <w:rsid w:val="00A80080"/>
    <w:rsid w:val="00A81A51"/>
    <w:rsid w:val="00A9552A"/>
    <w:rsid w:val="00A97100"/>
    <w:rsid w:val="00AB4951"/>
    <w:rsid w:val="00AB6E08"/>
    <w:rsid w:val="00AC0AF1"/>
    <w:rsid w:val="00AC61DA"/>
    <w:rsid w:val="00AC720D"/>
    <w:rsid w:val="00AD00AA"/>
    <w:rsid w:val="00AE52B4"/>
    <w:rsid w:val="00AE63F1"/>
    <w:rsid w:val="00AF4241"/>
    <w:rsid w:val="00AF424E"/>
    <w:rsid w:val="00AF4E5A"/>
    <w:rsid w:val="00B020FA"/>
    <w:rsid w:val="00B0551C"/>
    <w:rsid w:val="00B13EE7"/>
    <w:rsid w:val="00B23512"/>
    <w:rsid w:val="00B27FFC"/>
    <w:rsid w:val="00B30B1B"/>
    <w:rsid w:val="00B315A0"/>
    <w:rsid w:val="00B34A18"/>
    <w:rsid w:val="00B34C1B"/>
    <w:rsid w:val="00B4014D"/>
    <w:rsid w:val="00B42194"/>
    <w:rsid w:val="00B468CE"/>
    <w:rsid w:val="00B52B7F"/>
    <w:rsid w:val="00B5599F"/>
    <w:rsid w:val="00B579CB"/>
    <w:rsid w:val="00B626CD"/>
    <w:rsid w:val="00B70083"/>
    <w:rsid w:val="00B76C9A"/>
    <w:rsid w:val="00B827B6"/>
    <w:rsid w:val="00B83C2C"/>
    <w:rsid w:val="00B83EF9"/>
    <w:rsid w:val="00B928A3"/>
    <w:rsid w:val="00B94B55"/>
    <w:rsid w:val="00B95C2F"/>
    <w:rsid w:val="00B96479"/>
    <w:rsid w:val="00BA3BD3"/>
    <w:rsid w:val="00BA58DF"/>
    <w:rsid w:val="00BB0557"/>
    <w:rsid w:val="00BB23DD"/>
    <w:rsid w:val="00BB28F6"/>
    <w:rsid w:val="00BC0C3C"/>
    <w:rsid w:val="00BC2609"/>
    <w:rsid w:val="00BC7C4F"/>
    <w:rsid w:val="00BF0361"/>
    <w:rsid w:val="00BF4697"/>
    <w:rsid w:val="00BF5DA6"/>
    <w:rsid w:val="00C042C0"/>
    <w:rsid w:val="00C0528F"/>
    <w:rsid w:val="00C0708D"/>
    <w:rsid w:val="00C1090F"/>
    <w:rsid w:val="00C13145"/>
    <w:rsid w:val="00C24992"/>
    <w:rsid w:val="00C26EA0"/>
    <w:rsid w:val="00C31E16"/>
    <w:rsid w:val="00C32383"/>
    <w:rsid w:val="00C46CCB"/>
    <w:rsid w:val="00C52F14"/>
    <w:rsid w:val="00C6033A"/>
    <w:rsid w:val="00C63612"/>
    <w:rsid w:val="00C6482D"/>
    <w:rsid w:val="00C80C32"/>
    <w:rsid w:val="00C84B2B"/>
    <w:rsid w:val="00C86882"/>
    <w:rsid w:val="00C90BC1"/>
    <w:rsid w:val="00C965CD"/>
    <w:rsid w:val="00CA5004"/>
    <w:rsid w:val="00CA6757"/>
    <w:rsid w:val="00CB4490"/>
    <w:rsid w:val="00CB74C2"/>
    <w:rsid w:val="00CC6417"/>
    <w:rsid w:val="00CC64BC"/>
    <w:rsid w:val="00CC7176"/>
    <w:rsid w:val="00CD05B5"/>
    <w:rsid w:val="00CE5883"/>
    <w:rsid w:val="00CE750F"/>
    <w:rsid w:val="00CF23EE"/>
    <w:rsid w:val="00CF3413"/>
    <w:rsid w:val="00D0209C"/>
    <w:rsid w:val="00D10FF1"/>
    <w:rsid w:val="00D15243"/>
    <w:rsid w:val="00D160CB"/>
    <w:rsid w:val="00D21F56"/>
    <w:rsid w:val="00D245A1"/>
    <w:rsid w:val="00D27A9F"/>
    <w:rsid w:val="00D35847"/>
    <w:rsid w:val="00D375D7"/>
    <w:rsid w:val="00D415E2"/>
    <w:rsid w:val="00D42055"/>
    <w:rsid w:val="00D424FA"/>
    <w:rsid w:val="00D43113"/>
    <w:rsid w:val="00D446B9"/>
    <w:rsid w:val="00D4692D"/>
    <w:rsid w:val="00D470CF"/>
    <w:rsid w:val="00D47110"/>
    <w:rsid w:val="00D647C3"/>
    <w:rsid w:val="00D64F7B"/>
    <w:rsid w:val="00D712CF"/>
    <w:rsid w:val="00D71B60"/>
    <w:rsid w:val="00D75A48"/>
    <w:rsid w:val="00D851EF"/>
    <w:rsid w:val="00D9633A"/>
    <w:rsid w:val="00DA0EA2"/>
    <w:rsid w:val="00DA2DD6"/>
    <w:rsid w:val="00DA3C64"/>
    <w:rsid w:val="00DA565B"/>
    <w:rsid w:val="00DB296E"/>
    <w:rsid w:val="00DB54AC"/>
    <w:rsid w:val="00DB7203"/>
    <w:rsid w:val="00DC7DC6"/>
    <w:rsid w:val="00DE279A"/>
    <w:rsid w:val="00DE4EC9"/>
    <w:rsid w:val="00DE5579"/>
    <w:rsid w:val="00DF2386"/>
    <w:rsid w:val="00DF5550"/>
    <w:rsid w:val="00DF6B79"/>
    <w:rsid w:val="00DF7FE7"/>
    <w:rsid w:val="00E117C4"/>
    <w:rsid w:val="00E21E46"/>
    <w:rsid w:val="00E2439E"/>
    <w:rsid w:val="00E32E6C"/>
    <w:rsid w:val="00E437CB"/>
    <w:rsid w:val="00E46367"/>
    <w:rsid w:val="00E5205F"/>
    <w:rsid w:val="00E558AF"/>
    <w:rsid w:val="00E63F0B"/>
    <w:rsid w:val="00E65069"/>
    <w:rsid w:val="00E87BFD"/>
    <w:rsid w:val="00E93AD1"/>
    <w:rsid w:val="00EA02DA"/>
    <w:rsid w:val="00EA2797"/>
    <w:rsid w:val="00EA3A7F"/>
    <w:rsid w:val="00EA3DBC"/>
    <w:rsid w:val="00EB0535"/>
    <w:rsid w:val="00EC5572"/>
    <w:rsid w:val="00EC673C"/>
    <w:rsid w:val="00ED2263"/>
    <w:rsid w:val="00EE0E86"/>
    <w:rsid w:val="00EF3827"/>
    <w:rsid w:val="00F078F1"/>
    <w:rsid w:val="00F248C0"/>
    <w:rsid w:val="00F27962"/>
    <w:rsid w:val="00F32D03"/>
    <w:rsid w:val="00F344DE"/>
    <w:rsid w:val="00F37A4C"/>
    <w:rsid w:val="00F42C01"/>
    <w:rsid w:val="00F44ADA"/>
    <w:rsid w:val="00F45EEB"/>
    <w:rsid w:val="00F6004D"/>
    <w:rsid w:val="00F711D3"/>
    <w:rsid w:val="00F73E71"/>
    <w:rsid w:val="00F75393"/>
    <w:rsid w:val="00F756EF"/>
    <w:rsid w:val="00F82FB9"/>
    <w:rsid w:val="00F84CD0"/>
    <w:rsid w:val="00FA0C1F"/>
    <w:rsid w:val="00FA50B5"/>
    <w:rsid w:val="00FA667F"/>
    <w:rsid w:val="00FA7A28"/>
    <w:rsid w:val="00FB14FC"/>
    <w:rsid w:val="00FB31F4"/>
    <w:rsid w:val="00FB3314"/>
    <w:rsid w:val="00FC17BF"/>
    <w:rsid w:val="00FD76BF"/>
    <w:rsid w:val="00FD7EC9"/>
    <w:rsid w:val="00FF159E"/>
    <w:rsid w:val="00FF526B"/>
    <w:rsid w:val="00FF640E"/>
    <w:rsid w:val="00FF73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E887E"/>
  <w15:docId w15:val="{C68F5B44-3611-457D-8B75-B8174013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Olstomnmnande1">
    <w:name w:val="Olöst omnämnande1"/>
    <w:basedOn w:val="DefaultParagraphFont"/>
    <w:uiPriority w:val="99"/>
    <w:semiHidden/>
    <w:unhideWhenUsed/>
    <w:rsid w:val="00533848"/>
    <w:rPr>
      <w:color w:val="605E5C"/>
      <w:shd w:val="clear" w:color="auto" w:fill="E1DFDD"/>
    </w:rPr>
  </w:style>
  <w:style w:type="character" w:styleId="UnresolvedMention">
    <w:name w:val="Unresolved Mention"/>
    <w:basedOn w:val="DefaultParagraphFont"/>
    <w:uiPriority w:val="99"/>
    <w:semiHidden/>
    <w:unhideWhenUsed/>
    <w:rsid w:val="00C4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0035">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01037182">
      <w:bodyDiv w:val="1"/>
      <w:marLeft w:val="0"/>
      <w:marRight w:val="0"/>
      <w:marTop w:val="0"/>
      <w:marBottom w:val="0"/>
      <w:divBdr>
        <w:top w:val="none" w:sz="0" w:space="0" w:color="auto"/>
        <w:left w:val="none" w:sz="0" w:space="0" w:color="auto"/>
        <w:bottom w:val="none" w:sz="0" w:space="0" w:color="auto"/>
        <w:right w:val="none" w:sz="0" w:space="0" w:color="auto"/>
      </w:divBdr>
    </w:div>
    <w:div w:id="671757561">
      <w:bodyDiv w:val="1"/>
      <w:marLeft w:val="0"/>
      <w:marRight w:val="0"/>
      <w:marTop w:val="0"/>
      <w:marBottom w:val="0"/>
      <w:divBdr>
        <w:top w:val="none" w:sz="0" w:space="0" w:color="auto"/>
        <w:left w:val="none" w:sz="0" w:space="0" w:color="auto"/>
        <w:bottom w:val="none" w:sz="0" w:space="0" w:color="auto"/>
        <w:right w:val="none" w:sz="0" w:space="0" w:color="auto"/>
      </w:divBdr>
    </w:div>
    <w:div w:id="812453335">
      <w:bodyDiv w:val="1"/>
      <w:marLeft w:val="0"/>
      <w:marRight w:val="0"/>
      <w:marTop w:val="0"/>
      <w:marBottom w:val="0"/>
      <w:divBdr>
        <w:top w:val="none" w:sz="0" w:space="0" w:color="auto"/>
        <w:left w:val="none" w:sz="0" w:space="0" w:color="auto"/>
        <w:bottom w:val="none" w:sz="0" w:space="0" w:color="auto"/>
        <w:right w:val="none" w:sz="0" w:space="0" w:color="auto"/>
      </w:divBdr>
    </w:div>
    <w:div w:id="844058603">
      <w:bodyDiv w:val="1"/>
      <w:marLeft w:val="0"/>
      <w:marRight w:val="0"/>
      <w:marTop w:val="0"/>
      <w:marBottom w:val="0"/>
      <w:divBdr>
        <w:top w:val="none" w:sz="0" w:space="0" w:color="auto"/>
        <w:left w:val="none" w:sz="0" w:space="0" w:color="auto"/>
        <w:bottom w:val="none" w:sz="0" w:space="0" w:color="auto"/>
        <w:right w:val="none" w:sz="0" w:space="0" w:color="auto"/>
      </w:divBdr>
    </w:div>
    <w:div w:id="904220007">
      <w:bodyDiv w:val="1"/>
      <w:marLeft w:val="0"/>
      <w:marRight w:val="0"/>
      <w:marTop w:val="0"/>
      <w:marBottom w:val="0"/>
      <w:divBdr>
        <w:top w:val="none" w:sz="0" w:space="0" w:color="auto"/>
        <w:left w:val="none" w:sz="0" w:space="0" w:color="auto"/>
        <w:bottom w:val="none" w:sz="0" w:space="0" w:color="auto"/>
        <w:right w:val="none" w:sz="0" w:space="0" w:color="auto"/>
      </w:divBdr>
    </w:div>
    <w:div w:id="907568133">
      <w:bodyDiv w:val="1"/>
      <w:marLeft w:val="0"/>
      <w:marRight w:val="0"/>
      <w:marTop w:val="0"/>
      <w:marBottom w:val="0"/>
      <w:divBdr>
        <w:top w:val="none" w:sz="0" w:space="0" w:color="auto"/>
        <w:left w:val="none" w:sz="0" w:space="0" w:color="auto"/>
        <w:bottom w:val="none" w:sz="0" w:space="0" w:color="auto"/>
        <w:right w:val="none" w:sz="0" w:space="0" w:color="auto"/>
      </w:divBdr>
    </w:div>
    <w:div w:id="928663819">
      <w:bodyDiv w:val="1"/>
      <w:marLeft w:val="0"/>
      <w:marRight w:val="0"/>
      <w:marTop w:val="0"/>
      <w:marBottom w:val="0"/>
      <w:divBdr>
        <w:top w:val="none" w:sz="0" w:space="0" w:color="auto"/>
        <w:left w:val="none" w:sz="0" w:space="0" w:color="auto"/>
        <w:bottom w:val="none" w:sz="0" w:space="0" w:color="auto"/>
        <w:right w:val="none" w:sz="0" w:space="0" w:color="auto"/>
      </w:divBdr>
    </w:div>
    <w:div w:id="959842217">
      <w:bodyDiv w:val="1"/>
      <w:marLeft w:val="0"/>
      <w:marRight w:val="0"/>
      <w:marTop w:val="0"/>
      <w:marBottom w:val="0"/>
      <w:divBdr>
        <w:top w:val="none" w:sz="0" w:space="0" w:color="auto"/>
        <w:left w:val="none" w:sz="0" w:space="0" w:color="auto"/>
        <w:bottom w:val="none" w:sz="0" w:space="0" w:color="auto"/>
        <w:right w:val="none" w:sz="0" w:space="0" w:color="auto"/>
      </w:divBdr>
    </w:div>
    <w:div w:id="964509823">
      <w:bodyDiv w:val="1"/>
      <w:marLeft w:val="0"/>
      <w:marRight w:val="0"/>
      <w:marTop w:val="0"/>
      <w:marBottom w:val="0"/>
      <w:divBdr>
        <w:top w:val="none" w:sz="0" w:space="0" w:color="auto"/>
        <w:left w:val="none" w:sz="0" w:space="0" w:color="auto"/>
        <w:bottom w:val="none" w:sz="0" w:space="0" w:color="auto"/>
        <w:right w:val="none" w:sz="0" w:space="0" w:color="auto"/>
      </w:divBdr>
    </w:div>
    <w:div w:id="1003434523">
      <w:bodyDiv w:val="1"/>
      <w:marLeft w:val="0"/>
      <w:marRight w:val="0"/>
      <w:marTop w:val="0"/>
      <w:marBottom w:val="0"/>
      <w:divBdr>
        <w:top w:val="none" w:sz="0" w:space="0" w:color="auto"/>
        <w:left w:val="none" w:sz="0" w:space="0" w:color="auto"/>
        <w:bottom w:val="none" w:sz="0" w:space="0" w:color="auto"/>
        <w:right w:val="none" w:sz="0" w:space="0" w:color="auto"/>
      </w:divBdr>
    </w:div>
    <w:div w:id="1004283802">
      <w:bodyDiv w:val="1"/>
      <w:marLeft w:val="0"/>
      <w:marRight w:val="0"/>
      <w:marTop w:val="0"/>
      <w:marBottom w:val="0"/>
      <w:divBdr>
        <w:top w:val="none" w:sz="0" w:space="0" w:color="auto"/>
        <w:left w:val="none" w:sz="0" w:space="0" w:color="auto"/>
        <w:bottom w:val="none" w:sz="0" w:space="0" w:color="auto"/>
        <w:right w:val="none" w:sz="0" w:space="0" w:color="auto"/>
      </w:divBdr>
    </w:div>
    <w:div w:id="1013073277">
      <w:bodyDiv w:val="1"/>
      <w:marLeft w:val="0"/>
      <w:marRight w:val="0"/>
      <w:marTop w:val="0"/>
      <w:marBottom w:val="0"/>
      <w:divBdr>
        <w:top w:val="none" w:sz="0" w:space="0" w:color="auto"/>
        <w:left w:val="none" w:sz="0" w:space="0" w:color="auto"/>
        <w:bottom w:val="none" w:sz="0" w:space="0" w:color="auto"/>
        <w:right w:val="none" w:sz="0" w:space="0" w:color="auto"/>
      </w:divBdr>
    </w:div>
    <w:div w:id="1357459659">
      <w:bodyDiv w:val="1"/>
      <w:marLeft w:val="0"/>
      <w:marRight w:val="0"/>
      <w:marTop w:val="0"/>
      <w:marBottom w:val="0"/>
      <w:divBdr>
        <w:top w:val="none" w:sz="0" w:space="0" w:color="auto"/>
        <w:left w:val="none" w:sz="0" w:space="0" w:color="auto"/>
        <w:bottom w:val="none" w:sz="0" w:space="0" w:color="auto"/>
        <w:right w:val="none" w:sz="0" w:space="0" w:color="auto"/>
      </w:divBdr>
    </w:div>
    <w:div w:id="1513841755">
      <w:bodyDiv w:val="1"/>
      <w:marLeft w:val="0"/>
      <w:marRight w:val="0"/>
      <w:marTop w:val="0"/>
      <w:marBottom w:val="0"/>
      <w:divBdr>
        <w:top w:val="none" w:sz="0" w:space="0" w:color="auto"/>
        <w:left w:val="none" w:sz="0" w:space="0" w:color="auto"/>
        <w:bottom w:val="none" w:sz="0" w:space="0" w:color="auto"/>
        <w:right w:val="none" w:sz="0" w:space="0" w:color="auto"/>
      </w:divBdr>
    </w:div>
    <w:div w:id="1515730898">
      <w:bodyDiv w:val="1"/>
      <w:marLeft w:val="0"/>
      <w:marRight w:val="0"/>
      <w:marTop w:val="0"/>
      <w:marBottom w:val="0"/>
      <w:divBdr>
        <w:top w:val="none" w:sz="0" w:space="0" w:color="auto"/>
        <w:left w:val="none" w:sz="0" w:space="0" w:color="auto"/>
        <w:bottom w:val="none" w:sz="0" w:space="0" w:color="auto"/>
        <w:right w:val="none" w:sz="0" w:space="0" w:color="auto"/>
      </w:divBdr>
    </w:div>
    <w:div w:id="1595816705">
      <w:bodyDiv w:val="1"/>
      <w:marLeft w:val="0"/>
      <w:marRight w:val="0"/>
      <w:marTop w:val="0"/>
      <w:marBottom w:val="0"/>
      <w:divBdr>
        <w:top w:val="none" w:sz="0" w:space="0" w:color="auto"/>
        <w:left w:val="none" w:sz="0" w:space="0" w:color="auto"/>
        <w:bottom w:val="none" w:sz="0" w:space="0" w:color="auto"/>
        <w:right w:val="none" w:sz="0" w:space="0" w:color="auto"/>
      </w:divBdr>
    </w:div>
    <w:div w:id="2036928152">
      <w:bodyDiv w:val="1"/>
      <w:marLeft w:val="0"/>
      <w:marRight w:val="0"/>
      <w:marTop w:val="0"/>
      <w:marBottom w:val="0"/>
      <w:divBdr>
        <w:top w:val="none" w:sz="0" w:space="0" w:color="auto"/>
        <w:left w:val="none" w:sz="0" w:space="0" w:color="auto"/>
        <w:bottom w:val="none" w:sz="0" w:space="0" w:color="auto"/>
        <w:right w:val="none" w:sz="0" w:space="0" w:color="auto"/>
      </w:divBdr>
    </w:div>
    <w:div w:id="20440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23000-B0F0-4B32-89CC-CA939D8EBCE5}">
  <ds:schemaRefs>
    <ds:schemaRef ds:uri="http://schemas.microsoft.com/sharepoint/v3/contenttype/forms"/>
  </ds:schemaRefs>
</ds:datastoreItem>
</file>

<file path=customXml/itemProps2.xml><?xml version="1.0" encoding="utf-8"?>
<ds:datastoreItem xmlns:ds="http://schemas.openxmlformats.org/officeDocument/2006/customXml" ds:itemID="{FBB841AF-0B52-4D92-993B-9C88C3BD6619}">
  <ds:schemaRefs>
    <ds:schemaRef ds:uri="http://schemas.openxmlformats.org/officeDocument/2006/bibliography"/>
  </ds:schemaRefs>
</ds:datastoreItem>
</file>

<file path=customXml/itemProps3.xml><?xml version="1.0" encoding="utf-8"?>
<ds:datastoreItem xmlns:ds="http://schemas.openxmlformats.org/officeDocument/2006/customXml" ds:itemID="{7052043B-DECA-4653-B311-04E5D5B770BF}">
  <ds:schemaRefs>
    <ds:schemaRef ds:uri="http://schemas.microsoft.com/office/2006/metadata/properties"/>
    <ds:schemaRef ds:uri="http://schemas.microsoft.com/office/infopath/2007/PartnerControls"/>
    <ds:schemaRef ds:uri="8c0b6b05-eb82-4bda-97e8-cd82d0d6b453"/>
  </ds:schemaRefs>
</ds:datastoreItem>
</file>

<file path=customXml/itemProps4.xml><?xml version="1.0" encoding="utf-8"?>
<ds:datastoreItem xmlns:ds="http://schemas.openxmlformats.org/officeDocument/2006/customXml" ds:itemID="{76B1A60E-8636-4846-A9A0-037055D1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2638</Words>
  <Characters>15043</Characters>
  <Application>Microsoft Office Word</Application>
  <DocSecurity>0</DocSecurity>
  <Lines>125</Lines>
  <Paragraphs>35</Paragraphs>
  <ScaleCrop>false</ScaleCrop>
  <HeadingPairs>
    <vt:vector size="8" baseType="variant">
      <vt:variant>
        <vt:lpstr>Title</vt:lpstr>
      </vt:variant>
      <vt:variant>
        <vt:i4>1</vt:i4>
      </vt:variant>
      <vt:variant>
        <vt:lpstr>Titre</vt:lpstr>
      </vt:variant>
      <vt:variant>
        <vt:i4>1</vt:i4>
      </vt:variant>
      <vt:variant>
        <vt:lpstr>Titres</vt:lpstr>
      </vt:variant>
      <vt:variant>
        <vt:i4>1</vt:i4>
      </vt:variant>
      <vt:variant>
        <vt:lpstr>Rubrik</vt:lpstr>
      </vt:variant>
      <vt:variant>
        <vt:i4>1</vt:i4>
      </vt:variant>
    </vt:vector>
  </HeadingPairs>
  <TitlesOfParts>
    <vt:vector size="4" baseType="lpstr">
      <vt:lpstr>Ramsar CEPA OP-SC58-draft paper-comments</vt:lpstr>
      <vt:lpstr>Ramsar CEPA OP-SC58-draft paper-comments</vt:lpstr>
      <vt:lpstr/>
      <vt:lpstr>Ramsar CEPA OP-SC58-draft paper-comments</vt:lpstr>
    </vt:vector>
  </TitlesOfParts>
  <Company>IUCN</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CEPA OP-SC58-draft paper-comments</dc:title>
  <dc:subject/>
  <dc:creator>Convention on Wetlands</dc:creator>
  <cp:keywords/>
  <dc:description/>
  <cp:lastModifiedBy>BRACE Poppy</cp:lastModifiedBy>
  <cp:revision>3</cp:revision>
  <cp:lastPrinted>2023-12-01T15:19:00Z</cp:lastPrinted>
  <dcterms:created xsi:type="dcterms:W3CDTF">2024-10-25T10:01:00Z</dcterms:created>
  <dcterms:modified xsi:type="dcterms:W3CDTF">2024-10-25T10:20:00Z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y fmtid="{D5CDD505-2E9C-101B-9397-08002B2CF9AE}" pid="3" name="RecordPoint_ActiveItemUniqueId">
    <vt:lpwstr>{ba23b4a7-a3b4-4400-9e15-4575457f7a85}</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RecordNumberSubmitted">
    <vt:lpwstr>003233512</vt:lpwstr>
  </property>
  <property fmtid="{D5CDD505-2E9C-101B-9397-08002B2CF9AE}" pid="9" name="IconOverlay">
    <vt:lpwstr/>
  </property>
  <property fmtid="{D5CDD505-2E9C-101B-9397-08002B2CF9AE}" pid="10" name="RecordPoint_SubmissionCompleted">
    <vt:lpwstr>2020-01-12T03:24:16.5965765+11:00</vt:lpwstr>
  </property>
  <property fmtid="{D5CDD505-2E9C-101B-9397-08002B2CF9AE}" pid="11" name="MSIP_Label_1665d9ee-429a-4d5f-97cc-cfb56e044a6e_Enabled">
    <vt:lpwstr>True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Owner">
    <vt:lpwstr>KoyamaKA@state.gov</vt:lpwstr>
  </property>
  <property fmtid="{D5CDD505-2E9C-101B-9397-08002B2CF9AE}" pid="14" name="MSIP_Label_1665d9ee-429a-4d5f-97cc-cfb56e044a6e_SetDate">
    <vt:lpwstr>2020-02-04T17:57:08.4987929Z</vt:lpwstr>
  </property>
  <property fmtid="{D5CDD505-2E9C-101B-9397-08002B2CF9AE}" pid="15" name="MSIP_Label_1665d9ee-429a-4d5f-97cc-cfb56e044a6e_Name">
    <vt:lpwstr>Unclassified</vt:lpwstr>
  </property>
  <property fmtid="{D5CDD505-2E9C-101B-9397-08002B2CF9AE}" pid="16" name="MSIP_Label_1665d9ee-429a-4d5f-97cc-cfb56e044a6e_Application">
    <vt:lpwstr>Microsoft Azure Information Protection</vt:lpwstr>
  </property>
  <property fmtid="{D5CDD505-2E9C-101B-9397-08002B2CF9AE}" pid="17" name="MSIP_Label_1665d9ee-429a-4d5f-97cc-cfb56e044a6e_ActionId">
    <vt:lpwstr>8baf58fb-5d23-48a0-96cc-c8572b323041</vt:lpwstr>
  </property>
  <property fmtid="{D5CDD505-2E9C-101B-9397-08002B2CF9AE}" pid="18" name="MSIP_Label_1665d9ee-429a-4d5f-97cc-cfb56e044a6e_Extended_MSFT_Method">
    <vt:lpwstr>Manual</vt:lpwstr>
  </property>
  <property fmtid="{D5CDD505-2E9C-101B-9397-08002B2CF9AE}" pid="19" name="Sensitivity">
    <vt:lpwstr>Unclassified</vt:lpwstr>
  </property>
</Properties>
</file>