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2C37F" w14:textId="77777777" w:rsidR="00AE65A9" w:rsidRPr="00390F83" w:rsidRDefault="00F319AD" w:rsidP="00AE65A9">
      <w:pPr>
        <w:pBdr>
          <w:top w:val="single" w:sz="12" w:space="0" w:color="000000"/>
          <w:left w:val="single" w:sz="12" w:space="4" w:color="000000"/>
          <w:bottom w:val="single" w:sz="12" w:space="0" w:color="000000"/>
          <w:right w:val="single" w:sz="12" w:space="7" w:color="000000"/>
        </w:pBdr>
        <w:ind w:right="4491"/>
        <w:rPr>
          <w:rFonts w:eastAsia="Calibri"/>
        </w:rPr>
      </w:pPr>
      <w:bookmarkStart w:id="0" w:name="bookmark=id.30j0zll" w:colFirst="0" w:colLast="0"/>
      <w:bookmarkStart w:id="1" w:name="bookmark=id.gjdgxs" w:colFirst="0" w:colLast="0"/>
      <w:bookmarkEnd w:id="0"/>
      <w:bookmarkEnd w:id="1"/>
      <w:r w:rsidRPr="00390F83">
        <w:rPr>
          <w:rFonts w:eastAsia="Calibri"/>
        </w:rPr>
        <w:t>THE CONVENTION ON WETLANDS</w:t>
      </w:r>
    </w:p>
    <w:p w14:paraId="6BD2A69E" w14:textId="77777777" w:rsidR="00AE65A9" w:rsidRPr="00390F83" w:rsidRDefault="00F319AD" w:rsidP="00AE65A9">
      <w:pPr>
        <w:pBdr>
          <w:top w:val="single" w:sz="12" w:space="0" w:color="000000"/>
          <w:left w:val="single" w:sz="12" w:space="4" w:color="000000"/>
          <w:bottom w:val="single" w:sz="12" w:space="0" w:color="000000"/>
          <w:right w:val="single" w:sz="12" w:space="7" w:color="000000"/>
        </w:pBdr>
        <w:ind w:right="4491"/>
        <w:rPr>
          <w:rFonts w:eastAsia="Calibri"/>
        </w:rPr>
      </w:pPr>
      <w:r w:rsidRPr="00390F83">
        <w:rPr>
          <w:rFonts w:eastAsia="Calibri"/>
        </w:rPr>
        <w:t>64th meeting of the Standing Committee</w:t>
      </w:r>
    </w:p>
    <w:p w14:paraId="0B4EE02E" w14:textId="77777777" w:rsidR="00AE65A9" w:rsidRPr="00390F83" w:rsidRDefault="00F319AD" w:rsidP="00AE65A9">
      <w:pPr>
        <w:pBdr>
          <w:top w:val="single" w:sz="12" w:space="0" w:color="000000"/>
          <w:left w:val="single" w:sz="12" w:space="4" w:color="000000"/>
          <w:bottom w:val="single" w:sz="12" w:space="0" w:color="000000"/>
          <w:right w:val="single" w:sz="12" w:space="7" w:color="000000"/>
        </w:pBdr>
        <w:ind w:right="4491"/>
        <w:rPr>
          <w:rFonts w:eastAsia="Calibri"/>
        </w:rPr>
      </w:pPr>
      <w:r w:rsidRPr="00390F83">
        <w:rPr>
          <w:rFonts w:eastAsia="Calibri"/>
        </w:rPr>
        <w:t xml:space="preserve">Gland, </w:t>
      </w:r>
      <w:r w:rsidR="004F7AD1" w:rsidRPr="00390F83">
        <w:rPr>
          <w:rFonts w:eastAsia="Calibri"/>
        </w:rPr>
        <w:t>Switzerland, 20-24 January 2025</w:t>
      </w:r>
    </w:p>
    <w:p w14:paraId="6BFB0406" w14:textId="77777777" w:rsidR="00AE65A9" w:rsidRPr="00EF7423" w:rsidRDefault="00AE65A9" w:rsidP="00CC2E0C">
      <w:pPr>
        <w:rPr>
          <w:sz w:val="28"/>
          <w:szCs w:val="28"/>
        </w:rPr>
      </w:pPr>
    </w:p>
    <w:p w14:paraId="17D646AE" w14:textId="0A4882BA" w:rsidR="00AE65A9" w:rsidRPr="00390F83" w:rsidRDefault="00F319AD" w:rsidP="00AE65A9">
      <w:pPr>
        <w:jc w:val="right"/>
        <w:rPr>
          <w:rFonts w:eastAsia="Calibri"/>
          <w:b/>
          <w:sz w:val="28"/>
          <w:szCs w:val="28"/>
        </w:rPr>
      </w:pPr>
      <w:r w:rsidRPr="00390F83">
        <w:rPr>
          <w:rFonts w:eastAsia="Calibri"/>
          <w:b/>
          <w:sz w:val="28"/>
          <w:szCs w:val="28"/>
        </w:rPr>
        <w:t>SC64 Doc.</w:t>
      </w:r>
      <w:r w:rsidR="000D0240" w:rsidRPr="00390F83">
        <w:rPr>
          <w:rFonts w:eastAsia="Calibri"/>
          <w:b/>
          <w:sz w:val="28"/>
          <w:szCs w:val="28"/>
        </w:rPr>
        <w:t>1</w:t>
      </w:r>
      <w:r w:rsidR="006E6FED">
        <w:rPr>
          <w:rFonts w:eastAsia="Calibri"/>
          <w:b/>
          <w:sz w:val="28"/>
          <w:szCs w:val="28"/>
        </w:rPr>
        <w:t>8</w:t>
      </w:r>
    </w:p>
    <w:p w14:paraId="1262354A" w14:textId="77777777" w:rsidR="00AE65A9" w:rsidRPr="00390F83" w:rsidRDefault="00AE65A9" w:rsidP="00AE65A9">
      <w:pPr>
        <w:jc w:val="center"/>
        <w:rPr>
          <w:rFonts w:eastAsia="Calibri"/>
          <w:b/>
          <w:sz w:val="28"/>
          <w:szCs w:val="28"/>
        </w:rPr>
      </w:pPr>
    </w:p>
    <w:p w14:paraId="5CA31493" w14:textId="77777777" w:rsidR="00AE65A9" w:rsidRPr="00390F83" w:rsidRDefault="00F319AD" w:rsidP="00AE65A9">
      <w:pPr>
        <w:jc w:val="center"/>
        <w:rPr>
          <w:rFonts w:eastAsia="Calibri"/>
          <w:b/>
          <w:sz w:val="28"/>
          <w:szCs w:val="28"/>
        </w:rPr>
      </w:pPr>
      <w:r w:rsidRPr="00390F83">
        <w:rPr>
          <w:rFonts w:eastAsia="Calibri"/>
          <w:b/>
          <w:sz w:val="28"/>
          <w:szCs w:val="28"/>
        </w:rPr>
        <w:t>Report of the Chair of the Scientific and Technical Review Panel</w:t>
      </w:r>
    </w:p>
    <w:p w14:paraId="32B444A9" w14:textId="77777777" w:rsidR="00AE65A9" w:rsidRPr="00EF7423" w:rsidRDefault="00AE65A9" w:rsidP="00AE65A9">
      <w:pPr>
        <w:rPr>
          <w:sz w:val="28"/>
          <w:szCs w:val="28"/>
        </w:rPr>
      </w:pPr>
    </w:p>
    <w:p w14:paraId="48BADD56" w14:textId="77777777" w:rsidR="00AE65A9" w:rsidRPr="00EF7423" w:rsidRDefault="00F319AD" w:rsidP="00AE65A9">
      <w:pPr>
        <w:autoSpaceDE w:val="0"/>
        <w:autoSpaceDN w:val="0"/>
        <w:adjustRightInd w:val="0"/>
        <w:rPr>
          <w:rFonts w:eastAsiaTheme="minorHAnsi"/>
          <w:b/>
          <w:bCs w:val="0"/>
        </w:rPr>
      </w:pPr>
      <w:r w:rsidRPr="00EF7423">
        <w:rPr>
          <w:noProof/>
          <w:lang w:val="en-CA" w:eastAsia="en-CA"/>
        </w:rPr>
        <mc:AlternateContent>
          <mc:Choice Requires="wps">
            <w:drawing>
              <wp:inline distT="0" distB="0" distL="0" distR="0" wp14:anchorId="11A3FC30" wp14:editId="74CD680F">
                <wp:extent cx="5731510" cy="2720340"/>
                <wp:effectExtent l="0" t="0" r="21590" b="2286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720340"/>
                        </a:xfrm>
                        <a:prstGeom prst="rect">
                          <a:avLst/>
                        </a:prstGeom>
                        <a:solidFill>
                          <a:srgbClr val="FFFFFF"/>
                        </a:solidFill>
                        <a:ln w="9525">
                          <a:solidFill>
                            <a:srgbClr val="000000"/>
                          </a:solidFill>
                          <a:miter lim="800000"/>
                          <a:headEnd/>
                          <a:tailEnd/>
                        </a:ln>
                      </wps:spPr>
                      <wps:txbx>
                        <w:txbxContent>
                          <w:p w14:paraId="046049E8" w14:textId="77777777" w:rsidR="00984F89" w:rsidRPr="00A21D4A" w:rsidRDefault="00984F89" w:rsidP="00AE65A9">
                            <w:pPr>
                              <w:rPr>
                                <w:rFonts w:asciiTheme="majorHAnsi" w:hAnsiTheme="majorHAnsi" w:cstheme="majorHAnsi"/>
                                <w:b/>
                                <w:bCs w:val="0"/>
                              </w:rPr>
                            </w:pPr>
                            <w:r w:rsidRPr="00A21D4A">
                              <w:rPr>
                                <w:rFonts w:asciiTheme="majorHAnsi" w:hAnsiTheme="majorHAnsi" w:cstheme="majorHAnsi"/>
                                <w:b/>
                              </w:rPr>
                              <w:t xml:space="preserve">Actions requested: </w:t>
                            </w:r>
                          </w:p>
                          <w:p w14:paraId="7D0003CC" w14:textId="77777777" w:rsidR="00984F89" w:rsidRPr="00A21D4A" w:rsidRDefault="00984F89" w:rsidP="00AE65A9">
                            <w:pPr>
                              <w:pStyle w:val="ColorfulList-Accent11"/>
                              <w:ind w:left="0"/>
                              <w:rPr>
                                <w:rFonts w:asciiTheme="majorHAnsi" w:hAnsiTheme="majorHAnsi" w:cstheme="majorHAnsi"/>
                              </w:rPr>
                            </w:pPr>
                          </w:p>
                          <w:p w14:paraId="049EA3FF" w14:textId="2109EAF2" w:rsidR="00984F89" w:rsidRPr="008E7ED2" w:rsidRDefault="00984F89" w:rsidP="00AE65A9">
                            <w:pPr>
                              <w:pStyle w:val="ColorfulList-Accent11"/>
                              <w:ind w:left="0" w:firstLine="0"/>
                              <w:rPr>
                                <w:rFonts w:cs="Calibri"/>
                              </w:rPr>
                            </w:pPr>
                            <w:r>
                              <w:rPr>
                                <w:rFonts w:cs="Calibri"/>
                              </w:rPr>
                              <w:t xml:space="preserve">The </w:t>
                            </w:r>
                            <w:r w:rsidRPr="008E7ED2">
                              <w:rPr>
                                <w:rFonts w:cs="Calibri"/>
                              </w:rPr>
                              <w:t>Standing Committee is invited to:</w:t>
                            </w:r>
                          </w:p>
                          <w:p w14:paraId="55061CEA" w14:textId="77777777" w:rsidR="00984F89" w:rsidRPr="008E7ED2" w:rsidRDefault="00984F89" w:rsidP="00AE65A9">
                            <w:pPr>
                              <w:pStyle w:val="ColorfulList-Accent11"/>
                              <w:ind w:left="0"/>
                              <w:rPr>
                                <w:rFonts w:cs="Calibri"/>
                              </w:rPr>
                            </w:pPr>
                          </w:p>
                          <w:p w14:paraId="66902E72" w14:textId="77777777" w:rsidR="00984F89" w:rsidRPr="008E7ED2" w:rsidRDefault="00984F89" w:rsidP="00EF7423">
                            <w:pPr>
                              <w:pStyle w:val="ColorfulList-Accent11"/>
                              <w:ind w:left="426" w:hanging="426"/>
                              <w:rPr>
                                <w:rFonts w:cs="Calibri"/>
                              </w:rPr>
                            </w:pPr>
                            <w:r w:rsidRPr="008E7ED2">
                              <w:rPr>
                                <w:rFonts w:cs="Calibri"/>
                              </w:rPr>
                              <w:t>i.</w:t>
                            </w:r>
                            <w:r w:rsidRPr="008E7ED2">
                              <w:rPr>
                                <w:rFonts w:cs="Calibri"/>
                              </w:rPr>
                              <w:tab/>
                              <w:t>note the Report of the STRP Chair;</w:t>
                            </w:r>
                          </w:p>
                          <w:p w14:paraId="4452CBC4" w14:textId="77777777" w:rsidR="00984F89" w:rsidRPr="008E7ED2" w:rsidRDefault="00984F89" w:rsidP="00EF7423">
                            <w:pPr>
                              <w:pStyle w:val="ColorfulList-Accent11"/>
                              <w:ind w:left="426" w:hanging="426"/>
                              <w:rPr>
                                <w:rFonts w:cs="Calibri"/>
                              </w:rPr>
                            </w:pPr>
                          </w:p>
                          <w:p w14:paraId="375FFDD0" w14:textId="313EC697" w:rsidR="00984F89" w:rsidRPr="008E7ED2" w:rsidRDefault="00984F89" w:rsidP="00EF7423">
                            <w:pPr>
                              <w:pStyle w:val="ColorfulList-Accent11"/>
                              <w:ind w:left="426" w:hanging="426"/>
                              <w:rPr>
                                <w:rFonts w:cs="Calibri"/>
                              </w:rPr>
                            </w:pPr>
                            <w:r w:rsidRPr="008E7ED2">
                              <w:rPr>
                                <w:rFonts w:cs="Calibri"/>
                              </w:rPr>
                              <w:t>ii.</w:t>
                            </w:r>
                            <w:r w:rsidRPr="008E7ED2">
                              <w:rPr>
                                <w:rFonts w:cs="Calibri"/>
                              </w:rPr>
                              <w:tab/>
                              <w:t>consider the recommendations presented by the STRP in paragraph 3</w:t>
                            </w:r>
                            <w:r w:rsidR="001E61BB">
                              <w:rPr>
                                <w:rFonts w:cs="Calibri"/>
                              </w:rPr>
                              <w:t>4</w:t>
                            </w:r>
                            <w:r w:rsidRPr="008E7ED2">
                              <w:rPr>
                                <w:rFonts w:cs="Calibri"/>
                              </w:rPr>
                              <w:t xml:space="preserve"> of this Report, in particular, regarding: </w:t>
                            </w:r>
                          </w:p>
                          <w:p w14:paraId="7898E5B5" w14:textId="7D5803D9" w:rsidR="00984F89" w:rsidRPr="008E7ED2" w:rsidRDefault="00984F89" w:rsidP="00EF7423">
                            <w:pPr>
                              <w:pStyle w:val="ColorfulList-Accent11"/>
                              <w:numPr>
                                <w:ilvl w:val="0"/>
                                <w:numId w:val="21"/>
                              </w:numPr>
                              <w:ind w:left="851" w:hanging="425"/>
                              <w:rPr>
                                <w:rFonts w:cs="Calibri"/>
                              </w:rPr>
                            </w:pPr>
                            <w:r w:rsidRPr="008E7ED2">
                              <w:rPr>
                                <w:rFonts w:cs="Calibri"/>
                              </w:rPr>
                              <w:t xml:space="preserve">STRP </w:t>
                            </w:r>
                            <w:r>
                              <w:rPr>
                                <w:rFonts w:cs="Calibri"/>
                              </w:rPr>
                              <w:t>p</w:t>
                            </w:r>
                            <w:r w:rsidRPr="008E7ED2">
                              <w:rPr>
                                <w:rFonts w:cs="Calibri"/>
                              </w:rPr>
                              <w:t xml:space="preserve">riorities </w:t>
                            </w:r>
                            <w:r>
                              <w:rPr>
                                <w:rFonts w:cs="Calibri"/>
                              </w:rPr>
                              <w:t xml:space="preserve">for </w:t>
                            </w:r>
                            <w:r w:rsidRPr="008E7ED2">
                              <w:rPr>
                                <w:rFonts w:cs="Calibri"/>
                              </w:rPr>
                              <w:t>2026-2028</w:t>
                            </w:r>
                            <w:r>
                              <w:rPr>
                                <w:rFonts w:cs="Calibri"/>
                              </w:rPr>
                              <w:t>;</w:t>
                            </w:r>
                          </w:p>
                          <w:p w14:paraId="1CB14618" w14:textId="5DFA3330" w:rsidR="00984F89" w:rsidRPr="008E7ED2" w:rsidRDefault="00984F89" w:rsidP="00EF7423">
                            <w:pPr>
                              <w:pStyle w:val="ColorfulList-Accent11"/>
                              <w:numPr>
                                <w:ilvl w:val="0"/>
                                <w:numId w:val="21"/>
                              </w:numPr>
                              <w:ind w:left="851" w:hanging="425"/>
                              <w:rPr>
                                <w:rFonts w:cs="Calibri"/>
                              </w:rPr>
                            </w:pPr>
                            <w:r>
                              <w:rPr>
                                <w:rFonts w:cs="Calibri"/>
                              </w:rPr>
                              <w:t>g</w:t>
                            </w:r>
                            <w:r w:rsidRPr="008E7ED2">
                              <w:rPr>
                                <w:rFonts w:cs="Calibri"/>
                              </w:rPr>
                              <w:t>uidance on using alternative population estimates under Criterion 6</w:t>
                            </w:r>
                            <w:r>
                              <w:rPr>
                                <w:rFonts w:cs="Calibri"/>
                              </w:rPr>
                              <w:t>;</w:t>
                            </w:r>
                          </w:p>
                          <w:p w14:paraId="57DACB94" w14:textId="158BB6C0" w:rsidR="00984F89" w:rsidRPr="008E7ED2" w:rsidRDefault="00984F89" w:rsidP="00EF7423">
                            <w:pPr>
                              <w:pStyle w:val="ColorfulList-Accent11"/>
                              <w:numPr>
                                <w:ilvl w:val="0"/>
                                <w:numId w:val="21"/>
                              </w:numPr>
                              <w:ind w:left="851" w:hanging="425"/>
                              <w:rPr>
                                <w:rFonts w:cs="Calibri"/>
                              </w:rPr>
                            </w:pPr>
                            <w:r>
                              <w:rPr>
                                <w:rFonts w:cs="Calibri"/>
                              </w:rPr>
                              <w:t>the s</w:t>
                            </w:r>
                            <w:r w:rsidRPr="008E7ED2">
                              <w:rPr>
                                <w:rFonts w:cs="Calibri"/>
                              </w:rPr>
                              <w:t xml:space="preserve">coping </w:t>
                            </w:r>
                            <w:r>
                              <w:rPr>
                                <w:rFonts w:cs="Calibri"/>
                              </w:rPr>
                              <w:t>r</w:t>
                            </w:r>
                            <w:r w:rsidRPr="008E7ED2">
                              <w:rPr>
                                <w:rFonts w:cs="Calibri"/>
                              </w:rPr>
                              <w:t>eport to review legal and policy frameworks for wetland conservation and wise use</w:t>
                            </w:r>
                            <w:r>
                              <w:rPr>
                                <w:rFonts w:cs="Calibri"/>
                              </w:rPr>
                              <w:t>;</w:t>
                            </w:r>
                          </w:p>
                          <w:p w14:paraId="7FC0C3D4" w14:textId="2BEE99A0" w:rsidR="00984F89" w:rsidRPr="008E7ED2" w:rsidRDefault="00984F89" w:rsidP="00EF7423">
                            <w:pPr>
                              <w:pStyle w:val="ColorfulList-Accent11"/>
                              <w:numPr>
                                <w:ilvl w:val="0"/>
                                <w:numId w:val="21"/>
                              </w:numPr>
                              <w:ind w:left="851" w:hanging="425"/>
                              <w:rPr>
                                <w:rFonts w:cs="Calibri"/>
                              </w:rPr>
                            </w:pPr>
                            <w:r>
                              <w:rPr>
                                <w:rFonts w:cs="Calibri"/>
                              </w:rPr>
                              <w:t>the p</w:t>
                            </w:r>
                            <w:r w:rsidRPr="008E7ED2">
                              <w:rPr>
                                <w:rFonts w:cs="Calibri"/>
                              </w:rPr>
                              <w:t>roposed approach to deliver future Global Wetland Outlooks</w:t>
                            </w:r>
                            <w:r>
                              <w:rPr>
                                <w:rFonts w:cs="Calibri"/>
                              </w:rPr>
                              <w:t>; and</w:t>
                            </w:r>
                          </w:p>
                          <w:p w14:paraId="3B489DB2" w14:textId="7B88599A" w:rsidR="00984F89" w:rsidRPr="008E7ED2" w:rsidRDefault="00984F89" w:rsidP="00EF7423">
                            <w:pPr>
                              <w:pStyle w:val="ColorfulList-Accent11"/>
                              <w:numPr>
                                <w:ilvl w:val="0"/>
                                <w:numId w:val="21"/>
                              </w:numPr>
                              <w:ind w:left="851" w:hanging="425"/>
                              <w:rPr>
                                <w:rFonts w:cs="Calibri"/>
                              </w:rPr>
                            </w:pPr>
                            <w:r>
                              <w:rPr>
                                <w:rFonts w:cs="Calibri"/>
                              </w:rPr>
                              <w:t>f</w:t>
                            </w:r>
                            <w:r w:rsidRPr="008E7ED2">
                              <w:rPr>
                                <w:rFonts w:cs="Calibri"/>
                              </w:rPr>
                              <w:t>inancing the establishment of the Waterbirds Estimates Partnership and delivering the 2027 edition of Waterbird Population Estimates (WPE2027).</w:t>
                            </w:r>
                          </w:p>
                        </w:txbxContent>
                      </wps:txbx>
                      <wps:bodyPr rot="0" vert="horz" wrap="square" lIns="91440" tIns="45720" rIns="91440" bIns="45720" anchor="t" anchorCtr="0" upright="1"/>
                    </wps:wsp>
                  </a:graphicData>
                </a:graphic>
              </wp:inline>
            </w:drawing>
          </mc:Choice>
          <mc:Fallback>
            <w:pict>
              <v:shapetype w14:anchorId="11A3FC30" id="_x0000_t202" coordsize="21600,21600" o:spt="202" path="m,l,21600r21600,l21600,xe">
                <v:stroke joinstyle="miter"/>
                <v:path gradientshapeok="t" o:connecttype="rect"/>
              </v:shapetype>
              <v:shape id="Text Box 1" o:spid="_x0000_s1026" type="#_x0000_t202" style="width:451.3pt;height:2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">
                <v:textbox>
                  <w:txbxContent>
                    <w:p w14:paraId="046049E8" w14:textId="77777777" w:rsidR="00984F89" w:rsidRPr="00A21D4A" w:rsidRDefault="00984F89" w:rsidP="00AE65A9">
                      <w:pPr>
                        <w:rPr>
                          <w:rFonts w:asciiTheme="majorHAnsi" w:hAnsiTheme="majorHAnsi" w:cstheme="majorHAnsi"/>
                          <w:b/>
                          <w:bCs w:val="0"/>
                        </w:rPr>
                      </w:pPr>
                      <w:r w:rsidRPr="00A21D4A">
                        <w:rPr>
                          <w:rFonts w:asciiTheme="majorHAnsi" w:hAnsiTheme="majorHAnsi" w:cstheme="majorHAnsi"/>
                          <w:b/>
                        </w:rPr>
                        <w:t xml:space="preserve">Actions requested: </w:t>
                      </w:r>
                    </w:p>
                    <w:p w14:paraId="7D0003CC" w14:textId="77777777" w:rsidR="00984F89" w:rsidRPr="00A21D4A" w:rsidRDefault="00984F89" w:rsidP="00AE65A9">
                      <w:pPr>
                        <w:pStyle w:val="ColorfulList-Accent11"/>
                        <w:ind w:left="0"/>
                        <w:rPr>
                          <w:rFonts w:asciiTheme="majorHAnsi" w:hAnsiTheme="majorHAnsi" w:cstheme="majorHAnsi"/>
                        </w:rPr>
                      </w:pPr>
                    </w:p>
                    <w:p w14:paraId="049EA3FF" w14:textId="2109EAF2" w:rsidR="00984F89" w:rsidRPr="008E7ED2" w:rsidRDefault="00984F89" w:rsidP="00AE65A9">
                      <w:pPr>
                        <w:pStyle w:val="ColorfulList-Accent11"/>
                        <w:ind w:left="0" w:firstLine="0"/>
                        <w:rPr>
                          <w:rFonts w:cs="Calibri"/>
                        </w:rPr>
                      </w:pPr>
                      <w:r>
                        <w:rPr>
                          <w:rFonts w:cs="Calibri"/>
                        </w:rPr>
                        <w:t xml:space="preserve">The </w:t>
                      </w:r>
                      <w:r w:rsidRPr="008E7ED2">
                        <w:rPr>
                          <w:rFonts w:cs="Calibri"/>
                        </w:rPr>
                        <w:t>Standing Committee is invited to:</w:t>
                      </w:r>
                    </w:p>
                    <w:p w14:paraId="55061CEA" w14:textId="77777777" w:rsidR="00984F89" w:rsidRPr="008E7ED2" w:rsidRDefault="00984F89" w:rsidP="00AE65A9">
                      <w:pPr>
                        <w:pStyle w:val="ColorfulList-Accent11"/>
                        <w:ind w:left="0"/>
                        <w:rPr>
                          <w:rFonts w:cs="Calibri"/>
                        </w:rPr>
                      </w:pPr>
                    </w:p>
                    <w:p w14:paraId="66902E72" w14:textId="77777777" w:rsidR="00984F89" w:rsidRPr="008E7ED2" w:rsidRDefault="00984F89" w:rsidP="00EF7423">
                      <w:pPr>
                        <w:pStyle w:val="ColorfulList-Accent11"/>
                        <w:ind w:left="426" w:hanging="426"/>
                        <w:rPr>
                          <w:rFonts w:cs="Calibri"/>
                        </w:rPr>
                      </w:pPr>
                      <w:r w:rsidRPr="008E7ED2">
                        <w:rPr>
                          <w:rFonts w:cs="Calibri"/>
                        </w:rPr>
                        <w:t>i.</w:t>
                      </w:r>
                      <w:r w:rsidRPr="008E7ED2">
                        <w:rPr>
                          <w:rFonts w:cs="Calibri"/>
                        </w:rPr>
                        <w:tab/>
                        <w:t>note the Report of the STRP Chair;</w:t>
                      </w:r>
                    </w:p>
                    <w:p w14:paraId="4452CBC4" w14:textId="77777777" w:rsidR="00984F89" w:rsidRPr="008E7ED2" w:rsidRDefault="00984F89" w:rsidP="00EF7423">
                      <w:pPr>
                        <w:pStyle w:val="ColorfulList-Accent11"/>
                        <w:ind w:left="426" w:hanging="426"/>
                        <w:rPr>
                          <w:rFonts w:cs="Calibri"/>
                        </w:rPr>
                      </w:pPr>
                    </w:p>
                    <w:p w14:paraId="375FFDD0" w14:textId="313EC697" w:rsidR="00984F89" w:rsidRPr="008E7ED2" w:rsidRDefault="00984F89" w:rsidP="00EF7423">
                      <w:pPr>
                        <w:pStyle w:val="ColorfulList-Accent11"/>
                        <w:ind w:left="426" w:hanging="426"/>
                        <w:rPr>
                          <w:rFonts w:cs="Calibri"/>
                        </w:rPr>
                      </w:pPr>
                      <w:r w:rsidRPr="008E7ED2">
                        <w:rPr>
                          <w:rFonts w:cs="Calibri"/>
                        </w:rPr>
                        <w:t>ii.</w:t>
                      </w:r>
                      <w:r w:rsidRPr="008E7ED2">
                        <w:rPr>
                          <w:rFonts w:cs="Calibri"/>
                        </w:rPr>
                        <w:tab/>
                        <w:t>consider the recommendations presented by the STRP in paragraph 3</w:t>
                      </w:r>
                      <w:r w:rsidR="001E61BB">
                        <w:rPr>
                          <w:rFonts w:cs="Calibri"/>
                        </w:rPr>
                        <w:t>4</w:t>
                      </w:r>
                      <w:r w:rsidRPr="008E7ED2">
                        <w:rPr>
                          <w:rFonts w:cs="Calibri"/>
                        </w:rPr>
                        <w:t xml:space="preserve"> of this Report, in particular, regarding: </w:t>
                      </w:r>
                    </w:p>
                    <w:p w14:paraId="7898E5B5" w14:textId="7D5803D9" w:rsidR="00984F89" w:rsidRPr="008E7ED2" w:rsidRDefault="00984F89" w:rsidP="00EF7423">
                      <w:pPr>
                        <w:pStyle w:val="ColorfulList-Accent11"/>
                        <w:numPr>
                          <w:ilvl w:val="0"/>
                          <w:numId w:val="21"/>
                        </w:numPr>
                        <w:ind w:left="851" w:hanging="425"/>
                        <w:rPr>
                          <w:rFonts w:cs="Calibri"/>
                        </w:rPr>
                      </w:pPr>
                      <w:r w:rsidRPr="008E7ED2">
                        <w:rPr>
                          <w:rFonts w:cs="Calibri"/>
                        </w:rPr>
                        <w:t xml:space="preserve">STRP </w:t>
                      </w:r>
                      <w:r>
                        <w:rPr>
                          <w:rFonts w:cs="Calibri"/>
                        </w:rPr>
                        <w:t>p</w:t>
                      </w:r>
                      <w:r w:rsidRPr="008E7ED2">
                        <w:rPr>
                          <w:rFonts w:cs="Calibri"/>
                        </w:rPr>
                        <w:t xml:space="preserve">riorities </w:t>
                      </w:r>
                      <w:r>
                        <w:rPr>
                          <w:rFonts w:cs="Calibri"/>
                        </w:rPr>
                        <w:t xml:space="preserve">for </w:t>
                      </w:r>
                      <w:r w:rsidRPr="008E7ED2">
                        <w:rPr>
                          <w:rFonts w:cs="Calibri"/>
                        </w:rPr>
                        <w:t>2026-2028</w:t>
                      </w:r>
                      <w:r>
                        <w:rPr>
                          <w:rFonts w:cs="Calibri"/>
                        </w:rPr>
                        <w:t>;</w:t>
                      </w:r>
                    </w:p>
                    <w:p w14:paraId="1CB14618" w14:textId="5DFA3330" w:rsidR="00984F89" w:rsidRPr="008E7ED2" w:rsidRDefault="00984F89" w:rsidP="00EF7423">
                      <w:pPr>
                        <w:pStyle w:val="ColorfulList-Accent11"/>
                        <w:numPr>
                          <w:ilvl w:val="0"/>
                          <w:numId w:val="21"/>
                        </w:numPr>
                        <w:ind w:left="851" w:hanging="425"/>
                        <w:rPr>
                          <w:rFonts w:cs="Calibri"/>
                        </w:rPr>
                      </w:pPr>
                      <w:r>
                        <w:rPr>
                          <w:rFonts w:cs="Calibri"/>
                        </w:rPr>
                        <w:t>g</w:t>
                      </w:r>
                      <w:r w:rsidRPr="008E7ED2">
                        <w:rPr>
                          <w:rFonts w:cs="Calibri"/>
                        </w:rPr>
                        <w:t>uidance on using alternative population estimates under Criterion 6</w:t>
                      </w:r>
                      <w:r>
                        <w:rPr>
                          <w:rFonts w:cs="Calibri"/>
                        </w:rPr>
                        <w:t>;</w:t>
                      </w:r>
                    </w:p>
                    <w:p w14:paraId="57DACB94" w14:textId="158BB6C0" w:rsidR="00984F89" w:rsidRPr="008E7ED2" w:rsidRDefault="00984F89" w:rsidP="00EF7423">
                      <w:pPr>
                        <w:pStyle w:val="ColorfulList-Accent11"/>
                        <w:numPr>
                          <w:ilvl w:val="0"/>
                          <w:numId w:val="21"/>
                        </w:numPr>
                        <w:ind w:left="851" w:hanging="425"/>
                        <w:rPr>
                          <w:rFonts w:cs="Calibri"/>
                        </w:rPr>
                      </w:pPr>
                      <w:r>
                        <w:rPr>
                          <w:rFonts w:cs="Calibri"/>
                        </w:rPr>
                        <w:t>the s</w:t>
                      </w:r>
                      <w:r w:rsidRPr="008E7ED2">
                        <w:rPr>
                          <w:rFonts w:cs="Calibri"/>
                        </w:rPr>
                        <w:t xml:space="preserve">coping </w:t>
                      </w:r>
                      <w:r>
                        <w:rPr>
                          <w:rFonts w:cs="Calibri"/>
                        </w:rPr>
                        <w:t>r</w:t>
                      </w:r>
                      <w:r w:rsidRPr="008E7ED2">
                        <w:rPr>
                          <w:rFonts w:cs="Calibri"/>
                        </w:rPr>
                        <w:t>eport to review legal and policy frameworks for wetland conservation and wise use</w:t>
                      </w:r>
                      <w:r>
                        <w:rPr>
                          <w:rFonts w:cs="Calibri"/>
                        </w:rPr>
                        <w:t>;</w:t>
                      </w:r>
                    </w:p>
                    <w:p w14:paraId="7FC0C3D4" w14:textId="2BEE99A0" w:rsidR="00984F89" w:rsidRPr="008E7ED2" w:rsidRDefault="00984F89" w:rsidP="00EF7423">
                      <w:pPr>
                        <w:pStyle w:val="ColorfulList-Accent11"/>
                        <w:numPr>
                          <w:ilvl w:val="0"/>
                          <w:numId w:val="21"/>
                        </w:numPr>
                        <w:ind w:left="851" w:hanging="425"/>
                        <w:rPr>
                          <w:rFonts w:cs="Calibri"/>
                        </w:rPr>
                      </w:pPr>
                      <w:r>
                        <w:rPr>
                          <w:rFonts w:cs="Calibri"/>
                        </w:rPr>
                        <w:t>the p</w:t>
                      </w:r>
                      <w:r w:rsidRPr="008E7ED2">
                        <w:rPr>
                          <w:rFonts w:cs="Calibri"/>
                        </w:rPr>
                        <w:t>roposed approach to deliver future Global Wetland Outlooks</w:t>
                      </w:r>
                      <w:r>
                        <w:rPr>
                          <w:rFonts w:cs="Calibri"/>
                        </w:rPr>
                        <w:t>; and</w:t>
                      </w:r>
                    </w:p>
                    <w:p w14:paraId="3B489DB2" w14:textId="7B88599A" w:rsidR="00984F89" w:rsidRPr="008E7ED2" w:rsidRDefault="00984F89" w:rsidP="00EF7423">
                      <w:pPr>
                        <w:pStyle w:val="ColorfulList-Accent11"/>
                        <w:numPr>
                          <w:ilvl w:val="0"/>
                          <w:numId w:val="21"/>
                        </w:numPr>
                        <w:ind w:left="851" w:hanging="425"/>
                        <w:rPr>
                          <w:rFonts w:cs="Calibri"/>
                        </w:rPr>
                      </w:pPr>
                      <w:r>
                        <w:rPr>
                          <w:rFonts w:cs="Calibri"/>
                        </w:rPr>
                        <w:t>f</w:t>
                      </w:r>
                      <w:r w:rsidRPr="008E7ED2">
                        <w:rPr>
                          <w:rFonts w:cs="Calibri"/>
                        </w:rPr>
                        <w:t>inancing the establishment of the Waterbirds Estimates Partnership and delivering the 2027 edition of Waterbird Population Estimates (WPE2027).</w:t>
                      </w:r>
                    </w:p>
                  </w:txbxContent>
                </v:textbox>
                <w10:anchorlock/>
              </v:shape>
            </w:pict>
          </mc:Fallback>
        </mc:AlternateContent>
      </w:r>
    </w:p>
    <w:p w14:paraId="43CA1332" w14:textId="77777777" w:rsidR="00995BCF" w:rsidRPr="00390F83" w:rsidRDefault="00995BCF" w:rsidP="00E952E3">
      <w:pPr>
        <w:rPr>
          <w:lang w:eastAsia="zh-CN"/>
        </w:rPr>
      </w:pPr>
    </w:p>
    <w:p w14:paraId="3A4F2EAB" w14:textId="77777777" w:rsidR="00C14273" w:rsidRPr="00390F83" w:rsidRDefault="00F319AD" w:rsidP="00C14273">
      <w:pPr>
        <w:keepNext/>
        <w:ind w:left="425" w:hanging="425"/>
        <w:rPr>
          <w:rFonts w:eastAsia="Calibri"/>
          <w:b/>
        </w:rPr>
      </w:pPr>
      <w:r w:rsidRPr="00390F83">
        <w:rPr>
          <w:rFonts w:eastAsia="Calibri"/>
          <w:b/>
        </w:rPr>
        <w:t>Introduction</w:t>
      </w:r>
    </w:p>
    <w:p w14:paraId="0ABE373B" w14:textId="77777777" w:rsidR="002921ED" w:rsidRPr="00390F83" w:rsidRDefault="002921ED" w:rsidP="002921ED">
      <w:pPr>
        <w:rPr>
          <w:rFonts w:eastAsia="Calibri"/>
        </w:rPr>
      </w:pPr>
    </w:p>
    <w:p w14:paraId="3E59957F" w14:textId="04DE0D65" w:rsidR="009D24B1" w:rsidRPr="00390F83" w:rsidRDefault="00F319AD" w:rsidP="009D24B1">
      <w:pPr>
        <w:ind w:left="432" w:hanging="432"/>
        <w:rPr>
          <w:rFonts w:eastAsia="Calibri"/>
        </w:rPr>
      </w:pPr>
      <w:r w:rsidRPr="00390F83">
        <w:rPr>
          <w:rFonts w:eastAsia="Calibri"/>
          <w:bCs w:val="0"/>
        </w:rPr>
        <w:t>1.</w:t>
      </w:r>
      <w:r w:rsidRPr="00390F83">
        <w:rPr>
          <w:rFonts w:eastAsia="Calibri"/>
          <w:bCs w:val="0"/>
        </w:rPr>
        <w:tab/>
      </w:r>
      <w:r w:rsidR="00543848" w:rsidRPr="00390F83">
        <w:rPr>
          <w:rFonts w:eastAsia="Calibri"/>
        </w:rPr>
        <w:t>The Scientific and Technical Review Panel (STRP) has made significant progress since the last report presented at the 63</w:t>
      </w:r>
      <w:r w:rsidR="00543848" w:rsidRPr="00EF7423">
        <w:rPr>
          <w:rFonts w:eastAsia="Calibri"/>
        </w:rPr>
        <w:t>rd</w:t>
      </w:r>
      <w:r w:rsidR="00543848" w:rsidRPr="00390F83">
        <w:rPr>
          <w:rFonts w:eastAsia="Calibri"/>
        </w:rPr>
        <w:t xml:space="preserve"> Meeting of the Standing Committee (SC63). This progress includes the completion of key tasks outlined in the STRP work plan for 2023-2025 </w:t>
      </w:r>
      <w:r w:rsidR="00F0541C" w:rsidRPr="00390F83">
        <w:rPr>
          <w:rFonts w:eastAsia="Calibri"/>
        </w:rPr>
        <w:t>a</w:t>
      </w:r>
      <w:r w:rsidR="00672A86" w:rsidRPr="00390F83">
        <w:rPr>
          <w:rFonts w:eastAsia="Calibri"/>
        </w:rPr>
        <w:t>nd</w:t>
      </w:r>
      <w:r w:rsidR="00543848" w:rsidRPr="00390F83">
        <w:rPr>
          <w:rFonts w:eastAsia="Calibri"/>
        </w:rPr>
        <w:t xml:space="preserve"> the successful organization of the third intersessional meeting of the STRP. The Panel has been actively involved in various working groups established by the Standing Committee and has provided responses to ad-hoc requests. This report presents a</w:t>
      </w:r>
      <w:r w:rsidR="00672A86" w:rsidRPr="00390F83">
        <w:rPr>
          <w:rFonts w:eastAsia="Calibri"/>
        </w:rPr>
        <w:t xml:space="preserve">n </w:t>
      </w:r>
      <w:r w:rsidR="00543848" w:rsidRPr="00390F83">
        <w:rPr>
          <w:rFonts w:eastAsia="Calibri"/>
        </w:rPr>
        <w:t>overview of the Panel’s activities since SC63, with a particular focus on key achievements and forthcoming initiatives.</w:t>
      </w:r>
    </w:p>
    <w:p w14:paraId="0DC8F26C" w14:textId="77777777" w:rsidR="009D24B1" w:rsidRPr="00390F83" w:rsidRDefault="009D24B1" w:rsidP="002921ED">
      <w:pPr>
        <w:rPr>
          <w:rFonts w:eastAsia="Calibri"/>
        </w:rPr>
      </w:pPr>
    </w:p>
    <w:p w14:paraId="7108BF12" w14:textId="77777777" w:rsidR="002921ED" w:rsidRPr="00390F83" w:rsidRDefault="00F319AD" w:rsidP="002921ED">
      <w:pPr>
        <w:keepNext/>
        <w:ind w:left="425" w:hanging="425"/>
        <w:rPr>
          <w:rFonts w:eastAsia="Calibri"/>
          <w:b/>
        </w:rPr>
      </w:pPr>
      <w:r w:rsidRPr="00390F83">
        <w:rPr>
          <w:rFonts w:eastAsia="Calibri"/>
          <w:b/>
        </w:rPr>
        <w:t>Intersessional online meetings of the STRP</w:t>
      </w:r>
    </w:p>
    <w:p w14:paraId="77970B53" w14:textId="77777777" w:rsidR="00757263" w:rsidRPr="00390F83" w:rsidRDefault="00757263" w:rsidP="00757263">
      <w:pPr>
        <w:ind w:left="432" w:hanging="432"/>
        <w:rPr>
          <w:rFonts w:eastAsia="Calibri"/>
          <w:bCs w:val="0"/>
        </w:rPr>
      </w:pPr>
    </w:p>
    <w:p w14:paraId="08AF41F7" w14:textId="65545403" w:rsidR="001B1E6C" w:rsidRPr="00390F83" w:rsidRDefault="00F319AD" w:rsidP="001B1E6C">
      <w:pPr>
        <w:ind w:left="432" w:hanging="432"/>
        <w:rPr>
          <w:lang w:eastAsia="zh-CN"/>
        </w:rPr>
      </w:pPr>
      <w:r w:rsidRPr="00390F83">
        <w:rPr>
          <w:rFonts w:eastAsia="Calibri"/>
          <w:bCs w:val="0"/>
        </w:rPr>
        <w:t>2.</w:t>
      </w:r>
      <w:r w:rsidRPr="00390F83">
        <w:rPr>
          <w:rFonts w:eastAsia="Calibri"/>
          <w:bCs w:val="0"/>
        </w:rPr>
        <w:tab/>
      </w:r>
      <w:r w:rsidR="00C9346B" w:rsidRPr="00390F83">
        <w:rPr>
          <w:rFonts w:eastAsia="Calibri"/>
          <w:bCs w:val="0"/>
        </w:rPr>
        <w:t>Supported by the Secretariat, the third intersessional online meeting for members of the STRP, including task leads and contributors, took place on 3 and 4 September 2024, with 41 participants attending.</w:t>
      </w:r>
      <w:r w:rsidR="00B844CB" w:rsidRPr="00390F83">
        <w:rPr>
          <w:rFonts w:eastAsia="Calibri"/>
          <w:bCs w:val="0"/>
        </w:rPr>
        <w:t xml:space="preserve"> </w:t>
      </w:r>
      <w:r w:rsidR="001B1E6C" w:rsidRPr="00390F83">
        <w:rPr>
          <w:lang w:eastAsia="zh-CN"/>
        </w:rPr>
        <w:t xml:space="preserve">The </w:t>
      </w:r>
      <w:r w:rsidR="001B1E6C" w:rsidRPr="00390F83">
        <w:rPr>
          <w:rFonts w:eastAsia="Calibri"/>
        </w:rPr>
        <w:t>objectives</w:t>
      </w:r>
      <w:r w:rsidR="001B1E6C" w:rsidRPr="00390F83">
        <w:rPr>
          <w:lang w:eastAsia="zh-CN"/>
        </w:rPr>
        <w:t xml:space="preserve"> of this meeting were to:</w:t>
      </w:r>
    </w:p>
    <w:p w14:paraId="10FC45E5" w14:textId="2F978EA8" w:rsidR="001B1E6C" w:rsidRPr="00390F83" w:rsidRDefault="001B1E6C" w:rsidP="00276823">
      <w:pPr>
        <w:pStyle w:val="ListParagraph"/>
        <w:numPr>
          <w:ilvl w:val="0"/>
          <w:numId w:val="12"/>
        </w:numPr>
        <w:ind w:left="810"/>
        <w:rPr>
          <w:rFonts w:eastAsia="Calibri"/>
          <w:bCs w:val="0"/>
        </w:rPr>
      </w:pPr>
      <w:r w:rsidRPr="00390F83">
        <w:rPr>
          <w:lang w:eastAsia="zh-CN"/>
        </w:rPr>
        <w:t xml:space="preserve">Provide updates </w:t>
      </w:r>
      <w:r w:rsidRPr="00390F83">
        <w:rPr>
          <w:rFonts w:eastAsia="Calibri"/>
          <w:bCs w:val="0"/>
        </w:rPr>
        <w:t xml:space="preserve">from the </w:t>
      </w:r>
      <w:r w:rsidR="0034198B" w:rsidRPr="00390F83">
        <w:rPr>
          <w:rFonts w:eastAsia="Calibri"/>
          <w:bCs w:val="0"/>
        </w:rPr>
        <w:t xml:space="preserve">STRP </w:t>
      </w:r>
      <w:r w:rsidRPr="00390F83">
        <w:rPr>
          <w:rFonts w:eastAsia="Calibri"/>
          <w:bCs w:val="0"/>
        </w:rPr>
        <w:t>Chair and Secretariat;</w:t>
      </w:r>
    </w:p>
    <w:p w14:paraId="39121A9D" w14:textId="49AE7C08" w:rsidR="001B1E6C" w:rsidRPr="00390F83" w:rsidRDefault="00FA4DDF" w:rsidP="00276823">
      <w:pPr>
        <w:pStyle w:val="ListParagraph"/>
        <w:numPr>
          <w:ilvl w:val="0"/>
          <w:numId w:val="12"/>
        </w:numPr>
        <w:ind w:left="810"/>
        <w:rPr>
          <w:lang w:eastAsia="zh-CN"/>
        </w:rPr>
      </w:pPr>
      <w:r w:rsidRPr="00390F83">
        <w:rPr>
          <w:rFonts w:eastAsia="Calibri"/>
          <w:bCs w:val="0"/>
        </w:rPr>
        <w:t xml:space="preserve">Enable </w:t>
      </w:r>
      <w:r w:rsidR="001B1E6C" w:rsidRPr="00390F83">
        <w:rPr>
          <w:rFonts w:eastAsia="Calibri"/>
          <w:bCs w:val="0"/>
        </w:rPr>
        <w:t>Thematic W</w:t>
      </w:r>
      <w:r w:rsidR="001B1E6C" w:rsidRPr="00390F83">
        <w:rPr>
          <w:lang w:eastAsia="zh-CN"/>
        </w:rPr>
        <w:t>ork Area (TWA) leads to update members on the progress of the STRP work plan;</w:t>
      </w:r>
    </w:p>
    <w:p w14:paraId="2F630401" w14:textId="7BF3EA28" w:rsidR="00CC2345" w:rsidRPr="00390F83" w:rsidRDefault="005B56D9" w:rsidP="00276823">
      <w:pPr>
        <w:pStyle w:val="ListParagraph"/>
        <w:numPr>
          <w:ilvl w:val="0"/>
          <w:numId w:val="12"/>
        </w:numPr>
        <w:ind w:left="810"/>
        <w:rPr>
          <w:lang w:eastAsia="zh-CN"/>
        </w:rPr>
      </w:pPr>
      <w:r w:rsidRPr="00390F83">
        <w:rPr>
          <w:lang w:eastAsia="zh-CN"/>
        </w:rPr>
        <w:t>D</w:t>
      </w:r>
      <w:r w:rsidR="001B1E6C" w:rsidRPr="00390F83">
        <w:rPr>
          <w:rFonts w:eastAsia="Calibri"/>
          <w:bCs w:val="0"/>
        </w:rPr>
        <w:t>iscuss</w:t>
      </w:r>
      <w:r w:rsidR="001B1E6C" w:rsidRPr="00390F83">
        <w:rPr>
          <w:lang w:eastAsia="zh-CN"/>
        </w:rPr>
        <w:t xml:space="preserve"> draft resolutions to be submitted </w:t>
      </w:r>
      <w:r w:rsidR="00E00910" w:rsidRPr="00390F83">
        <w:rPr>
          <w:lang w:eastAsia="zh-CN"/>
        </w:rPr>
        <w:t xml:space="preserve">to </w:t>
      </w:r>
      <w:r w:rsidR="001B1E6C" w:rsidRPr="00390F83">
        <w:rPr>
          <w:lang w:eastAsia="zh-CN"/>
        </w:rPr>
        <w:t>the 64th meeting of the Standing Committee</w:t>
      </w:r>
      <w:r w:rsidR="00E00910" w:rsidRPr="00390F83">
        <w:rPr>
          <w:lang w:eastAsia="zh-CN"/>
        </w:rPr>
        <w:t xml:space="preserve">: </w:t>
      </w:r>
      <w:r w:rsidR="00E8368C" w:rsidRPr="00390F83">
        <w:rPr>
          <w:lang w:eastAsia="zh-CN"/>
        </w:rPr>
        <w:t xml:space="preserve">draft resolution on the </w:t>
      </w:r>
      <w:r w:rsidR="00F14062" w:rsidRPr="00390F83">
        <w:rPr>
          <w:lang w:eastAsia="zh-CN"/>
        </w:rPr>
        <w:t>future implementation of scientific and technical aspects of the Convention for 2026-2028</w:t>
      </w:r>
      <w:r w:rsidR="00E8368C" w:rsidRPr="00390F83">
        <w:rPr>
          <w:lang w:eastAsia="zh-CN"/>
        </w:rPr>
        <w:t xml:space="preserve"> (</w:t>
      </w:r>
      <w:r w:rsidR="005C5C90" w:rsidRPr="00390F83">
        <w:rPr>
          <w:lang w:eastAsia="zh-CN"/>
        </w:rPr>
        <w:t xml:space="preserve">document </w:t>
      </w:r>
      <w:r w:rsidR="00BD1E66" w:rsidRPr="00390F83">
        <w:rPr>
          <w:lang w:eastAsia="zh-CN"/>
        </w:rPr>
        <w:t>SC64 Doc.19)</w:t>
      </w:r>
      <w:r w:rsidR="00F14062" w:rsidRPr="00390F83">
        <w:rPr>
          <w:lang w:eastAsia="zh-CN"/>
        </w:rPr>
        <w:t xml:space="preserve">; </w:t>
      </w:r>
      <w:r w:rsidR="00BE5EDB" w:rsidRPr="00390F83">
        <w:rPr>
          <w:lang w:eastAsia="zh-CN"/>
        </w:rPr>
        <w:t>draft resolution on the establishment of the Waterbird Estimates Partnership (WEP) and the delivery of the 2027 edition of Waterbird Population Estimates (WPE2027) (</w:t>
      </w:r>
      <w:r w:rsidR="00D42A73" w:rsidRPr="00390F83">
        <w:rPr>
          <w:lang w:eastAsia="zh-CN"/>
        </w:rPr>
        <w:t>SC64 Doc.20</w:t>
      </w:r>
      <w:r w:rsidR="00BE5EDB" w:rsidRPr="00390F83">
        <w:rPr>
          <w:lang w:eastAsia="zh-CN"/>
        </w:rPr>
        <w:t xml:space="preserve">); and </w:t>
      </w:r>
      <w:r w:rsidR="001220E3" w:rsidRPr="00390F83">
        <w:rPr>
          <w:lang w:eastAsia="zh-CN"/>
        </w:rPr>
        <w:t>draft resolution on the application of Criterion 6 and 9 to new and existing Wetlands of International Importance (</w:t>
      </w:r>
      <w:r w:rsidR="0000218A" w:rsidRPr="00390F83">
        <w:rPr>
          <w:lang w:eastAsia="zh-CN"/>
        </w:rPr>
        <w:t>SC64 Doc.21).</w:t>
      </w:r>
      <w:r w:rsidR="00F14062" w:rsidRPr="00390F83">
        <w:rPr>
          <w:lang w:eastAsia="zh-CN"/>
        </w:rPr>
        <w:t xml:space="preserve"> </w:t>
      </w:r>
      <w:r w:rsidR="00B17EA2" w:rsidRPr="00390F83">
        <w:rPr>
          <w:lang w:eastAsia="zh-CN"/>
        </w:rPr>
        <w:t xml:space="preserve">Further details on these resolutions are provided below. </w:t>
      </w:r>
    </w:p>
    <w:p w14:paraId="049D59E8" w14:textId="77777777" w:rsidR="00CC2345" w:rsidRPr="00390F83" w:rsidRDefault="00CC2345" w:rsidP="00F14062">
      <w:pPr>
        <w:ind w:left="432" w:hanging="432"/>
        <w:rPr>
          <w:lang w:eastAsia="zh-CN"/>
        </w:rPr>
      </w:pPr>
    </w:p>
    <w:p w14:paraId="238ECDF5" w14:textId="578B592A" w:rsidR="00757263" w:rsidRPr="00390F83" w:rsidRDefault="001E61BB" w:rsidP="00F14062">
      <w:pPr>
        <w:ind w:left="432" w:hanging="432"/>
        <w:rPr>
          <w:lang w:eastAsia="zh-CN"/>
        </w:rPr>
      </w:pPr>
      <w:r>
        <w:rPr>
          <w:lang w:eastAsia="zh-CN"/>
        </w:rPr>
        <w:t>3</w:t>
      </w:r>
      <w:r w:rsidR="00CC2345" w:rsidRPr="00390F83">
        <w:rPr>
          <w:lang w:eastAsia="zh-CN"/>
        </w:rPr>
        <w:t>.</w:t>
      </w:r>
      <w:r w:rsidR="00CC2345" w:rsidRPr="00390F83">
        <w:rPr>
          <w:lang w:eastAsia="zh-CN"/>
        </w:rPr>
        <w:tab/>
        <w:t xml:space="preserve">The STRP also </w:t>
      </w:r>
      <w:r w:rsidR="007079A3" w:rsidRPr="00390F83">
        <w:rPr>
          <w:lang w:eastAsia="zh-CN"/>
        </w:rPr>
        <w:t>reviewed the progress of specific</w:t>
      </w:r>
      <w:r w:rsidR="00E73635" w:rsidRPr="00390F83">
        <w:rPr>
          <w:lang w:eastAsia="zh-CN"/>
        </w:rPr>
        <w:t xml:space="preserve"> STRP tasks</w:t>
      </w:r>
      <w:r w:rsidR="00CC2345" w:rsidRPr="00390F83">
        <w:rPr>
          <w:lang w:eastAsia="zh-CN"/>
        </w:rPr>
        <w:t>, focusing on</w:t>
      </w:r>
      <w:r w:rsidR="00594C1A" w:rsidRPr="00390F83">
        <w:rPr>
          <w:lang w:eastAsia="zh-CN"/>
        </w:rPr>
        <w:t>:</w:t>
      </w:r>
      <w:r w:rsidR="00CC2345" w:rsidRPr="00390F83">
        <w:rPr>
          <w:lang w:eastAsia="zh-CN"/>
        </w:rPr>
        <w:t xml:space="preserve"> </w:t>
      </w:r>
      <w:r w:rsidR="00527031" w:rsidRPr="00390F83">
        <w:rPr>
          <w:lang w:eastAsia="zh-CN"/>
        </w:rPr>
        <w:t xml:space="preserve">the draft Briefing Note on </w:t>
      </w:r>
      <w:r w:rsidR="00CC2345" w:rsidRPr="00390F83">
        <w:rPr>
          <w:lang w:eastAsia="zh-CN"/>
        </w:rPr>
        <w:t>other effective area-based conservation measures for wetlands wise use</w:t>
      </w:r>
      <w:r w:rsidR="00527031" w:rsidRPr="00390F83">
        <w:rPr>
          <w:lang w:eastAsia="zh-CN"/>
        </w:rPr>
        <w:t xml:space="preserve"> (task 4.1)</w:t>
      </w:r>
      <w:r w:rsidR="00CC2345" w:rsidRPr="00390F83">
        <w:rPr>
          <w:lang w:eastAsia="zh-CN"/>
        </w:rPr>
        <w:t xml:space="preserve">; </w:t>
      </w:r>
      <w:r w:rsidR="00570A68" w:rsidRPr="00390F83">
        <w:rPr>
          <w:lang w:eastAsia="zh-CN"/>
        </w:rPr>
        <w:t xml:space="preserve">work undertaken by a </w:t>
      </w:r>
      <w:r w:rsidR="00527031" w:rsidRPr="00390F83">
        <w:rPr>
          <w:lang w:eastAsia="zh-CN"/>
        </w:rPr>
        <w:t xml:space="preserve">consultant </w:t>
      </w:r>
      <w:r w:rsidR="00570A68" w:rsidRPr="00390F83">
        <w:rPr>
          <w:lang w:eastAsia="zh-CN"/>
        </w:rPr>
        <w:t xml:space="preserve">on </w:t>
      </w:r>
      <w:r w:rsidR="00862BC3" w:rsidRPr="00390F83">
        <w:rPr>
          <w:lang w:eastAsia="zh-CN"/>
        </w:rPr>
        <w:t xml:space="preserve">the </w:t>
      </w:r>
      <w:r w:rsidR="00527031" w:rsidRPr="00390F83">
        <w:rPr>
          <w:lang w:eastAsia="zh-CN"/>
        </w:rPr>
        <w:t>assessment of costs of wetland loss and degradation for</w:t>
      </w:r>
      <w:r w:rsidR="00CC2345" w:rsidRPr="00390F83">
        <w:rPr>
          <w:lang w:eastAsia="zh-CN"/>
        </w:rPr>
        <w:t xml:space="preserve"> the Global Wetland Outlook</w:t>
      </w:r>
      <w:r w:rsidR="00527031" w:rsidRPr="00390F83">
        <w:rPr>
          <w:lang w:eastAsia="zh-CN"/>
        </w:rPr>
        <w:t xml:space="preserve"> (task 5.1)</w:t>
      </w:r>
      <w:r w:rsidR="00020D59" w:rsidRPr="00390F83">
        <w:rPr>
          <w:lang w:eastAsia="zh-CN"/>
        </w:rPr>
        <w:t xml:space="preserve">; </w:t>
      </w:r>
      <w:r w:rsidR="00CC2345" w:rsidRPr="00390F83">
        <w:rPr>
          <w:lang w:eastAsia="zh-CN"/>
        </w:rPr>
        <w:t>the proposed approach to delivering future Global Wetland Outlooks (</w:t>
      </w:r>
      <w:r w:rsidR="00020D59" w:rsidRPr="00390F83">
        <w:rPr>
          <w:lang w:eastAsia="zh-CN"/>
        </w:rPr>
        <w:t>task 5.3</w:t>
      </w:r>
      <w:r w:rsidR="00CC2345" w:rsidRPr="00390F83">
        <w:rPr>
          <w:lang w:eastAsia="zh-CN"/>
        </w:rPr>
        <w:t xml:space="preserve">); and </w:t>
      </w:r>
      <w:r w:rsidR="00020D59" w:rsidRPr="00390F83">
        <w:rPr>
          <w:lang w:eastAsia="zh-CN"/>
        </w:rPr>
        <w:t>the proposed</w:t>
      </w:r>
      <w:r w:rsidR="00CC2345" w:rsidRPr="00390F83">
        <w:rPr>
          <w:lang w:eastAsia="zh-CN"/>
        </w:rPr>
        <w:t xml:space="preserve"> review of legal and policy frameworks for wetland conservation and wise use (</w:t>
      </w:r>
      <w:r w:rsidR="00020D59" w:rsidRPr="00390F83">
        <w:rPr>
          <w:lang w:eastAsia="zh-CN"/>
        </w:rPr>
        <w:t>task 5.4</w:t>
      </w:r>
      <w:r w:rsidR="00CC2345" w:rsidRPr="00390F83">
        <w:rPr>
          <w:lang w:eastAsia="zh-CN"/>
        </w:rPr>
        <w:t>).</w:t>
      </w:r>
    </w:p>
    <w:p w14:paraId="387FFE14" w14:textId="77777777" w:rsidR="008A29B8" w:rsidRPr="00390F83" w:rsidRDefault="008A29B8" w:rsidP="008A29B8">
      <w:pPr>
        <w:rPr>
          <w:rFonts w:eastAsia="Calibri"/>
          <w:b/>
        </w:rPr>
      </w:pPr>
    </w:p>
    <w:p w14:paraId="21432972" w14:textId="1CB59DA0" w:rsidR="008A29B8" w:rsidRPr="00390F83" w:rsidRDefault="00F319AD" w:rsidP="008A29B8">
      <w:pPr>
        <w:rPr>
          <w:rFonts w:eastAsia="Calibri"/>
          <w:b/>
        </w:rPr>
      </w:pPr>
      <w:r w:rsidRPr="00390F83">
        <w:rPr>
          <w:rFonts w:eastAsia="Calibri"/>
          <w:b/>
        </w:rPr>
        <w:t xml:space="preserve">STRP </w:t>
      </w:r>
      <w:r w:rsidR="00984B0B" w:rsidRPr="00390F83">
        <w:rPr>
          <w:rFonts w:eastAsia="Calibri"/>
          <w:b/>
        </w:rPr>
        <w:t>Communiqu</w:t>
      </w:r>
      <w:r w:rsidR="00984B0B">
        <w:rPr>
          <w:rFonts w:eastAsia="Calibri"/>
          <w:b/>
        </w:rPr>
        <w:t>é</w:t>
      </w:r>
    </w:p>
    <w:p w14:paraId="2899CEA3" w14:textId="77777777" w:rsidR="008A29B8" w:rsidRPr="00390F83" w:rsidRDefault="008A29B8" w:rsidP="008A29B8">
      <w:pPr>
        <w:rPr>
          <w:rFonts w:eastAsia="Calibri"/>
          <w:bCs w:val="0"/>
        </w:rPr>
      </w:pPr>
    </w:p>
    <w:p w14:paraId="2F98FCFC" w14:textId="4C9B2303" w:rsidR="008A29B8" w:rsidRPr="00390F83" w:rsidRDefault="001E61BB" w:rsidP="008A29B8">
      <w:pPr>
        <w:ind w:left="432" w:hanging="432"/>
        <w:rPr>
          <w:rFonts w:eastAsia="Calibri"/>
          <w:bCs w:val="0"/>
        </w:rPr>
      </w:pPr>
      <w:r>
        <w:rPr>
          <w:lang w:eastAsia="zh-CN"/>
        </w:rPr>
        <w:t>4</w:t>
      </w:r>
      <w:r w:rsidR="00F319AD" w:rsidRPr="00390F83">
        <w:rPr>
          <w:lang w:eastAsia="zh-CN"/>
        </w:rPr>
        <w:t>.</w:t>
      </w:r>
      <w:r w:rsidR="00F319AD" w:rsidRPr="00390F83">
        <w:rPr>
          <w:lang w:eastAsia="zh-CN"/>
        </w:rPr>
        <w:tab/>
      </w:r>
      <w:r w:rsidR="00F319AD" w:rsidRPr="00390F83">
        <w:rPr>
          <w:rFonts w:eastAsia="Calibri"/>
          <w:bCs w:val="0"/>
        </w:rPr>
        <w:t xml:space="preserve">Following </w:t>
      </w:r>
      <w:r w:rsidR="00F319AD" w:rsidRPr="00390F83">
        <w:rPr>
          <w:lang w:eastAsia="zh-CN"/>
        </w:rPr>
        <w:t>the</w:t>
      </w:r>
      <w:r w:rsidR="00F319AD" w:rsidRPr="00390F83">
        <w:rPr>
          <w:rFonts w:eastAsia="Calibri"/>
          <w:bCs w:val="0"/>
        </w:rPr>
        <w:t xml:space="preserve"> 26</w:t>
      </w:r>
      <w:r w:rsidR="00F319AD" w:rsidRPr="00EF7423">
        <w:rPr>
          <w:rFonts w:eastAsia="Calibri"/>
        </w:rPr>
        <w:t>th</w:t>
      </w:r>
      <w:r w:rsidR="00F319AD" w:rsidRPr="00390F83">
        <w:rPr>
          <w:rFonts w:eastAsia="Calibri"/>
          <w:bCs w:val="0"/>
        </w:rPr>
        <w:t xml:space="preserve"> </w:t>
      </w:r>
      <w:r w:rsidR="006C1BC1" w:rsidRPr="00390F83">
        <w:rPr>
          <w:rFonts w:eastAsia="Calibri"/>
          <w:bCs w:val="0"/>
        </w:rPr>
        <w:t>m</w:t>
      </w:r>
      <w:r w:rsidR="00F319AD" w:rsidRPr="00390F83">
        <w:rPr>
          <w:rFonts w:eastAsia="Calibri"/>
          <w:bCs w:val="0"/>
        </w:rPr>
        <w:t xml:space="preserve">eeting of the STRP (STRP26), the STRP Chair, with support from the Secretariat, launched a </w:t>
      </w:r>
      <w:hyperlink r:id="rId10" w:history="1">
        <w:r w:rsidR="00CE4218" w:rsidRPr="00390F83">
          <w:rPr>
            <w:rStyle w:val="Hyperlink"/>
            <w:rFonts w:eastAsia="Calibri"/>
            <w:bCs w:val="0"/>
          </w:rPr>
          <w:t>communiqu</w:t>
        </w:r>
        <w:r w:rsidR="00CE4218">
          <w:rPr>
            <w:rStyle w:val="Hyperlink"/>
            <w:rFonts w:eastAsia="Calibri"/>
            <w:bCs w:val="0"/>
          </w:rPr>
          <w:t>é</w:t>
        </w:r>
      </w:hyperlink>
      <w:r w:rsidR="00CE4218" w:rsidRPr="00390F83">
        <w:rPr>
          <w:rFonts w:eastAsia="Calibri"/>
          <w:bCs w:val="0"/>
        </w:rPr>
        <w:t xml:space="preserve"> </w:t>
      </w:r>
      <w:r w:rsidR="00F319AD" w:rsidRPr="00390F83">
        <w:rPr>
          <w:rFonts w:eastAsia="Calibri"/>
          <w:bCs w:val="0"/>
        </w:rPr>
        <w:t>that focuses on sharing updates from the STRP Chair with IOPs, observers, and STRP focal points. The first communiqu</w:t>
      </w:r>
      <w:r w:rsidR="00CE4218">
        <w:rPr>
          <w:rFonts w:eastAsia="Calibri"/>
          <w:bCs w:val="0"/>
        </w:rPr>
        <w:t>é</w:t>
      </w:r>
      <w:r w:rsidR="00F319AD" w:rsidRPr="00390F83">
        <w:rPr>
          <w:rFonts w:eastAsia="Calibri"/>
          <w:bCs w:val="0"/>
        </w:rPr>
        <w:t xml:space="preserve"> was sent out on 15 May 2024 and focused on sharing information on progress related to STRP tasks and relevant publications. The </w:t>
      </w:r>
      <w:r w:rsidR="00CE4218" w:rsidRPr="00390F83">
        <w:rPr>
          <w:rFonts w:eastAsia="Calibri"/>
          <w:bCs w:val="0"/>
        </w:rPr>
        <w:t>communiqu</w:t>
      </w:r>
      <w:r w:rsidR="00CE4218">
        <w:rPr>
          <w:rFonts w:eastAsia="Calibri"/>
          <w:bCs w:val="0"/>
        </w:rPr>
        <w:t>é</w:t>
      </w:r>
      <w:r w:rsidR="00CE4218" w:rsidRPr="00390F83">
        <w:rPr>
          <w:rFonts w:eastAsia="Calibri"/>
          <w:bCs w:val="0"/>
        </w:rPr>
        <w:t xml:space="preserve"> </w:t>
      </w:r>
      <w:r w:rsidR="00F319AD" w:rsidRPr="00390F83">
        <w:rPr>
          <w:rFonts w:eastAsia="Calibri"/>
          <w:bCs w:val="0"/>
        </w:rPr>
        <w:t xml:space="preserve">also provides opportunities for sharing updates from </w:t>
      </w:r>
      <w:r w:rsidR="005C5C90" w:rsidRPr="00390F83">
        <w:rPr>
          <w:rFonts w:eastAsia="Calibri"/>
          <w:bCs w:val="0"/>
        </w:rPr>
        <w:t>the International Organization Partners (</w:t>
      </w:r>
      <w:r w:rsidR="00F319AD" w:rsidRPr="00390F83">
        <w:rPr>
          <w:rFonts w:eastAsia="Calibri"/>
          <w:bCs w:val="0"/>
        </w:rPr>
        <w:t>IOPs</w:t>
      </w:r>
      <w:r w:rsidR="005C5C90" w:rsidRPr="00390F83">
        <w:rPr>
          <w:rFonts w:eastAsia="Calibri"/>
          <w:bCs w:val="0"/>
        </w:rPr>
        <w:t>)</w:t>
      </w:r>
      <w:r w:rsidR="00F319AD" w:rsidRPr="00390F83">
        <w:rPr>
          <w:rFonts w:eastAsia="Calibri"/>
          <w:bCs w:val="0"/>
        </w:rPr>
        <w:t xml:space="preserve">. </w:t>
      </w:r>
      <w:r w:rsidR="0056081F" w:rsidRPr="00390F83">
        <w:rPr>
          <w:rFonts w:eastAsia="Calibri"/>
          <w:bCs w:val="0"/>
        </w:rPr>
        <w:t xml:space="preserve">The </w:t>
      </w:r>
      <w:r w:rsidR="00471EB5" w:rsidRPr="00390F83">
        <w:rPr>
          <w:rFonts w:eastAsia="Calibri"/>
          <w:bCs w:val="0"/>
        </w:rPr>
        <w:t xml:space="preserve">next edition of the </w:t>
      </w:r>
      <w:r w:rsidR="00CE4218" w:rsidRPr="00390F83">
        <w:rPr>
          <w:rFonts w:eastAsia="Calibri"/>
          <w:bCs w:val="0"/>
        </w:rPr>
        <w:t>communiqu</w:t>
      </w:r>
      <w:r w:rsidR="00CE4218">
        <w:rPr>
          <w:rFonts w:eastAsia="Calibri"/>
          <w:bCs w:val="0"/>
        </w:rPr>
        <w:t>é</w:t>
      </w:r>
      <w:r w:rsidR="00CE4218" w:rsidRPr="00390F83">
        <w:rPr>
          <w:rFonts w:eastAsia="Calibri"/>
          <w:bCs w:val="0"/>
        </w:rPr>
        <w:t xml:space="preserve"> </w:t>
      </w:r>
      <w:r w:rsidR="00471EB5" w:rsidRPr="00390F83">
        <w:rPr>
          <w:rFonts w:eastAsia="Calibri"/>
          <w:bCs w:val="0"/>
        </w:rPr>
        <w:t xml:space="preserve">is anticipated </w:t>
      </w:r>
      <w:r w:rsidR="00BE5A6F" w:rsidRPr="00390F83">
        <w:rPr>
          <w:rFonts w:eastAsia="Calibri"/>
          <w:bCs w:val="0"/>
        </w:rPr>
        <w:t xml:space="preserve">in December </w:t>
      </w:r>
      <w:r w:rsidR="00471EB5" w:rsidRPr="00390F83">
        <w:rPr>
          <w:rFonts w:eastAsia="Calibri"/>
          <w:bCs w:val="0"/>
        </w:rPr>
        <w:t>2024.</w:t>
      </w:r>
    </w:p>
    <w:p w14:paraId="1B2E2B1D" w14:textId="77777777" w:rsidR="008A29B8" w:rsidRPr="00390F83" w:rsidRDefault="008A29B8" w:rsidP="00E952E3">
      <w:pPr>
        <w:rPr>
          <w:lang w:eastAsia="zh-CN"/>
        </w:rPr>
      </w:pPr>
    </w:p>
    <w:p w14:paraId="5538A9A9" w14:textId="77777777" w:rsidR="007044CD" w:rsidRPr="00390F83" w:rsidRDefault="00F319AD" w:rsidP="007044CD">
      <w:pPr>
        <w:keepNext/>
        <w:ind w:left="425" w:hanging="425"/>
        <w:rPr>
          <w:rFonts w:eastAsia="Calibri"/>
          <w:b/>
        </w:rPr>
      </w:pPr>
      <w:r w:rsidRPr="00390F83">
        <w:rPr>
          <w:rFonts w:eastAsia="Calibri"/>
          <w:b/>
        </w:rPr>
        <w:t>Progress on the high-priority tasks outlined in the STRP Work Plan 2023-2025</w:t>
      </w:r>
    </w:p>
    <w:p w14:paraId="79D1A616" w14:textId="77777777" w:rsidR="00CF6E6E" w:rsidRPr="00390F83" w:rsidRDefault="00CF6E6E" w:rsidP="00CF6E6E">
      <w:pPr>
        <w:rPr>
          <w:rFonts w:eastAsia="Calibri"/>
        </w:rPr>
      </w:pPr>
    </w:p>
    <w:p w14:paraId="1E5A30E0" w14:textId="351D85AF" w:rsidR="00795D93" w:rsidRPr="00390F83" w:rsidRDefault="001E61BB" w:rsidP="00795D93">
      <w:pPr>
        <w:ind w:left="432" w:hanging="432"/>
        <w:rPr>
          <w:rFonts w:eastAsia="Calibri"/>
        </w:rPr>
      </w:pPr>
      <w:r>
        <w:rPr>
          <w:lang w:eastAsia="zh-CN"/>
        </w:rPr>
        <w:t>5</w:t>
      </w:r>
      <w:r w:rsidR="00795D93" w:rsidRPr="00390F83">
        <w:rPr>
          <w:lang w:eastAsia="zh-CN"/>
        </w:rPr>
        <w:t>.</w:t>
      </w:r>
      <w:r w:rsidR="00795D93" w:rsidRPr="00390F83">
        <w:rPr>
          <w:lang w:eastAsia="zh-CN"/>
        </w:rPr>
        <w:tab/>
      </w:r>
      <w:r w:rsidR="00795D93" w:rsidRPr="00390F83">
        <w:rPr>
          <w:rFonts w:eastAsia="Calibri"/>
        </w:rPr>
        <w:t xml:space="preserve">The STRP has made </w:t>
      </w:r>
      <w:r w:rsidR="00795D93" w:rsidRPr="00390F83">
        <w:rPr>
          <w:rFonts w:eastAsia="Calibri"/>
          <w:bCs w:val="0"/>
        </w:rPr>
        <w:t>substantial</w:t>
      </w:r>
      <w:r w:rsidR="00795D93" w:rsidRPr="00390F83">
        <w:rPr>
          <w:rFonts w:eastAsia="Calibri"/>
        </w:rPr>
        <w:t xml:space="preserve"> progress on high-priority tasks:</w:t>
      </w:r>
    </w:p>
    <w:p w14:paraId="14E36EE5" w14:textId="77777777" w:rsidR="00795D93" w:rsidRPr="00390F83" w:rsidRDefault="00795D93" w:rsidP="00CF6E6E">
      <w:pPr>
        <w:rPr>
          <w:rFonts w:eastAsia="Calibri"/>
        </w:rPr>
      </w:pPr>
    </w:p>
    <w:p w14:paraId="7ADD9732" w14:textId="77777777" w:rsidR="00D23B75" w:rsidRPr="00390F83" w:rsidRDefault="00F319AD" w:rsidP="00CF6E6E">
      <w:pPr>
        <w:rPr>
          <w:rFonts w:eastAsia="Calibri"/>
          <w:u w:val="single"/>
        </w:rPr>
      </w:pPr>
      <w:r w:rsidRPr="00390F83">
        <w:rPr>
          <w:rFonts w:eastAsia="Calibri"/>
          <w:u w:val="single"/>
        </w:rPr>
        <w:t>Thematic Work Area 1: Wetlands of International Importance, development of the Site network and application of criteria.</w:t>
      </w:r>
    </w:p>
    <w:p w14:paraId="21FE4716" w14:textId="77777777" w:rsidR="00D23B75" w:rsidRPr="00390F83" w:rsidRDefault="00D23B75" w:rsidP="00CF6E6E">
      <w:pPr>
        <w:rPr>
          <w:rFonts w:eastAsia="Calibri"/>
        </w:rPr>
      </w:pPr>
    </w:p>
    <w:p w14:paraId="0FFA62DB" w14:textId="7E769413" w:rsidR="00995074" w:rsidRPr="00390F83" w:rsidRDefault="001E61BB" w:rsidP="00276823">
      <w:pPr>
        <w:ind w:left="432" w:hanging="432"/>
      </w:pPr>
      <w:r>
        <w:rPr>
          <w:rFonts w:eastAsia="Calibri"/>
        </w:rPr>
        <w:t>6</w:t>
      </w:r>
      <w:r w:rsidR="001632D1" w:rsidRPr="00390F83">
        <w:rPr>
          <w:rFonts w:eastAsia="Calibri"/>
        </w:rPr>
        <w:t>.</w:t>
      </w:r>
      <w:r w:rsidR="001632D1" w:rsidRPr="00390F83">
        <w:rPr>
          <w:rFonts w:eastAsia="Calibri"/>
        </w:rPr>
        <w:tab/>
      </w:r>
      <w:r w:rsidR="00F319AD" w:rsidRPr="00390F83">
        <w:rPr>
          <w:rFonts w:eastAsia="Calibri"/>
          <w:bCs w:val="0"/>
          <w:i/>
          <w:iCs/>
        </w:rPr>
        <w:t>Task 1.1 (a). Guidance on the application of Ramsar Criterion 9 for the designation of Wetlands of International Importance</w:t>
      </w:r>
      <w:r w:rsidR="00F319AD" w:rsidRPr="00390F83">
        <w:rPr>
          <w:rFonts w:eastAsia="Calibri"/>
          <w:bCs w:val="0"/>
        </w:rPr>
        <w:t xml:space="preserve">: </w:t>
      </w:r>
      <w:r w:rsidR="00F43510" w:rsidRPr="00390F83">
        <w:t xml:space="preserve">Task 1.1. (a) has been completed. </w:t>
      </w:r>
      <w:r w:rsidR="00F319AD" w:rsidRPr="00390F83">
        <w:rPr>
          <w:rFonts w:eastAsia="Calibri"/>
          <w:bCs w:val="0"/>
        </w:rPr>
        <w:t xml:space="preserve">The task </w:t>
      </w:r>
      <w:r w:rsidR="00A44542" w:rsidRPr="00390F83">
        <w:rPr>
          <w:rFonts w:eastAsia="Calibri"/>
          <w:bCs w:val="0"/>
        </w:rPr>
        <w:t xml:space="preserve">has </w:t>
      </w:r>
      <w:r w:rsidR="00F319AD" w:rsidRPr="00390F83">
        <w:rPr>
          <w:rFonts w:eastAsia="Calibri"/>
          <w:bCs w:val="0"/>
        </w:rPr>
        <w:t>involve</w:t>
      </w:r>
      <w:r w:rsidR="00A44542" w:rsidRPr="00390F83">
        <w:rPr>
          <w:rFonts w:eastAsia="Calibri"/>
          <w:bCs w:val="0"/>
        </w:rPr>
        <w:t>d</w:t>
      </w:r>
      <w:r w:rsidR="00F319AD" w:rsidRPr="00390F83">
        <w:rPr>
          <w:rFonts w:eastAsia="Calibri"/>
          <w:bCs w:val="0"/>
        </w:rPr>
        <w:t xml:space="preserve"> </w:t>
      </w:r>
      <w:r w:rsidR="00DC0309" w:rsidRPr="00390F83">
        <w:rPr>
          <w:rFonts w:eastAsia="Calibri"/>
          <w:bCs w:val="0"/>
        </w:rPr>
        <w:t xml:space="preserve">reviewing </w:t>
      </w:r>
      <w:r w:rsidR="00123F49" w:rsidRPr="00390F83">
        <w:rPr>
          <w:rFonts w:eastAsia="Calibri"/>
          <w:bCs w:val="0"/>
        </w:rPr>
        <w:t>and proposing updates to</w:t>
      </w:r>
      <w:r w:rsidR="00DC0309" w:rsidRPr="00390F83">
        <w:rPr>
          <w:rFonts w:eastAsia="Calibri"/>
          <w:bCs w:val="0"/>
        </w:rPr>
        <w:t xml:space="preserve"> </w:t>
      </w:r>
      <w:r w:rsidR="00A44542" w:rsidRPr="00390F83">
        <w:rPr>
          <w:rFonts w:eastAsia="Calibri"/>
          <w:bCs w:val="0"/>
        </w:rPr>
        <w:t xml:space="preserve">the </w:t>
      </w:r>
      <w:r w:rsidR="00784A8B" w:rsidRPr="00390F83">
        <w:rPr>
          <w:rFonts w:eastAsia="Calibri"/>
          <w:bCs w:val="0"/>
        </w:rPr>
        <w:t>Strategic Framework in relation to the</w:t>
      </w:r>
      <w:r w:rsidR="00F319AD" w:rsidRPr="00390F83" w:rsidDel="00355C04">
        <w:rPr>
          <w:rFonts w:eastAsia="Calibri"/>
          <w:bCs w:val="0"/>
        </w:rPr>
        <w:t xml:space="preserve"> </w:t>
      </w:r>
      <w:r w:rsidR="00F319AD" w:rsidRPr="00390F83">
        <w:rPr>
          <w:rFonts w:eastAsia="Calibri"/>
          <w:bCs w:val="0"/>
        </w:rPr>
        <w:t xml:space="preserve">guidance for </w:t>
      </w:r>
      <w:r w:rsidR="00355C04" w:rsidRPr="00390F83">
        <w:rPr>
          <w:rFonts w:eastAsia="Calibri"/>
          <w:bCs w:val="0"/>
        </w:rPr>
        <w:t xml:space="preserve">designating </w:t>
      </w:r>
      <w:r w:rsidR="00F319AD" w:rsidRPr="00390F83">
        <w:rPr>
          <w:rFonts w:eastAsia="Calibri"/>
          <w:bCs w:val="0"/>
        </w:rPr>
        <w:t xml:space="preserve">Wetlands of International Importance </w:t>
      </w:r>
      <w:r w:rsidR="00355C04" w:rsidRPr="00390F83">
        <w:rPr>
          <w:rFonts w:eastAsia="Calibri"/>
          <w:bCs w:val="0"/>
        </w:rPr>
        <w:t>under Criterion 9</w:t>
      </w:r>
      <w:r w:rsidR="00F319AD" w:rsidRPr="00390F83">
        <w:rPr>
          <w:rFonts w:eastAsia="Calibri"/>
          <w:bCs w:val="0"/>
        </w:rPr>
        <w:t xml:space="preserve">, enhancing collaboration with relevant actors, and identifying new data sources for site designation. The work </w:t>
      </w:r>
      <w:r w:rsidR="00974B64" w:rsidRPr="00390F83">
        <w:rPr>
          <w:rFonts w:eastAsia="Calibri"/>
          <w:bCs w:val="0"/>
        </w:rPr>
        <w:t>has</w:t>
      </w:r>
      <w:r w:rsidR="00A44542" w:rsidRPr="00390F83">
        <w:rPr>
          <w:rFonts w:eastAsia="Calibri"/>
          <w:bCs w:val="0"/>
        </w:rPr>
        <w:t xml:space="preserve"> also</w:t>
      </w:r>
      <w:r w:rsidR="00974B64" w:rsidRPr="00390F83">
        <w:rPr>
          <w:rFonts w:eastAsia="Calibri"/>
          <w:bCs w:val="0"/>
        </w:rPr>
        <w:t xml:space="preserve"> </w:t>
      </w:r>
      <w:r w:rsidR="00F319AD" w:rsidRPr="00390F83">
        <w:rPr>
          <w:rFonts w:eastAsia="Calibri"/>
          <w:bCs w:val="0"/>
        </w:rPr>
        <w:t>include</w:t>
      </w:r>
      <w:r w:rsidR="00974B64" w:rsidRPr="00390F83">
        <w:rPr>
          <w:rFonts w:eastAsia="Calibri"/>
          <w:bCs w:val="0"/>
        </w:rPr>
        <w:t>d</w:t>
      </w:r>
      <w:r w:rsidR="00E7517E" w:rsidRPr="00390F83">
        <w:rPr>
          <w:rFonts w:eastAsia="Calibri"/>
          <w:bCs w:val="0"/>
        </w:rPr>
        <w:t xml:space="preserve"> updating </w:t>
      </w:r>
      <w:r w:rsidR="003C4350" w:rsidRPr="00390F83">
        <w:rPr>
          <w:rFonts w:eastAsia="Calibri"/>
          <w:bCs w:val="0"/>
        </w:rPr>
        <w:t>the</w:t>
      </w:r>
      <w:r w:rsidR="00E7517E" w:rsidRPr="00390F83">
        <w:rPr>
          <w:rFonts w:eastAsia="Calibri"/>
          <w:bCs w:val="0"/>
        </w:rPr>
        <w:t xml:space="preserve"> document</w:t>
      </w:r>
      <w:r w:rsidR="003C4350" w:rsidRPr="00390F83">
        <w:rPr>
          <w:rFonts w:eastAsia="Calibri"/>
          <w:bCs w:val="0"/>
        </w:rPr>
        <w:t xml:space="preserve"> </w:t>
      </w:r>
      <w:r w:rsidR="003C4350" w:rsidRPr="00390F83">
        <w:rPr>
          <w:i/>
          <w:iCs/>
        </w:rPr>
        <w:t>Population estimates and 1% thresholds for wetland-dependent non-avian animal species, for the application of Criterion 9</w:t>
      </w:r>
      <w:r w:rsidR="0038220F" w:rsidRPr="00390F83">
        <w:rPr>
          <w:i/>
          <w:iCs/>
        </w:rPr>
        <w:t>,</w:t>
      </w:r>
      <w:r w:rsidR="0038220F" w:rsidRPr="00390F83">
        <w:t xml:space="preserve"> which</w:t>
      </w:r>
      <w:r w:rsidR="00E7517E" w:rsidRPr="00390F83">
        <w:t xml:space="preserve"> that was originally published in 2006</w:t>
      </w:r>
      <w:r w:rsidR="00955B7E" w:rsidRPr="00390F83">
        <w:rPr>
          <w:i/>
          <w:iCs/>
        </w:rPr>
        <w:t>.</w:t>
      </w:r>
      <w:r w:rsidR="00A44542" w:rsidRPr="00EF7423">
        <w:rPr>
          <w:rStyle w:val="FootnoteReference"/>
        </w:rPr>
        <w:footnoteReference w:id="2"/>
      </w:r>
      <w:r w:rsidR="003C4350" w:rsidRPr="00390F83">
        <w:t xml:space="preserve"> </w:t>
      </w:r>
      <w:r w:rsidR="00F319AD" w:rsidRPr="00390F83">
        <w:t xml:space="preserve">STRP has </w:t>
      </w:r>
      <w:r w:rsidR="00F43510" w:rsidRPr="00390F83">
        <w:t xml:space="preserve">also </w:t>
      </w:r>
      <w:r w:rsidR="00F319AD" w:rsidRPr="00390F83">
        <w:t>submitted a draft resolution on applying Criteri</w:t>
      </w:r>
      <w:r w:rsidR="00390F83">
        <w:t>a</w:t>
      </w:r>
      <w:r w:rsidR="00F319AD" w:rsidRPr="00390F83">
        <w:t xml:space="preserve"> 6 and 9 to new and existing Wetlands of International Importance (SC64 Doc.21).</w:t>
      </w:r>
      <w:r w:rsidR="00416D23" w:rsidRPr="00390F83">
        <w:t xml:space="preserve"> </w:t>
      </w:r>
    </w:p>
    <w:p w14:paraId="13AF209C" w14:textId="77777777" w:rsidR="00995074" w:rsidRPr="00390F83" w:rsidRDefault="00995074" w:rsidP="00995074">
      <w:pPr>
        <w:ind w:left="432" w:hanging="432"/>
        <w:rPr>
          <w:rFonts w:eastAsia="Calibri"/>
          <w:bCs w:val="0"/>
        </w:rPr>
      </w:pPr>
    </w:p>
    <w:p w14:paraId="4E857309" w14:textId="0BA92F18" w:rsidR="00995074" w:rsidRPr="00390F83" w:rsidRDefault="001E61BB" w:rsidP="00276823">
      <w:pPr>
        <w:ind w:left="432" w:hanging="432"/>
        <w:rPr>
          <w:rFonts w:eastAsia="Calibri"/>
          <w:bCs w:val="0"/>
        </w:rPr>
      </w:pPr>
      <w:r>
        <w:rPr>
          <w:rFonts w:eastAsia="Calibri"/>
        </w:rPr>
        <w:t>7</w:t>
      </w:r>
      <w:r w:rsidR="00F319AD" w:rsidRPr="00390F83">
        <w:rPr>
          <w:rFonts w:eastAsia="Calibri"/>
        </w:rPr>
        <w:t>.</w:t>
      </w:r>
      <w:r w:rsidR="00F319AD" w:rsidRPr="00390F83">
        <w:rPr>
          <w:rFonts w:eastAsia="Calibri"/>
        </w:rPr>
        <w:tab/>
      </w:r>
      <w:r w:rsidR="00F319AD" w:rsidRPr="00390F83">
        <w:rPr>
          <w:rFonts w:eastAsia="Calibri"/>
          <w:bCs w:val="0"/>
          <w:i/>
          <w:iCs/>
        </w:rPr>
        <w:t>Task 1.1 (b). Guidance to facilitate the application of Criterion 6</w:t>
      </w:r>
      <w:r w:rsidR="00F319AD" w:rsidRPr="00390F83">
        <w:rPr>
          <w:rFonts w:eastAsia="Calibri"/>
          <w:bCs w:val="0"/>
        </w:rPr>
        <w:t xml:space="preserve">: The task </w:t>
      </w:r>
      <w:r w:rsidR="00534B08" w:rsidRPr="00390F83">
        <w:rPr>
          <w:rFonts w:eastAsia="Calibri"/>
          <w:bCs w:val="0"/>
        </w:rPr>
        <w:t xml:space="preserve">has involved reviewing and proposing updates to the Strategic Framework in relation to </w:t>
      </w:r>
      <w:r w:rsidR="00EF29C2" w:rsidRPr="00EF7423">
        <w:rPr>
          <w:color w:val="000000"/>
        </w:rPr>
        <w:t>the use of waterbird population estimates</w:t>
      </w:r>
      <w:r w:rsidR="002E6D2A" w:rsidRPr="00EF7423">
        <w:rPr>
          <w:color w:val="000000"/>
        </w:rPr>
        <w:t xml:space="preserve"> under Criterion 6 as well as </w:t>
      </w:r>
      <w:r w:rsidR="00F319AD" w:rsidRPr="00390F83">
        <w:rPr>
          <w:rFonts w:eastAsia="Calibri"/>
          <w:bCs w:val="0"/>
        </w:rPr>
        <w:t>engaging with relevant IOPs and flyway initiatives.</w:t>
      </w:r>
      <w:r w:rsidR="00B7292B" w:rsidRPr="00390F83">
        <w:rPr>
          <w:rFonts w:eastAsia="Calibri"/>
          <w:bCs w:val="0"/>
        </w:rPr>
        <w:t xml:space="preserve"> </w:t>
      </w:r>
      <w:r w:rsidR="00F319AD" w:rsidRPr="00390F83">
        <w:rPr>
          <w:rFonts w:eastAsia="Calibri"/>
          <w:bCs w:val="0"/>
        </w:rPr>
        <w:t xml:space="preserve">Task 1.1. (b) has been completed. The STRP has submitted a draft resolution on the application of </w:t>
      </w:r>
      <w:r w:rsidR="00390F83" w:rsidRPr="00390F83">
        <w:rPr>
          <w:rFonts w:eastAsia="Calibri"/>
          <w:bCs w:val="0"/>
        </w:rPr>
        <w:t>Criteri</w:t>
      </w:r>
      <w:r w:rsidR="00390F83">
        <w:rPr>
          <w:rFonts w:eastAsia="Calibri"/>
          <w:bCs w:val="0"/>
        </w:rPr>
        <w:t>a</w:t>
      </w:r>
      <w:r w:rsidR="00390F83" w:rsidRPr="00390F83">
        <w:rPr>
          <w:rFonts w:eastAsia="Calibri"/>
          <w:bCs w:val="0"/>
        </w:rPr>
        <w:t xml:space="preserve"> </w:t>
      </w:r>
      <w:r w:rsidR="00F319AD" w:rsidRPr="00390F83">
        <w:rPr>
          <w:rFonts w:eastAsia="Calibri"/>
          <w:bCs w:val="0"/>
        </w:rPr>
        <w:t>6 and 9 to new and existing Wetlands of International Importance (SC64 Doc.21)</w:t>
      </w:r>
      <w:r w:rsidR="001E3504" w:rsidRPr="00390F83">
        <w:rPr>
          <w:rFonts w:eastAsia="Calibri"/>
          <w:bCs w:val="0"/>
        </w:rPr>
        <w:t>,</w:t>
      </w:r>
      <w:r w:rsidR="001F27D0" w:rsidRPr="00390F83">
        <w:rPr>
          <w:rFonts w:eastAsia="Calibri"/>
          <w:bCs w:val="0"/>
        </w:rPr>
        <w:t xml:space="preserve"> which </w:t>
      </w:r>
      <w:r w:rsidR="00F319AD" w:rsidRPr="00390F83">
        <w:rPr>
          <w:rFonts w:eastAsia="Calibri"/>
          <w:bCs w:val="0"/>
        </w:rPr>
        <w:t xml:space="preserve">includes </w:t>
      </w:r>
      <w:r w:rsidR="00F319AD" w:rsidRPr="00390F83">
        <w:t>proposed</w:t>
      </w:r>
      <w:r w:rsidR="00F319AD" w:rsidRPr="00390F83">
        <w:rPr>
          <w:rFonts w:eastAsia="Calibri"/>
          <w:bCs w:val="0"/>
        </w:rPr>
        <w:t xml:space="preserve"> changes to the </w:t>
      </w:r>
      <w:r w:rsidR="00B7292B" w:rsidRPr="00390F83">
        <w:rPr>
          <w:rFonts w:eastAsia="Calibri"/>
          <w:bCs w:val="0"/>
        </w:rPr>
        <w:t>Strategic Framework</w:t>
      </w:r>
      <w:r w:rsidR="00534B08" w:rsidRPr="00390F83">
        <w:rPr>
          <w:rFonts w:eastAsia="Calibri"/>
          <w:bCs w:val="0"/>
        </w:rPr>
        <w:t>,</w:t>
      </w:r>
      <w:r w:rsidR="00B7292B" w:rsidRPr="00390F83">
        <w:rPr>
          <w:rFonts w:eastAsia="Calibri"/>
          <w:bCs w:val="0"/>
        </w:rPr>
        <w:t xml:space="preserve"> </w:t>
      </w:r>
      <w:r w:rsidR="001E3504" w:rsidRPr="00390F83">
        <w:rPr>
          <w:rFonts w:eastAsia="Calibri"/>
          <w:bCs w:val="0"/>
        </w:rPr>
        <w:t>including changes to</w:t>
      </w:r>
      <w:r w:rsidR="00390AE2" w:rsidRPr="00390F83">
        <w:rPr>
          <w:rFonts w:eastAsia="Calibri"/>
          <w:bCs w:val="0"/>
        </w:rPr>
        <w:t xml:space="preserve"> Criterion 5 to ensure consistency.</w:t>
      </w:r>
    </w:p>
    <w:p w14:paraId="709AEEDE" w14:textId="77777777" w:rsidR="00995074" w:rsidRPr="00390F83" w:rsidRDefault="00995074" w:rsidP="00995074">
      <w:pPr>
        <w:ind w:left="432" w:hanging="432"/>
        <w:rPr>
          <w:rFonts w:eastAsia="Calibri"/>
          <w:bCs w:val="0"/>
        </w:rPr>
      </w:pPr>
    </w:p>
    <w:p w14:paraId="22F6FFBD" w14:textId="7D4F21A2" w:rsidR="00995074" w:rsidRPr="00390F83" w:rsidRDefault="001E61BB" w:rsidP="00276823">
      <w:pPr>
        <w:ind w:left="432" w:hanging="432"/>
        <w:rPr>
          <w:rFonts w:eastAsia="Calibri"/>
          <w:bCs w:val="0"/>
        </w:rPr>
      </w:pPr>
      <w:r>
        <w:rPr>
          <w:rFonts w:eastAsia="Calibri"/>
        </w:rPr>
        <w:t>8</w:t>
      </w:r>
      <w:r w:rsidR="00F319AD" w:rsidRPr="00390F83">
        <w:rPr>
          <w:rFonts w:eastAsia="Calibri"/>
        </w:rPr>
        <w:t>.</w:t>
      </w:r>
      <w:r w:rsidR="00F319AD" w:rsidRPr="00390F83">
        <w:rPr>
          <w:rFonts w:eastAsia="Calibri"/>
        </w:rPr>
        <w:tab/>
      </w:r>
      <w:r w:rsidR="00F319AD" w:rsidRPr="00390F83">
        <w:rPr>
          <w:rFonts w:eastAsia="Calibri"/>
          <w:bCs w:val="0"/>
          <w:i/>
          <w:iCs/>
        </w:rPr>
        <w:t>Task 1.1 (c). Technical proposal for resourcing and implementation of Waterbird Population Estimate updates</w:t>
      </w:r>
      <w:r w:rsidR="00F319AD" w:rsidRPr="00390F83">
        <w:rPr>
          <w:rFonts w:eastAsia="Calibri"/>
          <w:bCs w:val="0"/>
        </w:rPr>
        <w:t xml:space="preserve">: </w:t>
      </w:r>
      <w:r w:rsidR="00F43510" w:rsidRPr="00390F83">
        <w:rPr>
          <w:rFonts w:eastAsia="Calibri"/>
          <w:bCs w:val="0"/>
        </w:rPr>
        <w:t xml:space="preserve">Task 1.1. (c) has been completed. </w:t>
      </w:r>
      <w:r w:rsidR="00B1518A" w:rsidRPr="00390F83">
        <w:rPr>
          <w:rFonts w:eastAsia="Calibri"/>
          <w:bCs w:val="0"/>
        </w:rPr>
        <w:t>A</w:t>
      </w:r>
      <w:r w:rsidR="00BC0F4A" w:rsidRPr="00390F83">
        <w:rPr>
          <w:rFonts w:eastAsia="Calibri"/>
          <w:bCs w:val="0"/>
        </w:rPr>
        <w:t xml:space="preserve"> </w:t>
      </w:r>
      <w:r w:rsidR="00F319AD" w:rsidRPr="00390F83">
        <w:rPr>
          <w:rFonts w:eastAsia="Calibri"/>
          <w:bCs w:val="0"/>
        </w:rPr>
        <w:t xml:space="preserve">technical proposal </w:t>
      </w:r>
      <w:r w:rsidR="00BC0F4A" w:rsidRPr="00390F83">
        <w:rPr>
          <w:rFonts w:eastAsia="Calibri"/>
          <w:bCs w:val="0"/>
        </w:rPr>
        <w:t xml:space="preserve">that </w:t>
      </w:r>
      <w:r w:rsidR="008031D2" w:rsidRPr="00390F83">
        <w:rPr>
          <w:rFonts w:eastAsia="Calibri"/>
          <w:bCs w:val="0"/>
        </w:rPr>
        <w:t xml:space="preserve">outlined </w:t>
      </w:r>
      <w:r w:rsidR="00F319AD" w:rsidRPr="00390F83">
        <w:rPr>
          <w:rFonts w:eastAsia="Calibri"/>
          <w:bCs w:val="0"/>
        </w:rPr>
        <w:t xml:space="preserve">options for implementing and resourcing updates to </w:t>
      </w:r>
      <w:r w:rsidR="00746935" w:rsidRPr="00390F83">
        <w:rPr>
          <w:rFonts w:eastAsia="Calibri"/>
          <w:bCs w:val="0"/>
        </w:rPr>
        <w:t xml:space="preserve">the </w:t>
      </w:r>
      <w:r w:rsidR="00F319AD" w:rsidRPr="00390F83">
        <w:rPr>
          <w:rFonts w:eastAsia="Calibri"/>
          <w:bCs w:val="0"/>
        </w:rPr>
        <w:t>WPEs</w:t>
      </w:r>
      <w:r w:rsidR="00E864E5" w:rsidRPr="00390F83">
        <w:rPr>
          <w:rFonts w:eastAsia="Calibri"/>
          <w:bCs w:val="0"/>
        </w:rPr>
        <w:t xml:space="preserve"> </w:t>
      </w:r>
      <w:r w:rsidR="00B1518A" w:rsidRPr="00390F83">
        <w:rPr>
          <w:rFonts w:eastAsia="Calibri"/>
          <w:bCs w:val="0"/>
        </w:rPr>
        <w:t xml:space="preserve">was presented in </w:t>
      </w:r>
      <w:r w:rsidR="00E864E5" w:rsidRPr="00390F83">
        <w:rPr>
          <w:rFonts w:eastAsia="Calibri"/>
          <w:bCs w:val="0"/>
        </w:rPr>
        <w:t>SC63 Doc.19</w:t>
      </w:r>
      <w:r w:rsidR="005E6A94" w:rsidRPr="00390F83">
        <w:rPr>
          <w:rFonts w:eastAsia="Calibri"/>
          <w:bCs w:val="0"/>
        </w:rPr>
        <w:t xml:space="preserve">, outlining </w:t>
      </w:r>
      <w:r w:rsidR="00F319AD" w:rsidRPr="00390F83">
        <w:rPr>
          <w:rFonts w:eastAsia="Calibri"/>
          <w:bCs w:val="0"/>
        </w:rPr>
        <w:t>synergies with related agreements, propose</w:t>
      </w:r>
      <w:r w:rsidR="00742C3A" w:rsidRPr="00390F83">
        <w:rPr>
          <w:rFonts w:eastAsia="Calibri"/>
          <w:bCs w:val="0"/>
        </w:rPr>
        <w:t>d</w:t>
      </w:r>
      <w:r w:rsidR="00F319AD" w:rsidRPr="00390F83">
        <w:rPr>
          <w:rFonts w:eastAsia="Calibri"/>
          <w:bCs w:val="0"/>
        </w:rPr>
        <w:t xml:space="preserve"> institutional resourcing partnerships, capacity-building priorities, and sugges</w:t>
      </w:r>
      <w:r w:rsidR="00746935" w:rsidRPr="00390F83">
        <w:rPr>
          <w:rFonts w:eastAsia="Calibri"/>
          <w:bCs w:val="0"/>
        </w:rPr>
        <w:t>ted</w:t>
      </w:r>
      <w:r w:rsidR="00F319AD" w:rsidRPr="00390F83">
        <w:rPr>
          <w:rFonts w:eastAsia="Calibri"/>
          <w:bCs w:val="0"/>
        </w:rPr>
        <w:t xml:space="preserve"> cost-reduction measures for WPE production.</w:t>
      </w:r>
      <w:r w:rsidR="008031D2" w:rsidRPr="00390F83">
        <w:rPr>
          <w:rFonts w:eastAsia="Calibri"/>
          <w:bCs w:val="0"/>
        </w:rPr>
        <w:t xml:space="preserve"> </w:t>
      </w:r>
      <w:r w:rsidR="002D7CF0" w:rsidRPr="00390F83">
        <w:rPr>
          <w:rFonts w:eastAsia="Calibri"/>
          <w:bCs w:val="0"/>
        </w:rPr>
        <w:t>Pursuant to Decision SC63-31,</w:t>
      </w:r>
      <w:r w:rsidR="00F319AD" w:rsidRPr="00390F83">
        <w:rPr>
          <w:rFonts w:eastAsia="Calibri"/>
          <w:bCs w:val="0"/>
        </w:rPr>
        <w:t xml:space="preserve"> </w:t>
      </w:r>
      <w:r w:rsidR="002D7CF0" w:rsidRPr="00390F83">
        <w:rPr>
          <w:rFonts w:eastAsia="Calibri"/>
          <w:bCs w:val="0"/>
        </w:rPr>
        <w:t>t</w:t>
      </w:r>
      <w:r w:rsidR="00F319AD" w:rsidRPr="00390F83">
        <w:rPr>
          <w:rFonts w:eastAsia="Calibri"/>
          <w:bCs w:val="0"/>
        </w:rPr>
        <w:t xml:space="preserve">he STRP has </w:t>
      </w:r>
      <w:r w:rsidR="001D4B6D" w:rsidRPr="00390F83">
        <w:rPr>
          <w:rFonts w:eastAsia="Calibri"/>
          <w:bCs w:val="0"/>
        </w:rPr>
        <w:t xml:space="preserve">prepared </w:t>
      </w:r>
      <w:r w:rsidR="00F319AD" w:rsidRPr="00390F83">
        <w:rPr>
          <w:rFonts w:eastAsia="Calibri"/>
          <w:bCs w:val="0"/>
        </w:rPr>
        <w:t xml:space="preserve">a draft resolution on the establishment of the </w:t>
      </w:r>
      <w:r w:rsidR="00F319AD" w:rsidRPr="00390F83">
        <w:rPr>
          <w:rFonts w:eastAsia="Calibri"/>
          <w:bCs w:val="0"/>
        </w:rPr>
        <w:lastRenderedPageBreak/>
        <w:t>Waterbirds Estimates Partnership and the delivery of the 2027 edition of Waterbird Population Estimates (WPE2027)</w:t>
      </w:r>
      <w:r w:rsidR="00F319AD" w:rsidRPr="00390F83" w:rsidDel="00613071">
        <w:rPr>
          <w:rFonts w:eastAsia="Calibri"/>
          <w:bCs w:val="0"/>
        </w:rPr>
        <w:t xml:space="preserve"> </w:t>
      </w:r>
      <w:r w:rsidR="00B33638" w:rsidRPr="00390F83">
        <w:rPr>
          <w:rFonts w:eastAsia="Calibri"/>
          <w:bCs w:val="0"/>
        </w:rPr>
        <w:t>(SC64-</w:t>
      </w:r>
      <w:r w:rsidR="0061306A" w:rsidRPr="00390F83">
        <w:rPr>
          <w:rFonts w:eastAsia="Calibri"/>
          <w:bCs w:val="0"/>
        </w:rPr>
        <w:t>20)</w:t>
      </w:r>
      <w:r w:rsidR="002D7CF0" w:rsidRPr="00390F83">
        <w:rPr>
          <w:rFonts w:eastAsia="Calibri"/>
          <w:bCs w:val="0"/>
        </w:rPr>
        <w:t xml:space="preserve">, </w:t>
      </w:r>
      <w:r w:rsidR="00E70340" w:rsidRPr="00390F83">
        <w:rPr>
          <w:rFonts w:eastAsia="Calibri"/>
          <w:bCs w:val="0"/>
        </w:rPr>
        <w:t xml:space="preserve">with </w:t>
      </w:r>
      <w:r w:rsidR="002D7CF0" w:rsidRPr="00390F83">
        <w:rPr>
          <w:rFonts w:eastAsia="Calibri"/>
          <w:bCs w:val="0"/>
        </w:rPr>
        <w:t xml:space="preserve">additional </w:t>
      </w:r>
      <w:r w:rsidR="00E70340" w:rsidRPr="00390F83">
        <w:rPr>
          <w:rFonts w:eastAsia="Calibri"/>
          <w:bCs w:val="0"/>
        </w:rPr>
        <w:t xml:space="preserve">information on </w:t>
      </w:r>
      <w:r w:rsidR="002D7CF0" w:rsidRPr="00390F83">
        <w:rPr>
          <w:rFonts w:eastAsia="Calibri"/>
          <w:bCs w:val="0"/>
        </w:rPr>
        <w:t>fin</w:t>
      </w:r>
      <w:r w:rsidR="003F10FE" w:rsidRPr="00390F83">
        <w:rPr>
          <w:rFonts w:eastAsia="Calibri"/>
          <w:bCs w:val="0"/>
        </w:rPr>
        <w:t xml:space="preserve">ancial implications of the WEP </w:t>
      </w:r>
      <w:r w:rsidR="00401824" w:rsidRPr="00390F83">
        <w:rPr>
          <w:rFonts w:eastAsia="Calibri"/>
          <w:bCs w:val="0"/>
        </w:rPr>
        <w:t xml:space="preserve">included </w:t>
      </w:r>
      <w:r w:rsidR="003F10FE" w:rsidRPr="00390F83">
        <w:rPr>
          <w:rFonts w:eastAsia="Calibri"/>
          <w:bCs w:val="0"/>
        </w:rPr>
        <w:t>in the present report (Annex 5)</w:t>
      </w:r>
      <w:r w:rsidR="00F319AD" w:rsidRPr="00390F83">
        <w:rPr>
          <w:rFonts w:eastAsia="Calibri"/>
          <w:bCs w:val="0"/>
        </w:rPr>
        <w:t>.</w:t>
      </w:r>
      <w:r w:rsidR="002D7CF0" w:rsidRPr="00390F83">
        <w:t xml:space="preserve"> </w:t>
      </w:r>
    </w:p>
    <w:p w14:paraId="78BDA935" w14:textId="77777777" w:rsidR="00995074" w:rsidRPr="00390F83" w:rsidRDefault="00995074" w:rsidP="00995074">
      <w:pPr>
        <w:ind w:left="432" w:hanging="432"/>
        <w:rPr>
          <w:rFonts w:eastAsia="Calibri"/>
          <w:bCs w:val="0"/>
        </w:rPr>
      </w:pPr>
    </w:p>
    <w:p w14:paraId="6D2D115B" w14:textId="6BECB27D" w:rsidR="00D23B75" w:rsidRPr="00390F83" w:rsidRDefault="001E61BB" w:rsidP="00276823">
      <w:pPr>
        <w:ind w:left="432" w:hanging="432"/>
        <w:rPr>
          <w:rFonts w:eastAsia="Calibri"/>
          <w:bCs w:val="0"/>
        </w:rPr>
      </w:pPr>
      <w:r>
        <w:rPr>
          <w:rFonts w:eastAsia="Calibri"/>
        </w:rPr>
        <w:t>9</w:t>
      </w:r>
      <w:r w:rsidR="00F319AD" w:rsidRPr="00390F83">
        <w:rPr>
          <w:rFonts w:eastAsia="Calibri"/>
        </w:rPr>
        <w:t>.</w:t>
      </w:r>
      <w:r w:rsidR="00F319AD" w:rsidRPr="00390F83">
        <w:rPr>
          <w:rFonts w:eastAsia="Calibri"/>
        </w:rPr>
        <w:tab/>
      </w:r>
      <w:r w:rsidR="00F319AD" w:rsidRPr="00390F83">
        <w:rPr>
          <w:rFonts w:eastAsia="Calibri"/>
          <w:bCs w:val="0"/>
          <w:i/>
          <w:iCs/>
        </w:rPr>
        <w:t>Task 1.2. Global assessment of gaps in the network of Wetlands of International Importance and synergies with global climate and biodiversity goals</w:t>
      </w:r>
      <w:r w:rsidR="00F319AD" w:rsidRPr="00390F83">
        <w:rPr>
          <w:rFonts w:eastAsia="Calibri"/>
          <w:bCs w:val="0"/>
        </w:rPr>
        <w:t xml:space="preserve">: </w:t>
      </w:r>
      <w:r w:rsidR="00AE5A18" w:rsidRPr="00390F83">
        <w:rPr>
          <w:rFonts w:eastAsia="Calibri"/>
          <w:bCs w:val="0"/>
        </w:rPr>
        <w:t>Task 1.2 has been put on hold due to limited human resources available to progress this work. To date, the focus for TWA 1 has been on ensuring delivery of Tasks 1.1a, 1.1b, and 1.1c. Activities associated with</w:t>
      </w:r>
      <w:r w:rsidR="00F319AD" w:rsidRPr="00390F83">
        <w:rPr>
          <w:rFonts w:eastAsia="Calibri"/>
          <w:bCs w:val="0"/>
        </w:rPr>
        <w:t xml:space="preserve"> task </w:t>
      </w:r>
      <w:r w:rsidR="00AE5A18" w:rsidRPr="00390F83">
        <w:rPr>
          <w:rFonts w:eastAsia="Calibri"/>
          <w:bCs w:val="0"/>
        </w:rPr>
        <w:t xml:space="preserve">1.2 have been integrated as a prioritized task for the next triennium (see Annex 1 </w:t>
      </w:r>
      <w:r w:rsidR="00AE5A18" w:rsidRPr="00390F83">
        <w:rPr>
          <w:rFonts w:eastAsia="Calibri"/>
        </w:rPr>
        <w:t>STRP Priorities 2026-2028</w:t>
      </w:r>
      <w:r w:rsidR="00AE5A18" w:rsidRPr="00390F83">
        <w:rPr>
          <w:rFonts w:eastAsia="Calibri"/>
          <w:bCs w:val="0"/>
        </w:rPr>
        <w:t xml:space="preserve">). </w:t>
      </w:r>
      <w:r w:rsidR="002E53DE" w:rsidRPr="00390F83">
        <w:rPr>
          <w:rFonts w:eastAsia="Calibri"/>
          <w:bCs w:val="0"/>
        </w:rPr>
        <w:t xml:space="preserve">This </w:t>
      </w:r>
      <w:r w:rsidR="00AE5A18" w:rsidRPr="00390F83">
        <w:rPr>
          <w:rFonts w:eastAsia="Calibri"/>
          <w:bCs w:val="0"/>
        </w:rPr>
        <w:t>will</w:t>
      </w:r>
      <w:r w:rsidR="00F319AD" w:rsidRPr="00390F83">
        <w:rPr>
          <w:rFonts w:eastAsia="Calibri"/>
          <w:bCs w:val="0"/>
        </w:rPr>
        <w:t xml:space="preserve"> involve</w:t>
      </w:r>
      <w:r w:rsidR="00AE5A18" w:rsidRPr="00390F83">
        <w:rPr>
          <w:rFonts w:eastAsia="Calibri"/>
          <w:bCs w:val="0"/>
        </w:rPr>
        <w:t xml:space="preserve"> </w:t>
      </w:r>
      <w:r w:rsidR="00F319AD" w:rsidRPr="00390F83">
        <w:rPr>
          <w:rFonts w:eastAsia="Calibri"/>
          <w:bCs w:val="0"/>
        </w:rPr>
        <w:t xml:space="preserve">a global assessment to identify under-represented wetland types, species, and habitats across biogeographic areas, </w:t>
      </w:r>
      <w:r w:rsidR="00036AF3" w:rsidRPr="00390F83">
        <w:rPr>
          <w:rFonts w:eastAsia="Calibri"/>
          <w:bCs w:val="0"/>
        </w:rPr>
        <w:t>utilizing</w:t>
      </w:r>
      <w:r w:rsidR="00F319AD" w:rsidRPr="00390F83">
        <w:rPr>
          <w:rFonts w:eastAsia="Calibri"/>
          <w:bCs w:val="0"/>
        </w:rPr>
        <w:t xml:space="preserve"> the Ramsar Sites Information Service (RSIS) and other sources. It will </w:t>
      </w:r>
      <w:r w:rsidR="00036AF3" w:rsidRPr="00390F83">
        <w:rPr>
          <w:rFonts w:eastAsia="Calibri"/>
          <w:bCs w:val="0"/>
        </w:rPr>
        <w:t>utilize</w:t>
      </w:r>
      <w:r w:rsidR="00F319AD" w:rsidRPr="00390F83">
        <w:rPr>
          <w:rFonts w:eastAsia="Calibri"/>
          <w:bCs w:val="0"/>
        </w:rPr>
        <w:t xml:space="preserve"> a </w:t>
      </w:r>
      <w:r w:rsidR="00036AF3" w:rsidRPr="00390F83">
        <w:rPr>
          <w:rFonts w:eastAsia="Calibri"/>
          <w:bCs w:val="0"/>
        </w:rPr>
        <w:t>standardized</w:t>
      </w:r>
      <w:r w:rsidR="00F319AD" w:rsidRPr="00390F83">
        <w:rPr>
          <w:rFonts w:eastAsia="Calibri"/>
          <w:bCs w:val="0"/>
        </w:rPr>
        <w:t xml:space="preserve"> approach to provide technical information to support the future designation and </w:t>
      </w:r>
      <w:r w:rsidR="00036AF3" w:rsidRPr="00390F83">
        <w:rPr>
          <w:rFonts w:eastAsia="Calibri"/>
          <w:bCs w:val="0"/>
        </w:rPr>
        <w:t>prioritization</w:t>
      </w:r>
      <w:r w:rsidR="00F319AD" w:rsidRPr="00390F83">
        <w:rPr>
          <w:rFonts w:eastAsia="Calibri"/>
          <w:bCs w:val="0"/>
        </w:rPr>
        <w:t xml:space="preserve"> of Wetlands of International Importance across various wetland types and regions.</w:t>
      </w:r>
      <w:r w:rsidR="009E4EE3" w:rsidRPr="00390F83">
        <w:rPr>
          <w:rFonts w:eastAsia="Calibri"/>
          <w:bCs w:val="0"/>
        </w:rPr>
        <w:t xml:space="preserve"> </w:t>
      </w:r>
    </w:p>
    <w:p w14:paraId="681EAAF9" w14:textId="77777777" w:rsidR="0076015D" w:rsidRPr="00390F83" w:rsidRDefault="0076015D" w:rsidP="00CF6E6E">
      <w:pPr>
        <w:rPr>
          <w:rFonts w:eastAsia="Calibri"/>
        </w:rPr>
      </w:pPr>
    </w:p>
    <w:p w14:paraId="11A99156" w14:textId="77777777" w:rsidR="00D23B75" w:rsidRPr="00390F83" w:rsidRDefault="00F319AD" w:rsidP="00CF6E6E">
      <w:pPr>
        <w:rPr>
          <w:rFonts w:eastAsia="Calibri"/>
          <w:u w:val="single"/>
        </w:rPr>
      </w:pPr>
      <w:r w:rsidRPr="00390F83">
        <w:rPr>
          <w:rFonts w:eastAsia="Calibri"/>
          <w:u w:val="single"/>
        </w:rPr>
        <w:t>Thematic Work Area 2: Tools for wetland assessment, mapping and monitoring, and development of inventories.</w:t>
      </w:r>
    </w:p>
    <w:p w14:paraId="313947EA" w14:textId="77777777" w:rsidR="00D23B75" w:rsidRPr="00390F83" w:rsidRDefault="00D23B75" w:rsidP="00CF6E6E">
      <w:pPr>
        <w:rPr>
          <w:rFonts w:eastAsia="Calibri"/>
        </w:rPr>
      </w:pPr>
    </w:p>
    <w:p w14:paraId="383400FF" w14:textId="2269B010" w:rsidR="00E32947" w:rsidRPr="00390F83" w:rsidRDefault="001E61BB" w:rsidP="00276823">
      <w:pPr>
        <w:ind w:left="432" w:hanging="432"/>
      </w:pPr>
      <w:r>
        <w:rPr>
          <w:rFonts w:eastAsia="Calibri"/>
        </w:rPr>
        <w:t>10</w:t>
      </w:r>
      <w:r w:rsidR="00F319AD" w:rsidRPr="00390F83">
        <w:rPr>
          <w:rFonts w:eastAsia="Calibri"/>
        </w:rPr>
        <w:t>.</w:t>
      </w:r>
      <w:r w:rsidR="00F319AD" w:rsidRPr="00390F83">
        <w:rPr>
          <w:rFonts w:eastAsia="Calibri"/>
        </w:rPr>
        <w:tab/>
      </w:r>
      <w:r w:rsidR="00F319AD" w:rsidRPr="00390F83">
        <w:rPr>
          <w:rFonts w:eastAsia="Calibri"/>
          <w:i/>
          <w:iCs/>
        </w:rPr>
        <w:t xml:space="preserve">Task 2.1. Wetland mapping and inventories to </w:t>
      </w:r>
      <w:r w:rsidR="00036AF3" w:rsidRPr="00390F83">
        <w:rPr>
          <w:rFonts w:eastAsia="Calibri"/>
          <w:i/>
          <w:iCs/>
        </w:rPr>
        <w:t>catalyze</w:t>
      </w:r>
      <w:r w:rsidR="00F319AD" w:rsidRPr="00390F83">
        <w:rPr>
          <w:rFonts w:eastAsia="Calibri"/>
          <w:i/>
          <w:iCs/>
        </w:rPr>
        <w:t xml:space="preserve"> greater use of available methodologies for wetland carbon assessments</w:t>
      </w:r>
      <w:r w:rsidR="00F319AD" w:rsidRPr="00390F83">
        <w:rPr>
          <w:rFonts w:eastAsia="Calibri"/>
        </w:rPr>
        <w:t xml:space="preserve">: The task </w:t>
      </w:r>
      <w:r w:rsidR="00CD70CD" w:rsidRPr="00390F83">
        <w:rPr>
          <w:rFonts w:eastAsia="Calibri"/>
        </w:rPr>
        <w:t xml:space="preserve">entails </w:t>
      </w:r>
      <w:r w:rsidR="00F319AD" w:rsidRPr="00390F83">
        <w:rPr>
          <w:rFonts w:eastAsia="Calibri"/>
        </w:rPr>
        <w:t>produc</w:t>
      </w:r>
      <w:r w:rsidR="00CD70CD" w:rsidRPr="00390F83">
        <w:rPr>
          <w:rFonts w:eastAsia="Calibri"/>
        </w:rPr>
        <w:t>ing</w:t>
      </w:r>
      <w:r w:rsidR="00F319AD" w:rsidRPr="00390F83">
        <w:rPr>
          <w:rFonts w:eastAsia="Calibri"/>
        </w:rPr>
        <w:t xml:space="preserve"> guidance to enhance the utility of national wetland </w:t>
      </w:r>
      <w:r w:rsidR="00F319AD" w:rsidRPr="00390F83">
        <w:rPr>
          <w:rFonts w:eastAsia="Calibri"/>
          <w:bCs w:val="0"/>
        </w:rPr>
        <w:t>inventories</w:t>
      </w:r>
      <w:r w:rsidR="00F319AD" w:rsidRPr="00390F83">
        <w:rPr>
          <w:rFonts w:eastAsia="Calibri"/>
        </w:rPr>
        <w:t xml:space="preserve"> (NWIs) for national greenhouse gas (GHG) accounts and Nationally Determined Contributions (NDCs)</w:t>
      </w:r>
      <w:r w:rsidR="007E1252" w:rsidRPr="00390F83">
        <w:rPr>
          <w:rFonts w:eastAsia="Calibri"/>
        </w:rPr>
        <w:t xml:space="preserve">, including </w:t>
      </w:r>
      <w:r w:rsidR="00E10408" w:rsidRPr="00390F83">
        <w:rPr>
          <w:rFonts w:eastAsia="Calibri"/>
        </w:rPr>
        <w:t xml:space="preserve">consideration of </w:t>
      </w:r>
      <w:r w:rsidR="007E1252" w:rsidRPr="00390F83">
        <w:rPr>
          <w:rFonts w:eastAsia="Calibri"/>
        </w:rPr>
        <w:t>emission factors for various wetland types, other data sources, and technical constraints.</w:t>
      </w:r>
      <w:r w:rsidR="00F319AD" w:rsidRPr="00390F83">
        <w:rPr>
          <w:rFonts w:eastAsia="Calibri"/>
        </w:rPr>
        <w:t xml:space="preserve"> The task is being implemented in coordination with the task team responsible for Task 3.2. Task 2.1 </w:t>
      </w:r>
      <w:r w:rsidR="00191811" w:rsidRPr="00390F83">
        <w:rPr>
          <w:rFonts w:eastAsia="Calibri"/>
        </w:rPr>
        <w:t xml:space="preserve">is </w:t>
      </w:r>
      <w:r w:rsidR="0073105C" w:rsidRPr="00390F83">
        <w:rPr>
          <w:rFonts w:eastAsia="Calibri"/>
        </w:rPr>
        <w:t xml:space="preserve">ongoing, </w:t>
      </w:r>
      <w:r w:rsidR="009061B7" w:rsidRPr="00390F83">
        <w:rPr>
          <w:rFonts w:eastAsia="Calibri"/>
        </w:rPr>
        <w:t xml:space="preserve">with </w:t>
      </w:r>
      <w:r w:rsidR="00667AE1" w:rsidRPr="00390F83">
        <w:rPr>
          <w:rFonts w:eastAsia="Calibri"/>
        </w:rPr>
        <w:t>a</w:t>
      </w:r>
      <w:r w:rsidR="00F319AD" w:rsidRPr="00390F83">
        <w:rPr>
          <w:rFonts w:eastAsia="Calibri"/>
        </w:rPr>
        <w:t xml:space="preserve"> Technical Report</w:t>
      </w:r>
      <w:r w:rsidR="00C77C8E" w:rsidRPr="00390F83">
        <w:rPr>
          <w:rFonts w:eastAsia="Calibri"/>
        </w:rPr>
        <w:t xml:space="preserve"> expected to be available</w:t>
      </w:r>
      <w:r w:rsidR="00F319AD" w:rsidRPr="00390F83">
        <w:rPr>
          <w:rFonts w:eastAsia="Calibri"/>
        </w:rPr>
        <w:t xml:space="preserve"> for the 27</w:t>
      </w:r>
      <w:r w:rsidR="00F319AD" w:rsidRPr="00EF7423">
        <w:rPr>
          <w:rFonts w:eastAsia="Calibri"/>
        </w:rPr>
        <w:t>th</w:t>
      </w:r>
      <w:r w:rsidR="00F319AD" w:rsidRPr="00390F83">
        <w:rPr>
          <w:rFonts w:eastAsia="Calibri"/>
        </w:rPr>
        <w:t xml:space="preserve"> </w:t>
      </w:r>
      <w:r w:rsidR="00257639" w:rsidRPr="00390F83">
        <w:rPr>
          <w:rFonts w:eastAsia="Calibri"/>
        </w:rPr>
        <w:t>m</w:t>
      </w:r>
      <w:r w:rsidR="00F319AD" w:rsidRPr="00390F83">
        <w:rPr>
          <w:rFonts w:eastAsia="Calibri"/>
        </w:rPr>
        <w:t xml:space="preserve">eeting of the STRP </w:t>
      </w:r>
      <w:r w:rsidR="00597063">
        <w:rPr>
          <w:rFonts w:eastAsia="Calibri"/>
        </w:rPr>
        <w:t xml:space="preserve">(STRP27) </w:t>
      </w:r>
      <w:r w:rsidR="009330B5" w:rsidRPr="00390F83">
        <w:rPr>
          <w:rFonts w:eastAsia="Calibri"/>
        </w:rPr>
        <w:t xml:space="preserve">on 2 to 6 </w:t>
      </w:r>
      <w:r w:rsidR="00F319AD" w:rsidRPr="00390F83">
        <w:rPr>
          <w:rFonts w:eastAsia="Calibri"/>
        </w:rPr>
        <w:t xml:space="preserve">December 2024. </w:t>
      </w:r>
    </w:p>
    <w:p w14:paraId="60859C73" w14:textId="77777777" w:rsidR="00366870" w:rsidRPr="00390F83" w:rsidRDefault="00366870" w:rsidP="00276823">
      <w:pPr>
        <w:ind w:left="432" w:hanging="432"/>
        <w:rPr>
          <w:rFonts w:eastAsia="Calibri"/>
        </w:rPr>
      </w:pPr>
    </w:p>
    <w:p w14:paraId="74D11CB6" w14:textId="4E22913A" w:rsidR="00D23B75" w:rsidRPr="00390F83" w:rsidRDefault="001E61BB" w:rsidP="00276823">
      <w:pPr>
        <w:ind w:left="432" w:hanging="432"/>
        <w:rPr>
          <w:rFonts w:eastAsia="Calibri"/>
        </w:rPr>
      </w:pPr>
      <w:r>
        <w:rPr>
          <w:rFonts w:eastAsia="Calibri"/>
        </w:rPr>
        <w:t>11</w:t>
      </w:r>
      <w:r w:rsidR="00F319AD" w:rsidRPr="00390F83">
        <w:rPr>
          <w:rFonts w:eastAsia="Calibri"/>
        </w:rPr>
        <w:t>.</w:t>
      </w:r>
      <w:r w:rsidR="00F319AD" w:rsidRPr="00390F83">
        <w:rPr>
          <w:rFonts w:eastAsia="Calibri"/>
        </w:rPr>
        <w:tab/>
      </w:r>
      <w:r w:rsidR="00F319AD" w:rsidRPr="00390F83">
        <w:rPr>
          <w:rFonts w:eastAsia="Calibri"/>
          <w:i/>
          <w:iCs/>
        </w:rPr>
        <w:t>Task 2.2. Prepare guidance on inventories and monitoring of small wetlands and their multiple values for biodiversity conservation, especially in the contexts of landscape management and climate change</w:t>
      </w:r>
      <w:r w:rsidR="00F319AD" w:rsidRPr="00390F83">
        <w:rPr>
          <w:rFonts w:eastAsia="Calibri"/>
        </w:rPr>
        <w:t>. The</w:t>
      </w:r>
      <w:r w:rsidR="00B10FBD" w:rsidRPr="00390F83">
        <w:rPr>
          <w:rFonts w:eastAsia="Calibri"/>
        </w:rPr>
        <w:t xml:space="preserve"> </w:t>
      </w:r>
      <w:r w:rsidR="00F319AD" w:rsidRPr="00390F83">
        <w:rPr>
          <w:rFonts w:eastAsia="Calibri"/>
        </w:rPr>
        <w:t xml:space="preserve">task will produce a Policy Brief to raise </w:t>
      </w:r>
      <w:r w:rsidR="00B10FBD" w:rsidRPr="00390F83">
        <w:rPr>
          <w:rFonts w:eastAsia="Calibri"/>
        </w:rPr>
        <w:t xml:space="preserve">the </w:t>
      </w:r>
      <w:r w:rsidR="00F319AD" w:rsidRPr="00390F83">
        <w:rPr>
          <w:rFonts w:eastAsia="Calibri"/>
        </w:rPr>
        <w:t>awareness of small wetlands</w:t>
      </w:r>
      <w:r w:rsidR="00F35B28" w:rsidRPr="00390F83">
        <w:rPr>
          <w:rFonts w:eastAsia="Calibri"/>
        </w:rPr>
        <w:t>’</w:t>
      </w:r>
      <w:r w:rsidR="00F319AD" w:rsidRPr="00390F83">
        <w:rPr>
          <w:rFonts w:eastAsia="Calibri"/>
        </w:rPr>
        <w:t xml:space="preserve"> significance for biodiversity, habitat connectivity, and hydrological regulation, highlighting their vulnerability to climate change.</w:t>
      </w:r>
      <w:r w:rsidR="008C3E73" w:rsidRPr="00390F83">
        <w:rPr>
          <w:rFonts w:eastAsia="Calibri"/>
        </w:rPr>
        <w:t xml:space="preserve"> </w:t>
      </w:r>
      <w:r w:rsidR="00F319AD" w:rsidRPr="00390F83">
        <w:rPr>
          <w:rFonts w:eastAsia="Calibri"/>
        </w:rPr>
        <w:t xml:space="preserve">Task 2.2 </w:t>
      </w:r>
      <w:r w:rsidR="009B7707" w:rsidRPr="00390F83">
        <w:rPr>
          <w:rFonts w:eastAsia="Calibri"/>
        </w:rPr>
        <w:t xml:space="preserve">is </w:t>
      </w:r>
      <w:r w:rsidR="00E67FE3" w:rsidRPr="00390F83">
        <w:rPr>
          <w:rFonts w:eastAsia="Calibri"/>
        </w:rPr>
        <w:t>nearing completion</w:t>
      </w:r>
      <w:r w:rsidR="00F319AD" w:rsidRPr="00390F83">
        <w:rPr>
          <w:rFonts w:eastAsia="Calibri"/>
        </w:rPr>
        <w:t xml:space="preserve">, and the Policy Brief is expected to be </w:t>
      </w:r>
      <w:r w:rsidR="00036AF3" w:rsidRPr="00390F83">
        <w:rPr>
          <w:rFonts w:eastAsia="Calibri"/>
        </w:rPr>
        <w:t>finalized</w:t>
      </w:r>
      <w:r w:rsidR="00F319AD" w:rsidRPr="00390F83">
        <w:rPr>
          <w:rFonts w:eastAsia="Calibri"/>
        </w:rPr>
        <w:t xml:space="preserve"> </w:t>
      </w:r>
      <w:r w:rsidR="008C3E73" w:rsidRPr="00390F83">
        <w:rPr>
          <w:rFonts w:eastAsia="Calibri"/>
        </w:rPr>
        <w:t xml:space="preserve">by the task team </w:t>
      </w:r>
      <w:r w:rsidR="00F319AD" w:rsidRPr="00390F83">
        <w:rPr>
          <w:rFonts w:eastAsia="Calibri"/>
        </w:rPr>
        <w:t xml:space="preserve">ahead of </w:t>
      </w:r>
      <w:r w:rsidR="00597063">
        <w:rPr>
          <w:rFonts w:eastAsia="Calibri"/>
        </w:rPr>
        <w:t>STRP27</w:t>
      </w:r>
      <w:r w:rsidR="00F319AD" w:rsidRPr="00390F83">
        <w:rPr>
          <w:rFonts w:eastAsia="Calibri"/>
        </w:rPr>
        <w:t xml:space="preserve">. </w:t>
      </w:r>
    </w:p>
    <w:p w14:paraId="651B256C" w14:textId="77777777" w:rsidR="003F2FBA" w:rsidRDefault="003F2FBA" w:rsidP="00CF6E6E">
      <w:pPr>
        <w:rPr>
          <w:rFonts w:eastAsia="Calibri"/>
          <w:u w:val="single"/>
        </w:rPr>
      </w:pPr>
    </w:p>
    <w:p w14:paraId="722A37D3" w14:textId="05F6B8C6" w:rsidR="009C4137" w:rsidRPr="00390F83" w:rsidRDefault="00F319AD" w:rsidP="00CF6E6E">
      <w:pPr>
        <w:rPr>
          <w:rFonts w:eastAsia="Calibri"/>
          <w:u w:val="single"/>
        </w:rPr>
      </w:pPr>
      <w:r w:rsidRPr="00390F83">
        <w:rPr>
          <w:rFonts w:eastAsia="Calibri"/>
          <w:u w:val="single"/>
        </w:rPr>
        <w:t>Thematic Work Area 3: Direct and climate-change-related pressures on wetlands, their impacts and responses.</w:t>
      </w:r>
    </w:p>
    <w:p w14:paraId="36FAF569" w14:textId="77777777" w:rsidR="00AC0792" w:rsidRPr="00390F83" w:rsidRDefault="00AC0792" w:rsidP="00CF6E6E">
      <w:pPr>
        <w:rPr>
          <w:rFonts w:eastAsia="Calibri"/>
        </w:rPr>
      </w:pPr>
    </w:p>
    <w:p w14:paraId="4F6101CB" w14:textId="467BCF07" w:rsidR="005C4ED4" w:rsidRPr="00390F83" w:rsidRDefault="001E61BB" w:rsidP="00276823">
      <w:pPr>
        <w:ind w:left="432" w:hanging="432"/>
        <w:rPr>
          <w:rFonts w:eastAsia="Calibri"/>
          <w:bCs w:val="0"/>
        </w:rPr>
      </w:pPr>
      <w:r>
        <w:rPr>
          <w:rFonts w:eastAsia="Calibri"/>
        </w:rPr>
        <w:t>12</w:t>
      </w:r>
      <w:r w:rsidR="00F319AD" w:rsidRPr="00390F83">
        <w:rPr>
          <w:rFonts w:eastAsia="Calibri"/>
        </w:rPr>
        <w:t>.</w:t>
      </w:r>
      <w:r w:rsidR="00F319AD" w:rsidRPr="00390F83">
        <w:rPr>
          <w:rFonts w:eastAsia="Calibri"/>
        </w:rPr>
        <w:tab/>
      </w:r>
      <w:r w:rsidR="00F319AD" w:rsidRPr="00390F83">
        <w:rPr>
          <w:rFonts w:eastAsia="Calibri"/>
          <w:bCs w:val="0"/>
          <w:i/>
          <w:iCs/>
        </w:rPr>
        <w:t>Task 3.1. Climate change and wetlands – updated information on the current and projected impacts of climate change on the world’s wetlands and responses</w:t>
      </w:r>
      <w:r w:rsidR="00F319AD" w:rsidRPr="00390F83">
        <w:rPr>
          <w:rFonts w:eastAsia="Calibri"/>
          <w:bCs w:val="0"/>
        </w:rPr>
        <w:t xml:space="preserve">: This task involves </w:t>
      </w:r>
      <w:r w:rsidR="00036AF3" w:rsidRPr="00390F83">
        <w:rPr>
          <w:rFonts w:eastAsia="Calibri"/>
          <w:bCs w:val="0"/>
        </w:rPr>
        <w:t>synthesizing</w:t>
      </w:r>
      <w:r w:rsidR="00F319AD" w:rsidRPr="00390F83">
        <w:rPr>
          <w:rFonts w:eastAsia="Calibri"/>
          <w:bCs w:val="0"/>
        </w:rPr>
        <w:t xml:space="preserve"> technical information on wetlands from the IPCC 6th Assessment Report (AR6), focusing on climate change impacts and adaptation strategies. It is being developed alongside Task 2.1 and incorporat</w:t>
      </w:r>
      <w:r w:rsidR="004B5E76" w:rsidRPr="00390F83">
        <w:rPr>
          <w:rFonts w:eastAsia="Calibri"/>
          <w:bCs w:val="0"/>
        </w:rPr>
        <w:t>es</w:t>
      </w:r>
      <w:r w:rsidR="00F319AD" w:rsidRPr="00390F83">
        <w:rPr>
          <w:rFonts w:eastAsia="Calibri"/>
          <w:bCs w:val="0"/>
        </w:rPr>
        <w:t xml:space="preserve"> insights from various global reports.</w:t>
      </w:r>
      <w:r w:rsidR="005C4ED4" w:rsidRPr="00390F83">
        <w:rPr>
          <w:rFonts w:eastAsia="Calibri"/>
          <w:bCs w:val="0"/>
        </w:rPr>
        <w:t xml:space="preserve"> </w:t>
      </w:r>
      <w:r w:rsidR="00F319AD" w:rsidRPr="00390F83">
        <w:rPr>
          <w:rFonts w:eastAsia="Calibri"/>
        </w:rPr>
        <w:t xml:space="preserve">Task 3.1 </w:t>
      </w:r>
      <w:r w:rsidR="008538B9" w:rsidRPr="00390F83">
        <w:rPr>
          <w:rFonts w:eastAsia="Calibri"/>
        </w:rPr>
        <w:t xml:space="preserve">is </w:t>
      </w:r>
      <w:r w:rsidR="00A677B2" w:rsidRPr="00390F83">
        <w:rPr>
          <w:rFonts w:eastAsia="Calibri"/>
          <w:bCs w:val="0"/>
        </w:rPr>
        <w:t xml:space="preserve">ongoing, and </w:t>
      </w:r>
      <w:r w:rsidR="004B5E76" w:rsidRPr="00390F83">
        <w:rPr>
          <w:rFonts w:eastAsia="Calibri"/>
          <w:bCs w:val="0"/>
        </w:rPr>
        <w:t>expected to produce a</w:t>
      </w:r>
      <w:r w:rsidR="003D736D" w:rsidRPr="00390F83">
        <w:rPr>
          <w:rFonts w:eastAsia="Calibri"/>
        </w:rPr>
        <w:t xml:space="preserve"> </w:t>
      </w:r>
      <w:r w:rsidR="00F319AD" w:rsidRPr="00390F83">
        <w:rPr>
          <w:rFonts w:eastAsia="Calibri"/>
        </w:rPr>
        <w:t xml:space="preserve">Briefing Note </w:t>
      </w:r>
      <w:r w:rsidR="004B5E76" w:rsidRPr="00390F83">
        <w:rPr>
          <w:rFonts w:eastAsia="Calibri"/>
          <w:bCs w:val="0"/>
        </w:rPr>
        <w:t>that will be</w:t>
      </w:r>
      <w:r w:rsidR="003D736D" w:rsidRPr="00390F83">
        <w:rPr>
          <w:rFonts w:eastAsia="Calibri"/>
          <w:bCs w:val="0"/>
        </w:rPr>
        <w:t xml:space="preserve"> </w:t>
      </w:r>
      <w:r w:rsidR="00E225BF" w:rsidRPr="00390F83">
        <w:rPr>
          <w:rFonts w:eastAsia="Calibri"/>
        </w:rPr>
        <w:t xml:space="preserve">available </w:t>
      </w:r>
      <w:r w:rsidR="004B5E76" w:rsidRPr="00390F83">
        <w:rPr>
          <w:rFonts w:eastAsia="Calibri"/>
          <w:bCs w:val="0"/>
        </w:rPr>
        <w:t>for</w:t>
      </w:r>
      <w:r w:rsidR="00E225BF" w:rsidRPr="00390F83">
        <w:rPr>
          <w:rFonts w:eastAsia="Calibri"/>
        </w:rPr>
        <w:t xml:space="preserve"> </w:t>
      </w:r>
      <w:r w:rsidR="00597063">
        <w:rPr>
          <w:rFonts w:eastAsia="Calibri"/>
        </w:rPr>
        <w:t>STRP27</w:t>
      </w:r>
      <w:r w:rsidR="00F319AD" w:rsidRPr="00390F83">
        <w:rPr>
          <w:rFonts w:eastAsia="Calibri"/>
        </w:rPr>
        <w:t xml:space="preserve">. </w:t>
      </w:r>
    </w:p>
    <w:p w14:paraId="484D6546" w14:textId="77777777" w:rsidR="00365F17" w:rsidRPr="00390F83" w:rsidRDefault="00365F17" w:rsidP="00276823">
      <w:pPr>
        <w:rPr>
          <w:rFonts w:eastAsia="Calibri"/>
        </w:rPr>
      </w:pPr>
    </w:p>
    <w:p w14:paraId="5C3309EA" w14:textId="2BBCDBCB" w:rsidR="00365F17" w:rsidRPr="00390F83" w:rsidRDefault="001E61BB" w:rsidP="00365F17">
      <w:pPr>
        <w:ind w:left="432" w:hanging="432"/>
        <w:rPr>
          <w:rFonts w:eastAsia="Calibri"/>
          <w:bCs w:val="0"/>
        </w:rPr>
      </w:pPr>
      <w:r>
        <w:rPr>
          <w:rFonts w:eastAsia="Calibri"/>
        </w:rPr>
        <w:t>13</w:t>
      </w:r>
      <w:r w:rsidR="00F319AD" w:rsidRPr="00390F83">
        <w:rPr>
          <w:rFonts w:eastAsia="Calibri"/>
        </w:rPr>
        <w:t>.</w:t>
      </w:r>
      <w:r w:rsidR="00F319AD" w:rsidRPr="00390F83">
        <w:rPr>
          <w:rFonts w:eastAsia="Calibri"/>
        </w:rPr>
        <w:tab/>
      </w:r>
      <w:r w:rsidR="00F319AD" w:rsidRPr="00390F83">
        <w:rPr>
          <w:rFonts w:eastAsia="Calibri"/>
          <w:bCs w:val="0"/>
          <w:i/>
          <w:iCs/>
        </w:rPr>
        <w:t>Task 3.2: Blue carbon guidance, data and models, and support for integration of blue carbon in climate change planning frameworks</w:t>
      </w:r>
      <w:r w:rsidR="00F319AD" w:rsidRPr="00390F83">
        <w:rPr>
          <w:rFonts w:eastAsia="Calibri"/>
          <w:bCs w:val="0"/>
        </w:rPr>
        <w:t xml:space="preserve">: </w:t>
      </w:r>
    </w:p>
    <w:p w14:paraId="2D104DE5" w14:textId="475A521C" w:rsidR="00365F17" w:rsidRPr="00390F83" w:rsidRDefault="00F319AD" w:rsidP="00365F17">
      <w:pPr>
        <w:pStyle w:val="ListParagraph"/>
        <w:numPr>
          <w:ilvl w:val="0"/>
          <w:numId w:val="15"/>
        </w:numPr>
        <w:ind w:left="720" w:hanging="270"/>
        <w:rPr>
          <w:rFonts w:eastAsia="Calibri"/>
          <w:bCs w:val="0"/>
        </w:rPr>
      </w:pPr>
      <w:r w:rsidRPr="00390F83">
        <w:rPr>
          <w:rFonts w:eastAsia="Calibri"/>
          <w:bCs w:val="0"/>
        </w:rPr>
        <w:t xml:space="preserve">Task 3.2 (a). Develop guidance on </w:t>
      </w:r>
      <w:r w:rsidR="00036AF3" w:rsidRPr="00390F83">
        <w:rPr>
          <w:rFonts w:eastAsia="Calibri"/>
          <w:bCs w:val="0"/>
        </w:rPr>
        <w:t>prioritizing</w:t>
      </w:r>
      <w:r w:rsidRPr="00390F83">
        <w:rPr>
          <w:rFonts w:eastAsia="Calibri"/>
          <w:bCs w:val="0"/>
        </w:rPr>
        <w:t xml:space="preserve"> coastal blue carbon ecosystems for conservation and restoration. This task focuses on coastal blue carbon ecosystems (BCEs) such as mangroves, seagrass beds, and intertidal marshes/salt marshes. </w:t>
      </w:r>
      <w:r w:rsidR="00DC20E1" w:rsidRPr="00390F83">
        <w:rPr>
          <w:rFonts w:eastAsia="Calibri"/>
          <w:bCs w:val="0"/>
        </w:rPr>
        <w:t>A</w:t>
      </w:r>
      <w:r w:rsidR="009A2313" w:rsidRPr="00390F83">
        <w:rPr>
          <w:rFonts w:eastAsia="Calibri"/>
          <w:bCs w:val="0"/>
        </w:rPr>
        <w:t xml:space="preserve"> </w:t>
      </w:r>
      <w:r w:rsidRPr="00390F83">
        <w:rPr>
          <w:rFonts w:eastAsia="Calibri"/>
          <w:bCs w:val="0"/>
        </w:rPr>
        <w:t xml:space="preserve">desktop study </w:t>
      </w:r>
      <w:r w:rsidR="00DC20E1" w:rsidRPr="00390F83">
        <w:rPr>
          <w:rFonts w:eastAsia="Calibri"/>
          <w:bCs w:val="0"/>
        </w:rPr>
        <w:t xml:space="preserve">is underway </w:t>
      </w:r>
      <w:r w:rsidRPr="00390F83">
        <w:rPr>
          <w:rFonts w:eastAsia="Calibri"/>
          <w:bCs w:val="0"/>
        </w:rPr>
        <w:t xml:space="preserve">to evaluate existing methods and guidance for BCE conservation and restoration site </w:t>
      </w:r>
      <w:r w:rsidR="00036AF3" w:rsidRPr="00390F83">
        <w:rPr>
          <w:rFonts w:eastAsia="Calibri"/>
          <w:bCs w:val="0"/>
        </w:rPr>
        <w:t>prioritization</w:t>
      </w:r>
      <w:r w:rsidRPr="00390F83">
        <w:rPr>
          <w:rFonts w:eastAsia="Calibri"/>
          <w:bCs w:val="0"/>
        </w:rPr>
        <w:t xml:space="preserve">. </w:t>
      </w:r>
    </w:p>
    <w:p w14:paraId="658915A4" w14:textId="6E20AA06" w:rsidR="00365F17" w:rsidRPr="00390F83" w:rsidRDefault="00F319AD" w:rsidP="00365F17">
      <w:pPr>
        <w:pStyle w:val="ListParagraph"/>
        <w:numPr>
          <w:ilvl w:val="0"/>
          <w:numId w:val="15"/>
        </w:numPr>
        <w:ind w:left="720" w:hanging="270"/>
        <w:rPr>
          <w:rFonts w:eastAsia="Calibri"/>
          <w:bCs w:val="0"/>
        </w:rPr>
      </w:pPr>
      <w:r w:rsidRPr="00390F83">
        <w:rPr>
          <w:rFonts w:eastAsia="Calibri"/>
          <w:bCs w:val="0"/>
        </w:rPr>
        <w:t xml:space="preserve">Task 3.2 (b). Compiling and reviewing data and models on carbon stock and fluxes. The task examines carbon stocks, emissions, and dynamics in coastal BCEs, particularly focusing on mangroves, salt marshes, and seagrass, with additional insights into other coastal BCEs, such as mudflats. This work aims to contribute to possible future updates to the IPCC Wetlands Supplement, ensuring that global carbon models reflect the latest data and analyses from BCEs. </w:t>
      </w:r>
    </w:p>
    <w:p w14:paraId="23445426" w14:textId="570596B2" w:rsidR="00D23B75" w:rsidRPr="00390F83" w:rsidRDefault="006B0B32" w:rsidP="00276823">
      <w:pPr>
        <w:ind w:left="450"/>
        <w:rPr>
          <w:rFonts w:eastAsia="Calibri"/>
          <w:bCs w:val="0"/>
        </w:rPr>
      </w:pPr>
      <w:r w:rsidRPr="00390F83">
        <w:rPr>
          <w:rFonts w:eastAsia="Calibri"/>
          <w:bCs w:val="0"/>
        </w:rPr>
        <w:t>Both tasks are being undertaken in close connection with the task team responsible for Task 2.1. A</w:t>
      </w:r>
      <w:r w:rsidR="00F319AD" w:rsidRPr="00390F83">
        <w:rPr>
          <w:rFonts w:eastAsia="Calibri"/>
          <w:bCs w:val="0"/>
        </w:rPr>
        <w:t xml:space="preserve"> Briefing Note (</w:t>
      </w:r>
      <w:r w:rsidR="00E05393" w:rsidRPr="00390F83">
        <w:rPr>
          <w:rFonts w:eastAsia="Calibri"/>
          <w:bCs w:val="0"/>
        </w:rPr>
        <w:t xml:space="preserve">Task </w:t>
      </w:r>
      <w:r w:rsidR="00F319AD" w:rsidRPr="00390F83">
        <w:rPr>
          <w:rFonts w:eastAsia="Calibri"/>
          <w:bCs w:val="0"/>
        </w:rPr>
        <w:t>3.2.a)</w:t>
      </w:r>
      <w:r w:rsidR="00E05393" w:rsidRPr="00390F83">
        <w:rPr>
          <w:rFonts w:eastAsia="Calibri"/>
          <w:bCs w:val="0"/>
        </w:rPr>
        <w:t xml:space="preserve"> as well as a </w:t>
      </w:r>
      <w:r w:rsidR="00F319AD" w:rsidRPr="00390F83">
        <w:rPr>
          <w:rFonts w:eastAsia="Calibri"/>
          <w:bCs w:val="0"/>
        </w:rPr>
        <w:t>Technical Report and Policy Brief (</w:t>
      </w:r>
      <w:r w:rsidR="00E05393" w:rsidRPr="00390F83">
        <w:rPr>
          <w:rFonts w:eastAsia="Calibri"/>
          <w:bCs w:val="0"/>
        </w:rPr>
        <w:t xml:space="preserve">Task </w:t>
      </w:r>
      <w:r w:rsidR="00F319AD" w:rsidRPr="00390F83">
        <w:rPr>
          <w:rFonts w:eastAsia="Calibri"/>
          <w:bCs w:val="0"/>
        </w:rPr>
        <w:t>3.2.b)</w:t>
      </w:r>
      <w:r w:rsidR="003E42CC" w:rsidRPr="00390F83">
        <w:rPr>
          <w:rFonts w:eastAsia="Calibri"/>
          <w:bCs w:val="0"/>
        </w:rPr>
        <w:t xml:space="preserve"> are under preparation</w:t>
      </w:r>
      <w:r w:rsidR="00F319AD" w:rsidRPr="00390F83">
        <w:rPr>
          <w:rFonts w:eastAsia="Calibri"/>
          <w:bCs w:val="0"/>
        </w:rPr>
        <w:t xml:space="preserve">. </w:t>
      </w:r>
    </w:p>
    <w:p w14:paraId="0F5D08D4" w14:textId="77777777" w:rsidR="00171F09" w:rsidRPr="00390F83" w:rsidRDefault="00171F09" w:rsidP="002867AE">
      <w:pPr>
        <w:ind w:left="432" w:hanging="432"/>
        <w:rPr>
          <w:rFonts w:eastAsia="Calibri"/>
          <w:bCs w:val="0"/>
        </w:rPr>
      </w:pPr>
    </w:p>
    <w:p w14:paraId="4C15EF85" w14:textId="0B2828AF" w:rsidR="00AC0792" w:rsidRPr="00390F83" w:rsidRDefault="00F319AD" w:rsidP="00276823">
      <w:pPr>
        <w:ind w:left="432" w:hanging="432"/>
        <w:rPr>
          <w:rFonts w:eastAsia="Calibri"/>
        </w:rPr>
      </w:pPr>
      <w:r w:rsidRPr="00390F83">
        <w:rPr>
          <w:rFonts w:eastAsia="Calibri"/>
        </w:rPr>
        <w:t>1</w:t>
      </w:r>
      <w:r w:rsidR="001E61BB">
        <w:rPr>
          <w:rFonts w:eastAsia="Calibri"/>
        </w:rPr>
        <w:t>4</w:t>
      </w:r>
      <w:r w:rsidRPr="00390F83">
        <w:rPr>
          <w:rFonts w:eastAsia="Calibri"/>
        </w:rPr>
        <w:t>.</w:t>
      </w:r>
      <w:r w:rsidRPr="00390F83">
        <w:rPr>
          <w:rFonts w:eastAsia="Calibri"/>
        </w:rPr>
        <w:tab/>
      </w:r>
      <w:r w:rsidRPr="00390F83">
        <w:rPr>
          <w:rFonts w:eastAsia="Calibri"/>
          <w:i/>
          <w:iCs/>
        </w:rPr>
        <w:t>Task 3.3. Agriculture and wetlands: maintaining and restoring the ecological character of wetlands in agricultural settings</w:t>
      </w:r>
      <w:r w:rsidRPr="00390F83">
        <w:rPr>
          <w:rFonts w:eastAsia="Calibri"/>
        </w:rPr>
        <w:t xml:space="preserve">: The task is focused on developing guidelines to enhance wetland ecosystem services </w:t>
      </w:r>
      <w:r w:rsidRPr="00390F83">
        <w:rPr>
          <w:rFonts w:eastAsia="Calibri"/>
          <w:bCs w:val="0"/>
        </w:rPr>
        <w:t>within</w:t>
      </w:r>
      <w:r w:rsidRPr="00390F83">
        <w:rPr>
          <w:rFonts w:eastAsia="Calibri"/>
        </w:rPr>
        <w:t xml:space="preserve"> agricultural landscapes. It includes engaging National Focal Points and the STRP network for information on specific agro-ecosystems and wetland types and improving RSIS reporting on agro-wetland dynamics. A technical workshop was </w:t>
      </w:r>
      <w:r w:rsidR="00036AF3" w:rsidRPr="00390F83">
        <w:rPr>
          <w:rFonts w:eastAsia="Calibri"/>
        </w:rPr>
        <w:t>organized</w:t>
      </w:r>
      <w:r w:rsidRPr="00390F83">
        <w:rPr>
          <w:rFonts w:eastAsia="Calibri"/>
        </w:rPr>
        <w:t xml:space="preserve"> with the Food and Agriculture Organization of the United Nations (FAO). The output from </w:t>
      </w:r>
      <w:r w:rsidR="007D7275" w:rsidRPr="00390F83">
        <w:rPr>
          <w:rFonts w:eastAsia="Calibri"/>
        </w:rPr>
        <w:t>Task 3.3</w:t>
      </w:r>
      <w:r w:rsidRPr="00390F83">
        <w:rPr>
          <w:rFonts w:eastAsia="Calibri"/>
        </w:rPr>
        <w:t xml:space="preserve"> will be a Technical Report and a Policy Brief.</w:t>
      </w:r>
      <w:r w:rsidR="00F30FFE" w:rsidRPr="00390F83">
        <w:rPr>
          <w:rFonts w:eastAsia="Calibri"/>
        </w:rPr>
        <w:t xml:space="preserve"> </w:t>
      </w:r>
      <w:r w:rsidR="00134028" w:rsidRPr="00390F83">
        <w:rPr>
          <w:rFonts w:eastAsia="Calibri"/>
        </w:rPr>
        <w:t>T</w:t>
      </w:r>
      <w:r w:rsidRPr="00390F83">
        <w:rPr>
          <w:rFonts w:eastAsia="Calibri"/>
        </w:rPr>
        <w:t xml:space="preserve">he Technical Report is expected to be </w:t>
      </w:r>
      <w:r w:rsidR="00036AF3" w:rsidRPr="00390F83">
        <w:rPr>
          <w:rFonts w:eastAsia="Calibri"/>
        </w:rPr>
        <w:t>finalized</w:t>
      </w:r>
      <w:r w:rsidRPr="00390F83">
        <w:rPr>
          <w:rFonts w:eastAsia="Calibri"/>
        </w:rPr>
        <w:t xml:space="preserve"> </w:t>
      </w:r>
      <w:r w:rsidR="00854ADC" w:rsidRPr="00390F83">
        <w:rPr>
          <w:rFonts w:eastAsia="Calibri"/>
        </w:rPr>
        <w:t xml:space="preserve">before </w:t>
      </w:r>
      <w:r w:rsidR="00597063">
        <w:rPr>
          <w:rFonts w:eastAsia="Calibri"/>
        </w:rPr>
        <w:t>STRP27</w:t>
      </w:r>
      <w:r w:rsidRPr="00390F83">
        <w:rPr>
          <w:rFonts w:eastAsia="Calibri"/>
        </w:rPr>
        <w:t>. The Policy Brief will be drafted after completion of the Technical Report in the first two months of 2025. In addition, an open-access online training module will be prepared and made available on the FAO eLearning Academy</w:t>
      </w:r>
      <w:r w:rsidR="00F94E31" w:rsidRPr="00390F83">
        <w:rPr>
          <w:rStyle w:val="FootnoteReference"/>
          <w:rFonts w:eastAsia="Calibri"/>
        </w:rPr>
        <w:footnoteReference w:id="3"/>
      </w:r>
      <w:r w:rsidRPr="00390F83">
        <w:rPr>
          <w:rFonts w:eastAsia="Calibri"/>
        </w:rPr>
        <w:t xml:space="preserve"> with funding from the Convention</w:t>
      </w:r>
      <w:r w:rsidR="00F35B28" w:rsidRPr="00390F83">
        <w:rPr>
          <w:rFonts w:eastAsia="Calibri"/>
        </w:rPr>
        <w:t>’</w:t>
      </w:r>
      <w:r w:rsidRPr="00390F83">
        <w:rPr>
          <w:rFonts w:eastAsia="Calibri"/>
        </w:rPr>
        <w:t>s Partnership with Danone.</w:t>
      </w:r>
    </w:p>
    <w:p w14:paraId="037247CC" w14:textId="23FD3FEC" w:rsidR="00546347" w:rsidRPr="00390F83" w:rsidRDefault="00546347" w:rsidP="008F72AA">
      <w:pPr>
        <w:rPr>
          <w:rFonts w:eastAsia="Calibri"/>
          <w:u w:val="single"/>
        </w:rPr>
      </w:pPr>
    </w:p>
    <w:p w14:paraId="1559A80F" w14:textId="3B5693D6" w:rsidR="008F72AA" w:rsidRPr="00390F83" w:rsidRDefault="00F319AD" w:rsidP="008F72AA">
      <w:pPr>
        <w:rPr>
          <w:rFonts w:eastAsia="Calibri"/>
          <w:u w:val="single"/>
        </w:rPr>
      </w:pPr>
      <w:r w:rsidRPr="00390F83">
        <w:rPr>
          <w:rFonts w:eastAsia="Calibri"/>
          <w:u w:val="single"/>
        </w:rPr>
        <w:t>Thematic Work Area 4: Wise use, sustainable management and restoration of wetlands in the wider landscape/seascape.</w:t>
      </w:r>
    </w:p>
    <w:p w14:paraId="2B90F1B6" w14:textId="77777777" w:rsidR="008F72AA" w:rsidRPr="00390F83" w:rsidRDefault="008F72AA" w:rsidP="008F72AA">
      <w:pPr>
        <w:rPr>
          <w:rFonts w:eastAsia="Calibri"/>
        </w:rPr>
      </w:pPr>
    </w:p>
    <w:p w14:paraId="6AF03F8A" w14:textId="7F0BA9EB" w:rsidR="008F72AA" w:rsidRPr="00390F83" w:rsidRDefault="00F319AD" w:rsidP="00276823">
      <w:pPr>
        <w:ind w:left="432" w:hanging="432"/>
        <w:rPr>
          <w:rFonts w:eastAsia="Calibri"/>
        </w:rPr>
      </w:pPr>
      <w:r w:rsidRPr="00390F83">
        <w:rPr>
          <w:rFonts w:eastAsia="Calibri"/>
        </w:rPr>
        <w:t>1</w:t>
      </w:r>
      <w:r w:rsidR="001E61BB">
        <w:rPr>
          <w:rFonts w:eastAsia="Calibri"/>
        </w:rPr>
        <w:t>5</w:t>
      </w:r>
      <w:r w:rsidRPr="00390F83">
        <w:rPr>
          <w:rFonts w:eastAsia="Calibri"/>
        </w:rPr>
        <w:t>.</w:t>
      </w:r>
      <w:r w:rsidRPr="00390F83">
        <w:rPr>
          <w:rFonts w:eastAsia="Calibri"/>
        </w:rPr>
        <w:tab/>
      </w:r>
      <w:r w:rsidRPr="00390F83">
        <w:rPr>
          <w:rFonts w:eastAsia="Calibri"/>
          <w:i/>
          <w:iCs/>
        </w:rPr>
        <w:t>Task 4.1. OECMs as an opportunity in promoting wetland conservation and wise use. The task focuses on developing guidance for wetlands as 'other effective area-based conservation measures' (OECMs)</w:t>
      </w:r>
      <w:r w:rsidRPr="00390F83">
        <w:rPr>
          <w:rFonts w:eastAsia="Calibri"/>
        </w:rPr>
        <w:t xml:space="preserve">: This task </w:t>
      </w:r>
      <w:r w:rsidR="00CE2741" w:rsidRPr="00390F83">
        <w:rPr>
          <w:rFonts w:eastAsia="Calibri"/>
        </w:rPr>
        <w:t xml:space="preserve">addresses </w:t>
      </w:r>
      <w:r w:rsidRPr="00390F83">
        <w:rPr>
          <w:rFonts w:eastAsia="Calibri"/>
        </w:rPr>
        <w:t xml:space="preserve">methodologies for identifying, </w:t>
      </w:r>
      <w:r w:rsidR="00036AF3" w:rsidRPr="00390F83">
        <w:rPr>
          <w:rFonts w:eastAsia="Calibri"/>
        </w:rPr>
        <w:t>recognizing</w:t>
      </w:r>
      <w:r w:rsidRPr="00390F83">
        <w:rPr>
          <w:rFonts w:eastAsia="Calibri"/>
        </w:rPr>
        <w:t>, and managing wetlands, including Wetlands of International Importance, as OECMs to deliver against the goals and targets of the KM GBF</w:t>
      </w:r>
      <w:r w:rsidR="00A55F80" w:rsidRPr="00390F83">
        <w:rPr>
          <w:rFonts w:eastAsia="Calibri"/>
        </w:rPr>
        <w:t>, including</w:t>
      </w:r>
      <w:r w:rsidRPr="00390F83">
        <w:rPr>
          <w:rFonts w:eastAsia="Calibri"/>
        </w:rPr>
        <w:t xml:space="preserve"> required updates to the Ramsar Information Sheet (RIS).</w:t>
      </w:r>
      <w:r w:rsidR="00A55F80" w:rsidRPr="00390F83">
        <w:rPr>
          <w:rFonts w:eastAsia="Calibri"/>
        </w:rPr>
        <w:t xml:space="preserve"> </w:t>
      </w:r>
      <w:r w:rsidRPr="00390F83">
        <w:rPr>
          <w:rFonts w:eastAsia="Calibri"/>
        </w:rPr>
        <w:t xml:space="preserve">Task 4.1 </w:t>
      </w:r>
      <w:r w:rsidR="003553AB" w:rsidRPr="00390F83">
        <w:rPr>
          <w:rFonts w:eastAsia="Calibri"/>
        </w:rPr>
        <w:t xml:space="preserve">is </w:t>
      </w:r>
      <w:r w:rsidR="00CF097D" w:rsidRPr="00390F83">
        <w:rPr>
          <w:rFonts w:eastAsia="Calibri"/>
        </w:rPr>
        <w:t xml:space="preserve">ongoing. A </w:t>
      </w:r>
      <w:r w:rsidRPr="00390F83">
        <w:rPr>
          <w:rFonts w:eastAsia="Calibri"/>
        </w:rPr>
        <w:t>Briefing Note</w:t>
      </w:r>
      <w:r w:rsidR="00356296" w:rsidRPr="00390F83">
        <w:rPr>
          <w:rFonts w:eastAsia="Calibri"/>
        </w:rPr>
        <w:t xml:space="preserve"> </w:t>
      </w:r>
      <w:r w:rsidR="00CF097D" w:rsidRPr="00390F83">
        <w:rPr>
          <w:rFonts w:eastAsia="Calibri"/>
        </w:rPr>
        <w:t xml:space="preserve">is expected to be available </w:t>
      </w:r>
      <w:r w:rsidR="00356296" w:rsidRPr="00390F83">
        <w:rPr>
          <w:rFonts w:eastAsia="Calibri"/>
        </w:rPr>
        <w:t xml:space="preserve">for </w:t>
      </w:r>
      <w:r w:rsidR="00597063">
        <w:rPr>
          <w:rFonts w:eastAsia="Calibri"/>
        </w:rPr>
        <w:t>STRP27</w:t>
      </w:r>
      <w:r w:rsidR="00356296" w:rsidRPr="00390F83">
        <w:rPr>
          <w:rFonts w:eastAsia="Calibri"/>
        </w:rPr>
        <w:t xml:space="preserve">. The </w:t>
      </w:r>
      <w:r w:rsidR="008A20E4" w:rsidRPr="00390F83">
        <w:rPr>
          <w:rFonts w:eastAsia="Calibri"/>
        </w:rPr>
        <w:t xml:space="preserve">Briefing Note </w:t>
      </w:r>
      <w:r w:rsidR="00CF097D" w:rsidRPr="00390F83">
        <w:rPr>
          <w:rFonts w:eastAsia="Calibri"/>
        </w:rPr>
        <w:t xml:space="preserve">is </w:t>
      </w:r>
      <w:r w:rsidR="00066464" w:rsidRPr="00390F83">
        <w:rPr>
          <w:rFonts w:eastAsia="Calibri"/>
        </w:rPr>
        <w:t>developed in partnership with other relevant organizations, such as the IUCN World Commission on Protected Areas</w:t>
      </w:r>
      <w:r w:rsidR="00F35B28" w:rsidRPr="00390F83">
        <w:rPr>
          <w:rFonts w:eastAsia="Calibri"/>
        </w:rPr>
        <w:t>’</w:t>
      </w:r>
      <w:r w:rsidR="00066464" w:rsidRPr="00390F83">
        <w:rPr>
          <w:rFonts w:eastAsia="Calibri"/>
        </w:rPr>
        <w:t xml:space="preserve"> Other Effective Area-based Conservation Measures Specialist Group</w:t>
      </w:r>
      <w:r w:rsidR="008A20E4" w:rsidRPr="00390F83">
        <w:rPr>
          <w:rFonts w:eastAsia="Calibri"/>
        </w:rPr>
        <w:t>.</w:t>
      </w:r>
    </w:p>
    <w:p w14:paraId="1DC291F0" w14:textId="77777777" w:rsidR="008F72AA" w:rsidRPr="00390F83" w:rsidRDefault="008F72AA" w:rsidP="008F72AA">
      <w:pPr>
        <w:rPr>
          <w:rFonts w:eastAsia="Calibri"/>
        </w:rPr>
      </w:pPr>
    </w:p>
    <w:p w14:paraId="47102DCB" w14:textId="154AB5E9" w:rsidR="008F72AA" w:rsidRPr="00390F83" w:rsidRDefault="00FD4D50" w:rsidP="00276823">
      <w:pPr>
        <w:ind w:left="432" w:hanging="432"/>
        <w:rPr>
          <w:rFonts w:eastAsia="Calibri"/>
        </w:rPr>
      </w:pPr>
      <w:r w:rsidRPr="00390F83">
        <w:rPr>
          <w:rFonts w:eastAsia="Calibri"/>
        </w:rPr>
        <w:t>1</w:t>
      </w:r>
      <w:r w:rsidR="001E61BB">
        <w:rPr>
          <w:rFonts w:eastAsia="Calibri"/>
        </w:rPr>
        <w:t>6</w:t>
      </w:r>
      <w:r w:rsidR="00F319AD" w:rsidRPr="00390F83">
        <w:rPr>
          <w:rFonts w:eastAsia="Calibri"/>
        </w:rPr>
        <w:t>.</w:t>
      </w:r>
      <w:r w:rsidR="00F319AD" w:rsidRPr="00390F83">
        <w:rPr>
          <w:rFonts w:eastAsia="Calibri"/>
        </w:rPr>
        <w:tab/>
      </w:r>
      <w:r w:rsidR="00F319AD" w:rsidRPr="00390F83">
        <w:rPr>
          <w:rFonts w:eastAsia="Calibri"/>
          <w:i/>
          <w:iCs/>
        </w:rPr>
        <w:t xml:space="preserve">Task 4.2: Develop guidance on the conservation, wise use and management of ‘working coastal habitats’, including </w:t>
      </w:r>
      <w:r w:rsidR="00036AF3" w:rsidRPr="00390F83">
        <w:rPr>
          <w:rFonts w:eastAsia="Calibri"/>
          <w:i/>
          <w:iCs/>
        </w:rPr>
        <w:t>synthesizing</w:t>
      </w:r>
      <w:r w:rsidR="00F319AD" w:rsidRPr="00390F83">
        <w:rPr>
          <w:rFonts w:eastAsia="Calibri"/>
          <w:i/>
          <w:iCs/>
        </w:rPr>
        <w:t xml:space="preserve"> the global pressures on coastal wetlands</w:t>
      </w:r>
      <w:r w:rsidR="00F319AD" w:rsidRPr="00390F83">
        <w:rPr>
          <w:rFonts w:eastAsia="Calibri"/>
        </w:rPr>
        <w:t xml:space="preserve">: </w:t>
      </w:r>
      <w:r w:rsidR="003F1BCE" w:rsidRPr="00390F83">
        <w:rPr>
          <w:rFonts w:eastAsia="Calibri"/>
        </w:rPr>
        <w:t xml:space="preserve">Task 4.2 has been put on hold due to limited human resources available to progress this work. </w:t>
      </w:r>
      <w:r w:rsidR="00F319AD" w:rsidRPr="00390F83">
        <w:rPr>
          <w:rFonts w:eastAsia="Calibri"/>
        </w:rPr>
        <w:t xml:space="preserve">The task </w:t>
      </w:r>
      <w:r w:rsidR="003F1BCE" w:rsidRPr="00390F83">
        <w:rPr>
          <w:rFonts w:eastAsia="Calibri"/>
        </w:rPr>
        <w:t>planned</w:t>
      </w:r>
      <w:r w:rsidR="00F319AD" w:rsidRPr="00390F83">
        <w:rPr>
          <w:rFonts w:eastAsia="Calibri"/>
        </w:rPr>
        <w:t xml:space="preserve"> to develop guidance for the conservation, wise use, and management of ‘working coastal habitats’. It</w:t>
      </w:r>
      <w:r w:rsidR="003F1BCE" w:rsidRPr="00390F83">
        <w:rPr>
          <w:rFonts w:eastAsia="Calibri"/>
        </w:rPr>
        <w:t xml:space="preserve"> was to</w:t>
      </w:r>
      <w:r w:rsidR="00F319AD" w:rsidRPr="00390F83">
        <w:rPr>
          <w:rFonts w:eastAsia="Calibri"/>
        </w:rPr>
        <w:t xml:space="preserve"> include updat</w:t>
      </w:r>
      <w:r w:rsidR="003F1BCE" w:rsidRPr="00390F83">
        <w:rPr>
          <w:rFonts w:eastAsia="Calibri"/>
        </w:rPr>
        <w:t>es to</w:t>
      </w:r>
      <w:r w:rsidR="00F319AD" w:rsidRPr="00390F83">
        <w:rPr>
          <w:rFonts w:eastAsia="Calibri"/>
        </w:rPr>
        <w:t xml:space="preserve"> the wise-use Handbook 12 and </w:t>
      </w:r>
      <w:r w:rsidR="003F1BCE" w:rsidRPr="00390F83">
        <w:rPr>
          <w:rFonts w:eastAsia="Calibri"/>
        </w:rPr>
        <w:t xml:space="preserve">to </w:t>
      </w:r>
      <w:r w:rsidR="00036AF3" w:rsidRPr="00390F83">
        <w:rPr>
          <w:rFonts w:eastAsia="Calibri"/>
        </w:rPr>
        <w:t>synthesiz</w:t>
      </w:r>
      <w:r w:rsidR="003F1BCE" w:rsidRPr="00390F83">
        <w:rPr>
          <w:rFonts w:eastAsia="Calibri"/>
        </w:rPr>
        <w:t>e</w:t>
      </w:r>
      <w:r w:rsidR="00F319AD" w:rsidRPr="00390F83">
        <w:rPr>
          <w:rFonts w:eastAsia="Calibri"/>
        </w:rPr>
        <w:t xml:space="preserve"> approaches for effective coastal habitat management.</w:t>
      </w:r>
      <w:r w:rsidR="00A55F80" w:rsidRPr="00390F83">
        <w:rPr>
          <w:rFonts w:eastAsia="Calibri"/>
        </w:rPr>
        <w:t xml:space="preserve"> </w:t>
      </w:r>
    </w:p>
    <w:p w14:paraId="52B99B10" w14:textId="77777777" w:rsidR="008F72AA" w:rsidRPr="00390F83" w:rsidRDefault="008F72AA" w:rsidP="008F72AA">
      <w:pPr>
        <w:rPr>
          <w:rFonts w:eastAsia="Calibri"/>
        </w:rPr>
      </w:pPr>
    </w:p>
    <w:p w14:paraId="1A51CB01" w14:textId="78516BF7" w:rsidR="00307F11" w:rsidRPr="00390F83" w:rsidRDefault="00F319AD" w:rsidP="00276823">
      <w:pPr>
        <w:ind w:left="432" w:hanging="432"/>
        <w:rPr>
          <w:rFonts w:eastAsia="Calibri"/>
        </w:rPr>
      </w:pPr>
      <w:r w:rsidRPr="00390F83">
        <w:rPr>
          <w:rFonts w:eastAsia="Calibri"/>
        </w:rPr>
        <w:t>1</w:t>
      </w:r>
      <w:r w:rsidR="001E61BB">
        <w:rPr>
          <w:rFonts w:eastAsia="Calibri"/>
        </w:rPr>
        <w:t>7</w:t>
      </w:r>
      <w:r w:rsidRPr="00390F83">
        <w:rPr>
          <w:rFonts w:eastAsia="Calibri"/>
        </w:rPr>
        <w:t>.</w:t>
      </w:r>
      <w:r w:rsidRPr="00390F83">
        <w:rPr>
          <w:rFonts w:eastAsia="Calibri"/>
        </w:rPr>
        <w:tab/>
      </w:r>
      <w:r w:rsidRPr="00390F83">
        <w:rPr>
          <w:rFonts w:eastAsia="Calibri"/>
          <w:i/>
          <w:iCs/>
        </w:rPr>
        <w:t>Task 4.3: Integrating wetland protection, conservation, restoration, sustainable use and management into national sustainable development strategies</w:t>
      </w:r>
      <w:r w:rsidRPr="00390F83">
        <w:rPr>
          <w:rFonts w:eastAsia="Calibri"/>
        </w:rPr>
        <w:t>: Th</w:t>
      </w:r>
      <w:r w:rsidR="00C0202D" w:rsidRPr="00390F83">
        <w:rPr>
          <w:rFonts w:eastAsia="Calibri"/>
        </w:rPr>
        <w:t>is</w:t>
      </w:r>
      <w:r w:rsidRPr="00390F83">
        <w:rPr>
          <w:rFonts w:eastAsia="Calibri"/>
        </w:rPr>
        <w:t xml:space="preserve"> </w:t>
      </w:r>
      <w:r w:rsidR="00C0202D" w:rsidRPr="00390F83">
        <w:rPr>
          <w:rFonts w:eastAsia="Calibri"/>
        </w:rPr>
        <w:t>ongoing</w:t>
      </w:r>
      <w:r w:rsidRPr="00390F83">
        <w:rPr>
          <w:rFonts w:eastAsia="Calibri"/>
        </w:rPr>
        <w:t xml:space="preserve"> task </w:t>
      </w:r>
      <w:r w:rsidR="00036AF3" w:rsidRPr="00390F83">
        <w:rPr>
          <w:rFonts w:eastAsia="Calibri"/>
        </w:rPr>
        <w:t>centers</w:t>
      </w:r>
      <w:r w:rsidRPr="00390F83">
        <w:rPr>
          <w:rFonts w:eastAsia="Calibri"/>
        </w:rPr>
        <w:t xml:space="preserve"> around compiling and </w:t>
      </w:r>
      <w:r w:rsidR="00036AF3" w:rsidRPr="00390F83">
        <w:rPr>
          <w:rFonts w:eastAsia="Calibri"/>
        </w:rPr>
        <w:t>synthesizing</w:t>
      </w:r>
      <w:r w:rsidRPr="00390F83">
        <w:rPr>
          <w:rFonts w:eastAsia="Calibri"/>
        </w:rPr>
        <w:t xml:space="preserve"> case studies and tools for integrating wetland conservation and restoration into national sustainable development strategies. It includes developing an electronic database for case studies </w:t>
      </w:r>
      <w:r w:rsidR="00C0202D" w:rsidRPr="00390F83">
        <w:rPr>
          <w:rFonts w:eastAsia="Calibri"/>
        </w:rPr>
        <w:t xml:space="preserve">that will be </w:t>
      </w:r>
      <w:r w:rsidRPr="00390F83">
        <w:rPr>
          <w:rFonts w:eastAsia="Calibri"/>
        </w:rPr>
        <w:t xml:space="preserve">hosted on the Convention on Wetlands website or WWT Learning Hub. Task 4.3 </w:t>
      </w:r>
      <w:r w:rsidR="003D5647" w:rsidRPr="00390F83">
        <w:rPr>
          <w:rFonts w:eastAsia="Calibri"/>
        </w:rPr>
        <w:t xml:space="preserve">is </w:t>
      </w:r>
      <w:r w:rsidR="00C0202D" w:rsidRPr="00390F83">
        <w:rPr>
          <w:rFonts w:eastAsia="Calibri"/>
        </w:rPr>
        <w:t>expected to pro</w:t>
      </w:r>
      <w:r w:rsidR="002A2E1A" w:rsidRPr="00390F83">
        <w:rPr>
          <w:rFonts w:eastAsia="Calibri"/>
        </w:rPr>
        <w:t xml:space="preserve">duce a </w:t>
      </w:r>
      <w:r w:rsidRPr="00390F83">
        <w:rPr>
          <w:rFonts w:eastAsia="Calibri"/>
        </w:rPr>
        <w:t xml:space="preserve">Briefing Note </w:t>
      </w:r>
      <w:r w:rsidR="002A2E1A" w:rsidRPr="00390F83">
        <w:rPr>
          <w:rFonts w:eastAsia="Calibri"/>
        </w:rPr>
        <w:t>that will be made</w:t>
      </w:r>
      <w:r w:rsidRPr="00390F83">
        <w:rPr>
          <w:rFonts w:eastAsia="Calibri"/>
        </w:rPr>
        <w:t xml:space="preserve"> </w:t>
      </w:r>
      <w:r w:rsidR="00E87A30" w:rsidRPr="00390F83">
        <w:rPr>
          <w:rFonts w:eastAsia="Calibri"/>
        </w:rPr>
        <w:t xml:space="preserve">available </w:t>
      </w:r>
      <w:r w:rsidRPr="00390F83">
        <w:rPr>
          <w:rFonts w:eastAsia="Calibri"/>
        </w:rPr>
        <w:t xml:space="preserve">ahead of </w:t>
      </w:r>
      <w:r w:rsidR="00597063">
        <w:rPr>
          <w:rFonts w:eastAsia="Calibri"/>
        </w:rPr>
        <w:t>STRP27</w:t>
      </w:r>
      <w:r w:rsidRPr="00390F83">
        <w:rPr>
          <w:rFonts w:eastAsia="Calibri"/>
        </w:rPr>
        <w:t xml:space="preserve">. </w:t>
      </w:r>
    </w:p>
    <w:p w14:paraId="4EE596D1" w14:textId="77777777" w:rsidR="00365F17" w:rsidRPr="00390F83" w:rsidRDefault="00365F17" w:rsidP="00CF6E6E">
      <w:pPr>
        <w:rPr>
          <w:rFonts w:eastAsia="Calibri"/>
          <w:b/>
          <w:bCs w:val="0"/>
        </w:rPr>
      </w:pPr>
    </w:p>
    <w:p w14:paraId="58D7A545" w14:textId="77777777" w:rsidR="00506E0B" w:rsidRPr="00390F83" w:rsidRDefault="00F319AD" w:rsidP="00CF6E6E">
      <w:pPr>
        <w:rPr>
          <w:rFonts w:eastAsia="Calibri"/>
          <w:u w:val="single"/>
        </w:rPr>
      </w:pPr>
      <w:r w:rsidRPr="00390F83">
        <w:rPr>
          <w:rFonts w:eastAsia="Calibri"/>
          <w:u w:val="single"/>
        </w:rPr>
        <w:t>Thematic Work Area 5: Cross-cutting issues, supporting functions, and synergies with other MEAs.</w:t>
      </w:r>
    </w:p>
    <w:p w14:paraId="63EC1DA2" w14:textId="77777777" w:rsidR="00D23B75" w:rsidRPr="00390F83" w:rsidRDefault="00D23B75" w:rsidP="00CF6E6E">
      <w:pPr>
        <w:rPr>
          <w:rFonts w:eastAsia="Calibri"/>
        </w:rPr>
      </w:pPr>
    </w:p>
    <w:p w14:paraId="5A814993" w14:textId="4E38E4EC" w:rsidR="006A0CA6" w:rsidRPr="00390F83" w:rsidRDefault="007A3156" w:rsidP="00276823">
      <w:pPr>
        <w:ind w:left="432" w:hanging="432"/>
        <w:rPr>
          <w:rFonts w:eastAsia="Calibri"/>
        </w:rPr>
      </w:pPr>
      <w:r w:rsidRPr="00390F83">
        <w:rPr>
          <w:rFonts w:eastAsia="Calibri"/>
        </w:rPr>
        <w:t>1</w:t>
      </w:r>
      <w:r w:rsidR="001E61BB">
        <w:rPr>
          <w:rFonts w:eastAsia="Calibri"/>
        </w:rPr>
        <w:t>8</w:t>
      </w:r>
      <w:r w:rsidR="001632D1" w:rsidRPr="00390F83">
        <w:rPr>
          <w:rFonts w:eastAsia="Calibri"/>
        </w:rPr>
        <w:t>.</w:t>
      </w:r>
      <w:r w:rsidR="001632D1" w:rsidRPr="00390F83">
        <w:rPr>
          <w:rFonts w:eastAsia="Calibri"/>
        </w:rPr>
        <w:tab/>
      </w:r>
      <w:r w:rsidR="00F319AD" w:rsidRPr="00390F83">
        <w:rPr>
          <w:rFonts w:eastAsia="Calibri"/>
          <w:bCs w:val="0"/>
          <w:i/>
          <w:iCs/>
        </w:rPr>
        <w:t>Task 5.1. Financial costs of wetland loss and degradation, and investment required to maintain and restore wetlands (GWO 2025)</w:t>
      </w:r>
      <w:r w:rsidR="00F319AD" w:rsidRPr="00390F83">
        <w:rPr>
          <w:rFonts w:eastAsia="Calibri"/>
          <w:bCs w:val="0"/>
        </w:rPr>
        <w:t xml:space="preserve">: </w:t>
      </w:r>
      <w:r w:rsidR="00CB4066" w:rsidRPr="00390F83">
        <w:rPr>
          <w:rFonts w:eastAsia="Calibri"/>
          <w:bCs w:val="0"/>
        </w:rPr>
        <w:t xml:space="preserve">This entails </w:t>
      </w:r>
      <w:r w:rsidR="00036AF3" w:rsidRPr="00390F83">
        <w:rPr>
          <w:rFonts w:eastAsia="Calibri"/>
          <w:bCs w:val="0"/>
        </w:rPr>
        <w:t>analyz</w:t>
      </w:r>
      <w:r w:rsidR="00CB4066" w:rsidRPr="00390F83">
        <w:rPr>
          <w:rFonts w:eastAsia="Calibri"/>
          <w:bCs w:val="0"/>
        </w:rPr>
        <w:t>ing</w:t>
      </w:r>
      <w:r w:rsidR="00F319AD" w:rsidRPr="00390F83">
        <w:rPr>
          <w:rFonts w:eastAsia="Calibri"/>
          <w:bCs w:val="0"/>
        </w:rPr>
        <w:t xml:space="preserve"> the economic impacts of wetland loss, assess required financing for wetland conservation, and explore synergies with global environmental commitments. It aims to offer investment insights for wetland management, </w:t>
      </w:r>
      <w:r w:rsidR="00036AF3" w:rsidRPr="00390F83">
        <w:rPr>
          <w:rFonts w:eastAsia="Calibri"/>
          <w:bCs w:val="0"/>
        </w:rPr>
        <w:t>emphasizing</w:t>
      </w:r>
      <w:r w:rsidR="00F319AD" w:rsidRPr="00390F83">
        <w:rPr>
          <w:rFonts w:eastAsia="Calibri"/>
          <w:bCs w:val="0"/>
        </w:rPr>
        <w:t xml:space="preserve"> NBS and integrating </w:t>
      </w:r>
      <w:r w:rsidR="00F35B28" w:rsidRPr="00390F83">
        <w:rPr>
          <w:rFonts w:eastAsia="Calibri"/>
          <w:bCs w:val="0"/>
        </w:rPr>
        <w:t>Indigenous</w:t>
      </w:r>
      <w:r w:rsidR="00F319AD" w:rsidRPr="00390F83">
        <w:rPr>
          <w:rFonts w:eastAsia="Calibri"/>
          <w:bCs w:val="0"/>
        </w:rPr>
        <w:t xml:space="preserve"> and local community perspectives. </w:t>
      </w:r>
      <w:r w:rsidR="00416D5F" w:rsidRPr="00390F83">
        <w:rPr>
          <w:rFonts w:eastAsia="Calibri"/>
        </w:rPr>
        <w:t>T</w:t>
      </w:r>
      <w:r w:rsidR="00F319AD" w:rsidRPr="00390F83">
        <w:rPr>
          <w:rFonts w:eastAsia="Calibri"/>
        </w:rPr>
        <w:t xml:space="preserve">he GWO is expected to be </w:t>
      </w:r>
      <w:r w:rsidR="00036AF3" w:rsidRPr="00390F83">
        <w:rPr>
          <w:rFonts w:eastAsia="Calibri"/>
        </w:rPr>
        <w:t>finalized</w:t>
      </w:r>
      <w:r w:rsidR="00F319AD" w:rsidRPr="00390F83">
        <w:rPr>
          <w:rFonts w:eastAsia="Calibri"/>
        </w:rPr>
        <w:t xml:space="preserve"> in the </w:t>
      </w:r>
      <w:r w:rsidR="008A36AA" w:rsidRPr="00390F83">
        <w:rPr>
          <w:rFonts w:eastAsia="Calibri"/>
          <w:bCs w:val="0"/>
        </w:rPr>
        <w:t>second qu</w:t>
      </w:r>
      <w:r w:rsidR="00DE2EAB" w:rsidRPr="00390F83">
        <w:rPr>
          <w:rFonts w:eastAsia="Calibri"/>
          <w:bCs w:val="0"/>
        </w:rPr>
        <w:t>arter</w:t>
      </w:r>
      <w:r w:rsidR="008A36AA" w:rsidRPr="00390F83">
        <w:rPr>
          <w:rFonts w:eastAsia="Calibri"/>
          <w:bCs w:val="0"/>
        </w:rPr>
        <w:t xml:space="preserve"> </w:t>
      </w:r>
      <w:r w:rsidR="00F319AD" w:rsidRPr="00390F83">
        <w:rPr>
          <w:rFonts w:eastAsia="Calibri"/>
        </w:rPr>
        <w:t xml:space="preserve">of 2025. Consultants have been recruited to prepare a desktop study </w:t>
      </w:r>
      <w:r w:rsidR="00036AF3" w:rsidRPr="00390F83">
        <w:rPr>
          <w:rFonts w:eastAsia="Calibri"/>
        </w:rPr>
        <w:t>synthesizing</w:t>
      </w:r>
      <w:r w:rsidR="00F319AD" w:rsidRPr="00390F83">
        <w:rPr>
          <w:rFonts w:eastAsia="Calibri"/>
        </w:rPr>
        <w:t xml:space="preserve"> and collating financial information on wetland loss and degradation. This desktop study </w:t>
      </w:r>
      <w:r w:rsidR="009B00A0" w:rsidRPr="00390F83">
        <w:rPr>
          <w:rFonts w:eastAsia="Calibri"/>
        </w:rPr>
        <w:t xml:space="preserve">will be </w:t>
      </w:r>
      <w:r w:rsidR="00F319AD" w:rsidRPr="00390F83">
        <w:rPr>
          <w:rFonts w:eastAsia="Calibri"/>
        </w:rPr>
        <w:t xml:space="preserve">made available </w:t>
      </w:r>
      <w:r w:rsidR="00D96AFC" w:rsidRPr="00390F83">
        <w:rPr>
          <w:rFonts w:eastAsia="Calibri"/>
        </w:rPr>
        <w:t>to</w:t>
      </w:r>
      <w:r w:rsidR="00F319AD" w:rsidRPr="00390F83">
        <w:rPr>
          <w:rFonts w:eastAsia="Calibri"/>
        </w:rPr>
        <w:t xml:space="preserve"> the 27</w:t>
      </w:r>
      <w:r w:rsidR="00F319AD" w:rsidRPr="00EF7423">
        <w:rPr>
          <w:rFonts w:eastAsia="Calibri"/>
        </w:rPr>
        <w:t>th</w:t>
      </w:r>
      <w:r w:rsidR="00F319AD" w:rsidRPr="00390F83">
        <w:rPr>
          <w:rFonts w:eastAsia="Calibri"/>
          <w:bCs w:val="0"/>
        </w:rPr>
        <w:t xml:space="preserve"> </w:t>
      </w:r>
      <w:r w:rsidRPr="00390F83">
        <w:rPr>
          <w:rFonts w:eastAsia="Calibri"/>
          <w:bCs w:val="0"/>
        </w:rPr>
        <w:t>m</w:t>
      </w:r>
      <w:r w:rsidR="00F319AD" w:rsidRPr="00390F83">
        <w:rPr>
          <w:rFonts w:eastAsia="Calibri"/>
        </w:rPr>
        <w:t xml:space="preserve">eeting of the STRP. It is </w:t>
      </w:r>
      <w:r w:rsidR="007021C1" w:rsidRPr="00390F83">
        <w:rPr>
          <w:rFonts w:eastAsia="Calibri"/>
        </w:rPr>
        <w:t xml:space="preserve">recommended </w:t>
      </w:r>
      <w:r w:rsidR="00F319AD" w:rsidRPr="00390F83">
        <w:rPr>
          <w:rFonts w:eastAsia="Calibri"/>
        </w:rPr>
        <w:t xml:space="preserve">that GWO 2025 will be launched shortly before COP15 and that a GWO side event </w:t>
      </w:r>
      <w:r w:rsidRPr="00390F83">
        <w:rPr>
          <w:rFonts w:eastAsia="Calibri"/>
          <w:bCs w:val="0"/>
        </w:rPr>
        <w:t>is</w:t>
      </w:r>
      <w:r w:rsidR="00F319AD" w:rsidRPr="00390F83">
        <w:rPr>
          <w:rFonts w:eastAsia="Calibri"/>
        </w:rPr>
        <w:t xml:space="preserve"> </w:t>
      </w:r>
      <w:r w:rsidR="00036AF3" w:rsidRPr="00390F83">
        <w:rPr>
          <w:rFonts w:eastAsia="Calibri"/>
        </w:rPr>
        <w:t>organized</w:t>
      </w:r>
      <w:r w:rsidR="00F319AD" w:rsidRPr="00390F83">
        <w:rPr>
          <w:rFonts w:eastAsia="Calibri"/>
        </w:rPr>
        <w:t xml:space="preserve"> during the COP. </w:t>
      </w:r>
    </w:p>
    <w:p w14:paraId="2CF06113" w14:textId="77777777" w:rsidR="006A0CA6" w:rsidRPr="00390F83" w:rsidRDefault="006A0CA6" w:rsidP="006A0CA6">
      <w:pPr>
        <w:ind w:left="432" w:hanging="432"/>
        <w:rPr>
          <w:rFonts w:eastAsia="Calibri"/>
          <w:bCs w:val="0"/>
        </w:rPr>
      </w:pPr>
    </w:p>
    <w:p w14:paraId="08D0FD23" w14:textId="285891F9" w:rsidR="00D92B4A" w:rsidRPr="00390F83" w:rsidRDefault="001E61BB" w:rsidP="00FB7EF2">
      <w:pPr>
        <w:ind w:left="432" w:hanging="432"/>
        <w:rPr>
          <w:rFonts w:eastAsia="Calibri"/>
          <w:bCs w:val="0"/>
        </w:rPr>
      </w:pPr>
      <w:r>
        <w:rPr>
          <w:rFonts w:eastAsia="Calibri"/>
        </w:rPr>
        <w:t>19</w:t>
      </w:r>
      <w:r w:rsidR="00F319AD" w:rsidRPr="00390F83">
        <w:rPr>
          <w:rFonts w:eastAsia="Calibri"/>
        </w:rPr>
        <w:t>.</w:t>
      </w:r>
      <w:r w:rsidR="00F319AD" w:rsidRPr="00390F83">
        <w:rPr>
          <w:rFonts w:eastAsia="Calibri"/>
        </w:rPr>
        <w:tab/>
      </w:r>
      <w:r w:rsidR="00F319AD" w:rsidRPr="00390F83">
        <w:rPr>
          <w:rFonts w:eastAsia="Calibri"/>
          <w:bCs w:val="0"/>
          <w:i/>
          <w:iCs/>
        </w:rPr>
        <w:t>Task 5.2. Guidance to support the global implementation of the Kunming-Montreal Global Biodiversity Framework (GBF) for wetlands</w:t>
      </w:r>
      <w:r w:rsidR="00F319AD" w:rsidRPr="00390F83">
        <w:rPr>
          <w:rFonts w:eastAsia="Calibri"/>
          <w:bCs w:val="0"/>
        </w:rPr>
        <w:t xml:space="preserve">: </w:t>
      </w:r>
      <w:r w:rsidR="00FB7EF2" w:rsidRPr="00390F83">
        <w:rPr>
          <w:rFonts w:eastAsia="Calibri"/>
          <w:bCs w:val="0"/>
        </w:rPr>
        <w:t xml:space="preserve">Task 5.2 has been completed. </w:t>
      </w:r>
      <w:r w:rsidR="00F319AD" w:rsidRPr="00390F83">
        <w:rPr>
          <w:rFonts w:eastAsia="Calibri"/>
          <w:bCs w:val="0"/>
        </w:rPr>
        <w:t xml:space="preserve">This task </w:t>
      </w:r>
      <w:r w:rsidR="00902606" w:rsidRPr="00390F83">
        <w:rPr>
          <w:rFonts w:eastAsia="Calibri"/>
          <w:bCs w:val="0"/>
        </w:rPr>
        <w:t xml:space="preserve">focused </w:t>
      </w:r>
      <w:r w:rsidR="00F319AD" w:rsidRPr="00390F83">
        <w:rPr>
          <w:rFonts w:eastAsia="Calibri"/>
          <w:bCs w:val="0"/>
        </w:rPr>
        <w:t xml:space="preserve">on </w:t>
      </w:r>
      <w:r w:rsidR="001A7B14" w:rsidRPr="00390F83">
        <w:rPr>
          <w:rFonts w:eastAsia="Calibri"/>
          <w:bCs w:val="0"/>
        </w:rPr>
        <w:t xml:space="preserve">guidance to </w:t>
      </w:r>
      <w:r w:rsidR="009B5A0E" w:rsidRPr="00390F83">
        <w:rPr>
          <w:rFonts w:eastAsia="Calibri"/>
          <w:bCs w:val="0"/>
        </w:rPr>
        <w:t xml:space="preserve">address </w:t>
      </w:r>
      <w:r w:rsidR="00A55928" w:rsidRPr="00390F83">
        <w:rPr>
          <w:rFonts w:eastAsia="Calibri"/>
          <w:bCs w:val="0"/>
        </w:rPr>
        <w:t>wetland</w:t>
      </w:r>
      <w:r w:rsidR="009B5A0E" w:rsidRPr="00390F83">
        <w:rPr>
          <w:rFonts w:eastAsia="Calibri"/>
          <w:bCs w:val="0"/>
        </w:rPr>
        <w:t>s in</w:t>
      </w:r>
      <w:r w:rsidR="00A55928" w:rsidRPr="00390F83">
        <w:rPr>
          <w:rFonts w:eastAsia="Calibri"/>
          <w:bCs w:val="0"/>
        </w:rPr>
        <w:t xml:space="preserve"> </w:t>
      </w:r>
      <w:r w:rsidR="00F319AD" w:rsidRPr="00390F83">
        <w:rPr>
          <w:rFonts w:eastAsia="Calibri"/>
          <w:bCs w:val="0"/>
        </w:rPr>
        <w:t>implementation of the Kunming-Montreal Global Biodiversity Framework (KM GBF)</w:t>
      </w:r>
      <w:r w:rsidR="001A7B14" w:rsidRPr="00390F83">
        <w:rPr>
          <w:rFonts w:eastAsia="Calibri"/>
          <w:bCs w:val="0"/>
        </w:rPr>
        <w:t xml:space="preserve">, and </w:t>
      </w:r>
      <w:r w:rsidR="00145236" w:rsidRPr="00390F83">
        <w:rPr>
          <w:rFonts w:eastAsia="Calibri"/>
          <w:bCs w:val="0"/>
        </w:rPr>
        <w:t xml:space="preserve">recommendations on adequate reflection of wetlands in </w:t>
      </w:r>
      <w:r w:rsidR="00F319AD" w:rsidRPr="00390F83">
        <w:rPr>
          <w:rFonts w:eastAsia="Calibri"/>
          <w:bCs w:val="0"/>
        </w:rPr>
        <w:t xml:space="preserve">the KM GBF indicator framework. </w:t>
      </w:r>
      <w:r w:rsidR="00FB7EF2" w:rsidRPr="00390F83">
        <w:rPr>
          <w:rFonts w:eastAsia="Calibri"/>
          <w:bCs w:val="0"/>
        </w:rPr>
        <w:t xml:space="preserve">The </w:t>
      </w:r>
      <w:r w:rsidR="00F73F1C" w:rsidRPr="00390F83">
        <w:rPr>
          <w:rFonts w:eastAsia="Calibri"/>
          <w:bCs w:val="0"/>
        </w:rPr>
        <w:t>following outputs</w:t>
      </w:r>
      <w:r w:rsidR="009B5A0E" w:rsidRPr="00390F83">
        <w:rPr>
          <w:rFonts w:eastAsia="Calibri"/>
          <w:bCs w:val="0"/>
        </w:rPr>
        <w:t xml:space="preserve"> have been finalized</w:t>
      </w:r>
      <w:r w:rsidR="00D92B4A" w:rsidRPr="00390F83">
        <w:rPr>
          <w:rFonts w:eastAsia="Calibri"/>
          <w:bCs w:val="0"/>
        </w:rPr>
        <w:t xml:space="preserve">: </w:t>
      </w:r>
    </w:p>
    <w:p w14:paraId="108617FA" w14:textId="6E79DDDD" w:rsidR="00F73F1C" w:rsidRPr="00390F83" w:rsidRDefault="00634833" w:rsidP="00F73F1C">
      <w:pPr>
        <w:pStyle w:val="ListParagraph"/>
        <w:numPr>
          <w:ilvl w:val="0"/>
          <w:numId w:val="12"/>
        </w:numPr>
        <w:rPr>
          <w:rFonts w:eastAsia="Calibri"/>
          <w:bCs w:val="0"/>
        </w:rPr>
      </w:pPr>
      <w:r w:rsidRPr="00390F83">
        <w:rPr>
          <w:rFonts w:eastAsia="Calibri"/>
          <w:bCs w:val="0"/>
        </w:rPr>
        <w:t>S</w:t>
      </w:r>
      <w:r w:rsidR="00F319AD" w:rsidRPr="00390F83">
        <w:rPr>
          <w:rFonts w:eastAsia="Calibri"/>
          <w:bCs w:val="0"/>
        </w:rPr>
        <w:t>ubmission</w:t>
      </w:r>
      <w:r w:rsidR="00F319AD" w:rsidRPr="00390F83">
        <w:rPr>
          <w:rFonts w:eastAsia="Calibri"/>
          <w:i/>
        </w:rPr>
        <w:t xml:space="preserve"> to the 6th meeting of the AHTEG on Indicators of the effective consideration of wetlands in the KM GBF Monitoring Framework</w:t>
      </w:r>
      <w:r w:rsidR="00181908" w:rsidRPr="00EF7423">
        <w:rPr>
          <w:rFonts w:eastAsia="Calibri"/>
          <w:bCs w:val="0"/>
        </w:rPr>
        <w:t>,</w:t>
      </w:r>
      <w:r w:rsidR="00166460" w:rsidRPr="00EF7423">
        <w:rPr>
          <w:rStyle w:val="FootnoteReference"/>
          <w:rFonts w:eastAsia="Calibri"/>
          <w:bCs w:val="0"/>
        </w:rPr>
        <w:footnoteReference w:id="4"/>
      </w:r>
      <w:r w:rsidR="00F319AD" w:rsidRPr="00597063">
        <w:rPr>
          <w:rFonts w:eastAsia="Calibri"/>
        </w:rPr>
        <w:t xml:space="preserve"> </w:t>
      </w:r>
      <w:r w:rsidR="00F319AD" w:rsidRPr="00390F83">
        <w:rPr>
          <w:rFonts w:eastAsia="Calibri"/>
        </w:rPr>
        <w:t xml:space="preserve">submitted on 29 February 2024 (SC63 Inf.3). </w:t>
      </w:r>
      <w:r w:rsidR="00845FA5" w:rsidRPr="00390F83">
        <w:rPr>
          <w:rFonts w:eastAsia="Calibri"/>
          <w:bCs w:val="0"/>
        </w:rPr>
        <w:t>It consisted of a review</w:t>
      </w:r>
      <w:r w:rsidR="00845FA5" w:rsidRPr="00390F83">
        <w:rPr>
          <w:rFonts w:eastAsia="Calibri"/>
        </w:rPr>
        <w:t xml:space="preserve"> of indicators and reporting mechanisms relevant to the KM GBF indicator framework </w:t>
      </w:r>
      <w:r w:rsidR="00845FA5" w:rsidRPr="00390F83">
        <w:rPr>
          <w:rFonts w:eastAsia="Calibri"/>
          <w:bCs w:val="0"/>
        </w:rPr>
        <w:t>and was produced with</w:t>
      </w:r>
      <w:r w:rsidR="00845FA5" w:rsidRPr="00390F83">
        <w:rPr>
          <w:rFonts w:eastAsia="Calibri"/>
        </w:rPr>
        <w:t xml:space="preserve"> additional financial support from the United Kingdom of Great Britain and Northern Ireland.</w:t>
      </w:r>
    </w:p>
    <w:p w14:paraId="541CAA74" w14:textId="77777777" w:rsidR="00B4439E" w:rsidRPr="00390F83" w:rsidRDefault="00B4439E" w:rsidP="00B4439E">
      <w:pPr>
        <w:pStyle w:val="ListParagraph"/>
        <w:numPr>
          <w:ilvl w:val="0"/>
          <w:numId w:val="12"/>
        </w:numPr>
        <w:rPr>
          <w:rFonts w:eastAsia="Calibri"/>
          <w:bCs w:val="0"/>
        </w:rPr>
      </w:pPr>
      <w:r w:rsidRPr="00390F83">
        <w:rPr>
          <w:rFonts w:eastAsia="Calibri"/>
          <w:bCs w:val="0"/>
        </w:rPr>
        <w:t>Briefing</w:t>
      </w:r>
      <w:r w:rsidRPr="00390F83">
        <w:rPr>
          <w:rFonts w:eastAsia="Calibri"/>
        </w:rPr>
        <w:t xml:space="preserve"> paper on </w:t>
      </w:r>
      <w:r w:rsidRPr="00390F83">
        <w:rPr>
          <w:rFonts w:eastAsia="Calibri"/>
          <w:i/>
        </w:rPr>
        <w:t>Upscaling wetland conservation, restoration, and wise use through National Biodiversity Strategies and Action Plans (NBSAPs</w:t>
      </w:r>
      <w:r w:rsidRPr="00390F83">
        <w:rPr>
          <w:rFonts w:eastAsia="Calibri"/>
          <w:bCs w:val="0"/>
          <w:i/>
          <w:iCs/>
        </w:rPr>
        <w:t>),</w:t>
      </w:r>
      <w:r w:rsidRPr="00390F83">
        <w:rPr>
          <w:rStyle w:val="FootnoteReference"/>
          <w:rFonts w:eastAsia="Calibri"/>
          <w:bCs w:val="0"/>
          <w:i/>
          <w:iCs/>
        </w:rPr>
        <w:footnoteReference w:id="5"/>
      </w:r>
      <w:r w:rsidRPr="00390F83">
        <w:rPr>
          <w:rFonts w:eastAsia="Calibri"/>
          <w:bCs w:val="0"/>
          <w:i/>
          <w:iCs/>
        </w:rPr>
        <w:t xml:space="preserve"> </w:t>
      </w:r>
      <w:r w:rsidRPr="00390F83">
        <w:rPr>
          <w:rFonts w:eastAsia="Calibri"/>
        </w:rPr>
        <w:t xml:space="preserve">published on 23 November 2023. </w:t>
      </w:r>
    </w:p>
    <w:p w14:paraId="50480CD2" w14:textId="4E98FE95" w:rsidR="006A0CA6" w:rsidRPr="00390F83" w:rsidRDefault="00F319AD" w:rsidP="006A0CA6">
      <w:pPr>
        <w:pStyle w:val="ListParagraph"/>
        <w:numPr>
          <w:ilvl w:val="0"/>
          <w:numId w:val="12"/>
        </w:numPr>
        <w:rPr>
          <w:rFonts w:eastAsia="Calibri"/>
        </w:rPr>
      </w:pPr>
      <w:r w:rsidRPr="00390F83">
        <w:rPr>
          <w:rFonts w:eastAsia="Calibri"/>
        </w:rPr>
        <w:t>Technical Report</w:t>
      </w:r>
      <w:r w:rsidR="00634833" w:rsidRPr="00390F83">
        <w:rPr>
          <w:rFonts w:eastAsia="Calibri"/>
          <w:bCs w:val="0"/>
        </w:rPr>
        <w:t xml:space="preserve"> 1</w:t>
      </w:r>
      <w:r w:rsidR="00C71031" w:rsidRPr="00390F83">
        <w:rPr>
          <w:rFonts w:eastAsia="Calibri"/>
          <w:bCs w:val="0"/>
        </w:rPr>
        <w:t>2:</w:t>
      </w:r>
      <w:r w:rsidRPr="00390F83">
        <w:rPr>
          <w:rFonts w:eastAsia="Calibri"/>
        </w:rPr>
        <w:t xml:space="preserve"> </w:t>
      </w:r>
      <w:r w:rsidRPr="00390F83">
        <w:rPr>
          <w:rFonts w:eastAsia="Calibri"/>
          <w:i/>
        </w:rPr>
        <w:t>Scaling up wetland conservation and restoration to deliver the Kunming-Montreal Global Biodiversity Framework: Guidance on including wetlands in NBSAPs: Guidance on including wetlands in National Biodiversity Strategy and Action Plans (NBSAPs) to boost biodiversity and halt wetland loss and degradation</w:t>
      </w:r>
      <w:r w:rsidR="00181908" w:rsidRPr="00390F83">
        <w:rPr>
          <w:rFonts w:eastAsia="Calibri"/>
          <w:bCs w:val="0"/>
          <w:i/>
          <w:iCs/>
        </w:rPr>
        <w:t>,</w:t>
      </w:r>
      <w:r w:rsidR="00166460" w:rsidRPr="00390F83">
        <w:rPr>
          <w:rStyle w:val="FootnoteReference"/>
          <w:rFonts w:eastAsia="Calibri"/>
          <w:bCs w:val="0"/>
          <w:i/>
          <w:iCs/>
        </w:rPr>
        <w:footnoteReference w:id="6"/>
      </w:r>
      <w:r w:rsidRPr="00390F83">
        <w:rPr>
          <w:rFonts w:eastAsia="Calibri"/>
        </w:rPr>
        <w:t xml:space="preserve"> published </w:t>
      </w:r>
      <w:r w:rsidR="00181908" w:rsidRPr="00390F83">
        <w:rPr>
          <w:rFonts w:eastAsia="Calibri"/>
          <w:bCs w:val="0"/>
        </w:rPr>
        <w:t xml:space="preserve">on </w:t>
      </w:r>
      <w:r w:rsidRPr="00390F83">
        <w:rPr>
          <w:rFonts w:eastAsia="Calibri"/>
        </w:rPr>
        <w:t xml:space="preserve">15 May 2024 and launched during a joint webinar </w:t>
      </w:r>
      <w:r w:rsidR="00036AF3" w:rsidRPr="00390F83">
        <w:rPr>
          <w:rFonts w:eastAsia="Calibri"/>
        </w:rPr>
        <w:t>organized</w:t>
      </w:r>
      <w:r w:rsidRPr="00390F83">
        <w:rPr>
          <w:rFonts w:eastAsia="Calibri"/>
        </w:rPr>
        <w:t xml:space="preserve"> together with the CBD on 19 June 2024. </w:t>
      </w:r>
    </w:p>
    <w:p w14:paraId="5357F060" w14:textId="449BAE2B" w:rsidR="006A0CA6" w:rsidRPr="00390F83" w:rsidRDefault="006A0CA6" w:rsidP="006A0CA6">
      <w:pPr>
        <w:ind w:left="432" w:hanging="432"/>
        <w:rPr>
          <w:rFonts w:eastAsia="Calibri"/>
          <w:bCs w:val="0"/>
        </w:rPr>
      </w:pPr>
    </w:p>
    <w:p w14:paraId="0AFEF6AC" w14:textId="5683DC5C" w:rsidR="006A0CA6" w:rsidRPr="00390F83" w:rsidRDefault="001E61BB" w:rsidP="00CC2E0C">
      <w:pPr>
        <w:ind w:left="432" w:hanging="432"/>
        <w:rPr>
          <w:rFonts w:eastAsia="Calibri"/>
          <w:bCs w:val="0"/>
        </w:rPr>
      </w:pPr>
      <w:r>
        <w:rPr>
          <w:rFonts w:eastAsia="Calibri"/>
        </w:rPr>
        <w:t>20</w:t>
      </w:r>
      <w:r w:rsidR="00F319AD" w:rsidRPr="00390F83">
        <w:rPr>
          <w:rFonts w:eastAsia="Calibri"/>
        </w:rPr>
        <w:t>.</w:t>
      </w:r>
      <w:r w:rsidR="0019242E" w:rsidRPr="00390F83">
        <w:rPr>
          <w:rFonts w:eastAsia="Calibri"/>
        </w:rPr>
        <w:tab/>
      </w:r>
      <w:r w:rsidR="00F319AD" w:rsidRPr="00390F83">
        <w:rPr>
          <w:rFonts w:eastAsia="Calibri"/>
          <w:bCs w:val="0"/>
          <w:i/>
          <w:iCs/>
        </w:rPr>
        <w:t>Task 5.3. Develop an approach to deliver future Global Wetland Outlooks (GWOs)</w:t>
      </w:r>
      <w:r w:rsidR="00F319AD" w:rsidRPr="00390F83">
        <w:rPr>
          <w:rFonts w:eastAsia="Calibri"/>
          <w:bCs w:val="0"/>
        </w:rPr>
        <w:t xml:space="preserve">: </w:t>
      </w:r>
      <w:r w:rsidR="00015964" w:rsidRPr="00390F83">
        <w:rPr>
          <w:rFonts w:eastAsia="Calibri"/>
          <w:bCs w:val="0"/>
        </w:rPr>
        <w:t>A</w:t>
      </w:r>
      <w:r w:rsidR="00F319AD" w:rsidRPr="00390F83">
        <w:rPr>
          <w:rFonts w:eastAsia="Calibri"/>
          <w:bCs w:val="0"/>
        </w:rPr>
        <w:t xml:space="preserve"> comprehensive plan for future GWOs</w:t>
      </w:r>
      <w:r w:rsidR="00015964" w:rsidRPr="00390F83">
        <w:rPr>
          <w:rFonts w:eastAsia="Calibri"/>
          <w:bCs w:val="0"/>
        </w:rPr>
        <w:t xml:space="preserve"> has been developed</w:t>
      </w:r>
      <w:r w:rsidR="00F319AD" w:rsidRPr="00390F83">
        <w:rPr>
          <w:rFonts w:eastAsia="Calibri"/>
          <w:bCs w:val="0"/>
        </w:rPr>
        <w:t>, considering methodologies, timelines, and resource</w:t>
      </w:r>
      <w:r w:rsidR="000F5E30" w:rsidRPr="00390F83">
        <w:rPr>
          <w:rFonts w:eastAsia="Calibri"/>
          <w:bCs w:val="0"/>
        </w:rPr>
        <w:t xml:space="preserve"> requirements,</w:t>
      </w:r>
      <w:r w:rsidR="00F319AD" w:rsidRPr="00390F83">
        <w:rPr>
          <w:rFonts w:eastAsia="Calibri"/>
          <w:bCs w:val="0"/>
        </w:rPr>
        <w:t xml:space="preserve"> informed by previous editions and </w:t>
      </w:r>
      <w:r w:rsidR="004E0EAB" w:rsidRPr="00390F83">
        <w:rPr>
          <w:rFonts w:eastAsia="Calibri"/>
          <w:bCs w:val="0"/>
        </w:rPr>
        <w:t xml:space="preserve">other </w:t>
      </w:r>
      <w:r w:rsidR="00F319AD" w:rsidRPr="00390F83">
        <w:rPr>
          <w:rFonts w:eastAsia="Calibri"/>
          <w:bCs w:val="0"/>
        </w:rPr>
        <w:t>international assessments.</w:t>
      </w:r>
      <w:r w:rsidR="0019242E" w:rsidRPr="00390F83">
        <w:rPr>
          <w:rFonts w:eastAsia="Calibri"/>
          <w:bCs w:val="0"/>
        </w:rPr>
        <w:t xml:space="preserve"> </w:t>
      </w:r>
      <w:r w:rsidR="00F319AD" w:rsidRPr="00390F83">
        <w:rPr>
          <w:rFonts w:eastAsia="Calibri"/>
        </w:rPr>
        <w:t xml:space="preserve">Annex </w:t>
      </w:r>
      <w:r w:rsidR="00052D21" w:rsidRPr="00390F83">
        <w:rPr>
          <w:rFonts w:eastAsia="Calibri"/>
        </w:rPr>
        <w:t>4</w:t>
      </w:r>
      <w:r w:rsidR="00F319AD" w:rsidRPr="00390F83">
        <w:rPr>
          <w:rFonts w:eastAsia="Calibri"/>
        </w:rPr>
        <w:t xml:space="preserve"> of the present report outlines options for future GWOs</w:t>
      </w:r>
      <w:r w:rsidR="008174F2" w:rsidRPr="00390F83">
        <w:rPr>
          <w:rFonts w:eastAsia="Calibri"/>
        </w:rPr>
        <w:t>, for consideration by</w:t>
      </w:r>
      <w:r w:rsidR="00F319AD" w:rsidRPr="00390F83">
        <w:rPr>
          <w:rFonts w:eastAsia="Calibri"/>
        </w:rPr>
        <w:t xml:space="preserve"> Standing Committee.</w:t>
      </w:r>
    </w:p>
    <w:p w14:paraId="7249DB41" w14:textId="77777777" w:rsidR="006A0CA6" w:rsidRPr="00390F83" w:rsidRDefault="006A0CA6" w:rsidP="006A0CA6">
      <w:pPr>
        <w:ind w:left="432" w:hanging="432"/>
        <w:rPr>
          <w:rFonts w:eastAsia="Calibri"/>
          <w:bCs w:val="0"/>
        </w:rPr>
      </w:pPr>
    </w:p>
    <w:p w14:paraId="5B3C2C11" w14:textId="543CFFC0" w:rsidR="00D23B75" w:rsidRPr="00390F83" w:rsidRDefault="00F319AD" w:rsidP="00CC2E0C">
      <w:pPr>
        <w:ind w:left="432" w:hanging="432"/>
        <w:rPr>
          <w:rFonts w:eastAsia="Calibri"/>
        </w:rPr>
      </w:pPr>
      <w:r w:rsidRPr="00390F83">
        <w:rPr>
          <w:rFonts w:eastAsia="Calibri"/>
        </w:rPr>
        <w:t>2</w:t>
      </w:r>
      <w:r w:rsidR="001E61BB">
        <w:rPr>
          <w:rFonts w:eastAsia="Calibri"/>
        </w:rPr>
        <w:t>1</w:t>
      </w:r>
      <w:r w:rsidRPr="00390F83">
        <w:rPr>
          <w:rFonts w:eastAsia="Calibri"/>
        </w:rPr>
        <w:t>.</w:t>
      </w:r>
      <w:r w:rsidRPr="00390F83">
        <w:rPr>
          <w:rFonts w:eastAsia="Calibri"/>
          <w:b/>
        </w:rPr>
        <w:tab/>
      </w:r>
      <w:r w:rsidRPr="00390F83">
        <w:rPr>
          <w:rFonts w:eastAsia="Calibri"/>
          <w:bCs w:val="0"/>
          <w:i/>
          <w:iCs/>
        </w:rPr>
        <w:t>Task 5.4. Review of policy and legal frameworks for wetland conservation and wise use: scoping study</w:t>
      </w:r>
      <w:r w:rsidRPr="00390F83">
        <w:rPr>
          <w:rFonts w:eastAsia="Calibri"/>
          <w:bCs w:val="0"/>
        </w:rPr>
        <w:t xml:space="preserve">: </w:t>
      </w:r>
      <w:r w:rsidR="00FD139B" w:rsidRPr="00390F83">
        <w:rPr>
          <w:rFonts w:eastAsia="Calibri"/>
          <w:bCs w:val="0"/>
        </w:rPr>
        <w:t xml:space="preserve">Task 5.4 has been completed. </w:t>
      </w:r>
      <w:r w:rsidRPr="00390F83">
        <w:rPr>
          <w:rFonts w:eastAsia="Calibri"/>
          <w:bCs w:val="0"/>
        </w:rPr>
        <w:t xml:space="preserve">This task </w:t>
      </w:r>
      <w:r w:rsidR="00FE46CC" w:rsidRPr="00390F83">
        <w:rPr>
          <w:rFonts w:eastAsia="Calibri"/>
          <w:bCs w:val="0"/>
        </w:rPr>
        <w:t xml:space="preserve">has </w:t>
      </w:r>
      <w:r w:rsidRPr="00390F83">
        <w:rPr>
          <w:rFonts w:eastAsia="Calibri"/>
          <w:bCs w:val="0"/>
        </w:rPr>
        <w:t>produce</w:t>
      </w:r>
      <w:r w:rsidR="00FE46CC" w:rsidRPr="00390F83">
        <w:rPr>
          <w:rFonts w:eastAsia="Calibri"/>
          <w:bCs w:val="0"/>
        </w:rPr>
        <w:t>d</w:t>
      </w:r>
      <w:r w:rsidRPr="00390F83">
        <w:rPr>
          <w:rFonts w:eastAsia="Calibri"/>
          <w:bCs w:val="0"/>
        </w:rPr>
        <w:t xml:space="preserve"> a technical scoping </w:t>
      </w:r>
      <w:r w:rsidR="00FE46CC" w:rsidRPr="00390F83">
        <w:rPr>
          <w:rFonts w:eastAsia="Calibri"/>
          <w:bCs w:val="0"/>
        </w:rPr>
        <w:t xml:space="preserve">note, setting out a plan for </w:t>
      </w:r>
      <w:r w:rsidRPr="00390F83">
        <w:rPr>
          <w:rFonts w:eastAsia="Calibri"/>
          <w:bCs w:val="0"/>
        </w:rPr>
        <w:t>assess</w:t>
      </w:r>
      <w:r w:rsidR="00FE46CC" w:rsidRPr="00390F83">
        <w:rPr>
          <w:rFonts w:eastAsia="Calibri"/>
          <w:bCs w:val="0"/>
        </w:rPr>
        <w:t xml:space="preserve">ing </w:t>
      </w:r>
      <w:r w:rsidRPr="00390F83">
        <w:rPr>
          <w:rFonts w:eastAsia="Calibri"/>
          <w:bCs w:val="0"/>
        </w:rPr>
        <w:t>policy and legal frameworks regarding wetland conservation, restoration, and use, proposing forward-looking policy options and integrative approaches</w:t>
      </w:r>
      <w:r w:rsidR="00A04500" w:rsidRPr="00390F83">
        <w:rPr>
          <w:rFonts w:eastAsia="Calibri"/>
          <w:bCs w:val="0"/>
        </w:rPr>
        <w:t xml:space="preserve"> for the next tri</w:t>
      </w:r>
      <w:r w:rsidR="0065689F" w:rsidRPr="00390F83">
        <w:rPr>
          <w:rFonts w:eastAsia="Calibri"/>
          <w:bCs w:val="0"/>
        </w:rPr>
        <w:t>ennium</w:t>
      </w:r>
      <w:r w:rsidRPr="00390F83">
        <w:rPr>
          <w:rFonts w:eastAsia="Calibri"/>
          <w:bCs w:val="0"/>
        </w:rPr>
        <w:t xml:space="preserve">. </w:t>
      </w:r>
      <w:r w:rsidRPr="00390F83">
        <w:rPr>
          <w:rFonts w:eastAsia="Calibri"/>
        </w:rPr>
        <w:t xml:space="preserve">The technical </w:t>
      </w:r>
      <w:r w:rsidRPr="00390F83">
        <w:rPr>
          <w:rFonts w:eastAsia="Calibri"/>
          <w:bCs w:val="0"/>
        </w:rPr>
        <w:t>scoping</w:t>
      </w:r>
      <w:r w:rsidRPr="00390F83">
        <w:rPr>
          <w:rFonts w:eastAsia="Calibri"/>
        </w:rPr>
        <w:t xml:space="preserve"> </w:t>
      </w:r>
      <w:r w:rsidR="00A04500" w:rsidRPr="00390F83">
        <w:rPr>
          <w:rFonts w:eastAsia="Calibri"/>
          <w:bCs w:val="0"/>
        </w:rPr>
        <w:t xml:space="preserve">note </w:t>
      </w:r>
      <w:r w:rsidRPr="00390F83">
        <w:rPr>
          <w:rFonts w:eastAsia="Calibri"/>
        </w:rPr>
        <w:t xml:space="preserve">is included as Annex </w:t>
      </w:r>
      <w:r w:rsidR="00052D21" w:rsidRPr="00390F83">
        <w:rPr>
          <w:rFonts w:eastAsia="Calibri"/>
        </w:rPr>
        <w:t>3</w:t>
      </w:r>
      <w:r w:rsidR="00D15FBE" w:rsidRPr="00390F83">
        <w:rPr>
          <w:rFonts w:eastAsia="Calibri"/>
        </w:rPr>
        <w:t xml:space="preserve"> </w:t>
      </w:r>
      <w:r w:rsidRPr="00390F83">
        <w:rPr>
          <w:rFonts w:eastAsia="Calibri"/>
        </w:rPr>
        <w:t>of the present report to SC64</w:t>
      </w:r>
      <w:r w:rsidR="008D4049" w:rsidRPr="00390F83">
        <w:rPr>
          <w:rFonts w:eastAsia="Calibri"/>
        </w:rPr>
        <w:t xml:space="preserve">, and further </w:t>
      </w:r>
      <w:r w:rsidR="00353411" w:rsidRPr="00390F83">
        <w:rPr>
          <w:rFonts w:eastAsia="Calibri"/>
        </w:rPr>
        <w:t xml:space="preserve">work on this </w:t>
      </w:r>
      <w:r w:rsidR="00FD139B" w:rsidRPr="00390F83">
        <w:rPr>
          <w:rFonts w:eastAsia="Calibri"/>
          <w:bCs w:val="0"/>
        </w:rPr>
        <w:t>topic has been</w:t>
      </w:r>
      <w:r w:rsidR="00353411" w:rsidRPr="00390F83">
        <w:rPr>
          <w:rFonts w:eastAsia="Calibri"/>
        </w:rPr>
        <w:t xml:space="preserve"> </w:t>
      </w:r>
      <w:r w:rsidRPr="00390F83">
        <w:rPr>
          <w:rFonts w:eastAsia="Calibri"/>
        </w:rPr>
        <w:t xml:space="preserve">integrated as </w:t>
      </w:r>
      <w:r w:rsidR="00353411" w:rsidRPr="00390F83">
        <w:rPr>
          <w:rFonts w:eastAsia="Calibri"/>
        </w:rPr>
        <w:t xml:space="preserve">a </w:t>
      </w:r>
      <w:r w:rsidR="00036AF3" w:rsidRPr="00390F83">
        <w:rPr>
          <w:rFonts w:eastAsia="Calibri"/>
        </w:rPr>
        <w:t>prioritized</w:t>
      </w:r>
      <w:r w:rsidRPr="00390F83">
        <w:rPr>
          <w:rFonts w:eastAsia="Calibri"/>
        </w:rPr>
        <w:t xml:space="preserve"> task for</w:t>
      </w:r>
      <w:r w:rsidRPr="00390F83">
        <w:rPr>
          <w:rFonts w:eastAsia="Calibri"/>
          <w:bCs w:val="0"/>
        </w:rPr>
        <w:t xml:space="preserve"> </w:t>
      </w:r>
      <w:r w:rsidR="0065689F" w:rsidRPr="00390F83">
        <w:rPr>
          <w:rFonts w:eastAsia="Calibri"/>
          <w:bCs w:val="0"/>
        </w:rPr>
        <w:t>the</w:t>
      </w:r>
      <w:r w:rsidRPr="00390F83">
        <w:rPr>
          <w:rFonts w:eastAsia="Calibri"/>
          <w:bCs w:val="0"/>
        </w:rPr>
        <w:t xml:space="preserve"> </w:t>
      </w:r>
      <w:r w:rsidR="00A62DE8" w:rsidRPr="00390F83">
        <w:rPr>
          <w:rFonts w:eastAsia="Calibri"/>
        </w:rPr>
        <w:t xml:space="preserve">STRP in </w:t>
      </w:r>
      <w:r w:rsidRPr="00390F83">
        <w:rPr>
          <w:rFonts w:eastAsia="Calibri"/>
        </w:rPr>
        <w:t xml:space="preserve">the next triennium (see </w:t>
      </w:r>
      <w:r w:rsidR="00D15FBE" w:rsidRPr="00390F83">
        <w:rPr>
          <w:rFonts w:eastAsia="Calibri"/>
        </w:rPr>
        <w:t>A</w:t>
      </w:r>
      <w:r w:rsidRPr="00390F83">
        <w:rPr>
          <w:rFonts w:eastAsia="Calibri"/>
        </w:rPr>
        <w:t xml:space="preserve">nnex </w:t>
      </w:r>
      <w:r w:rsidR="00052D21" w:rsidRPr="00390F83">
        <w:rPr>
          <w:rFonts w:eastAsia="Calibri"/>
        </w:rPr>
        <w:t>1</w:t>
      </w:r>
      <w:r w:rsidRPr="00390F83">
        <w:rPr>
          <w:rFonts w:eastAsia="Calibri"/>
        </w:rPr>
        <w:t xml:space="preserve"> </w:t>
      </w:r>
      <w:r w:rsidR="00A04500" w:rsidRPr="00390F83">
        <w:rPr>
          <w:rFonts w:eastAsia="Calibri"/>
          <w:bCs w:val="0"/>
        </w:rPr>
        <w:t>Prioritized STRP tasks for the 2026-2028</w:t>
      </w:r>
      <w:r w:rsidRPr="00390F83">
        <w:rPr>
          <w:rFonts w:eastAsia="Calibri"/>
        </w:rPr>
        <w:t>).</w:t>
      </w:r>
      <w:r w:rsidR="00EE1BED" w:rsidRPr="00390F83">
        <w:rPr>
          <w:lang w:eastAsia="zh-CN"/>
        </w:rPr>
        <w:t xml:space="preserve"> Members of the Standing Committee are invited to provide feedback on the recommendations outlined in the technical scoping note to help ensure the proposed review of policy instruments effectively supports the implementation of the Convention.</w:t>
      </w:r>
    </w:p>
    <w:p w14:paraId="2E7370B4" w14:textId="77777777" w:rsidR="0075379B" w:rsidRPr="00390F83" w:rsidRDefault="0075379B" w:rsidP="0075379B">
      <w:pPr>
        <w:rPr>
          <w:rFonts w:eastAsia="Calibri"/>
          <w:bCs w:val="0"/>
        </w:rPr>
      </w:pPr>
    </w:p>
    <w:p w14:paraId="1DB76BC8" w14:textId="1CC97978" w:rsidR="009F39FC" w:rsidRPr="00390F83" w:rsidRDefault="00F319AD" w:rsidP="009F39FC">
      <w:pPr>
        <w:rPr>
          <w:b/>
          <w:bCs w:val="0"/>
          <w:lang w:eastAsia="zh-CN"/>
        </w:rPr>
      </w:pPr>
      <w:r w:rsidRPr="00390F83">
        <w:rPr>
          <w:b/>
          <w:bCs w:val="0"/>
          <w:lang w:eastAsia="zh-CN"/>
        </w:rPr>
        <w:t>Draft resolutions submitted to the 64th meeting of the Standing Committee (</w:t>
      </w:r>
      <w:r w:rsidR="00B968DE" w:rsidRPr="00B968DE">
        <w:rPr>
          <w:b/>
          <w:bCs w:val="0"/>
          <w:lang w:eastAsia="zh-CN"/>
        </w:rPr>
        <w:t>SC64</w:t>
      </w:r>
      <w:r w:rsidRPr="00390F83">
        <w:rPr>
          <w:b/>
          <w:bCs w:val="0"/>
          <w:lang w:eastAsia="zh-CN"/>
        </w:rPr>
        <w:t>)</w:t>
      </w:r>
    </w:p>
    <w:p w14:paraId="20AE8896" w14:textId="77777777" w:rsidR="009F39FC" w:rsidRPr="00390F83" w:rsidRDefault="009F39FC" w:rsidP="009F39FC">
      <w:pPr>
        <w:rPr>
          <w:lang w:eastAsia="zh-CN"/>
        </w:rPr>
      </w:pPr>
    </w:p>
    <w:p w14:paraId="62BAAD6B" w14:textId="15CF57D7" w:rsidR="009F39FC" w:rsidRPr="00390F83" w:rsidRDefault="00F319AD" w:rsidP="009F39FC">
      <w:pPr>
        <w:ind w:left="432" w:hanging="432"/>
        <w:rPr>
          <w:rFonts w:eastAsia="Calibri"/>
          <w:bCs w:val="0"/>
        </w:rPr>
      </w:pPr>
      <w:r w:rsidRPr="00390F83">
        <w:rPr>
          <w:rFonts w:eastAsia="Calibri"/>
        </w:rPr>
        <w:t>2</w:t>
      </w:r>
      <w:r w:rsidR="001E61BB">
        <w:rPr>
          <w:rFonts w:eastAsia="Calibri"/>
        </w:rPr>
        <w:t>2</w:t>
      </w:r>
      <w:r w:rsidRPr="00390F83">
        <w:rPr>
          <w:rFonts w:eastAsia="Calibri"/>
        </w:rPr>
        <w:t>.</w:t>
      </w:r>
      <w:r w:rsidRPr="00390F83">
        <w:rPr>
          <w:rFonts w:eastAsia="Calibri"/>
        </w:rPr>
        <w:tab/>
      </w:r>
      <w:r w:rsidR="00C059C9" w:rsidRPr="00390F83">
        <w:rPr>
          <w:rFonts w:eastAsia="Calibri"/>
          <w:bCs w:val="0"/>
        </w:rPr>
        <w:t xml:space="preserve">In preparation for the 64th meeting of the Standing Committee (SC64), the STRP has submitted three draft resolutions for consideration at the 15th </w:t>
      </w:r>
      <w:r w:rsidR="00597063">
        <w:rPr>
          <w:rFonts w:eastAsia="Calibri"/>
          <w:bCs w:val="0"/>
        </w:rPr>
        <w:t>m</w:t>
      </w:r>
      <w:r w:rsidR="00597063" w:rsidRPr="00390F83">
        <w:rPr>
          <w:rFonts w:eastAsia="Calibri"/>
          <w:bCs w:val="0"/>
        </w:rPr>
        <w:t xml:space="preserve">eeting </w:t>
      </w:r>
      <w:r w:rsidR="00C059C9" w:rsidRPr="00390F83">
        <w:rPr>
          <w:rFonts w:eastAsia="Calibri"/>
          <w:bCs w:val="0"/>
        </w:rPr>
        <w:t>of the Conference of the Contracting Parties (COP15):</w:t>
      </w:r>
    </w:p>
    <w:p w14:paraId="2E9BD44A" w14:textId="32BD997A" w:rsidR="009F39FC" w:rsidRPr="00390F83" w:rsidRDefault="009F39FC" w:rsidP="009F39FC">
      <w:pPr>
        <w:ind w:left="432" w:hanging="432"/>
        <w:rPr>
          <w:rFonts w:eastAsia="Calibri"/>
          <w:bCs w:val="0"/>
        </w:rPr>
      </w:pPr>
    </w:p>
    <w:p w14:paraId="2B2BDC5F" w14:textId="6E6EFA27" w:rsidR="009F39FC" w:rsidRPr="00390F83" w:rsidRDefault="00F319AD" w:rsidP="009F39FC">
      <w:pPr>
        <w:ind w:left="900" w:hanging="450"/>
        <w:rPr>
          <w:rFonts w:eastAsia="Calibri"/>
          <w:bCs w:val="0"/>
        </w:rPr>
      </w:pPr>
      <w:r w:rsidRPr="00390F83">
        <w:rPr>
          <w:rFonts w:eastAsia="Calibri"/>
          <w:bCs w:val="0"/>
        </w:rPr>
        <w:t>(a)</w:t>
      </w:r>
      <w:r w:rsidRPr="00390F83">
        <w:rPr>
          <w:rFonts w:eastAsia="Calibri"/>
          <w:bCs w:val="0"/>
        </w:rPr>
        <w:tab/>
      </w:r>
      <w:r w:rsidR="00B968DE" w:rsidRPr="00B968DE">
        <w:rPr>
          <w:rFonts w:eastAsia="Calibri"/>
          <w:b/>
        </w:rPr>
        <w:t>SC6</w:t>
      </w:r>
      <w:r w:rsidR="00B968DE">
        <w:rPr>
          <w:rFonts w:eastAsia="Calibri"/>
          <w:b/>
        </w:rPr>
        <w:t>4</w:t>
      </w:r>
      <w:r w:rsidR="007554DE">
        <w:rPr>
          <w:rFonts w:eastAsia="Calibri"/>
          <w:b/>
        </w:rPr>
        <w:t xml:space="preserve"> Doc.</w:t>
      </w:r>
      <w:r w:rsidRPr="00390F83">
        <w:rPr>
          <w:rFonts w:eastAsia="Calibri"/>
          <w:b/>
        </w:rPr>
        <w:t>19: Proposed draft resolution on the future implementation of scientific and technical aspects of the Convention for 2026-2028.</w:t>
      </w:r>
    </w:p>
    <w:p w14:paraId="4CB1F8E9" w14:textId="74AEFA5A" w:rsidR="009F39FC" w:rsidRPr="00390F83" w:rsidRDefault="00246513" w:rsidP="009F39FC">
      <w:pPr>
        <w:ind w:left="900"/>
        <w:rPr>
          <w:rFonts w:eastAsia="Calibri"/>
          <w:bCs w:val="0"/>
        </w:rPr>
      </w:pPr>
      <w:r w:rsidRPr="00390F83">
        <w:t>To maintain continuity and ensure a consistent approach, the Thematic Work Areas (TWAs) have been retained from the preceding triennium.</w:t>
      </w:r>
      <w:r w:rsidRPr="00390F83">
        <w:rPr>
          <w:rFonts w:eastAsia="Calibri"/>
          <w:bCs w:val="0"/>
        </w:rPr>
        <w:t xml:space="preserve"> </w:t>
      </w:r>
      <w:r w:rsidR="00F319AD" w:rsidRPr="00390F83">
        <w:rPr>
          <w:rFonts w:eastAsia="Calibri"/>
          <w:bCs w:val="0"/>
        </w:rPr>
        <w:t xml:space="preserve">The STRP has identified several emerging scientific and technical priorities requiring consideration and action. </w:t>
      </w:r>
      <w:r w:rsidR="00E64723" w:rsidRPr="00390F83">
        <w:rPr>
          <w:rFonts w:eastAsia="Calibri"/>
          <w:bCs w:val="0"/>
        </w:rPr>
        <w:t xml:space="preserve">These priorities include the enhanced monitoring and reporting of the ecological character of Wetlands of International Importance, the advancement of wetland mapping and inventory tools, the assessment of harmful algal blooms and </w:t>
      </w:r>
      <w:r w:rsidR="00AD72A0" w:rsidRPr="00390F83">
        <w:rPr>
          <w:rFonts w:eastAsia="Calibri"/>
          <w:bCs w:val="0"/>
        </w:rPr>
        <w:t xml:space="preserve">wetland </w:t>
      </w:r>
      <w:r w:rsidR="00E64723" w:rsidRPr="00390F83">
        <w:rPr>
          <w:rFonts w:eastAsia="Calibri"/>
          <w:bCs w:val="0"/>
        </w:rPr>
        <w:t>fires, and the preparation of the next Global Wetland Outlook. The draft resolution further requests the Secretariat to issue future calls for nominations of STRP Members following the annual Standing Committee meeting in the year preceding each COP. This approach will ensure the timely appointment of new STRP Members immediately after the COP, allowing sufficient time for the STRP to develop and implement its work plan effectively.</w:t>
      </w:r>
    </w:p>
    <w:p w14:paraId="1EB818DB" w14:textId="77777777" w:rsidR="0039666B" w:rsidRPr="00390F83" w:rsidRDefault="0039666B" w:rsidP="009F39FC">
      <w:pPr>
        <w:ind w:left="900"/>
        <w:rPr>
          <w:rFonts w:eastAsia="Calibri"/>
          <w:bCs w:val="0"/>
        </w:rPr>
      </w:pPr>
    </w:p>
    <w:p w14:paraId="63AE1C79" w14:textId="4A7AB495" w:rsidR="0039666B" w:rsidRPr="00390F83" w:rsidRDefault="0039666B" w:rsidP="009F39FC">
      <w:pPr>
        <w:ind w:left="900"/>
        <w:rPr>
          <w:rFonts w:eastAsia="Calibri"/>
          <w:bCs w:val="0"/>
        </w:rPr>
      </w:pPr>
      <w:r w:rsidRPr="00390F83">
        <w:rPr>
          <w:rFonts w:eastAsia="Calibri"/>
          <w:bCs w:val="0"/>
        </w:rPr>
        <w:t>Annex 1 of th</w:t>
      </w:r>
      <w:r w:rsidR="005B68B7" w:rsidRPr="00390F83">
        <w:rPr>
          <w:rFonts w:eastAsia="Calibri"/>
          <w:bCs w:val="0"/>
        </w:rPr>
        <w:t>is report provide</w:t>
      </w:r>
      <w:r w:rsidR="00F50CED" w:rsidRPr="00390F83">
        <w:rPr>
          <w:rFonts w:eastAsia="Calibri"/>
          <w:bCs w:val="0"/>
        </w:rPr>
        <w:t>s</w:t>
      </w:r>
      <w:r w:rsidR="005B68B7" w:rsidRPr="00390F83">
        <w:rPr>
          <w:rFonts w:eastAsia="Calibri"/>
          <w:bCs w:val="0"/>
        </w:rPr>
        <w:t xml:space="preserve"> a description of the proposed </w:t>
      </w:r>
      <w:r w:rsidR="004F719D" w:rsidRPr="00390F83">
        <w:rPr>
          <w:rFonts w:eastAsia="Calibri"/>
          <w:bCs w:val="0"/>
        </w:rPr>
        <w:t xml:space="preserve">Thematic Work Areas and </w:t>
      </w:r>
      <w:r w:rsidR="005B68B7" w:rsidRPr="00390F83">
        <w:rPr>
          <w:rFonts w:eastAsia="Calibri"/>
          <w:bCs w:val="0"/>
        </w:rPr>
        <w:t>tasks for the STRP</w:t>
      </w:r>
      <w:r w:rsidR="004F719D" w:rsidRPr="00390F83">
        <w:rPr>
          <w:rFonts w:eastAsia="Calibri"/>
          <w:bCs w:val="0"/>
        </w:rPr>
        <w:t xml:space="preserve"> work</w:t>
      </w:r>
      <w:r w:rsidR="00F50CED" w:rsidRPr="00390F83">
        <w:rPr>
          <w:rFonts w:eastAsia="Calibri"/>
          <w:bCs w:val="0"/>
        </w:rPr>
        <w:t xml:space="preserve"> </w:t>
      </w:r>
      <w:r w:rsidR="004F719D" w:rsidRPr="00390F83">
        <w:rPr>
          <w:rFonts w:eastAsia="Calibri"/>
          <w:bCs w:val="0"/>
        </w:rPr>
        <w:t>plan</w:t>
      </w:r>
      <w:r w:rsidR="005B68B7" w:rsidRPr="00390F83">
        <w:rPr>
          <w:rFonts w:eastAsia="Calibri"/>
          <w:bCs w:val="0"/>
        </w:rPr>
        <w:t xml:space="preserve"> for 2026-2028</w:t>
      </w:r>
      <w:r w:rsidR="004F719D" w:rsidRPr="00390F83">
        <w:rPr>
          <w:rFonts w:eastAsia="Calibri"/>
          <w:bCs w:val="0"/>
        </w:rPr>
        <w:t>, to support the draft resolution.</w:t>
      </w:r>
    </w:p>
    <w:p w14:paraId="62A6D8A9" w14:textId="7BFD5D61" w:rsidR="0022105A" w:rsidRPr="00390F83" w:rsidRDefault="0022105A" w:rsidP="009F39FC">
      <w:pPr>
        <w:ind w:left="432" w:hanging="432"/>
        <w:rPr>
          <w:rFonts w:eastAsia="Calibri"/>
          <w:bCs w:val="0"/>
        </w:rPr>
      </w:pPr>
    </w:p>
    <w:p w14:paraId="35D2B951" w14:textId="296A0DCE" w:rsidR="009F39FC" w:rsidRPr="00355D00" w:rsidRDefault="00F319AD" w:rsidP="009F39FC">
      <w:pPr>
        <w:ind w:left="900" w:hanging="450"/>
        <w:rPr>
          <w:rFonts w:eastAsia="Calibri"/>
          <w:bCs w:val="0"/>
        </w:rPr>
      </w:pPr>
      <w:r w:rsidRPr="00355D00">
        <w:rPr>
          <w:rFonts w:eastAsia="Calibri"/>
          <w:bCs w:val="0"/>
        </w:rPr>
        <w:t>(b)</w:t>
      </w:r>
      <w:r w:rsidRPr="00355D00">
        <w:rPr>
          <w:rFonts w:eastAsia="Calibri"/>
          <w:bCs w:val="0"/>
        </w:rPr>
        <w:tab/>
      </w:r>
      <w:r w:rsidR="00355D00" w:rsidRPr="00355D00">
        <w:rPr>
          <w:rFonts w:eastAsia="Calibri"/>
          <w:b/>
        </w:rPr>
        <w:t>SC64</w:t>
      </w:r>
      <w:r w:rsidR="007554DE">
        <w:rPr>
          <w:rFonts w:eastAsia="Calibri"/>
          <w:b/>
        </w:rPr>
        <w:t xml:space="preserve"> Doc.</w:t>
      </w:r>
      <w:r w:rsidR="00355D00" w:rsidRPr="00355D00">
        <w:rPr>
          <w:rFonts w:eastAsia="Calibri"/>
          <w:b/>
        </w:rPr>
        <w:t>2</w:t>
      </w:r>
      <w:r w:rsidR="00355D00">
        <w:rPr>
          <w:rFonts w:eastAsia="Calibri"/>
          <w:b/>
        </w:rPr>
        <w:t>1</w:t>
      </w:r>
      <w:r w:rsidRPr="00355D00">
        <w:rPr>
          <w:rFonts w:eastAsia="Calibri"/>
          <w:b/>
        </w:rPr>
        <w:t xml:space="preserve">: Proposed draft resolution on the application of </w:t>
      </w:r>
      <w:r w:rsidR="00390F83" w:rsidRPr="00355D00">
        <w:rPr>
          <w:rFonts w:eastAsia="Calibri"/>
          <w:b/>
        </w:rPr>
        <w:t xml:space="preserve">Criteria </w:t>
      </w:r>
      <w:r w:rsidRPr="00355D00">
        <w:rPr>
          <w:rFonts w:eastAsia="Calibri"/>
          <w:b/>
        </w:rPr>
        <w:t>6 and 9 to new and existing Wetlands of International Importance</w:t>
      </w:r>
      <w:r w:rsidRPr="00355D00">
        <w:rPr>
          <w:rFonts w:eastAsia="Calibri"/>
          <w:bCs w:val="0"/>
        </w:rPr>
        <w:t>.</w:t>
      </w:r>
      <w:r w:rsidR="008D3639" w:rsidRPr="00355D00">
        <w:rPr>
          <w:rFonts w:eastAsia="Calibri"/>
          <w:bCs w:val="0"/>
        </w:rPr>
        <w:t xml:space="preserve"> </w:t>
      </w:r>
    </w:p>
    <w:p w14:paraId="701C1DCF" w14:textId="6BE639B0" w:rsidR="009F39FC" w:rsidRPr="00390F83" w:rsidRDefault="00F319AD" w:rsidP="009F39FC">
      <w:pPr>
        <w:ind w:left="900"/>
        <w:rPr>
          <w:rFonts w:eastAsia="Calibri"/>
          <w:bCs w:val="0"/>
        </w:rPr>
      </w:pPr>
      <w:r w:rsidRPr="00390F83">
        <w:rPr>
          <w:rFonts w:eastAsia="Calibri"/>
          <w:bCs w:val="0"/>
        </w:rPr>
        <w:t xml:space="preserve">Building upon the amendments </w:t>
      </w:r>
      <w:r w:rsidR="007B7FB3" w:rsidRPr="00390F83">
        <w:rPr>
          <w:rFonts w:eastAsia="Calibri"/>
          <w:bCs w:val="0"/>
        </w:rPr>
        <w:t xml:space="preserve">to the Strategic Framework </w:t>
      </w:r>
      <w:r w:rsidRPr="00390F83">
        <w:rPr>
          <w:rFonts w:eastAsia="Calibri"/>
          <w:bCs w:val="0"/>
        </w:rPr>
        <w:t xml:space="preserve">introduced through Resolution XIV.18, this draft resolution addresses outstanding issues that were not fully considered during COP14. Specifically, it clarifies when and how alternative population estimates may be used by Contracting Parties and addresses related aspects of Criterion 5, such as cross-references to Criterion 6. Additionally, the resolution introduces amendments to the Strategic Framework </w:t>
      </w:r>
      <w:r w:rsidR="00A142DB" w:rsidRPr="00390F83">
        <w:rPr>
          <w:rFonts w:eastAsia="Calibri"/>
          <w:bCs w:val="0"/>
        </w:rPr>
        <w:t xml:space="preserve">related to </w:t>
      </w:r>
      <w:r w:rsidRPr="00390F83">
        <w:rPr>
          <w:rFonts w:eastAsia="Calibri"/>
          <w:bCs w:val="0"/>
        </w:rPr>
        <w:t>Criterion 9, which pertains to non-avian wetland-dependent animal species, thereby facilitating the designation of Wetlands of International Importance based on this criterion. The proposed amendments to the Strategic Framework and guidelines for the future development of the List of Wetlands of International Importance are detailed in Annex 1 and 2 of the draft resolution.</w:t>
      </w:r>
    </w:p>
    <w:p w14:paraId="01B06FAF" w14:textId="77777777" w:rsidR="009F39FC" w:rsidRPr="00355D00" w:rsidRDefault="009F39FC" w:rsidP="009F39FC">
      <w:pPr>
        <w:ind w:left="432" w:hanging="432"/>
        <w:rPr>
          <w:rFonts w:eastAsia="Calibri"/>
          <w:bCs w:val="0"/>
        </w:rPr>
      </w:pPr>
    </w:p>
    <w:p w14:paraId="68B94C30" w14:textId="1EF45FA2" w:rsidR="009F39FC" w:rsidRPr="00390F83" w:rsidRDefault="00F319AD" w:rsidP="009F39FC">
      <w:pPr>
        <w:ind w:left="900" w:hanging="450"/>
        <w:rPr>
          <w:rFonts w:eastAsia="Calibri"/>
          <w:bCs w:val="0"/>
        </w:rPr>
      </w:pPr>
      <w:r w:rsidRPr="00355D00">
        <w:rPr>
          <w:rFonts w:eastAsia="Calibri"/>
          <w:bCs w:val="0"/>
        </w:rPr>
        <w:t>(c)</w:t>
      </w:r>
      <w:r w:rsidRPr="00355D00">
        <w:rPr>
          <w:rFonts w:eastAsia="Calibri"/>
          <w:bCs w:val="0"/>
        </w:rPr>
        <w:tab/>
      </w:r>
      <w:r w:rsidR="00355D00" w:rsidRPr="00355D00">
        <w:rPr>
          <w:rFonts w:eastAsia="Calibri"/>
          <w:b/>
        </w:rPr>
        <w:t>SC64</w:t>
      </w:r>
      <w:r w:rsidR="007554DE">
        <w:rPr>
          <w:rFonts w:eastAsia="Calibri"/>
          <w:b/>
        </w:rPr>
        <w:t xml:space="preserve"> Doc.</w:t>
      </w:r>
      <w:r w:rsidR="007554DE" w:rsidRPr="00355D00">
        <w:rPr>
          <w:rFonts w:eastAsia="Calibri"/>
          <w:b/>
        </w:rPr>
        <w:t>2</w:t>
      </w:r>
      <w:r w:rsidR="007554DE">
        <w:rPr>
          <w:rFonts w:eastAsia="Calibri"/>
          <w:b/>
        </w:rPr>
        <w:t>0</w:t>
      </w:r>
      <w:r w:rsidRPr="00355D00">
        <w:rPr>
          <w:rFonts w:eastAsia="Calibri"/>
          <w:b/>
        </w:rPr>
        <w:t xml:space="preserve">: Proposed </w:t>
      </w:r>
      <w:r w:rsidRPr="00390F83">
        <w:rPr>
          <w:rFonts w:eastAsia="Calibri"/>
          <w:b/>
        </w:rPr>
        <w:t>draft resolution on the establishment of the Waterbird Estimates Partnership (WEP) and the delivery of the 2027 edition of Waterbird Population Estimates (WPE2027)</w:t>
      </w:r>
      <w:r w:rsidRPr="00390F83">
        <w:rPr>
          <w:rFonts w:eastAsia="Calibri"/>
          <w:bCs w:val="0"/>
        </w:rPr>
        <w:t>.</w:t>
      </w:r>
    </w:p>
    <w:p w14:paraId="27ACAF73" w14:textId="504AF3B6" w:rsidR="009F39FC" w:rsidRPr="00390F83" w:rsidRDefault="00F319AD" w:rsidP="009F39FC">
      <w:pPr>
        <w:ind w:left="900"/>
        <w:rPr>
          <w:rFonts w:eastAsia="Calibri"/>
          <w:bCs w:val="0"/>
        </w:rPr>
      </w:pPr>
      <w:r w:rsidRPr="00390F83">
        <w:rPr>
          <w:rFonts w:eastAsia="Calibri"/>
          <w:bCs w:val="0"/>
        </w:rPr>
        <w:t xml:space="preserve">The STRP has prepared a draft resolution that builds upon the technical proposal for the resourcing and implementation of updates to the Waterbird Population Estimates (WPE) presented </w:t>
      </w:r>
      <w:r w:rsidR="00C445AE" w:rsidRPr="00390F83">
        <w:rPr>
          <w:rFonts w:eastAsia="Calibri"/>
          <w:bCs w:val="0"/>
        </w:rPr>
        <w:t>during</w:t>
      </w:r>
      <w:r w:rsidR="002F7B29" w:rsidRPr="00390F83">
        <w:rPr>
          <w:rFonts w:eastAsia="Calibri"/>
          <w:bCs w:val="0"/>
        </w:rPr>
        <w:t xml:space="preserve"> </w:t>
      </w:r>
      <w:r w:rsidRPr="00390F83">
        <w:rPr>
          <w:rFonts w:eastAsia="Calibri"/>
          <w:bCs w:val="0"/>
        </w:rPr>
        <w:t>the 63</w:t>
      </w:r>
      <w:r w:rsidRPr="00EF7423">
        <w:rPr>
          <w:rFonts w:eastAsia="Calibri"/>
        </w:rPr>
        <w:t>rd</w:t>
      </w:r>
      <w:r w:rsidRPr="00390F83">
        <w:rPr>
          <w:rFonts w:eastAsia="Calibri"/>
          <w:bCs w:val="0"/>
        </w:rPr>
        <w:t xml:space="preserve"> meeting of the Standing Committee (Doc SC63.20). </w:t>
      </w:r>
      <w:r w:rsidR="00653485" w:rsidRPr="00390F83">
        <w:rPr>
          <w:rFonts w:eastAsia="Calibri"/>
          <w:bCs w:val="0"/>
        </w:rPr>
        <w:t>T</w:t>
      </w:r>
      <w:r w:rsidRPr="00390F83">
        <w:rPr>
          <w:rFonts w:eastAsia="Calibri"/>
          <w:bCs w:val="0"/>
        </w:rPr>
        <w:t>he draft resolution addresses the urgent requirement for an update of resident and migratory waterbird populations through the delivery of the 2027 edition of Waterbird Population Estimates (WPE2027)</w:t>
      </w:r>
      <w:r w:rsidR="00F1413B" w:rsidRPr="00390F83">
        <w:rPr>
          <w:rFonts w:eastAsia="Calibri"/>
          <w:bCs w:val="0"/>
        </w:rPr>
        <w:t xml:space="preserve">, and the </w:t>
      </w:r>
      <w:r w:rsidRPr="00390F83">
        <w:rPr>
          <w:rFonts w:eastAsia="Calibri"/>
          <w:bCs w:val="0"/>
        </w:rPr>
        <w:t>establish</w:t>
      </w:r>
      <w:r w:rsidR="00F1413B" w:rsidRPr="00390F83">
        <w:rPr>
          <w:rFonts w:eastAsia="Calibri"/>
          <w:bCs w:val="0"/>
        </w:rPr>
        <w:t xml:space="preserve">ment of </w:t>
      </w:r>
      <w:r w:rsidRPr="00390F83">
        <w:rPr>
          <w:rFonts w:eastAsia="Calibri"/>
          <w:bCs w:val="0"/>
        </w:rPr>
        <w:t>the Waterbird Estimates Partnership (WEP)</w:t>
      </w:r>
      <w:r w:rsidR="000F4EBF" w:rsidRPr="00390F83">
        <w:rPr>
          <w:rFonts w:eastAsia="Calibri"/>
          <w:bCs w:val="0"/>
        </w:rPr>
        <w:t xml:space="preserve"> </w:t>
      </w:r>
      <w:r w:rsidR="00970392" w:rsidRPr="00390F83">
        <w:rPr>
          <w:rFonts w:eastAsia="Calibri"/>
          <w:bCs w:val="0"/>
        </w:rPr>
        <w:t xml:space="preserve">to </w:t>
      </w:r>
      <w:r w:rsidRPr="00390F83">
        <w:rPr>
          <w:rFonts w:eastAsia="Calibri"/>
          <w:bCs w:val="0"/>
        </w:rPr>
        <w:t>be launched at COP15. The WEP will provide essential international coordination and support for the ongoing updates of WPE, ensuring that waterbird population data remains current and accessible for wetland conservation efforts under the Convention.</w:t>
      </w:r>
    </w:p>
    <w:p w14:paraId="5EECE044" w14:textId="77777777" w:rsidR="00C445AE" w:rsidRPr="00390F83" w:rsidRDefault="00C445AE" w:rsidP="00C445AE">
      <w:pPr>
        <w:rPr>
          <w:rFonts w:eastAsia="Calibri"/>
        </w:rPr>
      </w:pPr>
    </w:p>
    <w:p w14:paraId="406477A8" w14:textId="77777777" w:rsidR="00C445AE" w:rsidRPr="00390F83" w:rsidRDefault="00C445AE" w:rsidP="00C445AE">
      <w:pPr>
        <w:rPr>
          <w:b/>
          <w:bCs w:val="0"/>
          <w:lang w:eastAsia="zh-CN"/>
        </w:rPr>
      </w:pPr>
      <w:r w:rsidRPr="00390F83">
        <w:rPr>
          <w:b/>
          <w:bCs w:val="0"/>
          <w:lang w:eastAsia="zh-CN"/>
        </w:rPr>
        <w:t>Financing the establishment of the Waterbirds Estimates Partnership and delivery of the 2027 edition of Waterbird Population Estimates (WPE2027)</w:t>
      </w:r>
    </w:p>
    <w:p w14:paraId="694F3189" w14:textId="77777777" w:rsidR="00C445AE" w:rsidRPr="00390F83" w:rsidRDefault="00C445AE" w:rsidP="00C445AE">
      <w:pPr>
        <w:rPr>
          <w:rFonts w:eastAsia="Calibri"/>
        </w:rPr>
      </w:pPr>
    </w:p>
    <w:p w14:paraId="1E2C35E1" w14:textId="31280804" w:rsidR="00C445AE" w:rsidRPr="00390F83" w:rsidRDefault="001E61BB" w:rsidP="00C445AE">
      <w:pPr>
        <w:ind w:left="432" w:hanging="432"/>
        <w:rPr>
          <w:rFonts w:eastAsia="Calibri"/>
          <w:bCs w:val="0"/>
        </w:rPr>
      </w:pPr>
      <w:r>
        <w:rPr>
          <w:rFonts w:eastAsia="Calibri"/>
        </w:rPr>
        <w:t>23</w:t>
      </w:r>
      <w:r w:rsidR="00C445AE" w:rsidRPr="00390F83">
        <w:rPr>
          <w:rFonts w:eastAsia="Calibri"/>
        </w:rPr>
        <w:t>.</w:t>
      </w:r>
      <w:r w:rsidR="00C445AE" w:rsidRPr="00390F83">
        <w:rPr>
          <w:rFonts w:eastAsia="Calibri"/>
        </w:rPr>
        <w:tab/>
      </w:r>
      <w:r w:rsidR="00C445AE" w:rsidRPr="00390F83">
        <w:rPr>
          <w:rFonts w:eastAsia="Calibri"/>
          <w:bCs w:val="0"/>
        </w:rPr>
        <w:t>Annex 5 outlines the financial requirements for establishing the Waterbird Estimates Partnership (WEP) and producing the 2027 edition of Waterbird Population Estimates (WPE2027). The annex complements the submitted draft resolution (SC64-</w:t>
      </w:r>
      <w:r w:rsidR="00527D53" w:rsidRPr="00390F83">
        <w:rPr>
          <w:rFonts w:eastAsia="Calibri"/>
          <w:bCs w:val="0"/>
        </w:rPr>
        <w:t>2</w:t>
      </w:r>
      <w:r w:rsidR="00527D53">
        <w:rPr>
          <w:rFonts w:eastAsia="Calibri"/>
          <w:bCs w:val="0"/>
        </w:rPr>
        <w:t>0</w:t>
      </w:r>
      <w:r w:rsidR="00C445AE" w:rsidRPr="00390F83">
        <w:rPr>
          <w:rFonts w:eastAsia="Calibri"/>
          <w:bCs w:val="0"/>
        </w:rPr>
        <w:t xml:space="preserve">) and provides cost estimates for establishing the WEP, </w:t>
      </w:r>
      <w:r w:rsidR="00C445AE" w:rsidRPr="00390F83">
        <w:rPr>
          <w:rFonts w:eastAsia="Calibri"/>
        </w:rPr>
        <w:t>which</w:t>
      </w:r>
      <w:r w:rsidR="00C445AE" w:rsidRPr="00390F83">
        <w:rPr>
          <w:rFonts w:eastAsia="Calibri"/>
          <w:bCs w:val="0"/>
        </w:rPr>
        <w:t xml:space="preserve"> will oversee and coordinate the updates of waterbird population data across multiple regions. It also details the resource needs for updating 1,600 priority waterbird populations and maintaining the Waterbird Populations Portal. </w:t>
      </w:r>
    </w:p>
    <w:p w14:paraId="211BBBCD" w14:textId="77777777" w:rsidR="00C445AE" w:rsidRPr="00390F83" w:rsidRDefault="00C445AE" w:rsidP="00C445AE">
      <w:pPr>
        <w:rPr>
          <w:rFonts w:eastAsia="Calibri"/>
          <w:bCs w:val="0"/>
        </w:rPr>
      </w:pPr>
    </w:p>
    <w:p w14:paraId="400070C1" w14:textId="0AAB51B5" w:rsidR="00C445AE" w:rsidRPr="00390F83" w:rsidRDefault="00C445AE" w:rsidP="00C445AE">
      <w:pPr>
        <w:ind w:left="432" w:hanging="432"/>
        <w:rPr>
          <w:rFonts w:eastAsia="Calibri"/>
          <w:bCs w:val="0"/>
        </w:rPr>
      </w:pPr>
      <w:r w:rsidRPr="00390F83">
        <w:rPr>
          <w:rFonts w:eastAsia="Calibri"/>
        </w:rPr>
        <w:t>2</w:t>
      </w:r>
      <w:r w:rsidR="001E61BB">
        <w:rPr>
          <w:rFonts w:eastAsia="Calibri"/>
        </w:rPr>
        <w:t>4</w:t>
      </w:r>
      <w:r w:rsidRPr="00390F83">
        <w:rPr>
          <w:rFonts w:eastAsia="Calibri"/>
        </w:rPr>
        <w:t>.</w:t>
      </w:r>
      <w:r w:rsidRPr="00390F83">
        <w:rPr>
          <w:rFonts w:eastAsia="Calibri"/>
        </w:rPr>
        <w:tab/>
      </w:r>
      <w:r w:rsidRPr="00390F83">
        <w:rPr>
          <w:rFonts w:eastAsia="Calibri"/>
          <w:bCs w:val="0"/>
        </w:rPr>
        <w:t xml:space="preserve">Three funding options – comprehensive, intermediate, and minimum – are proposed, with a recommendation for the Comprehensive funding option to ensure the full scope of updates is achieved. The annex </w:t>
      </w:r>
      <w:r w:rsidRPr="00390F83">
        <w:rPr>
          <w:rFonts w:eastAsia="Calibri"/>
        </w:rPr>
        <w:t>emphasizes</w:t>
      </w:r>
      <w:r w:rsidRPr="00390F83">
        <w:rPr>
          <w:rFonts w:eastAsia="Calibri"/>
          <w:bCs w:val="0"/>
        </w:rPr>
        <w:t xml:space="preserve"> the importance of securing adequate financial resources by early 2025 to meet the ambitious timeline for both the WEP setup and the WPE2027 production. In the event of partial funding, additional resource mobilization efforts will be required to ensure the full delivery of results.</w:t>
      </w:r>
    </w:p>
    <w:p w14:paraId="26D38960" w14:textId="77777777" w:rsidR="009F39FC" w:rsidRPr="00390F83" w:rsidRDefault="009F39FC" w:rsidP="0075379B">
      <w:pPr>
        <w:rPr>
          <w:rFonts w:eastAsia="Calibri"/>
          <w:bCs w:val="0"/>
        </w:rPr>
      </w:pPr>
    </w:p>
    <w:p w14:paraId="1C49DD00" w14:textId="77777777" w:rsidR="0075379B" w:rsidRPr="00390F83" w:rsidRDefault="00F319AD" w:rsidP="0075379B">
      <w:pPr>
        <w:rPr>
          <w:b/>
          <w:bCs w:val="0"/>
          <w:lang w:eastAsia="zh-CN"/>
        </w:rPr>
      </w:pPr>
      <w:r w:rsidRPr="00390F83">
        <w:rPr>
          <w:b/>
          <w:bCs w:val="0"/>
          <w:lang w:eastAsia="zh-CN"/>
        </w:rPr>
        <w:t>Further guidance on the use of alternative waterbird population estimates</w:t>
      </w:r>
    </w:p>
    <w:p w14:paraId="58B01A85" w14:textId="77777777" w:rsidR="0075379B" w:rsidRPr="00390F83" w:rsidRDefault="0075379B" w:rsidP="0075379B">
      <w:pPr>
        <w:rPr>
          <w:lang w:eastAsia="zh-CN"/>
        </w:rPr>
      </w:pPr>
    </w:p>
    <w:p w14:paraId="76F65221" w14:textId="18614C7A" w:rsidR="000B7A15" w:rsidRPr="00390F83" w:rsidRDefault="001E61BB" w:rsidP="0075379B">
      <w:pPr>
        <w:ind w:left="432" w:hanging="432"/>
        <w:rPr>
          <w:rFonts w:eastAsia="Calibri"/>
          <w:bCs w:val="0"/>
        </w:rPr>
      </w:pPr>
      <w:r>
        <w:rPr>
          <w:rFonts w:eastAsia="Calibri"/>
        </w:rPr>
        <w:t>25</w:t>
      </w:r>
      <w:r w:rsidR="00F319AD" w:rsidRPr="00390F83">
        <w:rPr>
          <w:rFonts w:eastAsia="Calibri"/>
        </w:rPr>
        <w:t>.</w:t>
      </w:r>
      <w:r w:rsidR="00F319AD" w:rsidRPr="00390F83">
        <w:rPr>
          <w:rFonts w:eastAsia="Calibri"/>
        </w:rPr>
        <w:tab/>
      </w:r>
      <w:r w:rsidR="00F319AD" w:rsidRPr="00390F83">
        <w:rPr>
          <w:rFonts w:eastAsia="Calibri"/>
          <w:bCs w:val="0"/>
        </w:rPr>
        <w:t xml:space="preserve">Annex 2 provides </w:t>
      </w:r>
      <w:r w:rsidR="004F719D" w:rsidRPr="00390F83">
        <w:rPr>
          <w:rFonts w:eastAsia="Calibri"/>
          <w:bCs w:val="0"/>
        </w:rPr>
        <w:t>further</w:t>
      </w:r>
      <w:r w:rsidR="00F319AD" w:rsidRPr="00390F83">
        <w:rPr>
          <w:rFonts w:eastAsia="Calibri"/>
          <w:bCs w:val="0"/>
        </w:rPr>
        <w:t xml:space="preserve"> guidance for Contracting Parties on using alternative population estimates when applying Criterion 6 to designate Wetlands of International Importance. </w:t>
      </w:r>
      <w:r w:rsidR="00A924CB" w:rsidRPr="00390F83">
        <w:rPr>
          <w:rFonts w:eastAsia="Calibri"/>
          <w:bCs w:val="0"/>
        </w:rPr>
        <w:t>This is</w:t>
      </w:r>
      <w:r w:rsidR="00D5278A" w:rsidRPr="00390F83">
        <w:rPr>
          <w:rFonts w:eastAsia="Calibri"/>
        </w:rPr>
        <w:t xml:space="preserve"> </w:t>
      </w:r>
      <w:r w:rsidR="00A924CB" w:rsidRPr="00390F83">
        <w:rPr>
          <w:rFonts w:eastAsia="Calibri"/>
        </w:rPr>
        <w:t>i</w:t>
      </w:r>
      <w:r w:rsidR="00D5278A" w:rsidRPr="00390F83">
        <w:rPr>
          <w:rFonts w:eastAsia="Calibri"/>
        </w:rPr>
        <w:t>n addition to the proposed changes to the Strategic Framework (SC63-20)</w:t>
      </w:r>
      <w:r w:rsidR="00F319AD" w:rsidRPr="00390F83">
        <w:rPr>
          <w:rFonts w:eastAsia="Calibri"/>
          <w:bCs w:val="0"/>
        </w:rPr>
        <w:t xml:space="preserve">. It outlines a step-by-step process for submitting alternative estimates, particularly for cases where current estimates from the Waterbird Population Estimates (WPE) or Conservation Status Reviews (CSRs) are outdated or unavailable. </w:t>
      </w:r>
    </w:p>
    <w:p w14:paraId="62B9B8D1" w14:textId="77777777" w:rsidR="000B7A15" w:rsidRPr="00390F83" w:rsidRDefault="000B7A15" w:rsidP="0075379B">
      <w:pPr>
        <w:ind w:left="432" w:hanging="432"/>
        <w:rPr>
          <w:rFonts w:eastAsia="Calibri"/>
          <w:bCs w:val="0"/>
        </w:rPr>
      </w:pPr>
    </w:p>
    <w:p w14:paraId="09F41B72" w14:textId="7DAD7652" w:rsidR="0075379B" w:rsidRPr="00390F83" w:rsidRDefault="001E61BB" w:rsidP="0075379B">
      <w:pPr>
        <w:ind w:left="432" w:hanging="432"/>
        <w:rPr>
          <w:rFonts w:eastAsia="Calibri"/>
          <w:bCs w:val="0"/>
        </w:rPr>
      </w:pPr>
      <w:r>
        <w:rPr>
          <w:rFonts w:eastAsia="Calibri"/>
        </w:rPr>
        <w:t>26</w:t>
      </w:r>
      <w:r w:rsidR="00F319AD" w:rsidRPr="00390F83">
        <w:rPr>
          <w:rFonts w:eastAsia="Calibri"/>
        </w:rPr>
        <w:t>.</w:t>
      </w:r>
      <w:r w:rsidR="00F319AD" w:rsidRPr="00390F83">
        <w:rPr>
          <w:rFonts w:eastAsia="Calibri"/>
        </w:rPr>
        <w:tab/>
      </w:r>
      <w:r w:rsidR="00F319AD" w:rsidRPr="00390F83">
        <w:rPr>
          <w:rFonts w:eastAsia="Calibri"/>
          <w:bCs w:val="0"/>
        </w:rPr>
        <w:t xml:space="preserve">The </w:t>
      </w:r>
      <w:r w:rsidR="000B7A15" w:rsidRPr="00390F83">
        <w:rPr>
          <w:rFonts w:eastAsia="Calibri"/>
          <w:bCs w:val="0"/>
        </w:rPr>
        <w:t xml:space="preserve">guidance </w:t>
      </w:r>
      <w:r w:rsidR="00036AF3" w:rsidRPr="00390F83">
        <w:rPr>
          <w:rFonts w:eastAsia="Calibri"/>
          <w:bCs w:val="0"/>
        </w:rPr>
        <w:t>emphasizes</w:t>
      </w:r>
      <w:r w:rsidR="00F319AD" w:rsidRPr="00390F83">
        <w:rPr>
          <w:rFonts w:eastAsia="Calibri"/>
          <w:bCs w:val="0"/>
        </w:rPr>
        <w:t xml:space="preserve"> the importance of adhering to standard methodologies and providing robust, peer-reviewed data to support submissions. It also includes the necessary steps for review by the STRP</w:t>
      </w:r>
      <w:r w:rsidR="00AA7CC3" w:rsidRPr="00390F83">
        <w:rPr>
          <w:rFonts w:eastAsia="Calibri"/>
          <w:bCs w:val="0"/>
        </w:rPr>
        <w:t xml:space="preserve"> and Secretariat</w:t>
      </w:r>
      <w:r w:rsidR="00F319AD" w:rsidRPr="00390F83">
        <w:rPr>
          <w:rFonts w:eastAsia="Calibri"/>
          <w:bCs w:val="0"/>
        </w:rPr>
        <w:t>, ensuring transparency and accuracy. Th</w:t>
      </w:r>
      <w:r w:rsidR="000B7A15" w:rsidRPr="00390F83">
        <w:rPr>
          <w:rFonts w:eastAsia="Calibri"/>
          <w:bCs w:val="0"/>
        </w:rPr>
        <w:t>e</w:t>
      </w:r>
      <w:r w:rsidR="00F319AD" w:rsidRPr="00390F83">
        <w:rPr>
          <w:rFonts w:eastAsia="Calibri"/>
          <w:bCs w:val="0"/>
        </w:rPr>
        <w:t xml:space="preserve"> </w:t>
      </w:r>
      <w:r w:rsidR="000B7A15" w:rsidRPr="00390F83">
        <w:rPr>
          <w:rFonts w:eastAsia="Calibri"/>
          <w:bCs w:val="0"/>
        </w:rPr>
        <w:t>guidance</w:t>
      </w:r>
      <w:r w:rsidR="00F319AD" w:rsidRPr="00390F83">
        <w:rPr>
          <w:rFonts w:eastAsia="Calibri"/>
          <w:bCs w:val="0"/>
        </w:rPr>
        <w:t xml:space="preserve"> aims to facilitate the use of the most up-to-date and accurate population data for waterbird conservation under the</w:t>
      </w:r>
      <w:r w:rsidR="00AA7CC3" w:rsidRPr="00390F83">
        <w:rPr>
          <w:rFonts w:eastAsia="Calibri"/>
          <w:bCs w:val="0"/>
        </w:rPr>
        <w:t xml:space="preserve"> </w:t>
      </w:r>
      <w:r w:rsidR="00F319AD" w:rsidRPr="00390F83">
        <w:rPr>
          <w:rFonts w:eastAsia="Calibri"/>
          <w:bCs w:val="0"/>
        </w:rPr>
        <w:t>Convention.</w:t>
      </w:r>
    </w:p>
    <w:p w14:paraId="74CD9F01" w14:textId="77777777" w:rsidR="0075379B" w:rsidRPr="00390F83" w:rsidRDefault="0075379B" w:rsidP="0075379B">
      <w:pPr>
        <w:rPr>
          <w:rFonts w:eastAsia="Calibri"/>
        </w:rPr>
      </w:pPr>
    </w:p>
    <w:p w14:paraId="21A9008B" w14:textId="7A433BB5" w:rsidR="00DF6F64" w:rsidRPr="00390F83" w:rsidRDefault="002A7BC2" w:rsidP="00EC1799">
      <w:pPr>
        <w:ind w:left="432" w:hanging="432"/>
        <w:rPr>
          <w:b/>
          <w:bCs w:val="0"/>
          <w:lang w:eastAsia="zh-CN"/>
        </w:rPr>
      </w:pPr>
      <w:r w:rsidRPr="00390F83">
        <w:rPr>
          <w:rFonts w:eastAsia="Calibri"/>
        </w:rPr>
        <w:t>2</w:t>
      </w:r>
      <w:r w:rsidR="001E61BB">
        <w:rPr>
          <w:rFonts w:eastAsia="Calibri"/>
        </w:rPr>
        <w:t>7</w:t>
      </w:r>
      <w:r w:rsidRPr="00390F83">
        <w:rPr>
          <w:rFonts w:eastAsia="Calibri"/>
        </w:rPr>
        <w:t>.</w:t>
      </w:r>
      <w:r w:rsidRPr="00390F83">
        <w:rPr>
          <w:rFonts w:eastAsia="Calibri"/>
        </w:rPr>
        <w:tab/>
      </w:r>
      <w:r w:rsidRPr="00390F83">
        <w:rPr>
          <w:rFonts w:eastAsia="Calibri"/>
          <w:bCs w:val="0"/>
        </w:rPr>
        <w:t>The</w:t>
      </w:r>
      <w:r w:rsidRPr="00390F83">
        <w:rPr>
          <w:rFonts w:eastAsia="Calibri"/>
        </w:rPr>
        <w:t xml:space="preserve"> Standing </w:t>
      </w:r>
      <w:r w:rsidRPr="00390F83">
        <w:rPr>
          <w:rFonts w:eastAsia="Calibri"/>
          <w:bCs w:val="0"/>
        </w:rPr>
        <w:t>Committee</w:t>
      </w:r>
      <w:r w:rsidRPr="00390F83">
        <w:rPr>
          <w:rFonts w:eastAsia="Calibri"/>
        </w:rPr>
        <w:t xml:space="preserve"> is invited to approve the guidance outlined in Annex 2 of the present report. This </w:t>
      </w:r>
      <w:r w:rsidRPr="00390F83">
        <w:rPr>
          <w:rFonts w:eastAsia="Calibri"/>
          <w:bCs w:val="0"/>
        </w:rPr>
        <w:t>will</w:t>
      </w:r>
      <w:r w:rsidRPr="00390F83">
        <w:rPr>
          <w:rFonts w:eastAsia="Calibri"/>
        </w:rPr>
        <w:t xml:space="preserve"> allow </w:t>
      </w:r>
      <w:r w:rsidR="00502FF1" w:rsidRPr="00390F83">
        <w:rPr>
          <w:rFonts w:eastAsia="Calibri"/>
        </w:rPr>
        <w:t xml:space="preserve">its </w:t>
      </w:r>
      <w:r w:rsidRPr="00390F83">
        <w:rPr>
          <w:rFonts w:eastAsia="Calibri"/>
        </w:rPr>
        <w:t>publi</w:t>
      </w:r>
      <w:r w:rsidR="00502FF1" w:rsidRPr="00390F83">
        <w:rPr>
          <w:rFonts w:eastAsia="Calibri"/>
        </w:rPr>
        <w:t>cation</w:t>
      </w:r>
      <w:r w:rsidRPr="00390F83">
        <w:rPr>
          <w:rFonts w:eastAsia="Calibri"/>
        </w:rPr>
        <w:t xml:space="preserve"> as a guidance document, facilitating its use by Contracting Parties. </w:t>
      </w:r>
    </w:p>
    <w:p w14:paraId="2C62EADB" w14:textId="22708DD3" w:rsidR="0022105A" w:rsidRPr="00390F83" w:rsidRDefault="0022105A" w:rsidP="0022105A">
      <w:pPr>
        <w:ind w:left="432" w:hanging="432"/>
        <w:rPr>
          <w:rFonts w:eastAsia="Calibri"/>
          <w:bCs w:val="0"/>
        </w:rPr>
      </w:pPr>
    </w:p>
    <w:p w14:paraId="2B20DF3C" w14:textId="2464FD98" w:rsidR="00BC6270" w:rsidRPr="00390F83" w:rsidRDefault="00F319AD" w:rsidP="00BC6270">
      <w:pPr>
        <w:rPr>
          <w:b/>
          <w:bCs w:val="0"/>
          <w:lang w:eastAsia="zh-CN"/>
        </w:rPr>
      </w:pPr>
      <w:r w:rsidRPr="00390F83">
        <w:rPr>
          <w:b/>
          <w:bCs w:val="0"/>
          <w:lang w:eastAsia="zh-CN"/>
        </w:rPr>
        <w:t xml:space="preserve">Consultation with the </w:t>
      </w:r>
      <w:r w:rsidR="00F35B28" w:rsidRPr="00390F83">
        <w:rPr>
          <w:b/>
          <w:bCs w:val="0"/>
          <w:lang w:eastAsia="zh-CN"/>
        </w:rPr>
        <w:t>Earth</w:t>
      </w:r>
      <w:r w:rsidRPr="00390F83">
        <w:rPr>
          <w:b/>
          <w:bCs w:val="0"/>
          <w:lang w:eastAsia="zh-CN"/>
        </w:rPr>
        <w:t xml:space="preserve"> </w:t>
      </w:r>
      <w:r w:rsidR="00862CD9" w:rsidRPr="00390F83">
        <w:rPr>
          <w:b/>
          <w:bCs w:val="0"/>
          <w:lang w:eastAsia="zh-CN"/>
        </w:rPr>
        <w:t>o</w:t>
      </w:r>
      <w:r w:rsidRPr="00390F83">
        <w:rPr>
          <w:b/>
          <w:bCs w:val="0"/>
          <w:lang w:eastAsia="zh-CN"/>
        </w:rPr>
        <w:t xml:space="preserve">bservation </w:t>
      </w:r>
      <w:r w:rsidR="00862CD9" w:rsidRPr="00390F83">
        <w:rPr>
          <w:b/>
          <w:bCs w:val="0"/>
          <w:lang w:eastAsia="zh-CN"/>
        </w:rPr>
        <w:t>c</w:t>
      </w:r>
      <w:r w:rsidRPr="00390F83">
        <w:rPr>
          <w:b/>
          <w:bCs w:val="0"/>
          <w:lang w:eastAsia="zh-CN"/>
        </w:rPr>
        <w:t>ommunity</w:t>
      </w:r>
    </w:p>
    <w:p w14:paraId="2720C954" w14:textId="77777777" w:rsidR="00BC6270" w:rsidRPr="00390F83" w:rsidRDefault="00BC6270" w:rsidP="00BC6270">
      <w:pPr>
        <w:rPr>
          <w:lang w:eastAsia="zh-CN"/>
        </w:rPr>
      </w:pPr>
    </w:p>
    <w:p w14:paraId="36B6461F" w14:textId="10C8F783" w:rsidR="00FC4148" w:rsidRPr="00390F83" w:rsidRDefault="00EE1BED" w:rsidP="001D47B1">
      <w:pPr>
        <w:ind w:left="432" w:hanging="432"/>
        <w:rPr>
          <w:rFonts w:eastAsia="Calibri"/>
        </w:rPr>
      </w:pPr>
      <w:r w:rsidRPr="00390F83">
        <w:rPr>
          <w:rFonts w:eastAsia="Calibri"/>
        </w:rPr>
        <w:t>2</w:t>
      </w:r>
      <w:r w:rsidR="001E61BB">
        <w:rPr>
          <w:rFonts w:eastAsia="Calibri"/>
        </w:rPr>
        <w:t>8</w:t>
      </w:r>
      <w:r w:rsidR="00BC6270" w:rsidRPr="00390F83">
        <w:rPr>
          <w:rFonts w:eastAsia="Calibri"/>
        </w:rPr>
        <w:t>.</w:t>
      </w:r>
      <w:r w:rsidR="00BC6270" w:rsidRPr="00390F83">
        <w:rPr>
          <w:rFonts w:eastAsia="Calibri"/>
        </w:rPr>
        <w:tab/>
      </w:r>
      <w:r w:rsidR="00111AA6" w:rsidRPr="00390F83">
        <w:rPr>
          <w:rFonts w:eastAsia="Calibri"/>
        </w:rPr>
        <w:t>Pursuant to</w:t>
      </w:r>
      <w:r w:rsidR="00093F8C" w:rsidRPr="00390F83">
        <w:rPr>
          <w:rFonts w:eastAsia="Calibri"/>
        </w:rPr>
        <w:t xml:space="preserve"> Decision SC63-30, the STRP, with the Secretariat, </w:t>
      </w:r>
      <w:r w:rsidR="00111AA6" w:rsidRPr="00390F83">
        <w:rPr>
          <w:rFonts w:eastAsia="Calibri"/>
        </w:rPr>
        <w:t xml:space="preserve">has </w:t>
      </w:r>
      <w:r w:rsidR="00093F8C" w:rsidRPr="00390F83">
        <w:rPr>
          <w:rFonts w:eastAsia="Calibri"/>
        </w:rPr>
        <w:t xml:space="preserve">initiated a consultation process with the </w:t>
      </w:r>
      <w:r w:rsidR="00F35B28" w:rsidRPr="00390F83">
        <w:rPr>
          <w:rFonts w:eastAsia="Calibri"/>
        </w:rPr>
        <w:t>Earth</w:t>
      </w:r>
      <w:r w:rsidR="00093F8C" w:rsidRPr="00390F83">
        <w:rPr>
          <w:rFonts w:eastAsia="Calibri"/>
        </w:rPr>
        <w:t xml:space="preserve"> observation community. This consultation aims to </w:t>
      </w:r>
      <w:r w:rsidR="00417AA0" w:rsidRPr="00390F83">
        <w:rPr>
          <w:rFonts w:eastAsia="Calibri"/>
        </w:rPr>
        <w:t xml:space="preserve">identify and provide recommendations on how </w:t>
      </w:r>
      <w:r w:rsidR="00F35B28" w:rsidRPr="00390F83">
        <w:rPr>
          <w:rFonts w:eastAsia="Calibri"/>
        </w:rPr>
        <w:t>Earth</w:t>
      </w:r>
      <w:r w:rsidR="00417AA0" w:rsidRPr="00390F83">
        <w:rPr>
          <w:rFonts w:eastAsia="Calibri"/>
        </w:rPr>
        <w:t xml:space="preserve"> observation </w:t>
      </w:r>
      <w:r w:rsidR="0082107F" w:rsidRPr="00390F83">
        <w:rPr>
          <w:rFonts w:eastAsia="Calibri"/>
        </w:rPr>
        <w:t xml:space="preserve">can </w:t>
      </w:r>
      <w:r w:rsidR="00417AA0" w:rsidRPr="00390F83">
        <w:rPr>
          <w:rFonts w:eastAsia="Calibri"/>
        </w:rPr>
        <w:t xml:space="preserve">support </w:t>
      </w:r>
      <w:r w:rsidR="00C75AC3" w:rsidRPr="00390F83">
        <w:rPr>
          <w:rFonts w:eastAsia="Calibri"/>
        </w:rPr>
        <w:t xml:space="preserve">Contracting Parties in </w:t>
      </w:r>
      <w:r w:rsidR="00417AA0" w:rsidRPr="00390F83">
        <w:rPr>
          <w:rFonts w:eastAsia="Calibri"/>
        </w:rPr>
        <w:t>implementation of the Convention</w:t>
      </w:r>
      <w:r w:rsidR="00902FC8" w:rsidRPr="00390F83">
        <w:rPr>
          <w:rFonts w:eastAsia="Calibri"/>
        </w:rPr>
        <w:t xml:space="preserve"> and </w:t>
      </w:r>
      <w:r w:rsidR="00093F8C" w:rsidRPr="00390F83">
        <w:rPr>
          <w:rFonts w:eastAsia="Calibri"/>
        </w:rPr>
        <w:t xml:space="preserve">foster </w:t>
      </w:r>
      <w:r w:rsidR="00902FC8" w:rsidRPr="00390F83">
        <w:rPr>
          <w:rFonts w:eastAsia="Calibri"/>
        </w:rPr>
        <w:t xml:space="preserve">ongoing </w:t>
      </w:r>
      <w:r w:rsidR="00093F8C" w:rsidRPr="00390F83">
        <w:rPr>
          <w:rFonts w:eastAsia="Calibri"/>
        </w:rPr>
        <w:t>dialogue</w:t>
      </w:r>
      <w:r w:rsidR="00902FC8" w:rsidRPr="00390F83">
        <w:rPr>
          <w:rFonts w:eastAsia="Calibri"/>
        </w:rPr>
        <w:t xml:space="preserve"> and </w:t>
      </w:r>
      <w:r w:rsidR="00093F8C" w:rsidRPr="00390F83">
        <w:rPr>
          <w:rFonts w:eastAsia="Calibri"/>
        </w:rPr>
        <w:t>knowledge exchange</w:t>
      </w:r>
      <w:r w:rsidR="00902FC8" w:rsidRPr="00390F83">
        <w:rPr>
          <w:rFonts w:eastAsia="Calibri"/>
        </w:rPr>
        <w:t xml:space="preserve"> on this. </w:t>
      </w:r>
      <w:r w:rsidR="008F2BC4" w:rsidRPr="00390F83">
        <w:rPr>
          <w:rFonts w:eastAsia="Calibri"/>
        </w:rPr>
        <w:t>Specifically, this is expected to</w:t>
      </w:r>
      <w:r w:rsidR="00D42E69" w:rsidRPr="00390F83">
        <w:rPr>
          <w:rFonts w:eastAsia="Calibri"/>
        </w:rPr>
        <w:t xml:space="preserve"> </w:t>
      </w:r>
      <w:r w:rsidR="008F2BC4" w:rsidRPr="00390F83">
        <w:rPr>
          <w:rFonts w:eastAsia="Calibri"/>
        </w:rPr>
        <w:t xml:space="preserve">address how </w:t>
      </w:r>
      <w:r w:rsidR="00F35B28" w:rsidRPr="00390F83">
        <w:rPr>
          <w:rFonts w:eastAsia="Calibri"/>
          <w:lang w:val="en-GB"/>
        </w:rPr>
        <w:t>Earth</w:t>
      </w:r>
      <w:r w:rsidR="00FC4148" w:rsidRPr="00390F83">
        <w:rPr>
          <w:rFonts w:eastAsia="Calibri"/>
          <w:lang w:val="en-GB"/>
        </w:rPr>
        <w:t xml:space="preserve"> </w:t>
      </w:r>
      <w:r w:rsidR="008F2BC4" w:rsidRPr="00390F83">
        <w:rPr>
          <w:rFonts w:eastAsia="Calibri"/>
          <w:lang w:val="en-GB"/>
        </w:rPr>
        <w:t>o</w:t>
      </w:r>
      <w:r w:rsidR="00FC4148" w:rsidRPr="00390F83">
        <w:rPr>
          <w:rFonts w:eastAsia="Calibri"/>
          <w:lang w:val="en-GB"/>
        </w:rPr>
        <w:t xml:space="preserve">bservation </w:t>
      </w:r>
      <w:r w:rsidR="00D42E69" w:rsidRPr="00390F83">
        <w:rPr>
          <w:rFonts w:eastAsia="Calibri"/>
          <w:lang w:val="en-GB"/>
        </w:rPr>
        <w:t xml:space="preserve">data can be made available </w:t>
      </w:r>
      <w:r w:rsidR="00842F14" w:rsidRPr="00390F83">
        <w:rPr>
          <w:rFonts w:eastAsia="Calibri"/>
          <w:lang w:val="en-GB"/>
        </w:rPr>
        <w:t xml:space="preserve">to </w:t>
      </w:r>
      <w:r w:rsidR="00FC4148" w:rsidRPr="00390F83">
        <w:rPr>
          <w:rFonts w:eastAsia="Calibri"/>
          <w:lang w:val="en-GB"/>
        </w:rPr>
        <w:t xml:space="preserve">and support </w:t>
      </w:r>
      <w:r w:rsidR="00B76B5C" w:rsidRPr="00390F83">
        <w:rPr>
          <w:rFonts w:eastAsia="Calibri"/>
          <w:lang w:val="en-GB"/>
        </w:rPr>
        <w:t>national wetland inventory</w:t>
      </w:r>
      <w:r w:rsidR="008B5548" w:rsidRPr="00390F83">
        <w:rPr>
          <w:rFonts w:eastAsia="Calibri"/>
          <w:lang w:val="en-GB"/>
        </w:rPr>
        <w:t xml:space="preserve">, </w:t>
      </w:r>
      <w:r w:rsidR="00FC4148" w:rsidRPr="00390F83">
        <w:rPr>
          <w:rFonts w:eastAsia="Calibri"/>
          <w:lang w:val="en-GB"/>
        </w:rPr>
        <w:t>wetland conservation, management</w:t>
      </w:r>
      <w:r w:rsidR="008B5548" w:rsidRPr="00390F83">
        <w:rPr>
          <w:rFonts w:eastAsia="Calibri"/>
          <w:lang w:val="en-GB"/>
        </w:rPr>
        <w:t xml:space="preserve">, </w:t>
      </w:r>
      <w:r w:rsidR="00FC4148" w:rsidRPr="00390F83">
        <w:rPr>
          <w:rFonts w:eastAsia="Calibri"/>
          <w:lang w:val="en-GB"/>
        </w:rPr>
        <w:t>restoration and wise use</w:t>
      </w:r>
      <w:r w:rsidR="001D47B1" w:rsidRPr="00390F83">
        <w:rPr>
          <w:rFonts w:eastAsia="Calibri"/>
          <w:lang w:val="en-GB"/>
        </w:rPr>
        <w:t xml:space="preserve">, as well as how it can contribute to </w:t>
      </w:r>
      <w:r w:rsidR="00FC4148" w:rsidRPr="00390F83">
        <w:rPr>
          <w:rFonts w:eastAsia="Calibri"/>
          <w:lang w:val="en-GB"/>
        </w:rPr>
        <w:t>strengthened monitoring and reporting</w:t>
      </w:r>
      <w:r w:rsidR="001D47B1" w:rsidRPr="00390F83">
        <w:rPr>
          <w:rFonts w:eastAsia="Calibri"/>
          <w:lang w:val="en-GB"/>
        </w:rPr>
        <w:t xml:space="preserve">, under the Convention and in relation to relevant targets of the </w:t>
      </w:r>
      <w:r w:rsidR="00FC4148" w:rsidRPr="00390F83">
        <w:rPr>
          <w:rFonts w:eastAsia="Calibri"/>
          <w:lang w:val="en-GB"/>
        </w:rPr>
        <w:t>SDG</w:t>
      </w:r>
      <w:r w:rsidR="001D47B1" w:rsidRPr="00390F83">
        <w:rPr>
          <w:rFonts w:eastAsia="Calibri"/>
          <w:lang w:val="en-GB"/>
        </w:rPr>
        <w:t xml:space="preserve">s </w:t>
      </w:r>
      <w:r w:rsidR="00FC4148" w:rsidRPr="00390F83">
        <w:rPr>
          <w:rFonts w:eastAsia="Calibri"/>
          <w:lang w:val="en-GB"/>
        </w:rPr>
        <w:t xml:space="preserve">and </w:t>
      </w:r>
      <w:r w:rsidR="001D47B1" w:rsidRPr="00390F83">
        <w:rPr>
          <w:rFonts w:eastAsia="Calibri"/>
          <w:lang w:val="en-GB"/>
        </w:rPr>
        <w:t>KM</w:t>
      </w:r>
      <w:r w:rsidR="00CA7379" w:rsidRPr="00390F83">
        <w:rPr>
          <w:rFonts w:eastAsia="Calibri"/>
          <w:lang w:val="en-GB"/>
        </w:rPr>
        <w:t>-</w:t>
      </w:r>
      <w:r w:rsidR="00FC4148" w:rsidRPr="00390F83">
        <w:rPr>
          <w:rFonts w:eastAsia="Calibri"/>
          <w:lang w:val="en-GB"/>
        </w:rPr>
        <w:t>GBF</w:t>
      </w:r>
      <w:r w:rsidR="001D47B1" w:rsidRPr="00390F83">
        <w:rPr>
          <w:rFonts w:eastAsia="Calibri"/>
          <w:lang w:val="en-GB"/>
        </w:rPr>
        <w:t xml:space="preserve">. </w:t>
      </w:r>
      <w:r w:rsidR="000053A9" w:rsidRPr="00390F83">
        <w:rPr>
          <w:rFonts w:eastAsia="Calibri"/>
        </w:rPr>
        <w:t xml:space="preserve">The findings from this consultation will </w:t>
      </w:r>
      <w:r w:rsidR="00434A79" w:rsidRPr="00390F83">
        <w:rPr>
          <w:rFonts w:eastAsia="Calibri"/>
        </w:rPr>
        <w:t xml:space="preserve">also </w:t>
      </w:r>
      <w:r w:rsidR="000053A9" w:rsidRPr="00390F83">
        <w:rPr>
          <w:rFonts w:eastAsia="Calibri"/>
        </w:rPr>
        <w:t xml:space="preserve">inform </w:t>
      </w:r>
      <w:r w:rsidR="00434A79" w:rsidRPr="00390F83">
        <w:rPr>
          <w:rFonts w:eastAsia="Calibri"/>
        </w:rPr>
        <w:t xml:space="preserve">development of </w:t>
      </w:r>
      <w:r w:rsidR="000053A9" w:rsidRPr="00390F83">
        <w:rPr>
          <w:rFonts w:eastAsia="Calibri"/>
        </w:rPr>
        <w:t>the STRP work plan for the 2026-2028 triennium.</w:t>
      </w:r>
    </w:p>
    <w:p w14:paraId="1D1E011D" w14:textId="77777777" w:rsidR="00C56630" w:rsidRPr="00390F83" w:rsidRDefault="00C56630" w:rsidP="00CF6E6E">
      <w:pPr>
        <w:rPr>
          <w:rFonts w:eastAsia="Calibri"/>
        </w:rPr>
      </w:pPr>
    </w:p>
    <w:p w14:paraId="60D9B284" w14:textId="439FB210" w:rsidR="00673374" w:rsidRPr="00390F83" w:rsidRDefault="001E61BB" w:rsidP="003060C0">
      <w:pPr>
        <w:ind w:left="432" w:hanging="432"/>
      </w:pPr>
      <w:r>
        <w:rPr>
          <w:rFonts w:eastAsia="Calibri"/>
        </w:rPr>
        <w:t>29</w:t>
      </w:r>
      <w:r w:rsidR="00F319AD" w:rsidRPr="00390F83">
        <w:rPr>
          <w:rFonts w:eastAsia="Calibri"/>
        </w:rPr>
        <w:t>.</w:t>
      </w:r>
      <w:r w:rsidR="00F319AD" w:rsidRPr="00390F83">
        <w:rPr>
          <w:rFonts w:eastAsia="Calibri"/>
        </w:rPr>
        <w:tab/>
      </w:r>
      <w:r w:rsidR="00746D08" w:rsidRPr="00390F83">
        <w:rPr>
          <w:rFonts w:eastAsia="Calibri"/>
        </w:rPr>
        <w:t xml:space="preserve">The Secretariat has initiated the consultation process by conducting targeted interviews with leading experts in </w:t>
      </w:r>
      <w:r w:rsidR="00F35B28" w:rsidRPr="00390F83">
        <w:rPr>
          <w:rFonts w:eastAsia="Calibri"/>
        </w:rPr>
        <w:t>Earth</w:t>
      </w:r>
      <w:r w:rsidR="00746D08" w:rsidRPr="00390F83">
        <w:rPr>
          <w:rFonts w:eastAsia="Calibri"/>
        </w:rPr>
        <w:t xml:space="preserve"> observation, focusing on exploring the potential applications of these technologies.</w:t>
      </w:r>
      <w:r w:rsidR="004474C2" w:rsidRPr="00390F83">
        <w:t xml:space="preserve"> </w:t>
      </w:r>
      <w:r w:rsidR="00E73030" w:rsidRPr="00390F83">
        <w:rPr>
          <w:rFonts w:eastAsia="Calibri"/>
        </w:rPr>
        <w:t xml:space="preserve">An </w:t>
      </w:r>
      <w:r w:rsidR="005B2149" w:rsidRPr="00390F83">
        <w:rPr>
          <w:rFonts w:eastAsia="Calibri"/>
        </w:rPr>
        <w:t>‘</w:t>
      </w:r>
      <w:r w:rsidR="00F35B28" w:rsidRPr="00390F83">
        <w:rPr>
          <w:rFonts w:eastAsia="Calibri"/>
        </w:rPr>
        <w:t>Earth</w:t>
      </w:r>
      <w:r w:rsidR="00E73030" w:rsidRPr="00390F83">
        <w:rPr>
          <w:rFonts w:eastAsia="Calibri"/>
        </w:rPr>
        <w:t xml:space="preserve"> </w:t>
      </w:r>
      <w:r w:rsidR="00F16EB2" w:rsidRPr="00390F83">
        <w:rPr>
          <w:rFonts w:eastAsia="Calibri"/>
        </w:rPr>
        <w:t>o</w:t>
      </w:r>
      <w:r w:rsidR="00E73030" w:rsidRPr="00390F83">
        <w:rPr>
          <w:rFonts w:eastAsia="Calibri"/>
        </w:rPr>
        <w:t xml:space="preserve">bservation </w:t>
      </w:r>
      <w:r w:rsidR="00F16EB2" w:rsidRPr="00390F83">
        <w:rPr>
          <w:rFonts w:eastAsia="Calibri"/>
        </w:rPr>
        <w:t>d</w:t>
      </w:r>
      <w:r w:rsidR="00E73030" w:rsidRPr="00390F83">
        <w:rPr>
          <w:rFonts w:eastAsia="Calibri"/>
        </w:rPr>
        <w:t>ay</w:t>
      </w:r>
      <w:r w:rsidR="005B2149" w:rsidRPr="00390F83">
        <w:rPr>
          <w:rFonts w:eastAsia="Calibri"/>
        </w:rPr>
        <w:t>’</w:t>
      </w:r>
      <w:r w:rsidR="00E73030" w:rsidRPr="00390F83">
        <w:rPr>
          <w:rFonts w:eastAsia="Calibri"/>
        </w:rPr>
        <w:t xml:space="preserve"> </w:t>
      </w:r>
      <w:r w:rsidR="005B2149" w:rsidRPr="00390F83">
        <w:rPr>
          <w:rFonts w:eastAsia="Calibri"/>
        </w:rPr>
        <w:t xml:space="preserve">will be held in association with </w:t>
      </w:r>
      <w:r w:rsidR="00597063">
        <w:rPr>
          <w:rFonts w:eastAsia="Calibri"/>
        </w:rPr>
        <w:t>STRP27</w:t>
      </w:r>
      <w:r w:rsidR="00E73030" w:rsidRPr="00390F83">
        <w:rPr>
          <w:rFonts w:eastAsia="Calibri"/>
        </w:rPr>
        <w:t xml:space="preserve"> </w:t>
      </w:r>
      <w:r w:rsidR="00EF281E" w:rsidRPr="00390F83">
        <w:rPr>
          <w:rFonts w:eastAsia="Calibri"/>
        </w:rPr>
        <w:t>on 6</w:t>
      </w:r>
      <w:r w:rsidR="00E73030" w:rsidRPr="00390F83">
        <w:rPr>
          <w:rFonts w:eastAsia="Calibri"/>
        </w:rPr>
        <w:t xml:space="preserve"> December 2024 to </w:t>
      </w:r>
      <w:r w:rsidR="00235156" w:rsidRPr="00390F83">
        <w:rPr>
          <w:rFonts w:eastAsia="Calibri"/>
        </w:rPr>
        <w:t xml:space="preserve">further </w:t>
      </w:r>
      <w:r w:rsidR="00E73030" w:rsidRPr="00390F83">
        <w:rPr>
          <w:rFonts w:eastAsia="Calibri"/>
        </w:rPr>
        <w:t xml:space="preserve">explore opportunities for long-term partnerships with the </w:t>
      </w:r>
      <w:r w:rsidR="00F35B28" w:rsidRPr="00390F83">
        <w:rPr>
          <w:rFonts w:eastAsia="Calibri"/>
        </w:rPr>
        <w:t>Earth</w:t>
      </w:r>
      <w:r w:rsidR="00E73030" w:rsidRPr="00390F83">
        <w:rPr>
          <w:rFonts w:eastAsia="Calibri"/>
        </w:rPr>
        <w:t xml:space="preserve"> observation community.</w:t>
      </w:r>
    </w:p>
    <w:p w14:paraId="1AA26E7D" w14:textId="77777777" w:rsidR="00EC3ACE" w:rsidRPr="00390F83" w:rsidRDefault="00EC3ACE" w:rsidP="00CF6E6E">
      <w:pPr>
        <w:rPr>
          <w:rFonts w:eastAsia="Calibri"/>
        </w:rPr>
      </w:pPr>
    </w:p>
    <w:p w14:paraId="6475608A" w14:textId="0100B7F2" w:rsidR="00EC3ACE" w:rsidRPr="00390F83" w:rsidRDefault="00F319AD" w:rsidP="00816C1A">
      <w:pPr>
        <w:ind w:left="432" w:hanging="432"/>
        <w:rPr>
          <w:rFonts w:eastAsia="Calibri"/>
        </w:rPr>
      </w:pPr>
      <w:r w:rsidRPr="00390F83">
        <w:rPr>
          <w:rFonts w:eastAsia="Calibri"/>
        </w:rPr>
        <w:t>3</w:t>
      </w:r>
      <w:r w:rsidR="001E61BB">
        <w:rPr>
          <w:rFonts w:eastAsia="Calibri"/>
        </w:rPr>
        <w:t>0</w:t>
      </w:r>
      <w:r w:rsidRPr="00390F83">
        <w:rPr>
          <w:rFonts w:eastAsia="Calibri"/>
        </w:rPr>
        <w:t>.</w:t>
      </w:r>
      <w:r w:rsidRPr="00390F83">
        <w:rPr>
          <w:rFonts w:eastAsia="Calibri"/>
        </w:rPr>
        <w:tab/>
      </w:r>
      <w:r w:rsidR="0045178D" w:rsidRPr="00390F83">
        <w:rPr>
          <w:rFonts w:eastAsia="Calibri"/>
        </w:rPr>
        <w:t xml:space="preserve">It should be noted that the present report to the </w:t>
      </w:r>
      <w:r w:rsidR="00FD2706" w:rsidRPr="00390F83">
        <w:rPr>
          <w:rFonts w:eastAsia="Calibri"/>
        </w:rPr>
        <w:t>64</w:t>
      </w:r>
      <w:r w:rsidR="00FD2706" w:rsidRPr="00EF7423">
        <w:rPr>
          <w:rFonts w:eastAsia="Calibri"/>
        </w:rPr>
        <w:t>th</w:t>
      </w:r>
      <w:r w:rsidR="00FD2706" w:rsidRPr="00390F83">
        <w:rPr>
          <w:rFonts w:eastAsia="Calibri"/>
        </w:rPr>
        <w:t xml:space="preserve"> meeting of the </w:t>
      </w:r>
      <w:r w:rsidR="0045178D" w:rsidRPr="00390F83">
        <w:rPr>
          <w:rFonts w:eastAsia="Calibri"/>
        </w:rPr>
        <w:t xml:space="preserve">Standing Committee is prepared ahead of the conclusion of the consultation process. The Chair of the STRP </w:t>
      </w:r>
      <w:r w:rsidR="00FD2706" w:rsidRPr="00390F83">
        <w:rPr>
          <w:rFonts w:eastAsia="Calibri"/>
        </w:rPr>
        <w:t xml:space="preserve">will </w:t>
      </w:r>
      <w:r w:rsidR="0045178D" w:rsidRPr="00390F83">
        <w:rPr>
          <w:rFonts w:eastAsia="Calibri"/>
        </w:rPr>
        <w:t>provide a verbal update to the Standing Committee on the key findings and recommendations emerging from the consultation. This may include proposed additions to the draft resolution on the future implementation of scientific and technical aspects of the Convention for the 2026-2028 period.</w:t>
      </w:r>
      <w:r w:rsidR="00816C1A" w:rsidRPr="00390F83">
        <w:rPr>
          <w:rFonts w:eastAsia="Calibri"/>
        </w:rPr>
        <w:t xml:space="preserve"> </w:t>
      </w:r>
    </w:p>
    <w:p w14:paraId="3C897178" w14:textId="77777777" w:rsidR="0022105A" w:rsidRPr="00390F83" w:rsidRDefault="0022105A" w:rsidP="00816C1A">
      <w:pPr>
        <w:ind w:left="432" w:hanging="432"/>
        <w:rPr>
          <w:rFonts w:eastAsia="Calibri"/>
        </w:rPr>
      </w:pPr>
    </w:p>
    <w:p w14:paraId="33DDAEEA" w14:textId="77777777" w:rsidR="00010DF0" w:rsidRPr="00390F83" w:rsidRDefault="00F319AD" w:rsidP="00010DF0">
      <w:pPr>
        <w:rPr>
          <w:b/>
          <w:bCs w:val="0"/>
          <w:lang w:eastAsia="zh-CN"/>
        </w:rPr>
      </w:pPr>
      <w:r w:rsidRPr="00390F83">
        <w:rPr>
          <w:b/>
          <w:bCs w:val="0"/>
          <w:lang w:eastAsia="zh-CN"/>
        </w:rPr>
        <w:t>Proposed approach to deliver future Global Wetland Outlooks (GWOs)</w:t>
      </w:r>
    </w:p>
    <w:p w14:paraId="5A8C0BF1" w14:textId="77777777" w:rsidR="00010DF0" w:rsidRPr="00390F83" w:rsidRDefault="00010DF0" w:rsidP="00010DF0">
      <w:pPr>
        <w:rPr>
          <w:lang w:eastAsia="zh-CN"/>
        </w:rPr>
      </w:pPr>
    </w:p>
    <w:p w14:paraId="1C113047" w14:textId="19965F60" w:rsidR="00C84CDE" w:rsidRPr="00390F83" w:rsidRDefault="00F319AD" w:rsidP="00C84CDE">
      <w:pPr>
        <w:ind w:left="432" w:hanging="432"/>
        <w:rPr>
          <w:rFonts w:eastAsia="Calibri"/>
        </w:rPr>
      </w:pPr>
      <w:r w:rsidRPr="00390F83">
        <w:rPr>
          <w:rFonts w:eastAsia="Calibri"/>
        </w:rPr>
        <w:t>3</w:t>
      </w:r>
      <w:r w:rsidR="001E61BB">
        <w:rPr>
          <w:rFonts w:eastAsia="Calibri"/>
        </w:rPr>
        <w:t>1</w:t>
      </w:r>
      <w:r w:rsidRPr="00390F83">
        <w:rPr>
          <w:rFonts w:eastAsia="Calibri"/>
        </w:rPr>
        <w:t>.</w:t>
      </w:r>
      <w:r w:rsidRPr="00390F83">
        <w:rPr>
          <w:rFonts w:eastAsia="Calibri"/>
        </w:rPr>
        <w:tab/>
      </w:r>
      <w:r w:rsidR="003B65CB" w:rsidRPr="00390F83">
        <w:rPr>
          <w:rFonts w:eastAsia="Calibri"/>
        </w:rPr>
        <w:t>Annex 4 outlines a detailed conceptual framework for the future delivery of the Global Wetland Outlook (GWO), as prepared by the STRP in accordance with the 2023-2025 STRP work plan</w:t>
      </w:r>
      <w:r w:rsidR="00D42AA1" w:rsidRPr="00390F83">
        <w:rPr>
          <w:rFonts w:eastAsia="Calibri"/>
        </w:rPr>
        <w:t xml:space="preserve"> (Task 5.3)</w:t>
      </w:r>
      <w:r w:rsidR="003B65CB" w:rsidRPr="00390F83">
        <w:rPr>
          <w:rFonts w:eastAsia="Calibri"/>
        </w:rPr>
        <w:t>. It defines the GWO</w:t>
      </w:r>
      <w:r w:rsidR="00F35B28" w:rsidRPr="00390F83">
        <w:rPr>
          <w:rFonts w:eastAsia="Calibri"/>
        </w:rPr>
        <w:t>’</w:t>
      </w:r>
      <w:r w:rsidR="003B65CB" w:rsidRPr="00390F83">
        <w:rPr>
          <w:rFonts w:eastAsia="Calibri"/>
        </w:rPr>
        <w:t xml:space="preserve">s purpose as a flagship product of the Convention on Wetlands, aligned with the Strategic Plan and other Multilateral Environmental Agreements (MEAs). The document presents a phased approach for GWO production, covering scoping, assessment, review, and communications. The approach emphasizes structured expert teams, including Coordinating Lead Authors and Lead Authors, supported by early-career professionals, to enhance capacity-building and diversity. Relevant methodologies, communication strategies, and funding mechanisms are also discussed to ensure the report’s wide dissemination and impact. </w:t>
      </w:r>
    </w:p>
    <w:p w14:paraId="747B8773" w14:textId="77777777" w:rsidR="00C84CDE" w:rsidRPr="00390F83" w:rsidRDefault="00C84CDE" w:rsidP="00CF6E6E">
      <w:pPr>
        <w:rPr>
          <w:rFonts w:eastAsia="Calibri"/>
        </w:rPr>
      </w:pPr>
    </w:p>
    <w:p w14:paraId="3B42FF44" w14:textId="77C5F824" w:rsidR="00DD5BDE" w:rsidRPr="00390F83" w:rsidRDefault="00C84CDE" w:rsidP="00C84CDE">
      <w:pPr>
        <w:ind w:left="432" w:hanging="432"/>
        <w:rPr>
          <w:rFonts w:eastAsia="Calibri"/>
        </w:rPr>
      </w:pPr>
      <w:r w:rsidRPr="00390F83">
        <w:rPr>
          <w:rFonts w:eastAsia="Calibri"/>
        </w:rPr>
        <w:t>3</w:t>
      </w:r>
      <w:r w:rsidR="001E61BB">
        <w:rPr>
          <w:rFonts w:eastAsia="Calibri"/>
        </w:rPr>
        <w:t>2</w:t>
      </w:r>
      <w:r w:rsidRPr="00390F83">
        <w:rPr>
          <w:rFonts w:eastAsia="Calibri"/>
        </w:rPr>
        <w:t>.</w:t>
      </w:r>
      <w:r w:rsidRPr="00390F83">
        <w:rPr>
          <w:rFonts w:eastAsia="Calibri"/>
        </w:rPr>
        <w:tab/>
      </w:r>
      <w:r w:rsidR="003B65CB" w:rsidRPr="00390F83">
        <w:rPr>
          <w:rFonts w:eastAsia="Calibri"/>
        </w:rPr>
        <w:t xml:space="preserve">While alternative approaches, such as those used by the Global Biodiversity Outlook (CBD) or Global Environment Outlook (UNEP), could be considered, the proposed approach in Annex 4 is recommended for discussion at SC64, given its suitability for the needs of the </w:t>
      </w:r>
      <w:r w:rsidR="004C7B2C" w:rsidRPr="00390F83">
        <w:rPr>
          <w:rFonts w:eastAsia="Calibri"/>
        </w:rPr>
        <w:t>Convention</w:t>
      </w:r>
      <w:r w:rsidR="003B65CB" w:rsidRPr="00390F83">
        <w:rPr>
          <w:rFonts w:eastAsia="Calibri"/>
        </w:rPr>
        <w:t>. This annex is intended to guide the development of future GWOs and ensure their contribution to global wetland conservation efforts</w:t>
      </w:r>
      <w:r w:rsidRPr="00390F83">
        <w:rPr>
          <w:rFonts w:eastAsia="Calibri"/>
        </w:rPr>
        <w:t>.</w:t>
      </w:r>
    </w:p>
    <w:p w14:paraId="1E43AEE0" w14:textId="5E870552" w:rsidR="00525329" w:rsidRPr="00390F83" w:rsidRDefault="00525329" w:rsidP="00211058">
      <w:pPr>
        <w:rPr>
          <w:rFonts w:eastAsia="Calibri"/>
        </w:rPr>
      </w:pPr>
    </w:p>
    <w:p w14:paraId="25988C3C" w14:textId="77777777" w:rsidR="00CF6E6E" w:rsidRPr="00390F83" w:rsidRDefault="00F319AD" w:rsidP="00CF6E6E">
      <w:pPr>
        <w:keepNext/>
        <w:ind w:left="425" w:hanging="425"/>
        <w:rPr>
          <w:rFonts w:eastAsia="Calibri"/>
          <w:b/>
        </w:rPr>
      </w:pPr>
      <w:r w:rsidRPr="00390F83">
        <w:rPr>
          <w:rFonts w:eastAsia="Calibri"/>
          <w:b/>
        </w:rPr>
        <w:t>Other ongoing work and ad-hoc requests</w:t>
      </w:r>
    </w:p>
    <w:p w14:paraId="6848B0DD" w14:textId="77777777" w:rsidR="00930A41" w:rsidRPr="00390F83" w:rsidRDefault="00930A41" w:rsidP="00B0075C">
      <w:pPr>
        <w:rPr>
          <w:rFonts w:eastAsia="Calibri"/>
          <w:b/>
        </w:rPr>
      </w:pPr>
    </w:p>
    <w:p w14:paraId="65417E48" w14:textId="6596ECF9" w:rsidR="00525329" w:rsidRPr="00390F83" w:rsidRDefault="00211058" w:rsidP="00525329">
      <w:pPr>
        <w:ind w:left="432" w:hanging="432"/>
        <w:rPr>
          <w:rFonts w:eastAsia="Calibri"/>
          <w:bCs w:val="0"/>
        </w:rPr>
      </w:pPr>
      <w:r w:rsidRPr="00390F83">
        <w:rPr>
          <w:rFonts w:eastAsia="Calibri"/>
        </w:rPr>
        <w:t>3</w:t>
      </w:r>
      <w:r w:rsidR="001E61BB">
        <w:rPr>
          <w:rFonts w:eastAsia="Calibri"/>
        </w:rPr>
        <w:t>3</w:t>
      </w:r>
      <w:r w:rsidR="00F319AD" w:rsidRPr="00390F83">
        <w:rPr>
          <w:rFonts w:eastAsia="Calibri"/>
        </w:rPr>
        <w:t>.</w:t>
      </w:r>
      <w:r w:rsidR="00F319AD" w:rsidRPr="00390F83">
        <w:rPr>
          <w:rFonts w:eastAsia="Calibri"/>
        </w:rPr>
        <w:tab/>
      </w:r>
      <w:r w:rsidR="00F319AD" w:rsidRPr="00390F83">
        <w:rPr>
          <w:rFonts w:eastAsia="Calibri"/>
          <w:bCs w:val="0"/>
        </w:rPr>
        <w:t>The Panel’s work includes several ongoing and ad-hoc advisory functions.</w:t>
      </w:r>
      <w:r w:rsidR="00D450DB" w:rsidRPr="00390F83">
        <w:rPr>
          <w:rFonts w:eastAsia="Calibri"/>
        </w:rPr>
        <w:t xml:space="preserve"> </w:t>
      </w:r>
      <w:r w:rsidR="00F319AD" w:rsidRPr="00390F83">
        <w:rPr>
          <w:rFonts w:eastAsia="Calibri"/>
          <w:bCs w:val="0"/>
        </w:rPr>
        <w:t>The STRP contributes to the following groups and fora:</w:t>
      </w:r>
    </w:p>
    <w:p w14:paraId="1C966B1F" w14:textId="77777777" w:rsidR="00525329" w:rsidRPr="00390F83" w:rsidRDefault="00525329" w:rsidP="00525329">
      <w:pPr>
        <w:ind w:left="432" w:hanging="432"/>
        <w:rPr>
          <w:rFonts w:eastAsia="Calibri"/>
          <w:bCs w:val="0"/>
        </w:rPr>
      </w:pPr>
    </w:p>
    <w:p w14:paraId="51984B5E" w14:textId="668E07D5" w:rsidR="00525329" w:rsidRPr="00390F83" w:rsidRDefault="00F319AD" w:rsidP="00EF7423">
      <w:pPr>
        <w:pStyle w:val="ListParagraph"/>
        <w:numPr>
          <w:ilvl w:val="0"/>
          <w:numId w:val="18"/>
        </w:numPr>
        <w:ind w:left="851" w:hanging="425"/>
        <w:rPr>
          <w:rFonts w:eastAsia="Calibri"/>
          <w:bCs w:val="0"/>
        </w:rPr>
      </w:pPr>
      <w:r w:rsidRPr="00390F83">
        <w:rPr>
          <w:rFonts w:eastAsia="Calibri"/>
          <w:bCs w:val="0"/>
        </w:rPr>
        <w:t>The Strategic Plan Working Group (SPWG): pursuant to Resolution XIV.4, paragraph 23, Dr Hugh Robertson, STRP Chair, has participated in the SPWG on behalf of the STRP, providing technical advice.</w:t>
      </w:r>
    </w:p>
    <w:p w14:paraId="5A903D73" w14:textId="0607F8BC" w:rsidR="00BF4284" w:rsidRPr="00390F83" w:rsidRDefault="00F319AD" w:rsidP="00EF7423">
      <w:pPr>
        <w:pStyle w:val="ListParagraph"/>
        <w:numPr>
          <w:ilvl w:val="0"/>
          <w:numId w:val="18"/>
        </w:numPr>
        <w:ind w:left="851" w:hanging="425"/>
        <w:rPr>
          <w:rFonts w:eastAsia="Calibri"/>
          <w:bCs w:val="0"/>
        </w:rPr>
      </w:pPr>
      <w:r w:rsidRPr="00390F83">
        <w:rPr>
          <w:rFonts w:eastAsia="Calibri"/>
          <w:bCs w:val="0"/>
        </w:rPr>
        <w:t>Working Group on Updating Ramsar Information Sheets</w:t>
      </w:r>
      <w:r w:rsidR="000C4A61" w:rsidRPr="00390F83">
        <w:rPr>
          <w:rFonts w:eastAsia="Calibri"/>
          <w:bCs w:val="0"/>
        </w:rPr>
        <w:t xml:space="preserve">: </w:t>
      </w:r>
      <w:r w:rsidR="00B6289B" w:rsidRPr="00390F83">
        <w:rPr>
          <w:rFonts w:eastAsia="Calibri"/>
          <w:bCs w:val="0"/>
        </w:rPr>
        <w:t xml:space="preserve">the </w:t>
      </w:r>
      <w:r w:rsidR="000C4A61" w:rsidRPr="00390F83">
        <w:rPr>
          <w:rFonts w:eastAsia="Calibri"/>
          <w:bCs w:val="0"/>
        </w:rPr>
        <w:t>STRP Chair has participated in the meeting of the RIS working group on behalf of the STRP.</w:t>
      </w:r>
    </w:p>
    <w:p w14:paraId="6A92389F" w14:textId="646AA386" w:rsidR="003B1406" w:rsidRPr="00390F83" w:rsidRDefault="00F319AD" w:rsidP="00EF7423">
      <w:pPr>
        <w:pStyle w:val="ListParagraph"/>
        <w:numPr>
          <w:ilvl w:val="0"/>
          <w:numId w:val="18"/>
        </w:numPr>
        <w:ind w:left="851" w:hanging="425"/>
        <w:rPr>
          <w:rFonts w:eastAsia="Calibri"/>
          <w:bCs w:val="0"/>
        </w:rPr>
      </w:pPr>
      <w:r w:rsidRPr="00390F83">
        <w:rPr>
          <w:rFonts w:eastAsia="Calibri"/>
          <w:bCs w:val="0"/>
        </w:rPr>
        <w:t xml:space="preserve">Wetland City Accreditation Independent Advisory Committee: Matthew Simpson, </w:t>
      </w:r>
      <w:r w:rsidR="00106632" w:rsidRPr="00390F83">
        <w:rPr>
          <w:rFonts w:eastAsia="Calibri"/>
          <w:bCs w:val="0"/>
        </w:rPr>
        <w:t xml:space="preserve">STRP </w:t>
      </w:r>
      <w:r w:rsidRPr="00390F83">
        <w:rPr>
          <w:rFonts w:eastAsia="Calibri"/>
          <w:bCs w:val="0"/>
        </w:rPr>
        <w:t xml:space="preserve">Observer, participated in the </w:t>
      </w:r>
      <w:r w:rsidR="00106632" w:rsidRPr="00390F83">
        <w:rPr>
          <w:rFonts w:eastAsia="Calibri"/>
          <w:bCs w:val="0"/>
        </w:rPr>
        <w:t>advisory committee</w:t>
      </w:r>
      <w:r w:rsidR="00F35B28" w:rsidRPr="00390F83">
        <w:rPr>
          <w:rFonts w:eastAsia="Calibri"/>
          <w:bCs w:val="0"/>
        </w:rPr>
        <w:t>’</w:t>
      </w:r>
      <w:r w:rsidR="00106632" w:rsidRPr="00390F83">
        <w:rPr>
          <w:rFonts w:eastAsia="Calibri"/>
          <w:bCs w:val="0"/>
        </w:rPr>
        <w:t xml:space="preserve">s meetings. </w:t>
      </w:r>
    </w:p>
    <w:p w14:paraId="06930F6C" w14:textId="77777777" w:rsidR="00525329" w:rsidRPr="00390F83" w:rsidRDefault="00F319AD" w:rsidP="00EF7423">
      <w:pPr>
        <w:pStyle w:val="ListParagraph"/>
        <w:numPr>
          <w:ilvl w:val="0"/>
          <w:numId w:val="18"/>
        </w:numPr>
        <w:ind w:left="851" w:hanging="425"/>
        <w:rPr>
          <w:rFonts w:eastAsia="Calibri"/>
          <w:bCs w:val="0"/>
        </w:rPr>
      </w:pPr>
      <w:r w:rsidRPr="00390F83">
        <w:rPr>
          <w:rFonts w:eastAsia="Calibri"/>
          <w:bCs w:val="0"/>
        </w:rPr>
        <w:t>The CEPA Oversight Panel: Resolution XIV.8, Annex 3 called upon the STRP to designate a representative to serve on the CEPA Oversight Panel. Dr Ritesh Kumar, STRP Technical Expert, has been nominated as the STRP representative and actively participates in the CEPA Oversight Panel meetings.</w:t>
      </w:r>
    </w:p>
    <w:p w14:paraId="52C345AD" w14:textId="380D1A39" w:rsidR="00525329" w:rsidRPr="00390F83" w:rsidRDefault="00F319AD" w:rsidP="00EF7423">
      <w:pPr>
        <w:pStyle w:val="ListParagraph"/>
        <w:numPr>
          <w:ilvl w:val="0"/>
          <w:numId w:val="18"/>
        </w:numPr>
        <w:ind w:left="851" w:hanging="425"/>
        <w:rPr>
          <w:rFonts w:eastAsia="Calibri"/>
          <w:bCs w:val="0"/>
        </w:rPr>
      </w:pPr>
      <w:r w:rsidRPr="00390F83">
        <w:rPr>
          <w:rFonts w:eastAsia="Calibri"/>
          <w:bCs w:val="0"/>
        </w:rPr>
        <w:t xml:space="preserve">The Intergovernmental Science-Policy Platform on Biodiversity and Ecosystem Services (IPBES) Multidisciplinary Expert Panel (MEP): the Chair of the STRP is an ex-officio member of the MEP. </w:t>
      </w:r>
      <w:r w:rsidR="00145A36" w:rsidRPr="00390F83">
        <w:rPr>
          <w:rFonts w:eastAsia="Calibri"/>
          <w:bCs w:val="0"/>
        </w:rPr>
        <w:t>T</w:t>
      </w:r>
      <w:r w:rsidR="00B6289B" w:rsidRPr="00390F83">
        <w:rPr>
          <w:rFonts w:eastAsia="Calibri"/>
          <w:bCs w:val="0"/>
        </w:rPr>
        <w:t xml:space="preserve">he STRP </w:t>
      </w:r>
      <w:r w:rsidRPr="00390F83">
        <w:rPr>
          <w:rFonts w:eastAsia="Calibri"/>
          <w:bCs w:val="0"/>
        </w:rPr>
        <w:t xml:space="preserve">Chair attended the </w:t>
      </w:r>
      <w:r w:rsidR="00497D86" w:rsidRPr="00390F83">
        <w:rPr>
          <w:rFonts w:eastAsia="Calibri"/>
          <w:bCs w:val="0"/>
        </w:rPr>
        <w:t>22nd</w:t>
      </w:r>
      <w:r w:rsidRPr="00390F83">
        <w:rPr>
          <w:rFonts w:eastAsia="Calibri"/>
          <w:bCs w:val="0"/>
        </w:rPr>
        <w:t xml:space="preserve"> Meeting of the IPBES MEP and Bureau </w:t>
      </w:r>
      <w:r w:rsidR="00145A36" w:rsidRPr="00390F83">
        <w:rPr>
          <w:rFonts w:eastAsia="Calibri"/>
          <w:bCs w:val="0"/>
        </w:rPr>
        <w:t xml:space="preserve">held 1 to 8 July 2024, </w:t>
      </w:r>
      <w:r w:rsidRPr="00390F83">
        <w:rPr>
          <w:rFonts w:eastAsia="Calibri"/>
          <w:bCs w:val="0"/>
        </w:rPr>
        <w:t xml:space="preserve">and submitted a brief presentation on the high-priority STRP tasks aligned with the IPBES work programme. </w:t>
      </w:r>
    </w:p>
    <w:p w14:paraId="2854D477" w14:textId="32C1CFF7" w:rsidR="00711323" w:rsidRPr="00390F83" w:rsidRDefault="00F319AD" w:rsidP="00EF7423">
      <w:pPr>
        <w:pStyle w:val="ListParagraph"/>
        <w:numPr>
          <w:ilvl w:val="0"/>
          <w:numId w:val="18"/>
        </w:numPr>
        <w:ind w:left="851" w:hanging="425"/>
        <w:rPr>
          <w:rFonts w:eastAsia="Calibri"/>
          <w:bCs w:val="0"/>
        </w:rPr>
      </w:pPr>
      <w:r w:rsidRPr="00390F83">
        <w:rPr>
          <w:rFonts w:eastAsia="Calibri"/>
          <w:bCs w:val="0"/>
        </w:rPr>
        <w:t xml:space="preserve">The Advisory Board of the Ukraine Ramsar Assessment: Dr Laurent Durieux, STRP Scientific Expert, </w:t>
      </w:r>
      <w:r w:rsidR="005C0C00" w:rsidRPr="00390F83">
        <w:rPr>
          <w:rFonts w:eastAsia="Calibri"/>
          <w:bCs w:val="0"/>
        </w:rPr>
        <w:t xml:space="preserve">participates in </w:t>
      </w:r>
      <w:r w:rsidRPr="00390F83">
        <w:rPr>
          <w:rFonts w:eastAsia="Calibri"/>
          <w:bCs w:val="0"/>
        </w:rPr>
        <w:t>the Advisory Board</w:t>
      </w:r>
      <w:r w:rsidR="00F16EB2" w:rsidRPr="00390F83">
        <w:rPr>
          <w:rFonts w:eastAsia="Calibri"/>
          <w:bCs w:val="0"/>
        </w:rPr>
        <w:t>.</w:t>
      </w:r>
    </w:p>
    <w:p w14:paraId="60957951" w14:textId="77777777" w:rsidR="00307F11" w:rsidRPr="00390F83" w:rsidRDefault="00307F11" w:rsidP="00B0075C">
      <w:pPr>
        <w:rPr>
          <w:rFonts w:eastAsia="Calibri"/>
          <w:b/>
        </w:rPr>
      </w:pPr>
    </w:p>
    <w:p w14:paraId="615C0897" w14:textId="77777777" w:rsidR="00CF6E6E" w:rsidRPr="00390F83" w:rsidRDefault="00F319AD" w:rsidP="00B0075C">
      <w:pPr>
        <w:keepNext/>
        <w:ind w:left="425" w:hanging="425"/>
        <w:rPr>
          <w:rFonts w:eastAsia="Calibri"/>
          <w:b/>
        </w:rPr>
      </w:pPr>
      <w:r w:rsidRPr="00390F83">
        <w:rPr>
          <w:rFonts w:eastAsia="Calibri"/>
          <w:b/>
        </w:rPr>
        <w:t>Recommendations</w:t>
      </w:r>
    </w:p>
    <w:p w14:paraId="22C285D7" w14:textId="77777777" w:rsidR="00DF7BA8" w:rsidRPr="00390F83" w:rsidRDefault="00DF7BA8" w:rsidP="00E952E3">
      <w:pPr>
        <w:rPr>
          <w:lang w:eastAsia="zh-CN"/>
        </w:rPr>
      </w:pPr>
    </w:p>
    <w:p w14:paraId="1B953BAF" w14:textId="36A13CB2" w:rsidR="001A75C9" w:rsidRPr="00390F83" w:rsidRDefault="00C56446" w:rsidP="00267954">
      <w:pPr>
        <w:ind w:left="432" w:hanging="432"/>
        <w:rPr>
          <w:lang w:eastAsia="zh-CN"/>
        </w:rPr>
      </w:pPr>
      <w:r w:rsidRPr="00390F83">
        <w:rPr>
          <w:lang w:eastAsia="zh-CN"/>
        </w:rPr>
        <w:t>3</w:t>
      </w:r>
      <w:r w:rsidR="001E61BB">
        <w:rPr>
          <w:lang w:eastAsia="zh-CN"/>
        </w:rPr>
        <w:t>4</w:t>
      </w:r>
      <w:r w:rsidR="00F319AD" w:rsidRPr="00390F83">
        <w:rPr>
          <w:lang w:eastAsia="zh-CN"/>
        </w:rPr>
        <w:t>.</w:t>
      </w:r>
      <w:r w:rsidR="00F319AD" w:rsidRPr="00390F83">
        <w:rPr>
          <w:lang w:eastAsia="zh-CN"/>
        </w:rPr>
        <w:tab/>
        <w:t>The Standing Committee is invited to :</w:t>
      </w:r>
    </w:p>
    <w:p w14:paraId="471F735A" w14:textId="77777777" w:rsidR="001A75C9" w:rsidRPr="00390F83" w:rsidRDefault="001A75C9" w:rsidP="00E952E3">
      <w:pPr>
        <w:rPr>
          <w:lang w:eastAsia="zh-CN"/>
        </w:rPr>
      </w:pPr>
    </w:p>
    <w:p w14:paraId="1C99282D" w14:textId="1B3A77B2" w:rsidR="009866AA" w:rsidRPr="00390F83" w:rsidRDefault="00BA58C7" w:rsidP="002034DD">
      <w:pPr>
        <w:pStyle w:val="ListParagraph"/>
        <w:pBdr>
          <w:top w:val="nil"/>
          <w:left w:val="nil"/>
          <w:bottom w:val="nil"/>
          <w:right w:val="nil"/>
          <w:between w:val="nil"/>
        </w:pBdr>
        <w:ind w:left="845" w:hanging="420"/>
        <w:rPr>
          <w:lang w:eastAsia="zh-CN"/>
        </w:rPr>
      </w:pPr>
      <w:r w:rsidRPr="00390F83">
        <w:rPr>
          <w:lang w:eastAsia="zh-CN"/>
        </w:rPr>
        <w:t>a</w:t>
      </w:r>
      <w:r w:rsidR="00995BCF" w:rsidRPr="00390F83">
        <w:rPr>
          <w:lang w:eastAsia="zh-CN"/>
        </w:rPr>
        <w:t>.</w:t>
      </w:r>
      <w:r w:rsidR="00995BCF" w:rsidRPr="00390F83">
        <w:rPr>
          <w:lang w:eastAsia="zh-CN"/>
        </w:rPr>
        <w:tab/>
      </w:r>
      <w:r w:rsidR="001516CD" w:rsidRPr="00390F83">
        <w:rPr>
          <w:lang w:eastAsia="zh-CN"/>
        </w:rPr>
        <w:t>Note</w:t>
      </w:r>
      <w:r w:rsidR="00D208A2" w:rsidRPr="00390F83">
        <w:rPr>
          <w:lang w:eastAsia="zh-CN"/>
        </w:rPr>
        <w:t xml:space="preserve"> the significant progress made by the STRP in advancing high-priority tasks, including the completion of key technical products and the development of guidance documents that support the conservation and wise use of wetlands</w:t>
      </w:r>
      <w:r w:rsidR="001516CD" w:rsidRPr="00390F83">
        <w:rPr>
          <w:lang w:eastAsia="zh-CN"/>
        </w:rPr>
        <w:t>.</w:t>
      </w:r>
    </w:p>
    <w:p w14:paraId="3AA71014" w14:textId="77777777" w:rsidR="005C5539" w:rsidRPr="00390F83" w:rsidRDefault="005C5539" w:rsidP="00781F47">
      <w:pPr>
        <w:ind w:left="864" w:hanging="432"/>
        <w:rPr>
          <w:lang w:eastAsia="zh-CN"/>
        </w:rPr>
      </w:pPr>
    </w:p>
    <w:p w14:paraId="36209EEA" w14:textId="7209356D" w:rsidR="005C5539" w:rsidRPr="00390F83" w:rsidRDefault="00BA58C7" w:rsidP="00BA58C7">
      <w:pPr>
        <w:pStyle w:val="ListParagraph"/>
        <w:pBdr>
          <w:top w:val="nil"/>
          <w:left w:val="nil"/>
          <w:bottom w:val="nil"/>
          <w:right w:val="nil"/>
          <w:between w:val="nil"/>
        </w:pBdr>
        <w:ind w:left="845" w:hanging="420"/>
        <w:rPr>
          <w:lang w:eastAsia="zh-CN"/>
        </w:rPr>
      </w:pPr>
      <w:r w:rsidRPr="00390F83">
        <w:rPr>
          <w:lang w:eastAsia="zh-CN"/>
        </w:rPr>
        <w:t>b</w:t>
      </w:r>
      <w:r w:rsidR="00F319AD" w:rsidRPr="00390F83">
        <w:rPr>
          <w:lang w:eastAsia="zh-CN"/>
        </w:rPr>
        <w:t>.</w:t>
      </w:r>
      <w:r w:rsidR="00F319AD" w:rsidRPr="00390F83">
        <w:rPr>
          <w:lang w:eastAsia="zh-CN"/>
        </w:rPr>
        <w:tab/>
      </w:r>
      <w:r w:rsidR="00531652" w:rsidRPr="00390F83">
        <w:rPr>
          <w:lang w:eastAsia="zh-CN"/>
        </w:rPr>
        <w:t xml:space="preserve">Consider </w:t>
      </w:r>
      <w:r w:rsidR="00955AD3" w:rsidRPr="00390F83">
        <w:rPr>
          <w:lang w:eastAsia="zh-CN"/>
        </w:rPr>
        <w:t>the proposed prioritized tasks for the STRP 2026-2028 work plan, which focus on enhancing wetland inventory, monitoring, restoration, policy development, and the application of new technologies, as outlined in Annex 1.</w:t>
      </w:r>
    </w:p>
    <w:p w14:paraId="1C7D5412" w14:textId="77777777" w:rsidR="004F7AD1" w:rsidRPr="00390F83" w:rsidRDefault="004F7AD1" w:rsidP="00781F47">
      <w:pPr>
        <w:ind w:left="864" w:hanging="432"/>
        <w:rPr>
          <w:lang w:eastAsia="zh-CN"/>
        </w:rPr>
      </w:pPr>
    </w:p>
    <w:p w14:paraId="0F0F00F2" w14:textId="6A10370D" w:rsidR="00995BCF" w:rsidRPr="00390F83" w:rsidRDefault="00BA58C7" w:rsidP="00BA58C7">
      <w:pPr>
        <w:pStyle w:val="ListParagraph"/>
        <w:pBdr>
          <w:top w:val="nil"/>
          <w:left w:val="nil"/>
          <w:bottom w:val="nil"/>
          <w:right w:val="nil"/>
          <w:between w:val="nil"/>
        </w:pBdr>
        <w:ind w:left="845" w:hanging="420"/>
        <w:rPr>
          <w:lang w:eastAsia="zh-CN"/>
        </w:rPr>
      </w:pPr>
      <w:r w:rsidRPr="00390F83">
        <w:rPr>
          <w:lang w:eastAsia="zh-CN"/>
        </w:rPr>
        <w:t>c</w:t>
      </w:r>
      <w:r w:rsidR="00522DEC" w:rsidRPr="00390F83">
        <w:rPr>
          <w:lang w:eastAsia="zh-CN"/>
        </w:rPr>
        <w:t>.</w:t>
      </w:r>
      <w:r w:rsidR="00522DEC" w:rsidRPr="00390F83">
        <w:rPr>
          <w:lang w:eastAsia="zh-CN"/>
        </w:rPr>
        <w:tab/>
      </w:r>
      <w:r w:rsidR="00566F25" w:rsidRPr="00390F83">
        <w:rPr>
          <w:lang w:eastAsia="zh-CN"/>
        </w:rPr>
        <w:t xml:space="preserve">Request </w:t>
      </w:r>
      <w:r w:rsidR="00D208A2" w:rsidRPr="00390F83">
        <w:rPr>
          <w:lang w:eastAsia="zh-CN"/>
        </w:rPr>
        <w:t xml:space="preserve">the Secretariat to inform Contracting Parties </w:t>
      </w:r>
      <w:r w:rsidR="00CB1B30" w:rsidRPr="00390F83">
        <w:rPr>
          <w:lang w:eastAsia="zh-CN"/>
        </w:rPr>
        <w:t xml:space="preserve">about the </w:t>
      </w:r>
      <w:r w:rsidR="005029AF" w:rsidRPr="00390F83">
        <w:rPr>
          <w:lang w:eastAsia="zh-CN"/>
        </w:rPr>
        <w:t xml:space="preserve">process and timeline </w:t>
      </w:r>
      <w:r w:rsidR="00D208A2" w:rsidRPr="00390F83">
        <w:rPr>
          <w:lang w:eastAsia="zh-CN"/>
        </w:rPr>
        <w:t xml:space="preserve">for nominations of STRP Members </w:t>
      </w:r>
      <w:r w:rsidR="00256DC7" w:rsidRPr="00390F83">
        <w:rPr>
          <w:lang w:eastAsia="zh-CN"/>
        </w:rPr>
        <w:t xml:space="preserve">for the 2026-2028 triennium </w:t>
      </w:r>
      <w:r w:rsidR="00A85B30" w:rsidRPr="00390F83">
        <w:rPr>
          <w:lang w:eastAsia="zh-CN"/>
        </w:rPr>
        <w:t xml:space="preserve">in advance of COP15, </w:t>
      </w:r>
      <w:r w:rsidR="004500F5" w:rsidRPr="00390F83">
        <w:rPr>
          <w:lang w:eastAsia="zh-CN"/>
        </w:rPr>
        <w:t xml:space="preserve">to facilitate </w:t>
      </w:r>
      <w:r w:rsidR="00D208A2" w:rsidRPr="00390F83">
        <w:rPr>
          <w:lang w:eastAsia="zh-CN"/>
        </w:rPr>
        <w:t xml:space="preserve">timely </w:t>
      </w:r>
      <w:r w:rsidR="00256DC7" w:rsidRPr="00390F83">
        <w:rPr>
          <w:lang w:eastAsia="zh-CN"/>
        </w:rPr>
        <w:t xml:space="preserve">submission of nominations and </w:t>
      </w:r>
      <w:r w:rsidR="007F3C3C" w:rsidRPr="00390F83">
        <w:rPr>
          <w:lang w:eastAsia="zh-CN"/>
        </w:rPr>
        <w:t>ap</w:t>
      </w:r>
      <w:r w:rsidR="00D208A2" w:rsidRPr="00390F83">
        <w:rPr>
          <w:lang w:eastAsia="zh-CN"/>
        </w:rPr>
        <w:t xml:space="preserve">pointment of a new Panel </w:t>
      </w:r>
      <w:r w:rsidR="00D135DA" w:rsidRPr="00390F83">
        <w:rPr>
          <w:lang w:eastAsia="zh-CN"/>
        </w:rPr>
        <w:t>after</w:t>
      </w:r>
      <w:r w:rsidR="007F3C3C" w:rsidRPr="00390F83">
        <w:rPr>
          <w:lang w:eastAsia="zh-CN"/>
        </w:rPr>
        <w:t xml:space="preserve"> </w:t>
      </w:r>
      <w:r w:rsidR="00D208A2" w:rsidRPr="00390F83">
        <w:rPr>
          <w:lang w:eastAsia="zh-CN"/>
        </w:rPr>
        <w:t>COP15.</w:t>
      </w:r>
    </w:p>
    <w:p w14:paraId="4DA4058D" w14:textId="77777777" w:rsidR="001D4202" w:rsidRPr="00390F83" w:rsidRDefault="001D4202" w:rsidP="00D57B0B">
      <w:pPr>
        <w:ind w:left="864" w:hanging="432"/>
        <w:rPr>
          <w:lang w:eastAsia="zh-CN"/>
        </w:rPr>
      </w:pPr>
    </w:p>
    <w:p w14:paraId="2875D08F" w14:textId="0B1CD2BB" w:rsidR="00A5799E" w:rsidRPr="00390F83" w:rsidRDefault="00BA58C7" w:rsidP="00BA58C7">
      <w:pPr>
        <w:pStyle w:val="ListParagraph"/>
        <w:pBdr>
          <w:top w:val="nil"/>
          <w:left w:val="nil"/>
          <w:bottom w:val="nil"/>
          <w:right w:val="nil"/>
          <w:between w:val="nil"/>
        </w:pBdr>
        <w:ind w:left="845" w:hanging="420"/>
        <w:rPr>
          <w:lang w:eastAsia="zh-CN"/>
        </w:rPr>
      </w:pPr>
      <w:r w:rsidRPr="00390F83">
        <w:rPr>
          <w:lang w:eastAsia="zh-CN"/>
        </w:rPr>
        <w:t>d</w:t>
      </w:r>
      <w:r w:rsidR="00F319AD" w:rsidRPr="00390F83">
        <w:rPr>
          <w:lang w:eastAsia="zh-CN"/>
        </w:rPr>
        <w:t>.</w:t>
      </w:r>
      <w:r w:rsidR="00F319AD" w:rsidRPr="00390F83">
        <w:rPr>
          <w:lang w:eastAsia="zh-CN"/>
        </w:rPr>
        <w:tab/>
      </w:r>
      <w:r w:rsidR="00566F25" w:rsidRPr="00390F83">
        <w:rPr>
          <w:lang w:eastAsia="zh-CN"/>
        </w:rPr>
        <w:t xml:space="preserve">Note </w:t>
      </w:r>
      <w:r w:rsidR="00260899" w:rsidRPr="00390F83">
        <w:rPr>
          <w:lang w:eastAsia="zh-CN"/>
        </w:rPr>
        <w:t xml:space="preserve">progress made </w:t>
      </w:r>
      <w:r w:rsidR="006175C3" w:rsidRPr="00390F83">
        <w:rPr>
          <w:lang w:eastAsia="zh-CN"/>
        </w:rPr>
        <w:t xml:space="preserve">in implementation of </w:t>
      </w:r>
      <w:r w:rsidR="00CA66B5" w:rsidRPr="00390F83">
        <w:rPr>
          <w:lang w:eastAsia="zh-CN"/>
        </w:rPr>
        <w:t xml:space="preserve">the consultation with the </w:t>
      </w:r>
      <w:r w:rsidR="00F35B28" w:rsidRPr="00390F83">
        <w:rPr>
          <w:lang w:eastAsia="zh-CN"/>
        </w:rPr>
        <w:t>Earth</w:t>
      </w:r>
      <w:r w:rsidR="00CA66B5" w:rsidRPr="00390F83">
        <w:rPr>
          <w:lang w:eastAsia="zh-CN"/>
        </w:rPr>
        <w:t xml:space="preserve"> observation community</w:t>
      </w:r>
      <w:r w:rsidR="00E83F4A" w:rsidRPr="00390F83">
        <w:rPr>
          <w:lang w:eastAsia="zh-CN"/>
        </w:rPr>
        <w:t xml:space="preserve">, and </w:t>
      </w:r>
      <w:r w:rsidR="0066520F" w:rsidRPr="00390F83">
        <w:rPr>
          <w:lang w:eastAsia="zh-CN"/>
        </w:rPr>
        <w:t xml:space="preserve">to consider its findings and recommendations, when available, in </w:t>
      </w:r>
      <w:r w:rsidR="00A347A8" w:rsidRPr="00390F83">
        <w:rPr>
          <w:lang w:eastAsia="zh-CN"/>
        </w:rPr>
        <w:t xml:space="preserve">further discussions on </w:t>
      </w:r>
      <w:r w:rsidR="00CA66B5" w:rsidRPr="00390F83">
        <w:rPr>
          <w:lang w:eastAsia="zh-CN"/>
        </w:rPr>
        <w:t>the future scientific and technical aspects of the Convention for the 2026-2028 period.</w:t>
      </w:r>
      <w:r w:rsidR="00F319AD" w:rsidRPr="00390F83">
        <w:rPr>
          <w:lang w:eastAsia="zh-CN"/>
        </w:rPr>
        <w:t xml:space="preserve"> </w:t>
      </w:r>
    </w:p>
    <w:p w14:paraId="4ACECBB9" w14:textId="77777777" w:rsidR="00A5799E" w:rsidRPr="00390F83" w:rsidRDefault="00A5799E" w:rsidP="00A5799E">
      <w:pPr>
        <w:ind w:left="864" w:hanging="432"/>
        <w:rPr>
          <w:lang w:eastAsia="zh-CN"/>
        </w:rPr>
      </w:pPr>
    </w:p>
    <w:p w14:paraId="7A6A66DF" w14:textId="481F9404" w:rsidR="00E53445" w:rsidRPr="00390F83" w:rsidRDefault="00BA58C7" w:rsidP="00BA58C7">
      <w:pPr>
        <w:pStyle w:val="ListParagraph"/>
        <w:pBdr>
          <w:top w:val="nil"/>
          <w:left w:val="nil"/>
          <w:bottom w:val="nil"/>
          <w:right w:val="nil"/>
          <w:between w:val="nil"/>
        </w:pBdr>
        <w:ind w:left="845" w:hanging="420"/>
        <w:rPr>
          <w:lang w:eastAsia="zh-CN"/>
        </w:rPr>
      </w:pPr>
      <w:r w:rsidRPr="00390F83">
        <w:rPr>
          <w:lang w:eastAsia="zh-CN"/>
        </w:rPr>
        <w:t>e</w:t>
      </w:r>
      <w:r w:rsidR="00C8794A" w:rsidRPr="00390F83">
        <w:rPr>
          <w:lang w:eastAsia="zh-CN"/>
        </w:rPr>
        <w:tab/>
      </w:r>
      <w:r w:rsidR="006800EF" w:rsidRPr="00390F83">
        <w:rPr>
          <w:lang w:eastAsia="zh-CN"/>
        </w:rPr>
        <w:t xml:space="preserve">Consider </w:t>
      </w:r>
      <w:r w:rsidR="00A17A7E" w:rsidRPr="00390F83">
        <w:rPr>
          <w:lang w:eastAsia="zh-CN"/>
        </w:rPr>
        <w:t xml:space="preserve">the </w:t>
      </w:r>
      <w:r w:rsidR="00505479" w:rsidRPr="00390F83">
        <w:rPr>
          <w:lang w:eastAsia="zh-CN"/>
        </w:rPr>
        <w:t xml:space="preserve">guidance </w:t>
      </w:r>
      <w:r w:rsidR="006800EF" w:rsidRPr="00390F83">
        <w:rPr>
          <w:rFonts w:eastAsia="Times New Roman"/>
          <w:bCs w:val="0"/>
        </w:rPr>
        <w:t>on using alternative population estimates under Criterion 6</w:t>
      </w:r>
      <w:r w:rsidR="004A4595" w:rsidRPr="00390F83">
        <w:rPr>
          <w:rFonts w:eastAsia="Times New Roman"/>
          <w:bCs w:val="0"/>
        </w:rPr>
        <w:t>, as set out</w:t>
      </w:r>
      <w:r w:rsidR="006800EF" w:rsidRPr="00390F83">
        <w:rPr>
          <w:rFonts w:eastAsia="Times New Roman"/>
          <w:bCs w:val="0"/>
        </w:rPr>
        <w:t xml:space="preserve"> </w:t>
      </w:r>
      <w:r w:rsidR="00505479" w:rsidRPr="00390F83">
        <w:rPr>
          <w:lang w:eastAsia="zh-CN"/>
        </w:rPr>
        <w:t>in Annex 2</w:t>
      </w:r>
      <w:r w:rsidR="006800EF" w:rsidRPr="00390F83">
        <w:rPr>
          <w:lang w:eastAsia="zh-CN"/>
        </w:rPr>
        <w:t>; and re</w:t>
      </w:r>
      <w:r w:rsidR="004A46DD" w:rsidRPr="00390F83">
        <w:rPr>
          <w:lang w:eastAsia="zh-CN"/>
        </w:rPr>
        <w:t xml:space="preserve">quest the </w:t>
      </w:r>
      <w:r w:rsidR="00A11F04" w:rsidRPr="00390F83">
        <w:rPr>
          <w:lang w:eastAsia="zh-CN"/>
        </w:rPr>
        <w:t>Secretariat</w:t>
      </w:r>
      <w:r w:rsidR="006874AF" w:rsidRPr="00390F83">
        <w:rPr>
          <w:lang w:eastAsia="zh-CN"/>
        </w:rPr>
        <w:t xml:space="preserve"> </w:t>
      </w:r>
      <w:r w:rsidR="00A11F04" w:rsidRPr="00390F83">
        <w:rPr>
          <w:lang w:eastAsia="zh-CN"/>
        </w:rPr>
        <w:t xml:space="preserve">to disseminate </w:t>
      </w:r>
      <w:r w:rsidR="00812058" w:rsidRPr="00390F83">
        <w:rPr>
          <w:lang w:eastAsia="zh-CN"/>
        </w:rPr>
        <w:t>the guidance</w:t>
      </w:r>
      <w:r w:rsidR="004A4595" w:rsidRPr="00390F83">
        <w:rPr>
          <w:lang w:eastAsia="zh-CN"/>
        </w:rPr>
        <w:t xml:space="preserve"> document to </w:t>
      </w:r>
      <w:r w:rsidR="00A11F04" w:rsidRPr="00390F83">
        <w:rPr>
          <w:lang w:eastAsia="zh-CN"/>
        </w:rPr>
        <w:t>ensur</w:t>
      </w:r>
      <w:r w:rsidR="004A4595" w:rsidRPr="00390F83">
        <w:rPr>
          <w:lang w:eastAsia="zh-CN"/>
        </w:rPr>
        <w:t>e</w:t>
      </w:r>
      <w:r w:rsidR="00A11F04" w:rsidRPr="00390F83">
        <w:rPr>
          <w:lang w:eastAsia="zh-CN"/>
        </w:rPr>
        <w:t xml:space="preserve"> a transparent process for the submission, review, and approval of </w:t>
      </w:r>
      <w:r w:rsidR="004A4595" w:rsidRPr="00390F83">
        <w:rPr>
          <w:lang w:eastAsia="zh-CN"/>
        </w:rPr>
        <w:t xml:space="preserve">alternative </w:t>
      </w:r>
      <w:r w:rsidR="00A11F04" w:rsidRPr="00390F83">
        <w:rPr>
          <w:lang w:eastAsia="zh-CN"/>
        </w:rPr>
        <w:t>estimates, in line with Resolution XIV.18.</w:t>
      </w:r>
    </w:p>
    <w:p w14:paraId="5EF98414" w14:textId="77777777" w:rsidR="00E53445" w:rsidRPr="00390F83" w:rsidRDefault="00E53445" w:rsidP="00E53445">
      <w:pPr>
        <w:ind w:left="864" w:hanging="432"/>
        <w:rPr>
          <w:lang w:eastAsia="zh-CN"/>
        </w:rPr>
      </w:pPr>
    </w:p>
    <w:p w14:paraId="254CD1E7" w14:textId="01EC0F3E" w:rsidR="00A5799E" w:rsidRPr="00390F83" w:rsidRDefault="00BA58C7" w:rsidP="00BA58C7">
      <w:pPr>
        <w:pStyle w:val="ListParagraph"/>
        <w:pBdr>
          <w:top w:val="nil"/>
          <w:left w:val="nil"/>
          <w:bottom w:val="nil"/>
          <w:right w:val="nil"/>
          <w:between w:val="nil"/>
        </w:pBdr>
        <w:ind w:left="845" w:hanging="420"/>
        <w:rPr>
          <w:lang w:eastAsia="zh-CN"/>
        </w:rPr>
      </w:pPr>
      <w:r w:rsidRPr="00390F83">
        <w:rPr>
          <w:lang w:eastAsia="zh-CN"/>
        </w:rPr>
        <w:t>f</w:t>
      </w:r>
      <w:r w:rsidR="00F319AD" w:rsidRPr="00390F83">
        <w:rPr>
          <w:lang w:eastAsia="zh-CN"/>
        </w:rPr>
        <w:t>.</w:t>
      </w:r>
      <w:r w:rsidR="00C8794A" w:rsidRPr="00390F83">
        <w:rPr>
          <w:lang w:eastAsia="zh-CN"/>
        </w:rPr>
        <w:tab/>
      </w:r>
      <w:r w:rsidR="00BC46E3" w:rsidRPr="00390F83">
        <w:rPr>
          <w:lang w:eastAsia="zh-CN"/>
        </w:rPr>
        <w:t xml:space="preserve">Encourage </w:t>
      </w:r>
      <w:r w:rsidR="00736DD9" w:rsidRPr="00390F83">
        <w:rPr>
          <w:lang w:eastAsia="zh-CN"/>
        </w:rPr>
        <w:t xml:space="preserve">Contracting Parties to follow the submission </w:t>
      </w:r>
      <w:r w:rsidR="000A2B5A" w:rsidRPr="00390F83">
        <w:rPr>
          <w:lang w:eastAsia="zh-CN"/>
        </w:rPr>
        <w:t>process</w:t>
      </w:r>
      <w:r w:rsidR="00766D23" w:rsidRPr="00390F83">
        <w:rPr>
          <w:lang w:eastAsia="zh-CN"/>
        </w:rPr>
        <w:t>,</w:t>
      </w:r>
      <w:r w:rsidR="000A2B5A" w:rsidRPr="00390F83">
        <w:rPr>
          <w:lang w:eastAsia="zh-CN"/>
        </w:rPr>
        <w:t xml:space="preserve"> </w:t>
      </w:r>
      <w:r w:rsidR="00766D23" w:rsidRPr="00390F83">
        <w:rPr>
          <w:lang w:eastAsia="zh-CN"/>
        </w:rPr>
        <w:t xml:space="preserve">as detailed in Annex 2, relating to the </w:t>
      </w:r>
      <w:r w:rsidR="00551159" w:rsidRPr="00390F83">
        <w:rPr>
          <w:lang w:eastAsia="zh-CN"/>
        </w:rPr>
        <w:t xml:space="preserve">approval </w:t>
      </w:r>
      <w:r w:rsidR="00736DD9" w:rsidRPr="00390F83">
        <w:rPr>
          <w:lang w:eastAsia="zh-CN"/>
        </w:rPr>
        <w:t>of alternative estimates under Criterion 6, ensuring adherence to the established methodologies for deriving 1% thresholds</w:t>
      </w:r>
      <w:r w:rsidR="00BC46E3" w:rsidRPr="00390F83">
        <w:rPr>
          <w:lang w:eastAsia="zh-CN"/>
        </w:rPr>
        <w:t>.</w:t>
      </w:r>
    </w:p>
    <w:p w14:paraId="0F1D4E35" w14:textId="77777777" w:rsidR="00A5799E" w:rsidRPr="00390F83" w:rsidRDefault="00A5799E" w:rsidP="00D57B0B">
      <w:pPr>
        <w:ind w:left="864" w:hanging="432"/>
        <w:rPr>
          <w:lang w:eastAsia="zh-CN"/>
        </w:rPr>
      </w:pPr>
    </w:p>
    <w:p w14:paraId="724DFF13" w14:textId="6E5735E4" w:rsidR="00EC0CAC" w:rsidRPr="00390F83" w:rsidRDefault="00BA58C7" w:rsidP="00BA58C7">
      <w:pPr>
        <w:pStyle w:val="ListParagraph"/>
        <w:pBdr>
          <w:top w:val="nil"/>
          <w:left w:val="nil"/>
          <w:bottom w:val="nil"/>
          <w:right w:val="nil"/>
          <w:between w:val="nil"/>
        </w:pBdr>
        <w:ind w:left="845" w:hanging="420"/>
        <w:rPr>
          <w:lang w:eastAsia="zh-CN"/>
        </w:rPr>
      </w:pPr>
      <w:r w:rsidRPr="00390F83">
        <w:rPr>
          <w:lang w:eastAsia="zh-CN"/>
        </w:rPr>
        <w:t>g</w:t>
      </w:r>
      <w:r w:rsidR="00F319AD" w:rsidRPr="00390F83">
        <w:rPr>
          <w:lang w:eastAsia="zh-CN"/>
        </w:rPr>
        <w:t>.</w:t>
      </w:r>
      <w:r w:rsidR="00F319AD" w:rsidRPr="00390F83">
        <w:rPr>
          <w:lang w:eastAsia="zh-CN"/>
        </w:rPr>
        <w:tab/>
      </w:r>
      <w:r w:rsidR="00316B1D" w:rsidRPr="00390F83">
        <w:rPr>
          <w:lang w:eastAsia="zh-CN"/>
        </w:rPr>
        <w:t>N</w:t>
      </w:r>
      <w:r w:rsidR="00F319AD" w:rsidRPr="00390F83">
        <w:rPr>
          <w:lang w:eastAsia="zh-CN"/>
        </w:rPr>
        <w:t xml:space="preserve">ote </w:t>
      </w:r>
      <w:r w:rsidR="00AE16D6" w:rsidRPr="00390F83">
        <w:rPr>
          <w:lang w:eastAsia="zh-CN"/>
        </w:rPr>
        <w:t>the technical proposal prepared by the STRP for the review of legal and policy instruments aimed at improving wetland conservation, restoration, and wise use</w:t>
      </w:r>
      <w:r w:rsidR="00001104" w:rsidRPr="00390F83">
        <w:rPr>
          <w:lang w:eastAsia="zh-CN"/>
        </w:rPr>
        <w:t xml:space="preserve"> </w:t>
      </w:r>
      <w:r w:rsidR="00AE16D6" w:rsidRPr="00390F83">
        <w:rPr>
          <w:lang w:eastAsia="zh-CN"/>
        </w:rPr>
        <w:t>in Annex 3</w:t>
      </w:r>
      <w:r w:rsidR="009727BE" w:rsidRPr="00390F83">
        <w:rPr>
          <w:lang w:eastAsia="zh-CN"/>
        </w:rPr>
        <w:t>, for inclusion in the STRP work plan for 202</w:t>
      </w:r>
      <w:r w:rsidR="00551159" w:rsidRPr="00390F83">
        <w:rPr>
          <w:lang w:eastAsia="zh-CN"/>
        </w:rPr>
        <w:t>6</w:t>
      </w:r>
      <w:r w:rsidR="009727BE" w:rsidRPr="00390F83">
        <w:rPr>
          <w:lang w:eastAsia="zh-CN"/>
        </w:rPr>
        <w:t>-202</w:t>
      </w:r>
      <w:r w:rsidR="00551159" w:rsidRPr="00390F83">
        <w:rPr>
          <w:lang w:eastAsia="zh-CN"/>
        </w:rPr>
        <w:t>8</w:t>
      </w:r>
      <w:r w:rsidR="00B41EEA" w:rsidRPr="00390F83">
        <w:rPr>
          <w:lang w:eastAsia="zh-CN"/>
        </w:rPr>
        <w:t xml:space="preserve"> as a </w:t>
      </w:r>
      <w:r w:rsidR="00551159" w:rsidRPr="00390F83">
        <w:rPr>
          <w:lang w:eastAsia="zh-CN"/>
        </w:rPr>
        <w:t>prioritized</w:t>
      </w:r>
      <w:r w:rsidR="00B41EEA" w:rsidRPr="00390F83">
        <w:rPr>
          <w:lang w:eastAsia="zh-CN"/>
        </w:rPr>
        <w:t xml:space="preserve"> task</w:t>
      </w:r>
      <w:r w:rsidR="00AE16D6" w:rsidRPr="00390F83">
        <w:rPr>
          <w:lang w:eastAsia="zh-CN"/>
        </w:rPr>
        <w:t>.</w:t>
      </w:r>
    </w:p>
    <w:p w14:paraId="353F621B" w14:textId="77777777" w:rsidR="00A5799E" w:rsidRPr="00390F83" w:rsidRDefault="00A5799E" w:rsidP="00D57B0B">
      <w:pPr>
        <w:ind w:left="864" w:hanging="432"/>
        <w:rPr>
          <w:lang w:eastAsia="zh-CN"/>
        </w:rPr>
      </w:pPr>
    </w:p>
    <w:p w14:paraId="5BA3765B" w14:textId="68BAB7D2" w:rsidR="005E74C9" w:rsidRPr="00390F83" w:rsidRDefault="00BA58C7" w:rsidP="00BA58C7">
      <w:pPr>
        <w:pStyle w:val="ListParagraph"/>
        <w:pBdr>
          <w:top w:val="nil"/>
          <w:left w:val="nil"/>
          <w:bottom w:val="nil"/>
          <w:right w:val="nil"/>
          <w:between w:val="nil"/>
        </w:pBdr>
        <w:ind w:left="845" w:hanging="420"/>
        <w:rPr>
          <w:lang w:eastAsia="zh-CN"/>
        </w:rPr>
      </w:pPr>
      <w:r w:rsidRPr="00390F83">
        <w:rPr>
          <w:lang w:eastAsia="zh-CN"/>
        </w:rPr>
        <w:t>h</w:t>
      </w:r>
      <w:r w:rsidR="00F319AD" w:rsidRPr="00390F83">
        <w:rPr>
          <w:lang w:eastAsia="zh-CN"/>
        </w:rPr>
        <w:t>.</w:t>
      </w:r>
      <w:r w:rsidR="00F319AD" w:rsidRPr="00390F83">
        <w:rPr>
          <w:lang w:eastAsia="zh-CN"/>
        </w:rPr>
        <w:tab/>
        <w:t xml:space="preserve">Encourage </w:t>
      </w:r>
      <w:r w:rsidR="005E6ADA" w:rsidRPr="00390F83">
        <w:rPr>
          <w:lang w:eastAsia="zh-CN"/>
        </w:rPr>
        <w:t>Contracting Parties and other stakeholders to provide financial contributions to support the establishment and operation of the Waterbird Estimates Partnership (WEP) and the delivery of the 2027 edition of Waterbird Population Estimates (WPE2027), recognizing the critical role of updated waterbird population data for wetland conservation and the successful implementation of the Convention, as detailed in Annex 5</w:t>
      </w:r>
      <w:r w:rsidR="00F319AD" w:rsidRPr="00390F83">
        <w:rPr>
          <w:lang w:eastAsia="zh-CN"/>
        </w:rPr>
        <w:t>.</w:t>
      </w:r>
    </w:p>
    <w:p w14:paraId="29006504" w14:textId="77777777" w:rsidR="005E74C9" w:rsidRPr="00390F83" w:rsidRDefault="005E74C9" w:rsidP="005E74C9">
      <w:pPr>
        <w:ind w:left="864" w:hanging="432"/>
        <w:rPr>
          <w:lang w:eastAsia="zh-CN"/>
        </w:rPr>
      </w:pPr>
    </w:p>
    <w:p w14:paraId="0F3009C5" w14:textId="097FF400" w:rsidR="00DF6B4A" w:rsidRPr="00390F83" w:rsidRDefault="00BA58C7" w:rsidP="00BA58C7">
      <w:pPr>
        <w:pStyle w:val="ListParagraph"/>
        <w:pBdr>
          <w:top w:val="nil"/>
          <w:left w:val="nil"/>
          <w:bottom w:val="nil"/>
          <w:right w:val="nil"/>
          <w:between w:val="nil"/>
        </w:pBdr>
        <w:ind w:left="845" w:hanging="420"/>
        <w:rPr>
          <w:lang w:eastAsia="zh-CN"/>
        </w:rPr>
      </w:pPr>
      <w:r w:rsidRPr="00390F83">
        <w:rPr>
          <w:lang w:eastAsia="zh-CN"/>
        </w:rPr>
        <w:t>i</w:t>
      </w:r>
      <w:r w:rsidR="00F319AD" w:rsidRPr="00390F83">
        <w:rPr>
          <w:lang w:eastAsia="zh-CN"/>
        </w:rPr>
        <w:t>.</w:t>
      </w:r>
      <w:r w:rsidR="00F319AD" w:rsidRPr="00390F83">
        <w:rPr>
          <w:lang w:eastAsia="zh-CN"/>
        </w:rPr>
        <w:tab/>
        <w:t xml:space="preserve">Request </w:t>
      </w:r>
      <w:r w:rsidR="005E6ADA" w:rsidRPr="00390F83">
        <w:rPr>
          <w:lang w:eastAsia="zh-CN"/>
        </w:rPr>
        <w:t>the Secretariat to explore opportunities for additional resource mobilization, including partnerships with international organizations, the private sector, and other funding mechanisms, to secure the necessary resources for the full implementation of the WEP and WPE2027</w:t>
      </w:r>
      <w:r w:rsidR="00F319AD" w:rsidRPr="00390F83">
        <w:rPr>
          <w:lang w:eastAsia="zh-CN"/>
        </w:rPr>
        <w:t>.</w:t>
      </w:r>
    </w:p>
    <w:p w14:paraId="40F390B3" w14:textId="77777777" w:rsidR="00DF6B4A" w:rsidRPr="00390F83" w:rsidRDefault="00DF6B4A" w:rsidP="00D57B0B">
      <w:pPr>
        <w:ind w:left="864" w:hanging="432"/>
        <w:rPr>
          <w:lang w:eastAsia="zh-CN"/>
        </w:rPr>
      </w:pPr>
    </w:p>
    <w:p w14:paraId="57D4A97B" w14:textId="45C7C3D3" w:rsidR="00316B1D" w:rsidRPr="00390F83" w:rsidRDefault="00BA58C7" w:rsidP="00BA58C7">
      <w:pPr>
        <w:pStyle w:val="ListParagraph"/>
        <w:pBdr>
          <w:top w:val="nil"/>
          <w:left w:val="nil"/>
          <w:bottom w:val="nil"/>
          <w:right w:val="nil"/>
          <w:between w:val="nil"/>
        </w:pBdr>
        <w:ind w:left="845" w:hanging="420"/>
        <w:rPr>
          <w:lang w:eastAsia="zh-CN"/>
        </w:rPr>
      </w:pPr>
      <w:r w:rsidRPr="00390F83">
        <w:rPr>
          <w:lang w:eastAsia="zh-CN"/>
        </w:rPr>
        <w:t>j</w:t>
      </w:r>
      <w:r w:rsidR="00F319AD" w:rsidRPr="00390F83">
        <w:rPr>
          <w:lang w:eastAsia="zh-CN"/>
        </w:rPr>
        <w:t>.</w:t>
      </w:r>
      <w:r w:rsidR="00F319AD" w:rsidRPr="00390F83">
        <w:rPr>
          <w:lang w:eastAsia="zh-CN"/>
        </w:rPr>
        <w:tab/>
      </w:r>
      <w:r w:rsidR="00D53CCD" w:rsidRPr="00390F83">
        <w:rPr>
          <w:lang w:eastAsia="zh-CN"/>
        </w:rPr>
        <w:t xml:space="preserve">Consider </w:t>
      </w:r>
      <w:r w:rsidR="007149DB" w:rsidRPr="00390F83">
        <w:rPr>
          <w:lang w:eastAsia="zh-CN"/>
        </w:rPr>
        <w:t>the proposed approach for future editions of the Global Wetland Outlook (GWO), as outlined in Annex 4, which emphasizes a structured, phased process for assessment, review, and communication of key findings</w:t>
      </w:r>
      <w:r w:rsidR="00D86C40" w:rsidRPr="00390F83">
        <w:rPr>
          <w:lang w:eastAsia="zh-CN"/>
        </w:rPr>
        <w:t xml:space="preserve">; </w:t>
      </w:r>
      <w:r w:rsidR="00B67F05" w:rsidRPr="00390F83">
        <w:rPr>
          <w:lang w:eastAsia="zh-CN"/>
        </w:rPr>
        <w:t xml:space="preserve">based on which </w:t>
      </w:r>
      <w:r w:rsidR="00B37304" w:rsidRPr="00390F83">
        <w:rPr>
          <w:lang w:eastAsia="zh-CN"/>
        </w:rPr>
        <w:t xml:space="preserve">a final approach </w:t>
      </w:r>
      <w:r w:rsidR="00F529C4" w:rsidRPr="00390F83">
        <w:rPr>
          <w:lang w:eastAsia="zh-CN"/>
        </w:rPr>
        <w:t xml:space="preserve">for future editions of the GWO </w:t>
      </w:r>
      <w:r w:rsidR="00B67F05" w:rsidRPr="00390F83">
        <w:rPr>
          <w:lang w:eastAsia="zh-CN"/>
        </w:rPr>
        <w:t xml:space="preserve">will be </w:t>
      </w:r>
      <w:r w:rsidR="00756AD8" w:rsidRPr="00390F83">
        <w:rPr>
          <w:lang w:eastAsia="zh-CN"/>
        </w:rPr>
        <w:t>prepared for</w:t>
      </w:r>
      <w:r w:rsidR="00D76072" w:rsidRPr="00390F83">
        <w:rPr>
          <w:lang w:eastAsia="zh-CN"/>
        </w:rPr>
        <w:t xml:space="preserve"> inclusion in</w:t>
      </w:r>
      <w:r w:rsidR="00565734" w:rsidRPr="00390F83">
        <w:rPr>
          <w:lang w:eastAsia="zh-CN"/>
        </w:rPr>
        <w:t xml:space="preserve"> the Report of the Chair of the STRP </w:t>
      </w:r>
      <w:r w:rsidR="00EC220D" w:rsidRPr="00390F83">
        <w:rPr>
          <w:lang w:eastAsia="zh-CN"/>
        </w:rPr>
        <w:t>submitted to COP15</w:t>
      </w:r>
      <w:r w:rsidR="00316B1D" w:rsidRPr="00390F83">
        <w:rPr>
          <w:lang w:eastAsia="zh-CN"/>
        </w:rPr>
        <w:t xml:space="preserve">. </w:t>
      </w:r>
    </w:p>
    <w:p w14:paraId="451BDF0C" w14:textId="77777777" w:rsidR="004C16CA" w:rsidRPr="00390F83" w:rsidRDefault="004C16CA" w:rsidP="008E7CDC">
      <w:pPr>
        <w:ind w:left="432" w:hanging="432"/>
        <w:rPr>
          <w:lang w:eastAsia="zh-CN"/>
        </w:rPr>
      </w:pPr>
    </w:p>
    <w:p w14:paraId="1CC2A14A" w14:textId="77777777" w:rsidR="0041360B" w:rsidRPr="00390F83" w:rsidRDefault="00F319AD" w:rsidP="00E952E3">
      <w:pPr>
        <w:rPr>
          <w:b/>
          <w:bCs w:val="0"/>
          <w:lang w:eastAsia="zh-CN"/>
        </w:rPr>
      </w:pPr>
      <w:r w:rsidRPr="00390F83">
        <w:rPr>
          <w:b/>
          <w:bCs w:val="0"/>
          <w:lang w:eastAsia="zh-CN"/>
        </w:rPr>
        <w:t>Future STRP meetings</w:t>
      </w:r>
    </w:p>
    <w:p w14:paraId="71B24C4D" w14:textId="77777777" w:rsidR="0041360B" w:rsidRPr="00390F83" w:rsidRDefault="0041360B" w:rsidP="00E952E3">
      <w:pPr>
        <w:rPr>
          <w:lang w:eastAsia="zh-CN"/>
        </w:rPr>
      </w:pPr>
    </w:p>
    <w:p w14:paraId="60261D8E" w14:textId="0974A2D5" w:rsidR="0041360B" w:rsidRPr="00390F83" w:rsidRDefault="00C56446" w:rsidP="0041360B">
      <w:pPr>
        <w:ind w:left="432" w:hanging="432"/>
        <w:rPr>
          <w:lang w:eastAsia="zh-CN"/>
        </w:rPr>
      </w:pPr>
      <w:r w:rsidRPr="00390F83">
        <w:rPr>
          <w:lang w:eastAsia="zh-CN"/>
        </w:rPr>
        <w:t>3</w:t>
      </w:r>
      <w:r w:rsidR="001E61BB">
        <w:rPr>
          <w:lang w:eastAsia="zh-CN"/>
        </w:rPr>
        <w:t>5</w:t>
      </w:r>
      <w:r w:rsidR="00F319AD" w:rsidRPr="00390F83">
        <w:rPr>
          <w:lang w:eastAsia="zh-CN"/>
        </w:rPr>
        <w:t>.</w:t>
      </w:r>
      <w:r w:rsidR="00F319AD" w:rsidRPr="00390F83">
        <w:rPr>
          <w:lang w:eastAsia="zh-CN"/>
        </w:rPr>
        <w:tab/>
      </w:r>
      <w:r w:rsidR="00955BEE" w:rsidRPr="00390F83">
        <w:rPr>
          <w:lang w:eastAsia="zh-CN"/>
        </w:rPr>
        <w:t>STRP</w:t>
      </w:r>
      <w:r w:rsidR="00FF177C" w:rsidRPr="00390F83">
        <w:rPr>
          <w:lang w:eastAsia="zh-CN"/>
        </w:rPr>
        <w:t>27 will be held</w:t>
      </w:r>
      <w:r w:rsidR="00955BEE" w:rsidRPr="00390F83">
        <w:rPr>
          <w:lang w:eastAsia="zh-CN"/>
        </w:rPr>
        <w:t xml:space="preserve"> </w:t>
      </w:r>
      <w:r w:rsidR="00551159" w:rsidRPr="00390F83">
        <w:rPr>
          <w:lang w:eastAsia="zh-CN"/>
        </w:rPr>
        <w:t xml:space="preserve">on 2 to 6 </w:t>
      </w:r>
      <w:r w:rsidR="00FF177C" w:rsidRPr="00390F83">
        <w:rPr>
          <w:lang w:eastAsia="zh-CN"/>
        </w:rPr>
        <w:t>December</w:t>
      </w:r>
      <w:r w:rsidR="00955BEE" w:rsidRPr="00390F83">
        <w:rPr>
          <w:lang w:eastAsia="zh-CN"/>
        </w:rPr>
        <w:t xml:space="preserve"> 2024</w:t>
      </w:r>
      <w:r w:rsidR="00551159" w:rsidRPr="00390F83">
        <w:rPr>
          <w:lang w:eastAsia="zh-CN"/>
        </w:rPr>
        <w:t xml:space="preserve"> in Gland</w:t>
      </w:r>
      <w:r w:rsidR="00DD7786" w:rsidRPr="00390F83">
        <w:rPr>
          <w:lang w:eastAsia="zh-CN"/>
        </w:rPr>
        <w:t>,</w:t>
      </w:r>
      <w:r w:rsidR="00955BEE" w:rsidRPr="00390F83">
        <w:rPr>
          <w:lang w:eastAsia="zh-CN"/>
        </w:rPr>
        <w:t xml:space="preserve"> </w:t>
      </w:r>
      <w:r w:rsidR="00551159" w:rsidRPr="00390F83">
        <w:rPr>
          <w:lang w:eastAsia="zh-CN"/>
        </w:rPr>
        <w:t>Switzerland,</w:t>
      </w:r>
      <w:r w:rsidR="00955BEE" w:rsidRPr="00390F83">
        <w:rPr>
          <w:lang w:eastAsia="zh-CN"/>
        </w:rPr>
        <w:t xml:space="preserve"> to allow for the completion of relevant high-priority tasks </w:t>
      </w:r>
      <w:r w:rsidR="00C61C87" w:rsidRPr="00390F83">
        <w:rPr>
          <w:lang w:eastAsia="zh-CN"/>
        </w:rPr>
        <w:t xml:space="preserve">before the </w:t>
      </w:r>
      <w:r w:rsidR="00DD7786" w:rsidRPr="00390F83">
        <w:rPr>
          <w:lang w:eastAsia="zh-CN"/>
        </w:rPr>
        <w:t xml:space="preserve">15th meeting of the </w:t>
      </w:r>
      <w:r w:rsidR="00C61C87" w:rsidRPr="00390F83">
        <w:rPr>
          <w:lang w:eastAsia="zh-CN"/>
        </w:rPr>
        <w:t xml:space="preserve">Conference of the Contracting Parties. </w:t>
      </w:r>
    </w:p>
    <w:p w14:paraId="3148CCE5" w14:textId="77777777" w:rsidR="00983832" w:rsidRPr="00390F83" w:rsidRDefault="00983832" w:rsidP="0041360B">
      <w:pPr>
        <w:ind w:left="432" w:hanging="432"/>
        <w:rPr>
          <w:lang w:eastAsia="zh-CN"/>
        </w:rPr>
      </w:pPr>
    </w:p>
    <w:p w14:paraId="50E92DC7" w14:textId="7DB9D59C" w:rsidR="00983832" w:rsidRPr="00390F83" w:rsidRDefault="00C56446" w:rsidP="00905D25">
      <w:pPr>
        <w:ind w:left="432" w:hanging="432"/>
        <w:rPr>
          <w:lang w:eastAsia="zh-CN"/>
        </w:rPr>
      </w:pPr>
      <w:r w:rsidRPr="00390F83">
        <w:rPr>
          <w:lang w:eastAsia="zh-CN"/>
        </w:rPr>
        <w:t>3</w:t>
      </w:r>
      <w:r w:rsidR="001E61BB">
        <w:rPr>
          <w:lang w:eastAsia="zh-CN"/>
        </w:rPr>
        <w:t>6</w:t>
      </w:r>
      <w:r w:rsidR="00F319AD" w:rsidRPr="00390F83">
        <w:rPr>
          <w:lang w:eastAsia="zh-CN"/>
        </w:rPr>
        <w:t>.</w:t>
      </w:r>
      <w:r w:rsidR="00F319AD" w:rsidRPr="00390F83">
        <w:rPr>
          <w:lang w:eastAsia="zh-CN"/>
        </w:rPr>
        <w:tab/>
      </w:r>
      <w:r w:rsidR="00262180" w:rsidRPr="00390F83">
        <w:rPr>
          <w:lang w:eastAsia="zh-CN"/>
        </w:rPr>
        <w:t>A final</w:t>
      </w:r>
      <w:r w:rsidR="00905D25" w:rsidRPr="00390F83">
        <w:rPr>
          <w:lang w:eastAsia="zh-CN"/>
        </w:rPr>
        <w:t xml:space="preserve"> intersessional online meeting of the STRP will be </w:t>
      </w:r>
      <w:r w:rsidR="00036AF3" w:rsidRPr="00390F83">
        <w:rPr>
          <w:lang w:eastAsia="zh-CN"/>
        </w:rPr>
        <w:t>organized</w:t>
      </w:r>
      <w:r w:rsidR="00905D25" w:rsidRPr="00390F83">
        <w:rPr>
          <w:lang w:eastAsia="zh-CN"/>
        </w:rPr>
        <w:t xml:space="preserve"> in collaboration with the Secretariat. The date for the online meeting will be </w:t>
      </w:r>
      <w:r w:rsidR="00701721" w:rsidRPr="00390F83">
        <w:rPr>
          <w:lang w:eastAsia="zh-CN"/>
        </w:rPr>
        <w:t xml:space="preserve">decided during </w:t>
      </w:r>
      <w:r w:rsidR="00FB170C" w:rsidRPr="00390F83">
        <w:rPr>
          <w:lang w:eastAsia="zh-CN"/>
        </w:rPr>
        <w:t>STRP27</w:t>
      </w:r>
      <w:r w:rsidR="00936B00" w:rsidRPr="00390F83">
        <w:rPr>
          <w:lang w:eastAsia="zh-CN"/>
        </w:rPr>
        <w:t xml:space="preserve">. </w:t>
      </w:r>
    </w:p>
    <w:p w14:paraId="1C8E1B2A" w14:textId="77777777" w:rsidR="0041360B" w:rsidRPr="00390F83" w:rsidRDefault="0041360B" w:rsidP="00E952E3">
      <w:pPr>
        <w:rPr>
          <w:lang w:eastAsia="zh-CN"/>
        </w:rPr>
      </w:pPr>
    </w:p>
    <w:p w14:paraId="12B4D501" w14:textId="77777777" w:rsidR="006C37E3" w:rsidRPr="00390F83" w:rsidRDefault="00F319AD" w:rsidP="00E952E3">
      <w:pPr>
        <w:rPr>
          <w:b/>
          <w:bCs w:val="0"/>
          <w:lang w:eastAsia="zh-CN"/>
        </w:rPr>
      </w:pPr>
      <w:r w:rsidRPr="00390F83">
        <w:rPr>
          <w:b/>
          <w:bCs w:val="0"/>
          <w:lang w:eastAsia="zh-CN"/>
        </w:rPr>
        <w:br w:type="page"/>
      </w:r>
    </w:p>
    <w:p w14:paraId="3E5C4A6D" w14:textId="77777777" w:rsidR="00E952E3" w:rsidRPr="00EF7423" w:rsidRDefault="00F319AD" w:rsidP="00E952E3">
      <w:pPr>
        <w:rPr>
          <w:b/>
          <w:bCs w:val="0"/>
          <w:sz w:val="24"/>
          <w:szCs w:val="24"/>
          <w:lang w:eastAsia="zh-CN"/>
        </w:rPr>
      </w:pPr>
      <w:bookmarkStart w:id="2" w:name="_Hlk179983037"/>
      <w:r w:rsidRPr="00EF7423">
        <w:rPr>
          <w:b/>
          <w:bCs w:val="0"/>
          <w:sz w:val="24"/>
          <w:szCs w:val="24"/>
          <w:lang w:eastAsia="zh-CN"/>
        </w:rPr>
        <w:t xml:space="preserve">Annex </w:t>
      </w:r>
      <w:r w:rsidR="00D4795E" w:rsidRPr="00EF7423">
        <w:rPr>
          <w:b/>
          <w:bCs w:val="0"/>
          <w:sz w:val="24"/>
          <w:szCs w:val="24"/>
          <w:lang w:eastAsia="zh-CN"/>
        </w:rPr>
        <w:t>1</w:t>
      </w:r>
      <w:r w:rsidRPr="00EF7423">
        <w:rPr>
          <w:b/>
          <w:bCs w:val="0"/>
          <w:sz w:val="24"/>
          <w:szCs w:val="24"/>
          <w:lang w:eastAsia="zh-CN"/>
        </w:rPr>
        <w:t xml:space="preserve"> </w:t>
      </w:r>
    </w:p>
    <w:p w14:paraId="75A000E0" w14:textId="1160FCAA" w:rsidR="00E952E3" w:rsidRPr="00EF7423" w:rsidRDefault="00F319AD" w:rsidP="00E952E3">
      <w:pPr>
        <w:rPr>
          <w:b/>
          <w:bCs w:val="0"/>
          <w:sz w:val="24"/>
          <w:szCs w:val="24"/>
        </w:rPr>
      </w:pPr>
      <w:r w:rsidRPr="00EF7423">
        <w:rPr>
          <w:b/>
          <w:bCs w:val="0"/>
          <w:sz w:val="24"/>
          <w:szCs w:val="24"/>
        </w:rPr>
        <w:t>STRP Priorities 2026-2028</w:t>
      </w:r>
      <w:bookmarkEnd w:id="2"/>
    </w:p>
    <w:p w14:paraId="164E83F1" w14:textId="77777777" w:rsidR="00E952E3" w:rsidRPr="00390F83" w:rsidRDefault="00E952E3" w:rsidP="00E952E3"/>
    <w:p w14:paraId="5D28840C" w14:textId="519ED0DF" w:rsidR="00D3383D" w:rsidRPr="00390F83" w:rsidRDefault="00F319AD" w:rsidP="0045540A">
      <w:pPr>
        <w:ind w:left="432" w:hanging="432"/>
      </w:pPr>
      <w:r w:rsidRPr="00390F83">
        <w:t>1</w:t>
      </w:r>
      <w:r w:rsidR="0045540A" w:rsidRPr="00390F83">
        <w:t>.</w:t>
      </w:r>
      <w:r w:rsidR="0045540A" w:rsidRPr="00390F83">
        <w:tab/>
      </w:r>
      <w:r w:rsidR="00E11CE2" w:rsidRPr="00390F83">
        <w:t>R</w:t>
      </w:r>
      <w:r w:rsidR="3785CA8C" w:rsidRPr="00390F83">
        <w:t>ecommendations for the next STRP work plan 2026-2028</w:t>
      </w:r>
      <w:r w:rsidR="00E11CE2" w:rsidRPr="00390F83">
        <w:t xml:space="preserve"> </w:t>
      </w:r>
      <w:r w:rsidR="00587F93" w:rsidRPr="00390F83">
        <w:t xml:space="preserve">have been established through a </w:t>
      </w:r>
      <w:r w:rsidR="3785CA8C" w:rsidRPr="00390F83">
        <w:t>consultative process that started with an initial discussion on emerging issues during the 26th Meeting of the Scientific and Technical Review Panel (</w:t>
      </w:r>
      <w:hyperlink r:id="rId11" w:history="1">
        <w:r w:rsidR="3785CA8C" w:rsidRPr="00390F83">
          <w:rPr>
            <w:rStyle w:val="Hyperlink"/>
          </w:rPr>
          <w:t>Annex 2, SC63.19</w:t>
        </w:r>
      </w:hyperlink>
      <w:r w:rsidR="3785CA8C" w:rsidRPr="00390F83">
        <w:t>), inputs received during the 63rd Meeting of the Standing Committee (</w:t>
      </w:r>
      <w:hyperlink r:id="rId12" w:history="1">
        <w:r w:rsidR="3785CA8C" w:rsidRPr="00390F83">
          <w:rPr>
            <w:rStyle w:val="Hyperlink"/>
          </w:rPr>
          <w:t>Report and Decisions of the 63rd Meeting of the Standing Committee</w:t>
        </w:r>
      </w:hyperlink>
      <w:r w:rsidR="3785CA8C" w:rsidRPr="00390F83">
        <w:t xml:space="preserve">) and subsequent consultations with Panel Members, </w:t>
      </w:r>
      <w:r w:rsidR="00D6560F" w:rsidRPr="00390F83">
        <w:t xml:space="preserve">National Focal Points, </w:t>
      </w:r>
      <w:r w:rsidR="3785CA8C" w:rsidRPr="00390F83">
        <w:t>Observers and IOPs</w:t>
      </w:r>
      <w:r w:rsidR="00DF2BA1" w:rsidRPr="00390F83">
        <w:t xml:space="preserve">, including the third intersessional online meeting of the </w:t>
      </w:r>
      <w:r w:rsidR="3785CA8C" w:rsidRPr="00390F83">
        <w:t>STRP.</w:t>
      </w:r>
      <w:r w:rsidR="00416D23" w:rsidRPr="00390F83">
        <w:t xml:space="preserve"> </w:t>
      </w:r>
    </w:p>
    <w:p w14:paraId="765EB5D8" w14:textId="77777777" w:rsidR="00D3383D" w:rsidRPr="00390F83" w:rsidRDefault="00D3383D" w:rsidP="00E952E3"/>
    <w:p w14:paraId="2A73187B" w14:textId="77777777" w:rsidR="00E952E3" w:rsidRPr="00390F83" w:rsidRDefault="00F319AD" w:rsidP="00E952E3">
      <w:pPr>
        <w:rPr>
          <w:b/>
          <w:bCs w:val="0"/>
        </w:rPr>
      </w:pPr>
      <w:r w:rsidRPr="00390F83">
        <w:rPr>
          <w:b/>
          <w:bCs w:val="0"/>
        </w:rPr>
        <w:t>Thematic Working Areas (TWAs):</w:t>
      </w:r>
    </w:p>
    <w:p w14:paraId="1C7EE7A6" w14:textId="77777777" w:rsidR="00E952E3" w:rsidRPr="00390F83" w:rsidRDefault="00E952E3" w:rsidP="00E952E3"/>
    <w:p w14:paraId="4B89914A" w14:textId="54BFCE68" w:rsidR="00790083" w:rsidRPr="00390F83" w:rsidRDefault="00F319AD" w:rsidP="001E6D10">
      <w:pPr>
        <w:ind w:left="432" w:hanging="432"/>
      </w:pPr>
      <w:r w:rsidRPr="00390F83">
        <w:t>2</w:t>
      </w:r>
      <w:r w:rsidR="0045540A" w:rsidRPr="00390F83">
        <w:t>.</w:t>
      </w:r>
      <w:r w:rsidR="0045540A" w:rsidRPr="00390F83">
        <w:tab/>
      </w:r>
      <w:r w:rsidR="1EFFA1B9" w:rsidRPr="00390F83">
        <w:t>To maintain continuity and ensure a consistent approach, the Thematic Work Areas (TWAs) have been retained from the preceding triennium</w:t>
      </w:r>
      <w:r w:rsidR="00C13BD2" w:rsidRPr="00390F83">
        <w:t xml:space="preserve"> (</w:t>
      </w:r>
      <w:r w:rsidR="003B31AC" w:rsidRPr="00390F83">
        <w:t xml:space="preserve">defined in </w:t>
      </w:r>
      <w:hyperlink r:id="rId13" w:history="1">
        <w:r w:rsidR="00C13BD2" w:rsidRPr="00390F83">
          <w:rPr>
            <w:rStyle w:val="Hyperlink"/>
          </w:rPr>
          <w:t>Resolution XIV.14</w:t>
        </w:r>
      </w:hyperlink>
      <w:r w:rsidR="00C13BD2" w:rsidRPr="00390F83">
        <w:t xml:space="preserve">, </w:t>
      </w:r>
      <w:hyperlink r:id="rId14" w:history="1">
        <w:r w:rsidR="00C13BD2" w:rsidRPr="00390F83">
          <w:rPr>
            <w:rStyle w:val="Hyperlink"/>
          </w:rPr>
          <w:t>Pre-SC62 Intersessional Decision 04</w:t>
        </w:r>
      </w:hyperlink>
      <w:r w:rsidR="001E6D10" w:rsidRPr="00390F83">
        <w:t xml:space="preserve"> on the STRP work plan 2023-2025</w:t>
      </w:r>
      <w:r w:rsidR="00C13BD2" w:rsidRPr="00390F83">
        <w:t>)</w:t>
      </w:r>
      <w:r w:rsidR="1EFFA1B9" w:rsidRPr="00390F83">
        <w:t xml:space="preserve">: </w:t>
      </w:r>
    </w:p>
    <w:p w14:paraId="77979062" w14:textId="77777777" w:rsidR="00790083" w:rsidRPr="00390F83" w:rsidRDefault="00790083" w:rsidP="00E952E3"/>
    <w:p w14:paraId="0C8AEAE7" w14:textId="77777777" w:rsidR="00CB5925" w:rsidRPr="00390F83" w:rsidRDefault="00F319AD" w:rsidP="00CB5925">
      <w:pPr>
        <w:tabs>
          <w:tab w:val="left" w:pos="810"/>
        </w:tabs>
        <w:ind w:left="810" w:hanging="810"/>
      </w:pPr>
      <w:r w:rsidRPr="00390F83">
        <w:rPr>
          <w:b/>
        </w:rPr>
        <w:t>TWA 1.</w:t>
      </w:r>
      <w:r w:rsidR="00E952E3" w:rsidRPr="00390F83">
        <w:tab/>
      </w:r>
      <w:r w:rsidRPr="00390F83">
        <w:t>Wetlands of International Importance, development of the Site network</w:t>
      </w:r>
      <w:r w:rsidR="00E952E3" w:rsidRPr="00390F83">
        <w:t xml:space="preserve"> and </w:t>
      </w:r>
      <w:r w:rsidRPr="00390F83">
        <w:t>application of criteria.</w:t>
      </w:r>
    </w:p>
    <w:p w14:paraId="48625797" w14:textId="77777777" w:rsidR="0045754F" w:rsidRPr="00390F83" w:rsidRDefault="0045754F" w:rsidP="00CB5925">
      <w:pPr>
        <w:tabs>
          <w:tab w:val="left" w:pos="810"/>
        </w:tabs>
        <w:ind w:left="810" w:hanging="810"/>
      </w:pPr>
    </w:p>
    <w:tbl>
      <w:tblPr>
        <w:tblStyle w:val="TableGrid"/>
        <w:tblW w:w="0" w:type="auto"/>
        <w:tblInd w:w="805" w:type="dxa"/>
        <w:tblLook w:val="04A0" w:firstRow="1" w:lastRow="0" w:firstColumn="1" w:lastColumn="0" w:noHBand="0" w:noVBand="1"/>
      </w:tblPr>
      <w:tblGrid>
        <w:gridCol w:w="8211"/>
      </w:tblGrid>
      <w:tr w:rsidR="007B31B2" w:rsidRPr="00390F83" w14:paraId="135BC20E" w14:textId="77777777" w:rsidTr="000049BF">
        <w:tc>
          <w:tcPr>
            <w:tcW w:w="8545" w:type="dxa"/>
          </w:tcPr>
          <w:p w14:paraId="7FC7141E" w14:textId="01EE199B" w:rsidR="00CB5925" w:rsidRPr="00390F83" w:rsidRDefault="00F319AD">
            <w:pPr>
              <w:tabs>
                <w:tab w:val="left" w:pos="810"/>
              </w:tabs>
            </w:pPr>
            <w:r w:rsidRPr="00EF7423">
              <w:t>This work area focuses on providing information to support Contract</w:t>
            </w:r>
            <w:r w:rsidR="00180C3E" w:rsidRPr="00EF7423">
              <w:t>ing</w:t>
            </w:r>
            <w:r w:rsidRPr="00EF7423">
              <w:t xml:space="preserve"> Parties in designating, managing, and monitoring Wetlands of International Importance in line with the objectives of the Convention on Wetlands. It includes guidance on applying criteria for site designation and assessing underrepresented wetland types in the Site network. TWA 1 may also provide guidance on integrating Wetlands of International Importance with broader global biodiversity targets, enhancing their role in achieving international conservation objectives.</w:t>
            </w:r>
          </w:p>
        </w:tc>
      </w:tr>
    </w:tbl>
    <w:p w14:paraId="42305001" w14:textId="77777777" w:rsidR="00CB5925" w:rsidRPr="00390F83" w:rsidRDefault="00CB5925" w:rsidP="005F1F4F">
      <w:pPr>
        <w:tabs>
          <w:tab w:val="left" w:pos="810"/>
        </w:tabs>
        <w:ind w:left="810" w:hanging="810"/>
      </w:pPr>
    </w:p>
    <w:p w14:paraId="527A03B0" w14:textId="77777777" w:rsidR="00E952E3" w:rsidRPr="00390F83" w:rsidRDefault="00F319AD" w:rsidP="005F1F4F">
      <w:pPr>
        <w:tabs>
          <w:tab w:val="left" w:pos="810"/>
        </w:tabs>
        <w:ind w:left="810" w:hanging="810"/>
      </w:pPr>
      <w:r w:rsidRPr="00390F83">
        <w:rPr>
          <w:b/>
        </w:rPr>
        <w:t>TWA 2</w:t>
      </w:r>
      <w:r w:rsidR="00B11CA8" w:rsidRPr="00390F83">
        <w:rPr>
          <w:b/>
        </w:rPr>
        <w:t>.</w:t>
      </w:r>
      <w:r w:rsidR="005F1F4F" w:rsidRPr="00390F83">
        <w:rPr>
          <w:b/>
        </w:rPr>
        <w:tab/>
      </w:r>
      <w:r w:rsidRPr="00390F83">
        <w:t xml:space="preserve">Tools for wetland assessment, mapping and monitoring, and development of inventories. </w:t>
      </w:r>
    </w:p>
    <w:p w14:paraId="2DEC6229" w14:textId="77777777" w:rsidR="00CB5925" w:rsidRPr="00390F83" w:rsidRDefault="00CB5925" w:rsidP="000049BF">
      <w:pPr>
        <w:tabs>
          <w:tab w:val="left" w:pos="810"/>
        </w:tabs>
      </w:pPr>
    </w:p>
    <w:tbl>
      <w:tblPr>
        <w:tblStyle w:val="TableGrid"/>
        <w:tblW w:w="0" w:type="auto"/>
        <w:tblInd w:w="805" w:type="dxa"/>
        <w:tblLook w:val="04A0" w:firstRow="1" w:lastRow="0" w:firstColumn="1" w:lastColumn="0" w:noHBand="0" w:noVBand="1"/>
      </w:tblPr>
      <w:tblGrid>
        <w:gridCol w:w="8211"/>
      </w:tblGrid>
      <w:tr w:rsidR="007B31B2" w:rsidRPr="00390F83" w14:paraId="734BDAC0" w14:textId="77777777" w:rsidTr="000049BF">
        <w:tc>
          <w:tcPr>
            <w:tcW w:w="8545" w:type="dxa"/>
          </w:tcPr>
          <w:p w14:paraId="607E95F6" w14:textId="77777777" w:rsidR="00CB5925" w:rsidRPr="00390F83" w:rsidRDefault="00F319AD">
            <w:pPr>
              <w:tabs>
                <w:tab w:val="left" w:pos="810"/>
              </w:tabs>
            </w:pPr>
            <w:r w:rsidRPr="00EF7423">
              <w:t xml:space="preserve">This work area </w:t>
            </w:r>
            <w:r w:rsidRPr="00EF7423">
              <w:rPr>
                <w:color w:val="000000"/>
              </w:rPr>
              <w:t>aims to improve the tools and methodologies required for wetland assessment, mapping, and monitoring, including wetland carbon assessments and biodiversity monitoring. TWA 2 will explore innovative techniques for streamlining wetland inventory and reporting, including remote sensing and Earth Observation. Future actions will ensure these tools are accessible and adaptable, allowing Contracting Parties to meet their reporting obligations under the Convention and other international frameworks that consider wetlands.</w:t>
            </w:r>
          </w:p>
        </w:tc>
      </w:tr>
    </w:tbl>
    <w:p w14:paraId="4013F687" w14:textId="77777777" w:rsidR="00CB5925" w:rsidRPr="00390F83" w:rsidRDefault="00CB5925" w:rsidP="000049BF">
      <w:pPr>
        <w:tabs>
          <w:tab w:val="left" w:pos="810"/>
        </w:tabs>
      </w:pPr>
    </w:p>
    <w:p w14:paraId="58E57FC5" w14:textId="77777777" w:rsidR="00E952E3" w:rsidRPr="00390F83" w:rsidRDefault="00F319AD" w:rsidP="005F1F4F">
      <w:pPr>
        <w:tabs>
          <w:tab w:val="left" w:pos="810"/>
        </w:tabs>
        <w:ind w:left="810" w:hanging="810"/>
      </w:pPr>
      <w:r w:rsidRPr="00390F83">
        <w:rPr>
          <w:b/>
        </w:rPr>
        <w:t>TWA 3</w:t>
      </w:r>
      <w:r w:rsidR="00B11CA8" w:rsidRPr="00390F83">
        <w:rPr>
          <w:b/>
        </w:rPr>
        <w:t>.</w:t>
      </w:r>
      <w:r w:rsidR="005F1F4F" w:rsidRPr="00390F83">
        <w:rPr>
          <w:b/>
        </w:rPr>
        <w:tab/>
      </w:r>
      <w:r w:rsidRPr="00390F83">
        <w:t xml:space="preserve">Direct and climate change related pressures on wetlands, their impacts and responses. </w:t>
      </w:r>
    </w:p>
    <w:p w14:paraId="77638387" w14:textId="77777777" w:rsidR="00CB5925" w:rsidRPr="00390F83" w:rsidRDefault="00CB5925" w:rsidP="000049BF">
      <w:pPr>
        <w:tabs>
          <w:tab w:val="left" w:pos="810"/>
        </w:tabs>
      </w:pPr>
    </w:p>
    <w:tbl>
      <w:tblPr>
        <w:tblStyle w:val="TableGrid"/>
        <w:tblW w:w="0" w:type="auto"/>
        <w:tblInd w:w="805" w:type="dxa"/>
        <w:tblLook w:val="04A0" w:firstRow="1" w:lastRow="0" w:firstColumn="1" w:lastColumn="0" w:noHBand="0" w:noVBand="1"/>
      </w:tblPr>
      <w:tblGrid>
        <w:gridCol w:w="8211"/>
      </w:tblGrid>
      <w:tr w:rsidR="007B31B2" w:rsidRPr="00390F83" w14:paraId="53F4ECF7" w14:textId="77777777" w:rsidTr="000049BF">
        <w:tc>
          <w:tcPr>
            <w:tcW w:w="8545" w:type="dxa"/>
          </w:tcPr>
          <w:p w14:paraId="3FB9BF83" w14:textId="514F34F5" w:rsidR="00CB5925" w:rsidRPr="00390F83" w:rsidRDefault="00F319AD">
            <w:pPr>
              <w:tabs>
                <w:tab w:val="left" w:pos="810"/>
              </w:tabs>
            </w:pPr>
            <w:r w:rsidRPr="00EF7423">
              <w:rPr>
                <w:color w:val="000000"/>
              </w:rPr>
              <w:t>This work area provides scientific and technical guidance on the key pressures on wetlands, including</w:t>
            </w:r>
            <w:r w:rsidR="00140275" w:rsidRPr="00EF7423">
              <w:rPr>
                <w:color w:val="000000"/>
              </w:rPr>
              <w:t xml:space="preserve"> the </w:t>
            </w:r>
            <w:r w:rsidR="00AA5994" w:rsidRPr="00EF7423">
              <w:rPr>
                <w:color w:val="000000"/>
              </w:rPr>
              <w:t>current and projected impacts of</w:t>
            </w:r>
            <w:r w:rsidRPr="00EF7423">
              <w:rPr>
                <w:color w:val="000000"/>
              </w:rPr>
              <w:t xml:space="preserve"> climate change, drawing from the latest international assessments. TWA 3 aims to provide Contracting Parties with information to enable adaptation and resilience-building measures for wetlands, promoting nature-based solutions or ecosystem-based approaches to protect ecosystem services under changing climate conditions and other direct pressures, including agricultural expansion, pollution, and urban development.</w:t>
            </w:r>
          </w:p>
        </w:tc>
      </w:tr>
    </w:tbl>
    <w:p w14:paraId="76339A8A" w14:textId="77777777" w:rsidR="00CB5925" w:rsidRPr="00390F83" w:rsidRDefault="00CB5925" w:rsidP="000049BF">
      <w:pPr>
        <w:tabs>
          <w:tab w:val="left" w:pos="810"/>
        </w:tabs>
      </w:pPr>
    </w:p>
    <w:p w14:paraId="34BCA608" w14:textId="77777777" w:rsidR="00E952E3" w:rsidRPr="00390F83" w:rsidRDefault="00F319AD" w:rsidP="00EF7423">
      <w:pPr>
        <w:keepNext/>
        <w:tabs>
          <w:tab w:val="left" w:pos="810"/>
        </w:tabs>
        <w:ind w:left="810" w:hanging="810"/>
      </w:pPr>
      <w:r w:rsidRPr="00390F83">
        <w:rPr>
          <w:b/>
        </w:rPr>
        <w:t>TWA 4</w:t>
      </w:r>
      <w:r w:rsidR="00B11CA8" w:rsidRPr="00390F83">
        <w:rPr>
          <w:b/>
        </w:rPr>
        <w:t>.</w:t>
      </w:r>
      <w:r w:rsidR="005F1F4F" w:rsidRPr="00390F83">
        <w:rPr>
          <w:b/>
        </w:rPr>
        <w:tab/>
      </w:r>
      <w:r w:rsidRPr="00390F83">
        <w:t xml:space="preserve">Wise use, sustainable management and restoration of wetlands in the wider landscape/seascape. </w:t>
      </w:r>
    </w:p>
    <w:p w14:paraId="443A4B29" w14:textId="77777777" w:rsidR="00CB5925" w:rsidRPr="00390F83" w:rsidRDefault="00CB5925" w:rsidP="00EF7423">
      <w:pPr>
        <w:keepNext/>
        <w:tabs>
          <w:tab w:val="left" w:pos="810"/>
        </w:tabs>
      </w:pPr>
    </w:p>
    <w:tbl>
      <w:tblPr>
        <w:tblStyle w:val="TableGrid"/>
        <w:tblW w:w="0" w:type="auto"/>
        <w:tblInd w:w="805" w:type="dxa"/>
        <w:tblLook w:val="04A0" w:firstRow="1" w:lastRow="0" w:firstColumn="1" w:lastColumn="0" w:noHBand="0" w:noVBand="1"/>
      </w:tblPr>
      <w:tblGrid>
        <w:gridCol w:w="8211"/>
      </w:tblGrid>
      <w:tr w:rsidR="007B31B2" w:rsidRPr="00390F83" w14:paraId="52EFC694" w14:textId="77777777" w:rsidTr="000049BF">
        <w:tc>
          <w:tcPr>
            <w:tcW w:w="8545" w:type="dxa"/>
          </w:tcPr>
          <w:p w14:paraId="0B623DF6" w14:textId="77777777" w:rsidR="00CB5925" w:rsidRPr="00390F83" w:rsidRDefault="00F319AD">
            <w:pPr>
              <w:tabs>
                <w:tab w:val="left" w:pos="810"/>
              </w:tabs>
            </w:pPr>
            <w:r w:rsidRPr="00EF7423">
              <w:rPr>
                <w:color w:val="000000"/>
              </w:rPr>
              <w:t>This work area will support Contracting Parties in implementing actions that promote the wise use and sustainable management of wetlands and restoration. TWA 4 includes assessing options for transformative change to achieve wetland wise use in alignment with sustainable development goals and supporting the integration of wetlands into national development strategies. Future activities include guidance to enhance the role of wetlands in disaster risk reduction, promote food security, and enable wetland restoration.</w:t>
            </w:r>
          </w:p>
        </w:tc>
      </w:tr>
    </w:tbl>
    <w:p w14:paraId="53A20F28" w14:textId="77777777" w:rsidR="00CB5925" w:rsidRPr="00390F83" w:rsidRDefault="00CB5925" w:rsidP="000049BF">
      <w:pPr>
        <w:tabs>
          <w:tab w:val="left" w:pos="810"/>
        </w:tabs>
      </w:pPr>
    </w:p>
    <w:p w14:paraId="0B2C40E2" w14:textId="77777777" w:rsidR="00E952E3" w:rsidRPr="00390F83" w:rsidRDefault="00F319AD" w:rsidP="005F1F4F">
      <w:pPr>
        <w:tabs>
          <w:tab w:val="left" w:pos="810"/>
        </w:tabs>
        <w:ind w:left="810" w:hanging="810"/>
      </w:pPr>
      <w:r w:rsidRPr="00390F83">
        <w:rPr>
          <w:b/>
        </w:rPr>
        <w:t>TWA 5.</w:t>
      </w:r>
      <w:r w:rsidRPr="00390F83">
        <w:tab/>
        <w:t>Cross cutting issues, Global Wetland Outlook (GWO), supporting functions, and synergies with other Multilateral Environmental Agreements (MEAs).</w:t>
      </w:r>
    </w:p>
    <w:p w14:paraId="3BC1DF4A" w14:textId="77777777" w:rsidR="00CB5925" w:rsidRPr="00390F83" w:rsidRDefault="00CB5925" w:rsidP="00CB5925">
      <w:pPr>
        <w:tabs>
          <w:tab w:val="left" w:pos="810"/>
        </w:tabs>
        <w:ind w:left="810" w:hanging="810"/>
      </w:pPr>
    </w:p>
    <w:tbl>
      <w:tblPr>
        <w:tblStyle w:val="TableGrid"/>
        <w:tblW w:w="0" w:type="auto"/>
        <w:tblInd w:w="805" w:type="dxa"/>
        <w:tblLook w:val="04A0" w:firstRow="1" w:lastRow="0" w:firstColumn="1" w:lastColumn="0" w:noHBand="0" w:noVBand="1"/>
      </w:tblPr>
      <w:tblGrid>
        <w:gridCol w:w="8211"/>
      </w:tblGrid>
      <w:tr w:rsidR="007B31B2" w:rsidRPr="00390F83" w14:paraId="6E7E1011" w14:textId="77777777" w:rsidTr="000049BF">
        <w:tc>
          <w:tcPr>
            <w:tcW w:w="8545" w:type="dxa"/>
          </w:tcPr>
          <w:p w14:paraId="179FF4C6" w14:textId="5D5E4BFD" w:rsidR="00CB5925" w:rsidRPr="00390F83" w:rsidRDefault="00F319AD">
            <w:pPr>
              <w:tabs>
                <w:tab w:val="left" w:pos="810"/>
              </w:tabs>
            </w:pPr>
            <w:r w:rsidRPr="00EF7423">
              <w:rPr>
                <w:color w:val="000000"/>
              </w:rPr>
              <w:t>This work area will address cross-cutting issues that impact wetland conservation, report on the global status of wetlands (Global Wetland Outlook), and provide technical guidance to facilitate synergies with other multilateral environmental agreements (MEAs). TWA 5 will provide information to support Contracting Parties in applying effective approaches for wetland conservation, restoration, and wise use and promote integrated reporting mechanisms with various international frameworks, including the SDGs and KM</w:t>
            </w:r>
            <w:r w:rsidR="00DF2BA1" w:rsidRPr="00EF7423">
              <w:rPr>
                <w:color w:val="000000"/>
              </w:rPr>
              <w:t>-</w:t>
            </w:r>
            <w:r w:rsidRPr="00EF7423">
              <w:rPr>
                <w:color w:val="000000"/>
              </w:rPr>
              <w:t>GBF.</w:t>
            </w:r>
          </w:p>
        </w:tc>
      </w:tr>
    </w:tbl>
    <w:p w14:paraId="753B4898" w14:textId="77777777" w:rsidR="001D30A7" w:rsidRPr="00390F83" w:rsidRDefault="001D30A7" w:rsidP="001D30A7"/>
    <w:p w14:paraId="64C23717" w14:textId="77777777" w:rsidR="005E65C8" w:rsidRPr="00390F83" w:rsidRDefault="005E65C8" w:rsidP="005E65C8"/>
    <w:p w14:paraId="09C86ACA" w14:textId="77777777" w:rsidR="00CF2C73" w:rsidRPr="00390F83" w:rsidRDefault="00CF2C73" w:rsidP="00CF2C73">
      <w:pPr>
        <w:ind w:left="360"/>
        <w:sectPr w:rsidR="00CF2C73" w:rsidRPr="00390F83" w:rsidSect="00984B0B">
          <w:footerReference w:type="default" r:id="rId15"/>
          <w:pgSz w:w="11906" w:h="16838" w:code="9"/>
          <w:pgMar w:top="1440" w:right="1440" w:bottom="1440" w:left="1440" w:header="720" w:footer="720" w:gutter="0"/>
          <w:cols w:space="720"/>
          <w:titlePg/>
          <w:docGrid w:linePitch="360"/>
        </w:sectPr>
      </w:pPr>
    </w:p>
    <w:p w14:paraId="68B57D67" w14:textId="3D7D90EA" w:rsidR="00E952E3" w:rsidRPr="00390F83" w:rsidRDefault="00036AF3" w:rsidP="3785CA8C">
      <w:pPr>
        <w:rPr>
          <w:b/>
        </w:rPr>
      </w:pPr>
      <w:r w:rsidRPr="00390F83">
        <w:rPr>
          <w:b/>
        </w:rPr>
        <w:t>Prioritized</w:t>
      </w:r>
      <w:r w:rsidR="00F319AD" w:rsidRPr="00390F83">
        <w:rPr>
          <w:b/>
        </w:rPr>
        <w:t xml:space="preserve"> STRP tasks</w:t>
      </w:r>
      <w:r w:rsidR="00F951D2" w:rsidRPr="00390F83">
        <w:rPr>
          <w:b/>
        </w:rPr>
        <w:t xml:space="preserve"> for the 202</w:t>
      </w:r>
      <w:r w:rsidR="002252A3" w:rsidRPr="00390F83">
        <w:rPr>
          <w:b/>
        </w:rPr>
        <w:t>6-2028 triennium</w:t>
      </w:r>
      <w:r w:rsidR="00984F89">
        <w:rPr>
          <w:b/>
        </w:rPr>
        <w:t xml:space="preserve"> </w:t>
      </w:r>
    </w:p>
    <w:p w14:paraId="1598D733" w14:textId="77777777" w:rsidR="006C37E3" w:rsidRPr="00390F83" w:rsidRDefault="006C37E3" w:rsidP="0045540A">
      <w:pPr>
        <w:ind w:left="432" w:hanging="432"/>
      </w:pPr>
    </w:p>
    <w:p w14:paraId="23847FE5" w14:textId="77777777" w:rsidR="009157D9" w:rsidRPr="00390F83" w:rsidRDefault="00F319AD" w:rsidP="0045540A">
      <w:pPr>
        <w:ind w:left="432" w:hanging="432"/>
      </w:pPr>
      <w:r w:rsidRPr="00390F83">
        <w:t>3</w:t>
      </w:r>
      <w:r w:rsidR="0045540A" w:rsidRPr="00390F83">
        <w:t>.</w:t>
      </w:r>
      <w:r w:rsidR="0045540A" w:rsidRPr="00390F83">
        <w:tab/>
      </w:r>
      <w:r w:rsidRPr="00390F83">
        <w:t>Each STRP task is assigned to the most relevant TWA, although some tasks will likely contribute to the delivery of work under multiple TWAs. The likely type(s) of output(s)/product(s) are also listed for each task, but these may change as the scope of the work is defined further as the work progresses.</w:t>
      </w:r>
    </w:p>
    <w:p w14:paraId="2D2B28CB" w14:textId="77777777" w:rsidR="009157D9" w:rsidRPr="00390F83" w:rsidRDefault="009157D9" w:rsidP="00E952E3"/>
    <w:tbl>
      <w:tblPr>
        <w:tblW w:w="0" w:type="auto"/>
        <w:tblLayout w:type="fixed"/>
        <w:tblLook w:val="0400" w:firstRow="0" w:lastRow="0" w:firstColumn="0" w:lastColumn="0" w:noHBand="0" w:noVBand="1"/>
      </w:tblPr>
      <w:tblGrid>
        <w:gridCol w:w="2967"/>
        <w:gridCol w:w="5663"/>
        <w:gridCol w:w="7"/>
        <w:gridCol w:w="1418"/>
        <w:gridCol w:w="1913"/>
        <w:gridCol w:w="1914"/>
      </w:tblGrid>
      <w:tr w:rsidR="00F8458C" w:rsidRPr="00390F83" w14:paraId="3B531A43" w14:textId="77777777" w:rsidTr="00EF7423">
        <w:trPr>
          <w:tblHeader/>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BC8BADA" w14:textId="77777777" w:rsidR="00842A17" w:rsidRPr="00390F83" w:rsidRDefault="00F319AD" w:rsidP="002867AE">
            <w:pPr>
              <w:spacing w:before="60" w:after="60"/>
              <w:rPr>
                <w:b/>
                <w:color w:val="000000"/>
              </w:rPr>
            </w:pPr>
            <w:r w:rsidRPr="00390F83">
              <w:rPr>
                <w:b/>
                <w:color w:val="000000"/>
              </w:rPr>
              <w:t>STRP task</w:t>
            </w:r>
          </w:p>
        </w:tc>
        <w:tc>
          <w:tcPr>
            <w:tcW w:w="56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EB52580" w14:textId="77777777" w:rsidR="00842A17" w:rsidRPr="00390F83" w:rsidRDefault="00F319AD" w:rsidP="002867AE">
            <w:pPr>
              <w:spacing w:before="60" w:after="60"/>
              <w:rPr>
                <w:b/>
              </w:rPr>
            </w:pPr>
            <w:r w:rsidRPr="00390F83">
              <w:rPr>
                <w:b/>
              </w:rPr>
              <w:t>Description</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66C4CFB" w14:textId="77777777" w:rsidR="00842A17" w:rsidRPr="00390F83" w:rsidRDefault="00F319AD" w:rsidP="002867AE">
            <w:pPr>
              <w:spacing w:before="60" w:after="60"/>
              <w:rPr>
                <w:b/>
                <w:color w:val="000000"/>
              </w:rPr>
            </w:pPr>
            <w:r w:rsidRPr="00390F83">
              <w:rPr>
                <w:b/>
                <w:color w:val="000000"/>
              </w:rPr>
              <w:t>Timeframe</w:t>
            </w:r>
          </w:p>
        </w:tc>
        <w:tc>
          <w:tcPr>
            <w:tcW w:w="191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3D21CD7" w14:textId="77777777" w:rsidR="00842A17" w:rsidRPr="00390F83" w:rsidRDefault="00F319AD" w:rsidP="002867AE">
            <w:pPr>
              <w:spacing w:before="60" w:after="60"/>
            </w:pPr>
            <w:r w:rsidRPr="00390F83">
              <w:rPr>
                <w:b/>
                <w:color w:val="000000"/>
              </w:rPr>
              <w:t>Output(s)</w:t>
            </w:r>
          </w:p>
        </w:tc>
        <w:tc>
          <w:tcPr>
            <w:tcW w:w="19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EA92DE8" w14:textId="77777777" w:rsidR="00842A17" w:rsidRPr="00390F83" w:rsidRDefault="00F319AD" w:rsidP="002867AE">
            <w:pPr>
              <w:spacing w:before="60" w:after="60"/>
              <w:rPr>
                <w:b/>
                <w:color w:val="000000"/>
              </w:rPr>
            </w:pPr>
            <w:r w:rsidRPr="00390F83">
              <w:rPr>
                <w:b/>
                <w:color w:val="000000"/>
              </w:rPr>
              <w:t>Mandate(s)</w:t>
            </w:r>
          </w:p>
        </w:tc>
      </w:tr>
      <w:tr w:rsidR="007B31B2" w:rsidRPr="00390F83" w14:paraId="2C8B75F0" w14:textId="77777777" w:rsidTr="00EF7423">
        <w:tc>
          <w:tcPr>
            <w:tcW w:w="13882"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E235547" w14:textId="3FA1E55E" w:rsidR="00F8458C" w:rsidRPr="00EF7423" w:rsidRDefault="00F319AD" w:rsidP="00F8458C">
            <w:pPr>
              <w:spacing w:before="60" w:after="60"/>
              <w:rPr>
                <w:color w:val="000000" w:themeColor="text1"/>
              </w:rPr>
            </w:pPr>
            <w:r w:rsidRPr="00390F83">
              <w:rPr>
                <w:b/>
                <w:color w:val="000000" w:themeColor="text1"/>
              </w:rPr>
              <w:t>TWA 1: Wetlands of International Importance, development of the Site network and application of criteria.</w:t>
            </w:r>
          </w:p>
        </w:tc>
      </w:tr>
      <w:tr w:rsidR="00F8458C" w:rsidRPr="00390F83" w14:paraId="50B950EC" w14:textId="77777777" w:rsidTr="00F8458C">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383673" w14:textId="05347BC2" w:rsidR="00F8458C" w:rsidRPr="00EF7423" w:rsidRDefault="00F319AD" w:rsidP="00F8458C">
            <w:pPr>
              <w:spacing w:before="60" w:after="60"/>
              <w:rPr>
                <w:color w:val="000000" w:themeColor="text1"/>
              </w:rPr>
            </w:pPr>
            <w:r w:rsidRPr="00390F83">
              <w:rPr>
                <w:b/>
                <w:bCs w:val="0"/>
                <w:color w:val="000000" w:themeColor="text1"/>
              </w:rPr>
              <w:t>Task 1.1.</w:t>
            </w:r>
            <w:r w:rsidRPr="00390F83">
              <w:rPr>
                <w:color w:val="000000" w:themeColor="text1"/>
              </w:rPr>
              <w:t xml:space="preserve"> </w:t>
            </w:r>
            <w:r w:rsidR="002D5EE3" w:rsidRPr="00390F83">
              <w:rPr>
                <w:color w:val="000000" w:themeColor="text1"/>
              </w:rPr>
              <w:t>Scientific and technical support towards effective monitoring and reporting on the ecological character of Wetlands of International Importance in the Ramsar Information Sheet (RIS).</w:t>
            </w:r>
          </w:p>
        </w:tc>
        <w:tc>
          <w:tcPr>
            <w:tcW w:w="56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8DD7CE" w14:textId="77777777" w:rsidR="00842A17" w:rsidRPr="00390F83" w:rsidRDefault="00F319AD" w:rsidP="002867AE">
            <w:pPr>
              <w:spacing w:before="60" w:after="60"/>
            </w:pPr>
            <w:r w:rsidRPr="00390F83">
              <w:t xml:space="preserve">Task 1.1. will update guidance on assessing and </w:t>
            </w:r>
            <w:r w:rsidR="00B36960" w:rsidRPr="00390F83">
              <w:t>reporting the ecological character (and changes in ecological character) of Wetlands of International Importance (Ramsar Sites).</w:t>
            </w:r>
          </w:p>
          <w:p w14:paraId="0C9CE7C2" w14:textId="77777777" w:rsidR="0053674F" w:rsidRPr="00390F83" w:rsidRDefault="0053674F" w:rsidP="002867AE">
            <w:pPr>
              <w:spacing w:before="60" w:after="60"/>
            </w:pPr>
          </w:p>
          <w:p w14:paraId="7A73C2EF" w14:textId="66AF6FD2" w:rsidR="00842A17" w:rsidRPr="00390F83" w:rsidRDefault="00F319AD" w:rsidP="002867AE">
            <w:pPr>
              <w:spacing w:before="60" w:after="60"/>
            </w:pPr>
            <w:r w:rsidRPr="00390F83">
              <w:t xml:space="preserve">This work will also consider any additional requests from the RIS Working Group, subject to the availability of </w:t>
            </w:r>
            <w:r w:rsidR="004232EF" w:rsidRPr="00390F83">
              <w:t>resources.</w:t>
            </w:r>
          </w:p>
        </w:tc>
        <w:tc>
          <w:tcPr>
            <w:tcW w:w="1418" w:type="dxa"/>
            <w:tcBorders>
              <w:top w:val="nil"/>
              <w:left w:val="single" w:sz="8" w:space="0" w:color="000000" w:themeColor="text1"/>
              <w:bottom w:val="single" w:sz="8" w:space="0" w:color="000000" w:themeColor="text1"/>
              <w:right w:val="single" w:sz="8" w:space="0" w:color="000000" w:themeColor="text1"/>
            </w:tcBorders>
          </w:tcPr>
          <w:p w14:paraId="460A3346" w14:textId="77777777" w:rsidR="00842A17" w:rsidRPr="00390F83" w:rsidRDefault="00F319AD" w:rsidP="002867AE">
            <w:pPr>
              <w:spacing w:before="60" w:after="60"/>
            </w:pPr>
            <w:r w:rsidRPr="00390F83">
              <w:t>2026-2028</w:t>
            </w:r>
          </w:p>
        </w:tc>
        <w:tc>
          <w:tcPr>
            <w:tcW w:w="1913" w:type="dxa"/>
            <w:tcBorders>
              <w:top w:val="nil"/>
              <w:left w:val="single" w:sz="8" w:space="0" w:color="000000" w:themeColor="text1"/>
              <w:bottom w:val="single" w:sz="8" w:space="0" w:color="000000" w:themeColor="text1"/>
              <w:right w:val="single" w:sz="8" w:space="0" w:color="000000" w:themeColor="text1"/>
            </w:tcBorders>
          </w:tcPr>
          <w:p w14:paraId="105DE65D" w14:textId="77777777" w:rsidR="00842A17" w:rsidRPr="00390F83" w:rsidRDefault="00F319AD" w:rsidP="002867AE">
            <w:pPr>
              <w:spacing w:before="60" w:after="60"/>
            </w:pPr>
            <w:r w:rsidRPr="00390F83">
              <w:t>Revisions to Strategic Framework and RIS</w:t>
            </w:r>
          </w:p>
        </w:tc>
        <w:tc>
          <w:tcPr>
            <w:tcW w:w="1914" w:type="dxa"/>
            <w:tcBorders>
              <w:top w:val="nil"/>
              <w:left w:val="single" w:sz="8" w:space="0" w:color="000000" w:themeColor="text1"/>
              <w:bottom w:val="single" w:sz="8" w:space="0" w:color="000000" w:themeColor="text1"/>
              <w:right w:val="single" w:sz="8" w:space="0" w:color="000000" w:themeColor="text1"/>
            </w:tcBorders>
          </w:tcPr>
          <w:p w14:paraId="7D5B40C5" w14:textId="77777777" w:rsidR="00842A17" w:rsidRPr="00390F83" w:rsidRDefault="00F319AD" w:rsidP="002867AE">
            <w:pPr>
              <w:spacing w:before="60" w:after="60"/>
            </w:pPr>
            <w:r w:rsidRPr="00390F83">
              <w:t>Doc. SC63.19 (Para. 19-21 &amp; Annex 2).</w:t>
            </w:r>
          </w:p>
          <w:p w14:paraId="30D0AE3E" w14:textId="77777777" w:rsidR="00842A17" w:rsidRPr="00390F83" w:rsidRDefault="00F319AD" w:rsidP="002867AE">
            <w:pPr>
              <w:spacing w:before="60" w:after="60"/>
            </w:pPr>
            <w:r w:rsidRPr="00390F83">
              <w:t>Report and Decisions of the 63rd Meeting of the Standing Committee.</w:t>
            </w:r>
          </w:p>
        </w:tc>
      </w:tr>
      <w:tr w:rsidR="00F8458C" w:rsidRPr="00390F83" w14:paraId="1276D9ED" w14:textId="77777777" w:rsidTr="00F8458C">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6243C0" w14:textId="64992D34" w:rsidR="00F8458C" w:rsidRPr="00EF7423" w:rsidRDefault="00F319AD" w:rsidP="00F8458C">
            <w:pPr>
              <w:spacing w:before="60" w:after="60"/>
              <w:rPr>
                <w:color w:val="000000" w:themeColor="text1"/>
              </w:rPr>
            </w:pPr>
            <w:r w:rsidRPr="00390F83">
              <w:rPr>
                <w:b/>
                <w:bCs w:val="0"/>
                <w:color w:val="000000" w:themeColor="text1"/>
              </w:rPr>
              <w:t>Task 1.2.</w:t>
            </w:r>
            <w:r w:rsidRPr="00390F83">
              <w:rPr>
                <w:color w:val="000000" w:themeColor="text1"/>
              </w:rPr>
              <w:t xml:space="preserve"> </w:t>
            </w:r>
            <w:r w:rsidR="002435E0" w:rsidRPr="00390F83">
              <w:rPr>
                <w:color w:val="000000" w:themeColor="text1"/>
              </w:rPr>
              <w:t>Global assessment of gaps in the network of Wetlands of International Importance, and synergies with global climate, biodiversity and sustainable development goals.</w:t>
            </w:r>
          </w:p>
        </w:tc>
        <w:tc>
          <w:tcPr>
            <w:tcW w:w="56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CE0AAC" w14:textId="77777777" w:rsidR="00842A17" w:rsidRPr="00390F83" w:rsidRDefault="00F319AD" w:rsidP="002867AE">
            <w:pPr>
              <w:spacing w:before="60" w:after="60"/>
            </w:pPr>
            <w:r w:rsidRPr="00390F83">
              <w:t xml:space="preserve">Task 1.2. will carry out a global assessment to identify under-represented </w:t>
            </w:r>
            <w:r w:rsidR="009B73D1" w:rsidRPr="00390F83">
              <w:t>wetland types</w:t>
            </w:r>
            <w:r w:rsidR="00DA09E4" w:rsidRPr="00390F83">
              <w:t>,</w:t>
            </w:r>
            <w:r w:rsidR="009B73D1" w:rsidRPr="00390F83">
              <w:t xml:space="preserve"> </w:t>
            </w:r>
            <w:r w:rsidR="00255F50" w:rsidRPr="00390F83">
              <w:t xml:space="preserve">including </w:t>
            </w:r>
            <w:r w:rsidR="006B2DF8" w:rsidRPr="00390F83">
              <w:t>associated biodiversity</w:t>
            </w:r>
            <w:r w:rsidR="001D6720" w:rsidRPr="00390F83">
              <w:t xml:space="preserve"> </w:t>
            </w:r>
            <w:r w:rsidR="009B73D1" w:rsidRPr="00390F83">
              <w:t>and habitats across biogeographic regions (</w:t>
            </w:r>
            <w:r w:rsidRPr="00390F83">
              <w:t>including transboundary wetlands), drawing on-site details in the Ramsar Sites Information Service (RSIS) and other relevant sources in order to highlight to Contracting Parties opportunities for enhanced designation of Wetlands of International Importance towards biodiversity, climate and sustainable development goals.</w:t>
            </w:r>
          </w:p>
        </w:tc>
        <w:tc>
          <w:tcPr>
            <w:tcW w:w="1418" w:type="dxa"/>
            <w:tcBorders>
              <w:top w:val="nil"/>
              <w:left w:val="single" w:sz="8" w:space="0" w:color="000000" w:themeColor="text1"/>
              <w:bottom w:val="single" w:sz="8" w:space="0" w:color="000000" w:themeColor="text1"/>
              <w:right w:val="single" w:sz="8" w:space="0" w:color="000000" w:themeColor="text1"/>
            </w:tcBorders>
          </w:tcPr>
          <w:p w14:paraId="6F7C2DF1" w14:textId="77777777" w:rsidR="00842A17" w:rsidRPr="00390F83" w:rsidRDefault="00F319AD" w:rsidP="002867AE">
            <w:pPr>
              <w:spacing w:before="60" w:after="60"/>
            </w:pPr>
            <w:r w:rsidRPr="00390F83">
              <w:t>2026-2028</w:t>
            </w:r>
          </w:p>
        </w:tc>
        <w:tc>
          <w:tcPr>
            <w:tcW w:w="1913" w:type="dxa"/>
            <w:tcBorders>
              <w:top w:val="nil"/>
              <w:left w:val="single" w:sz="8" w:space="0" w:color="000000" w:themeColor="text1"/>
              <w:bottom w:val="single" w:sz="8" w:space="0" w:color="000000" w:themeColor="text1"/>
              <w:right w:val="single" w:sz="8" w:space="0" w:color="000000" w:themeColor="text1"/>
            </w:tcBorders>
          </w:tcPr>
          <w:p w14:paraId="09FB5F01" w14:textId="77777777" w:rsidR="00842A17" w:rsidRPr="00390F83" w:rsidRDefault="00F319AD" w:rsidP="002867AE">
            <w:pPr>
              <w:spacing w:before="60" w:after="60"/>
            </w:pPr>
            <w:r w:rsidRPr="00390F83">
              <w:t>Technical Report and/or Briefing Note.</w:t>
            </w:r>
          </w:p>
        </w:tc>
        <w:tc>
          <w:tcPr>
            <w:tcW w:w="1914" w:type="dxa"/>
            <w:tcBorders>
              <w:top w:val="nil"/>
              <w:left w:val="single" w:sz="8" w:space="0" w:color="000000" w:themeColor="text1"/>
              <w:bottom w:val="single" w:sz="8" w:space="0" w:color="000000" w:themeColor="text1"/>
              <w:right w:val="single" w:sz="8" w:space="0" w:color="000000" w:themeColor="text1"/>
            </w:tcBorders>
          </w:tcPr>
          <w:p w14:paraId="0B7864EF" w14:textId="77777777" w:rsidR="0064294B" w:rsidRPr="00390F83" w:rsidRDefault="00F319AD" w:rsidP="002867AE">
            <w:pPr>
              <w:spacing w:before="60" w:after="60"/>
              <w:rPr>
                <w:lang w:val="fr-FR"/>
              </w:rPr>
            </w:pPr>
            <w:r w:rsidRPr="00390F83">
              <w:rPr>
                <w:lang w:val="fr-FR"/>
              </w:rPr>
              <w:t xml:space="preserve">Res. XII.5, </w:t>
            </w:r>
          </w:p>
          <w:p w14:paraId="24C4E7D0" w14:textId="77777777" w:rsidR="003B0270" w:rsidRPr="00390F83" w:rsidRDefault="00F319AD" w:rsidP="002867AE">
            <w:pPr>
              <w:spacing w:before="60" w:after="60"/>
              <w:rPr>
                <w:lang w:val="fr-FR"/>
              </w:rPr>
            </w:pPr>
            <w:r w:rsidRPr="00390F83">
              <w:rPr>
                <w:lang w:val="fr-FR"/>
              </w:rPr>
              <w:t>Annex 1.</w:t>
            </w:r>
          </w:p>
          <w:p w14:paraId="30FDD8E0" w14:textId="77777777" w:rsidR="00BE7363" w:rsidRPr="00390F83" w:rsidRDefault="00F319AD" w:rsidP="002867AE">
            <w:pPr>
              <w:spacing w:before="60" w:after="60"/>
              <w:rPr>
                <w:lang w:val="fr-FR"/>
              </w:rPr>
            </w:pPr>
            <w:r w:rsidRPr="00390F83">
              <w:rPr>
                <w:lang w:val="fr-FR"/>
              </w:rPr>
              <w:t xml:space="preserve">Res. </w:t>
            </w:r>
          </w:p>
          <w:p w14:paraId="1575D9B3" w14:textId="77777777" w:rsidR="00BE7363" w:rsidRPr="00390F83" w:rsidRDefault="00F319AD" w:rsidP="002867AE">
            <w:pPr>
              <w:spacing w:before="60" w:after="60"/>
              <w:rPr>
                <w:lang w:val="fr-FR"/>
              </w:rPr>
            </w:pPr>
            <w:r w:rsidRPr="00390F83">
              <w:rPr>
                <w:lang w:val="fr-FR"/>
              </w:rPr>
              <w:t>XIV.14, Annex 2</w:t>
            </w:r>
          </w:p>
          <w:p w14:paraId="652D7713" w14:textId="77777777" w:rsidR="003B0270" w:rsidRPr="00390F83" w:rsidRDefault="00F319AD" w:rsidP="002867AE">
            <w:pPr>
              <w:spacing w:before="60" w:after="60"/>
            </w:pPr>
            <w:r w:rsidRPr="00390F83">
              <w:t>Res. XIV.6, Para. 38</w:t>
            </w:r>
          </w:p>
          <w:p w14:paraId="1C3E05F2" w14:textId="77777777" w:rsidR="00842A17" w:rsidRPr="00390F83" w:rsidRDefault="00F319AD" w:rsidP="002867AE">
            <w:pPr>
              <w:spacing w:before="60" w:after="60"/>
            </w:pPr>
            <w:r w:rsidRPr="00390F83">
              <w:t>Continuation from STRP 2023-25 work plan (Pre-SC62 Intersessional Decision 04)</w:t>
            </w:r>
            <w:r w:rsidR="00A2226D" w:rsidRPr="00390F83">
              <w:t>.</w:t>
            </w:r>
          </w:p>
        </w:tc>
      </w:tr>
      <w:tr w:rsidR="007B31B2" w:rsidRPr="00390F83" w14:paraId="4A0281CE" w14:textId="77777777" w:rsidTr="00EF7423">
        <w:tc>
          <w:tcPr>
            <w:tcW w:w="13882"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9317BC" w14:textId="42DCFAB6" w:rsidR="00526199" w:rsidRPr="00390F83" w:rsidRDefault="00F319AD" w:rsidP="00EF7423">
            <w:pPr>
              <w:keepNext/>
              <w:spacing w:before="60" w:after="60"/>
              <w:rPr>
                <w:b/>
                <w:color w:val="000000"/>
              </w:rPr>
            </w:pPr>
            <w:r w:rsidRPr="00390F83">
              <w:rPr>
                <w:b/>
                <w:color w:val="000000"/>
              </w:rPr>
              <w:t>TWA 2: Tools for wetland assessment, mapping and monitoring, and development of inventories.</w:t>
            </w:r>
          </w:p>
        </w:tc>
      </w:tr>
      <w:tr w:rsidR="00F8458C" w:rsidRPr="00390F83" w14:paraId="05DB1DC0" w14:textId="77777777" w:rsidTr="00F8458C">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3A9513" w14:textId="77777777" w:rsidR="00842A17" w:rsidRPr="00390F83" w:rsidRDefault="00F319AD" w:rsidP="002867AE">
            <w:pPr>
              <w:spacing w:before="60" w:after="60"/>
              <w:rPr>
                <w:color w:val="000000"/>
              </w:rPr>
            </w:pPr>
            <w:r w:rsidRPr="00390F83">
              <w:rPr>
                <w:b/>
                <w:bCs w:val="0"/>
                <w:color w:val="000000" w:themeColor="text1"/>
              </w:rPr>
              <w:t>Task 2.1.</w:t>
            </w:r>
            <w:r w:rsidRPr="00390F83">
              <w:rPr>
                <w:color w:val="000000" w:themeColor="text1"/>
              </w:rPr>
              <w:t xml:space="preserve"> </w:t>
            </w:r>
            <w:r w:rsidR="000E24A5" w:rsidRPr="00390F83">
              <w:rPr>
                <w:color w:val="000000" w:themeColor="text1"/>
              </w:rPr>
              <w:t>Review of the Convention’s classification system for wetland type.</w:t>
            </w:r>
          </w:p>
        </w:tc>
        <w:tc>
          <w:tcPr>
            <w:tcW w:w="56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75E08E" w14:textId="7361BCCD" w:rsidR="00842A17" w:rsidRPr="00390F83" w:rsidRDefault="007F1591" w:rsidP="002867AE">
            <w:pPr>
              <w:spacing w:before="60" w:after="60"/>
              <w:rPr>
                <w:color w:val="000000"/>
              </w:rPr>
            </w:pPr>
            <w:r w:rsidRPr="00390F83">
              <w:rPr>
                <w:color w:val="000000" w:themeColor="text1"/>
              </w:rPr>
              <w:t>Task 2.1.</w:t>
            </w:r>
            <w:r w:rsidR="00F319AD" w:rsidRPr="00390F83">
              <w:rPr>
                <w:color w:val="000000" w:themeColor="text1"/>
              </w:rPr>
              <w:t xml:space="preserve"> will undertake a 2-phase review of the classification system of wetland types: </w:t>
            </w:r>
          </w:p>
          <w:p w14:paraId="64347B94" w14:textId="77777777" w:rsidR="00207FDA" w:rsidRPr="00390F83" w:rsidRDefault="00F319AD" w:rsidP="002867AE">
            <w:pPr>
              <w:pStyle w:val="ListParagraph"/>
              <w:numPr>
                <w:ilvl w:val="0"/>
                <w:numId w:val="8"/>
              </w:numPr>
              <w:spacing w:before="60" w:after="60"/>
              <w:ind w:left="336" w:hanging="336"/>
              <w:rPr>
                <w:color w:val="000000" w:themeColor="text1"/>
              </w:rPr>
            </w:pPr>
            <w:r w:rsidRPr="00390F83">
              <w:rPr>
                <w:color w:val="000000" w:themeColor="text1"/>
              </w:rPr>
              <w:t>Phase 1: Initial assessment to determine whether sufficient evidence justifies a comprehensive review. This would clarify why a review is needed</w:t>
            </w:r>
            <w:r w:rsidR="005D6B58" w:rsidRPr="00390F83">
              <w:rPr>
                <w:color w:val="000000" w:themeColor="text1"/>
              </w:rPr>
              <w:t>,</w:t>
            </w:r>
            <w:r w:rsidRPr="00390F83">
              <w:rPr>
                <w:color w:val="000000" w:themeColor="text1"/>
              </w:rPr>
              <w:t xml:space="preserve"> e.g.</w:t>
            </w:r>
            <w:r w:rsidR="005D6B58" w:rsidRPr="00390F83">
              <w:rPr>
                <w:color w:val="000000" w:themeColor="text1"/>
              </w:rPr>
              <w:t>,</w:t>
            </w:r>
            <w:r w:rsidRPr="00390F83">
              <w:rPr>
                <w:color w:val="000000" w:themeColor="text1"/>
              </w:rPr>
              <w:t xml:space="preserve"> to meet national and global assessment and reporting purposes.</w:t>
            </w:r>
          </w:p>
          <w:p w14:paraId="4C75CE5B" w14:textId="77777777" w:rsidR="00207FDA" w:rsidRPr="00390F83" w:rsidRDefault="00F319AD" w:rsidP="002867AE">
            <w:pPr>
              <w:pStyle w:val="ListParagraph"/>
              <w:numPr>
                <w:ilvl w:val="0"/>
                <w:numId w:val="8"/>
              </w:numPr>
              <w:spacing w:before="60" w:after="60"/>
              <w:ind w:left="336" w:hanging="336"/>
              <w:rPr>
                <w:color w:val="000000" w:themeColor="text1"/>
              </w:rPr>
            </w:pPr>
            <w:r w:rsidRPr="00390F83">
              <w:rPr>
                <w:color w:val="000000" w:themeColor="text1"/>
              </w:rPr>
              <w:t xml:space="preserve">Phase 2: Undertake a comprehensive assessment to address the issues and opportunities identified during </w:t>
            </w:r>
            <w:r w:rsidR="00A14F5F" w:rsidRPr="00390F83">
              <w:rPr>
                <w:color w:val="000000" w:themeColor="text1"/>
              </w:rPr>
              <w:t>Phase</w:t>
            </w:r>
            <w:r w:rsidRPr="00390F83">
              <w:rPr>
                <w:color w:val="000000" w:themeColor="text1"/>
              </w:rPr>
              <w:t xml:space="preserve"> 1.</w:t>
            </w:r>
          </w:p>
          <w:p w14:paraId="5E7A60FC" w14:textId="55B998A4" w:rsidR="00842A17" w:rsidRPr="00390F83" w:rsidRDefault="00F319AD" w:rsidP="002867AE">
            <w:pPr>
              <w:spacing w:before="60" w:after="60"/>
              <w:rPr>
                <w:color w:val="000000"/>
              </w:rPr>
            </w:pPr>
            <w:r w:rsidRPr="00390F83">
              <w:rPr>
                <w:color w:val="000000" w:themeColor="text1"/>
              </w:rPr>
              <w:t xml:space="preserve">Task 2.1 will consider the potential for improving the classification of wetlands, including via minor amendments to enhance </w:t>
            </w:r>
            <w:r w:rsidR="00036AF3" w:rsidRPr="00390F83">
              <w:rPr>
                <w:color w:val="000000" w:themeColor="text1"/>
              </w:rPr>
              <w:t>harmonization</w:t>
            </w:r>
            <w:r w:rsidRPr="00390F83">
              <w:rPr>
                <w:color w:val="000000" w:themeColor="text1"/>
              </w:rPr>
              <w:t xml:space="preserve"> with classification systems used by other MEAs and global and national reporting on wetland extent and condition</w:t>
            </w:r>
            <w:r w:rsidR="00037818" w:rsidRPr="00390F83">
              <w:rPr>
                <w:color w:val="000000" w:themeColor="text1"/>
              </w:rPr>
              <w:t xml:space="preserve">. </w:t>
            </w:r>
          </w:p>
        </w:tc>
        <w:tc>
          <w:tcPr>
            <w:tcW w:w="1418" w:type="dxa"/>
            <w:tcBorders>
              <w:top w:val="nil"/>
              <w:left w:val="single" w:sz="8" w:space="0" w:color="000000" w:themeColor="text1"/>
              <w:bottom w:val="single" w:sz="8" w:space="0" w:color="000000" w:themeColor="text1"/>
              <w:right w:val="single" w:sz="8" w:space="0" w:color="000000" w:themeColor="text1"/>
            </w:tcBorders>
          </w:tcPr>
          <w:p w14:paraId="17E77AEB" w14:textId="77777777" w:rsidR="00842A17" w:rsidRPr="00390F83" w:rsidRDefault="00F319AD" w:rsidP="002867AE">
            <w:pPr>
              <w:spacing w:before="60" w:after="60"/>
            </w:pPr>
            <w:r w:rsidRPr="00390F83">
              <w:t>2026-2028</w:t>
            </w:r>
          </w:p>
        </w:tc>
        <w:tc>
          <w:tcPr>
            <w:tcW w:w="1913" w:type="dxa"/>
            <w:tcBorders>
              <w:top w:val="nil"/>
              <w:left w:val="single" w:sz="8" w:space="0" w:color="000000" w:themeColor="text1"/>
              <w:bottom w:val="single" w:sz="8" w:space="0" w:color="000000" w:themeColor="text1"/>
              <w:right w:val="single" w:sz="8" w:space="0" w:color="000000" w:themeColor="text1"/>
            </w:tcBorders>
          </w:tcPr>
          <w:p w14:paraId="266334E8" w14:textId="77777777" w:rsidR="00A736E7" w:rsidRPr="00390F83" w:rsidRDefault="00F319AD" w:rsidP="002867AE">
            <w:pPr>
              <w:spacing w:before="60" w:after="60"/>
            </w:pPr>
            <w:r w:rsidRPr="00390F83">
              <w:t>Reports to SC (one report covering phase 1, and one report on phase 2, if applicable).</w:t>
            </w:r>
          </w:p>
          <w:p w14:paraId="46F17036" w14:textId="77777777" w:rsidR="00842A17" w:rsidRPr="00390F83" w:rsidRDefault="00F319AD" w:rsidP="002867AE">
            <w:pPr>
              <w:spacing w:before="60" w:after="60"/>
            </w:pPr>
            <w:r w:rsidRPr="00390F83">
              <w:t xml:space="preserve">If relevant, </w:t>
            </w:r>
            <w:r w:rsidR="00255F50" w:rsidRPr="00390F83">
              <w:t xml:space="preserve">STRP will </w:t>
            </w:r>
            <w:r w:rsidRPr="00390F83">
              <w:t>prepare a resolution for COP16.</w:t>
            </w:r>
          </w:p>
        </w:tc>
        <w:tc>
          <w:tcPr>
            <w:tcW w:w="1914" w:type="dxa"/>
            <w:tcBorders>
              <w:top w:val="nil"/>
              <w:left w:val="single" w:sz="8" w:space="0" w:color="000000" w:themeColor="text1"/>
              <w:bottom w:val="single" w:sz="8" w:space="0" w:color="000000" w:themeColor="text1"/>
              <w:right w:val="single" w:sz="8" w:space="0" w:color="000000" w:themeColor="text1"/>
            </w:tcBorders>
          </w:tcPr>
          <w:p w14:paraId="376AAFD8" w14:textId="77777777" w:rsidR="00842A17" w:rsidRPr="00390F83" w:rsidRDefault="00F319AD" w:rsidP="002867AE">
            <w:pPr>
              <w:spacing w:before="60" w:after="60"/>
            </w:pPr>
            <w:r w:rsidRPr="00390F83">
              <w:t>Doc. SC63.19 (Para. 16-18 &amp; Annex 1).</w:t>
            </w:r>
          </w:p>
          <w:p w14:paraId="12E8BE59" w14:textId="77777777" w:rsidR="00842A17" w:rsidRPr="00390F83" w:rsidRDefault="00F319AD" w:rsidP="002867AE">
            <w:pPr>
              <w:spacing w:before="60" w:after="60"/>
              <w:rPr>
                <w:color w:val="000000"/>
              </w:rPr>
            </w:pPr>
            <w:r w:rsidRPr="00390F83">
              <w:t>Report and Decisions of the 63rd Meeting of the Standing Committee</w:t>
            </w:r>
            <w:r w:rsidRPr="00390F83">
              <w:rPr>
                <w:color w:val="000000"/>
              </w:rPr>
              <w:t xml:space="preserve"> (Decision SC63-30).</w:t>
            </w:r>
          </w:p>
        </w:tc>
      </w:tr>
      <w:tr w:rsidR="00F8458C" w:rsidRPr="00390F83" w14:paraId="0AB4EEE3" w14:textId="77777777" w:rsidTr="00F8458C">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10F1D1" w14:textId="77777777" w:rsidR="00842A17" w:rsidRPr="00390F83" w:rsidRDefault="00F319AD" w:rsidP="002867AE">
            <w:pPr>
              <w:spacing w:before="60" w:after="60"/>
              <w:rPr>
                <w:color w:val="000000" w:themeColor="text1"/>
              </w:rPr>
            </w:pPr>
            <w:r w:rsidRPr="00390F83">
              <w:rPr>
                <w:b/>
                <w:bCs w:val="0"/>
                <w:color w:val="000000" w:themeColor="text1"/>
              </w:rPr>
              <w:t>Task 2.2.</w:t>
            </w:r>
            <w:r w:rsidRPr="00390F83">
              <w:rPr>
                <w:color w:val="000000" w:themeColor="text1"/>
              </w:rPr>
              <w:t xml:space="preserve"> </w:t>
            </w:r>
            <w:r w:rsidR="00AB0E38" w:rsidRPr="00390F83">
              <w:rPr>
                <w:color w:val="000000" w:themeColor="text1"/>
              </w:rPr>
              <w:t>Advancing the development and use of technology for wetland mapping and inventory.</w:t>
            </w:r>
          </w:p>
        </w:tc>
        <w:tc>
          <w:tcPr>
            <w:tcW w:w="56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19B911" w14:textId="50C9BB08" w:rsidR="00842A17" w:rsidRPr="00390F83" w:rsidRDefault="0075738A" w:rsidP="00255F50">
            <w:pPr>
              <w:spacing w:before="60" w:after="60"/>
              <w:rPr>
                <w:color w:val="000000" w:themeColor="text1"/>
              </w:rPr>
            </w:pPr>
            <w:r w:rsidRPr="00390F83">
              <w:rPr>
                <w:color w:val="000000"/>
              </w:rPr>
              <w:t>T</w:t>
            </w:r>
            <w:r w:rsidR="00F319AD" w:rsidRPr="00390F83">
              <w:rPr>
                <w:color w:val="000000"/>
              </w:rPr>
              <w:t xml:space="preserve">ask 2.2. </w:t>
            </w:r>
            <w:r w:rsidR="007A506F" w:rsidRPr="00390F83">
              <w:rPr>
                <w:color w:val="000000" w:themeColor="text1"/>
              </w:rPr>
              <w:t xml:space="preserve">will focus </w:t>
            </w:r>
            <w:r w:rsidR="00F319AD" w:rsidRPr="00390F83">
              <w:rPr>
                <w:color w:val="000000" w:themeColor="text1"/>
              </w:rPr>
              <w:t xml:space="preserve">on </w:t>
            </w:r>
            <w:r w:rsidR="007A506F" w:rsidRPr="00390F83">
              <w:rPr>
                <w:color w:val="000000" w:themeColor="text1"/>
              </w:rPr>
              <w:t xml:space="preserve">the </w:t>
            </w:r>
            <w:r w:rsidR="00F319AD" w:rsidRPr="00390F83">
              <w:rPr>
                <w:color w:val="000000" w:themeColor="text1"/>
              </w:rPr>
              <w:t>development of a</w:t>
            </w:r>
            <w:r w:rsidR="00A25CD3" w:rsidRPr="00390F83">
              <w:rPr>
                <w:color w:val="000000" w:themeColor="text1"/>
              </w:rPr>
              <w:t xml:space="preserve"> cross-triennial</w:t>
            </w:r>
            <w:r w:rsidR="00F319AD" w:rsidRPr="00390F83">
              <w:rPr>
                <w:color w:val="000000" w:themeColor="text1"/>
              </w:rPr>
              <w:t xml:space="preserve"> initiative to foster dialogue, knowledge exchange and guidance</w:t>
            </w:r>
            <w:r w:rsidR="00C50A31" w:rsidRPr="00390F83">
              <w:rPr>
                <w:color w:val="000000" w:themeColor="text1"/>
              </w:rPr>
              <w:t xml:space="preserve"> on</w:t>
            </w:r>
            <w:r w:rsidR="00146552" w:rsidRPr="00390F83">
              <w:rPr>
                <w:color w:val="000000" w:themeColor="text1"/>
              </w:rPr>
              <w:t xml:space="preserve"> the use of</w:t>
            </w:r>
            <w:r w:rsidR="00E0142C" w:rsidRPr="00390F83">
              <w:rPr>
                <w:color w:val="000000" w:themeColor="text1"/>
              </w:rPr>
              <w:t xml:space="preserve"> </w:t>
            </w:r>
            <w:r w:rsidR="00F35B28" w:rsidRPr="00390F83">
              <w:rPr>
                <w:color w:val="000000" w:themeColor="text1"/>
              </w:rPr>
              <w:t>Earth</w:t>
            </w:r>
            <w:r w:rsidR="00E0142C" w:rsidRPr="00390F83">
              <w:rPr>
                <w:color w:val="000000" w:themeColor="text1"/>
              </w:rPr>
              <w:t xml:space="preserve"> observation </w:t>
            </w:r>
            <w:r w:rsidR="00146552" w:rsidRPr="00390F83">
              <w:rPr>
                <w:color w:val="000000" w:themeColor="text1"/>
              </w:rPr>
              <w:t>for</w:t>
            </w:r>
            <w:r w:rsidR="00F319AD" w:rsidRPr="00390F83">
              <w:rPr>
                <w:color w:val="000000" w:themeColor="text1"/>
              </w:rPr>
              <w:t xml:space="preserve"> wetland inventory, assessment, monitoring, and conservation</w:t>
            </w:r>
            <w:r w:rsidR="00820E0D" w:rsidRPr="00390F83">
              <w:rPr>
                <w:color w:val="000000" w:themeColor="text1"/>
              </w:rPr>
              <w:t xml:space="preserve"> (</w:t>
            </w:r>
            <w:r w:rsidR="009664FE" w:rsidRPr="00390F83">
              <w:rPr>
                <w:color w:val="000000" w:themeColor="text1"/>
              </w:rPr>
              <w:t>refer Decision SC63-30)</w:t>
            </w:r>
            <w:r w:rsidR="00F319AD" w:rsidRPr="00390F83">
              <w:rPr>
                <w:color w:val="000000" w:themeColor="text1"/>
              </w:rPr>
              <w:t xml:space="preserve">, e.g., by further developing the GEO-Wetlands initiative, drawing on models provided by GEO Flagships such as </w:t>
            </w:r>
            <w:r w:rsidR="00723B1B" w:rsidRPr="00390F83">
              <w:rPr>
                <w:color w:val="000000" w:themeColor="text1"/>
              </w:rPr>
              <w:t>Digital Earth Africa</w:t>
            </w:r>
            <w:r w:rsidR="00A25CD3" w:rsidRPr="00390F83">
              <w:rPr>
                <w:color w:val="000000" w:themeColor="text1"/>
              </w:rPr>
              <w:t>,</w:t>
            </w:r>
            <w:r w:rsidR="00723B1B" w:rsidRPr="00390F83">
              <w:rPr>
                <w:color w:val="000000" w:themeColor="text1"/>
              </w:rPr>
              <w:t xml:space="preserve"> </w:t>
            </w:r>
            <w:r w:rsidR="00F319AD" w:rsidRPr="00390F83">
              <w:rPr>
                <w:color w:val="000000" w:themeColor="text1"/>
              </w:rPr>
              <w:t>GEO Land Degradation Neutrality (GEO-LDN).</w:t>
            </w:r>
          </w:p>
          <w:p w14:paraId="38DD885C" w14:textId="4D598FA9" w:rsidR="00B27C30" w:rsidRPr="00390F83" w:rsidRDefault="00F319AD" w:rsidP="002867AE">
            <w:pPr>
              <w:spacing w:before="60" w:after="60"/>
              <w:rPr>
                <w:color w:val="000000" w:themeColor="text1"/>
              </w:rPr>
            </w:pPr>
            <w:r w:rsidRPr="00390F83">
              <w:rPr>
                <w:color w:val="000000" w:themeColor="text1"/>
              </w:rPr>
              <w:t xml:space="preserve">Task </w:t>
            </w:r>
            <w:r w:rsidR="00440F3F" w:rsidRPr="00390F83">
              <w:rPr>
                <w:color w:val="000000" w:themeColor="text1"/>
              </w:rPr>
              <w:t xml:space="preserve">2.2 will also </w:t>
            </w:r>
            <w:r w:rsidR="00EF7323" w:rsidRPr="00390F83">
              <w:rPr>
                <w:color w:val="000000" w:themeColor="text1"/>
              </w:rPr>
              <w:t>inform Contracting Parties about</w:t>
            </w:r>
            <w:r w:rsidRPr="00390F83">
              <w:rPr>
                <w:color w:val="000000" w:themeColor="text1"/>
              </w:rPr>
              <w:t xml:space="preserve"> technological advances in wetland mapping and assessment and </w:t>
            </w:r>
            <w:r w:rsidR="00F241A5" w:rsidRPr="00390F83">
              <w:rPr>
                <w:color w:val="000000" w:themeColor="text1"/>
              </w:rPr>
              <w:t xml:space="preserve">the </w:t>
            </w:r>
            <w:r w:rsidRPr="00390F83">
              <w:rPr>
                <w:color w:val="000000" w:themeColor="text1"/>
              </w:rPr>
              <w:t>appl</w:t>
            </w:r>
            <w:r w:rsidR="00F241A5" w:rsidRPr="00390F83">
              <w:rPr>
                <w:color w:val="000000" w:themeColor="text1"/>
              </w:rPr>
              <w:t>ication of</w:t>
            </w:r>
            <w:r w:rsidRPr="00390F83">
              <w:rPr>
                <w:color w:val="000000" w:themeColor="text1"/>
              </w:rPr>
              <w:t xml:space="preserve"> global ecosystem typologies, including streamlining mapping and inventory approaches (e.g., those used in NWIs) to report on the conservation and wise use of wetlands, tracking the status and trends of wetlands, and implementation of international goals and targets, e.g., the CBD’s Global Biodiversity Framework Target 3 on 30x30 and SDG Target 6.6.1 on Change in the extent of water-related ecosystems over time.</w:t>
            </w:r>
          </w:p>
        </w:tc>
        <w:tc>
          <w:tcPr>
            <w:tcW w:w="1418" w:type="dxa"/>
            <w:tcBorders>
              <w:top w:val="nil"/>
              <w:left w:val="single" w:sz="8" w:space="0" w:color="000000" w:themeColor="text1"/>
              <w:bottom w:val="single" w:sz="8" w:space="0" w:color="000000" w:themeColor="text1"/>
              <w:right w:val="single" w:sz="8" w:space="0" w:color="000000" w:themeColor="text1"/>
            </w:tcBorders>
          </w:tcPr>
          <w:p w14:paraId="25C4FA54" w14:textId="77777777" w:rsidR="00842A17" w:rsidRPr="00390F83" w:rsidRDefault="00F319AD" w:rsidP="002867AE">
            <w:pPr>
              <w:spacing w:before="60" w:after="60"/>
            </w:pPr>
            <w:r w:rsidRPr="00390F83">
              <w:t>Cross-triennial</w:t>
            </w:r>
            <w:r w:rsidR="004232EF" w:rsidRPr="00390F83">
              <w:t xml:space="preserve"> (subject to the availability of human and financial resources</w:t>
            </w:r>
            <w:r w:rsidR="00EC6E96" w:rsidRPr="00390F83">
              <w:t>)</w:t>
            </w:r>
            <w:r w:rsidR="004232EF" w:rsidRPr="00390F83">
              <w:t>.</w:t>
            </w:r>
          </w:p>
        </w:tc>
        <w:tc>
          <w:tcPr>
            <w:tcW w:w="1913" w:type="dxa"/>
            <w:tcBorders>
              <w:top w:val="nil"/>
              <w:left w:val="single" w:sz="8" w:space="0" w:color="000000" w:themeColor="text1"/>
              <w:bottom w:val="single" w:sz="8" w:space="0" w:color="000000" w:themeColor="text1"/>
              <w:right w:val="single" w:sz="8" w:space="0" w:color="000000" w:themeColor="text1"/>
            </w:tcBorders>
          </w:tcPr>
          <w:p w14:paraId="10C4383E" w14:textId="77777777" w:rsidR="00842A17" w:rsidRPr="00390F83" w:rsidRDefault="00F319AD" w:rsidP="00255F50">
            <w:pPr>
              <w:spacing w:before="60" w:after="60"/>
            </w:pPr>
            <w:r w:rsidRPr="00390F83">
              <w:t>Technical Report and/or Briefing Note</w:t>
            </w:r>
            <w:r w:rsidR="00A25CD3" w:rsidRPr="00390F83">
              <w:t xml:space="preserve">. </w:t>
            </w:r>
          </w:p>
          <w:p w14:paraId="06ACFE16" w14:textId="6856365B" w:rsidR="00E01D7B" w:rsidRPr="00390F83" w:rsidRDefault="00F319AD" w:rsidP="002867AE">
            <w:pPr>
              <w:spacing w:before="60" w:after="60"/>
            </w:pPr>
            <w:r w:rsidRPr="00390F83">
              <w:t xml:space="preserve">Report to SC </w:t>
            </w:r>
            <w:r w:rsidR="00B27C30" w:rsidRPr="00390F83">
              <w:t xml:space="preserve">on progress as related to </w:t>
            </w:r>
            <w:r w:rsidR="00B27C30" w:rsidRPr="00390F83">
              <w:rPr>
                <w:color w:val="000000"/>
              </w:rPr>
              <w:t>Decision SC63-30</w:t>
            </w:r>
            <w:r w:rsidR="00F8458C">
              <w:t>.</w:t>
            </w:r>
          </w:p>
        </w:tc>
        <w:tc>
          <w:tcPr>
            <w:tcW w:w="1914" w:type="dxa"/>
            <w:tcBorders>
              <w:top w:val="nil"/>
              <w:left w:val="single" w:sz="8" w:space="0" w:color="000000" w:themeColor="text1"/>
              <w:bottom w:val="single" w:sz="8" w:space="0" w:color="000000" w:themeColor="text1"/>
              <w:right w:val="single" w:sz="8" w:space="0" w:color="000000" w:themeColor="text1"/>
            </w:tcBorders>
          </w:tcPr>
          <w:p w14:paraId="359C5401" w14:textId="77777777" w:rsidR="00842A17" w:rsidRPr="00390F83" w:rsidRDefault="00F319AD" w:rsidP="002867AE">
            <w:pPr>
              <w:spacing w:before="60" w:after="60"/>
            </w:pPr>
            <w:r w:rsidRPr="00390F83">
              <w:t>Doc. SC63.19 (Para. 49 (h)).</w:t>
            </w:r>
          </w:p>
          <w:p w14:paraId="494F852D" w14:textId="77777777" w:rsidR="00842A17" w:rsidRPr="00390F83" w:rsidRDefault="00F319AD" w:rsidP="002867AE">
            <w:pPr>
              <w:spacing w:before="60" w:after="60"/>
            </w:pPr>
            <w:r w:rsidRPr="00390F83">
              <w:t>Report and Decisions of the 63rd Meeting of the Standing Committee</w:t>
            </w:r>
            <w:r w:rsidRPr="00390F83">
              <w:rPr>
                <w:color w:val="000000"/>
              </w:rPr>
              <w:t xml:space="preserve"> (Decision SC63-30).</w:t>
            </w:r>
          </w:p>
        </w:tc>
      </w:tr>
      <w:tr w:rsidR="007B31B2" w:rsidRPr="00390F83" w14:paraId="4F1B18F3" w14:textId="77777777" w:rsidTr="00F8458C">
        <w:tc>
          <w:tcPr>
            <w:tcW w:w="13882"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BF8340" w14:textId="4E703EA3" w:rsidR="00AE1F0F" w:rsidRPr="00390F83" w:rsidRDefault="00F319AD" w:rsidP="002867AE">
            <w:pPr>
              <w:spacing w:before="60" w:after="60"/>
              <w:rPr>
                <w:b/>
                <w:color w:val="000000"/>
              </w:rPr>
            </w:pPr>
            <w:r w:rsidRPr="00390F83">
              <w:rPr>
                <w:b/>
                <w:color w:val="000000"/>
              </w:rPr>
              <w:t>TWA 3: Direct and climate-change-related pressures on wetlands, their impacts and responses.</w:t>
            </w:r>
          </w:p>
        </w:tc>
      </w:tr>
      <w:tr w:rsidR="007B31B2" w:rsidRPr="00390F83" w14:paraId="61EDEC24" w14:textId="77777777" w:rsidTr="00EF7423">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98EEED" w14:textId="77777777" w:rsidR="00842A17" w:rsidRPr="00390F83" w:rsidRDefault="00F319AD" w:rsidP="002867AE">
            <w:pPr>
              <w:spacing w:before="60" w:after="60"/>
              <w:rPr>
                <w:color w:val="000000"/>
              </w:rPr>
            </w:pPr>
            <w:r w:rsidRPr="00390F83">
              <w:rPr>
                <w:b/>
                <w:bCs w:val="0"/>
                <w:color w:val="000000" w:themeColor="text1"/>
              </w:rPr>
              <w:t>Task 3.1.</w:t>
            </w:r>
            <w:r w:rsidRPr="00390F83">
              <w:rPr>
                <w:color w:val="000000" w:themeColor="text1"/>
              </w:rPr>
              <w:t xml:space="preserve"> Assessing</w:t>
            </w:r>
            <w:r w:rsidR="00FA7B15" w:rsidRPr="00390F83">
              <w:rPr>
                <w:color w:val="000000" w:themeColor="text1"/>
              </w:rPr>
              <w:t xml:space="preserve"> the</w:t>
            </w:r>
            <w:r w:rsidRPr="00390F83">
              <w:rPr>
                <w:color w:val="000000" w:themeColor="text1"/>
              </w:rPr>
              <w:t xml:space="preserve"> impacts from harmful algal blooms</w:t>
            </w:r>
            <w:r w:rsidR="00CB47F8" w:rsidRPr="00390F83">
              <w:rPr>
                <w:color w:val="000000" w:themeColor="text1"/>
              </w:rPr>
              <w:t xml:space="preserve"> in wetlands</w:t>
            </w:r>
            <w:r w:rsidRPr="00390F83">
              <w:rPr>
                <w:color w:val="000000" w:themeColor="text1"/>
              </w:rPr>
              <w:t>.</w:t>
            </w:r>
          </w:p>
        </w:tc>
        <w:tc>
          <w:tcPr>
            <w:tcW w:w="56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12F355" w14:textId="087D7AF4" w:rsidR="00226B08" w:rsidRPr="00390F83" w:rsidRDefault="00F319AD" w:rsidP="002867AE">
            <w:pPr>
              <w:spacing w:before="60" w:after="60"/>
              <w:rPr>
                <w:color w:val="000000" w:themeColor="text1"/>
              </w:rPr>
            </w:pPr>
            <w:r w:rsidRPr="00390F83">
              <w:rPr>
                <w:color w:val="000000" w:themeColor="text1"/>
              </w:rPr>
              <w:t xml:space="preserve">Task 3.1 will </w:t>
            </w:r>
            <w:r w:rsidR="00036AF3" w:rsidRPr="00390F83">
              <w:rPr>
                <w:color w:val="000000" w:themeColor="text1"/>
              </w:rPr>
              <w:t>synthesize</w:t>
            </w:r>
            <w:r w:rsidRPr="00390F83">
              <w:rPr>
                <w:color w:val="000000" w:themeColor="text1"/>
              </w:rPr>
              <w:t xml:space="preserve"> information on the occurrence and frequency of harmful algal blooms in wetlands</w:t>
            </w:r>
            <w:r w:rsidR="00F5386E" w:rsidRPr="00390F83">
              <w:rPr>
                <w:color w:val="000000" w:themeColor="text1"/>
              </w:rPr>
              <w:t xml:space="preserve">, </w:t>
            </w:r>
            <w:r w:rsidR="00801767" w:rsidRPr="00390F83">
              <w:rPr>
                <w:color w:val="000000" w:themeColor="text1"/>
              </w:rPr>
              <w:t>the key causes of harmful algal blooms</w:t>
            </w:r>
            <w:r w:rsidR="00F5386E" w:rsidRPr="00390F83">
              <w:rPr>
                <w:color w:val="000000" w:themeColor="text1"/>
              </w:rPr>
              <w:t xml:space="preserve">, </w:t>
            </w:r>
            <w:r w:rsidRPr="00390F83">
              <w:rPr>
                <w:color w:val="000000" w:themeColor="text1"/>
              </w:rPr>
              <w:t xml:space="preserve">and their </w:t>
            </w:r>
            <w:r w:rsidR="004556BE" w:rsidRPr="00390F83">
              <w:rPr>
                <w:color w:val="000000" w:themeColor="text1"/>
              </w:rPr>
              <w:t>impact on biodiversity and ecosystem services,</w:t>
            </w:r>
            <w:r w:rsidR="002C0338" w:rsidRPr="00390F83">
              <w:rPr>
                <w:color w:val="000000" w:themeColor="text1"/>
              </w:rPr>
              <w:t xml:space="preserve"> including human health and</w:t>
            </w:r>
            <w:r w:rsidR="00BF0082" w:rsidRPr="00390F83">
              <w:rPr>
                <w:color w:val="000000" w:themeColor="text1"/>
              </w:rPr>
              <w:t xml:space="preserve"> access to clean water for</w:t>
            </w:r>
            <w:r w:rsidR="002C0338" w:rsidRPr="00390F83">
              <w:rPr>
                <w:color w:val="000000" w:themeColor="text1"/>
              </w:rPr>
              <w:t xml:space="preserve"> </w:t>
            </w:r>
            <w:r w:rsidR="00A37D1C" w:rsidRPr="00390F83">
              <w:rPr>
                <w:color w:val="000000" w:themeColor="text1"/>
              </w:rPr>
              <w:t>agriculture</w:t>
            </w:r>
            <w:r w:rsidR="00A42B5E" w:rsidRPr="00390F83">
              <w:rPr>
                <w:color w:val="000000" w:themeColor="text1"/>
              </w:rPr>
              <w:t xml:space="preserve"> and other uses</w:t>
            </w:r>
            <w:r w:rsidRPr="00390F83">
              <w:rPr>
                <w:color w:val="000000" w:themeColor="text1"/>
              </w:rPr>
              <w:t>.</w:t>
            </w:r>
          </w:p>
          <w:p w14:paraId="250DD9AC" w14:textId="203867FA" w:rsidR="00842A17" w:rsidRPr="00390F83" w:rsidRDefault="00F319AD" w:rsidP="002867AE">
            <w:pPr>
              <w:spacing w:before="60" w:after="60"/>
              <w:rPr>
                <w:color w:val="000000"/>
              </w:rPr>
            </w:pPr>
            <w:r w:rsidRPr="00390F83">
              <w:rPr>
                <w:color w:val="000000" w:themeColor="text1"/>
              </w:rPr>
              <w:t xml:space="preserve">Task 3.1 will </w:t>
            </w:r>
            <w:r w:rsidR="00226B08" w:rsidRPr="00390F83">
              <w:rPr>
                <w:color w:val="000000" w:themeColor="text1"/>
              </w:rPr>
              <w:t xml:space="preserve">also </w:t>
            </w:r>
            <w:r w:rsidRPr="00390F83">
              <w:rPr>
                <w:color w:val="000000" w:themeColor="text1"/>
              </w:rPr>
              <w:t>develop g</w:t>
            </w:r>
            <w:r w:rsidR="002D463C" w:rsidRPr="00390F83">
              <w:rPr>
                <w:color w:val="000000" w:themeColor="text1"/>
              </w:rPr>
              <w:t>uidance on best practice methods to prevent and</w:t>
            </w:r>
            <w:r w:rsidR="002D463C" w:rsidRPr="00390F83">
              <w:rPr>
                <w:color w:val="000000" w:themeColor="text1"/>
                <w:u w:val="single"/>
              </w:rPr>
              <w:t xml:space="preserve"> </w:t>
            </w:r>
            <w:r w:rsidR="002D463C" w:rsidRPr="00390F83">
              <w:rPr>
                <w:color w:val="000000" w:themeColor="text1"/>
              </w:rPr>
              <w:t>manage harmful algal blooms, maintain wetland ecological character and protect human health (e.g.</w:t>
            </w:r>
            <w:r w:rsidR="0035351D" w:rsidRPr="00390F83">
              <w:rPr>
                <w:color w:val="000000" w:themeColor="text1"/>
              </w:rPr>
              <w:t>,</w:t>
            </w:r>
            <w:r w:rsidR="002D463C" w:rsidRPr="00390F83">
              <w:rPr>
                <w:color w:val="000000" w:themeColor="text1"/>
              </w:rPr>
              <w:t xml:space="preserve"> in terms of the impact on ecosystem services). </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647480" w14:textId="77777777" w:rsidR="00842A17" w:rsidRPr="00390F83" w:rsidRDefault="00F319AD" w:rsidP="002867AE">
            <w:pPr>
              <w:spacing w:before="60" w:after="60"/>
            </w:pPr>
            <w:r w:rsidRPr="00390F83">
              <w:t>2026-2028</w:t>
            </w:r>
          </w:p>
        </w:tc>
        <w:tc>
          <w:tcPr>
            <w:tcW w:w="19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D6243F" w14:textId="77777777" w:rsidR="00842A17" w:rsidRPr="00390F83" w:rsidRDefault="00F319AD" w:rsidP="002867AE">
            <w:pPr>
              <w:spacing w:before="60" w:after="60"/>
            </w:pPr>
            <w:r w:rsidRPr="00390F83">
              <w:t>Technical Report and/or Briefing Note.</w:t>
            </w:r>
          </w:p>
        </w:tc>
        <w:tc>
          <w:tcPr>
            <w:tcW w:w="191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39653F" w14:textId="77777777" w:rsidR="00842A17" w:rsidRPr="00390F83" w:rsidRDefault="00F319AD" w:rsidP="002867AE">
            <w:pPr>
              <w:spacing w:before="60" w:after="60"/>
            </w:pPr>
            <w:r w:rsidRPr="00390F83">
              <w:t>Doc. SC63.19 (Para. 19-21 &amp; Annex 2).</w:t>
            </w:r>
          </w:p>
        </w:tc>
      </w:tr>
      <w:tr w:rsidR="007B31B2" w:rsidRPr="00390F83" w14:paraId="1AA9ED7D" w14:textId="77777777" w:rsidTr="00EF7423">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88FB23" w14:textId="77777777" w:rsidR="00906E80" w:rsidRPr="00390F83" w:rsidRDefault="00F319AD" w:rsidP="002867AE">
            <w:pPr>
              <w:spacing w:before="60" w:after="60"/>
              <w:rPr>
                <w:b/>
                <w:bCs w:val="0"/>
                <w:color w:val="000000" w:themeColor="text1"/>
              </w:rPr>
            </w:pPr>
            <w:r w:rsidRPr="00390F83">
              <w:rPr>
                <w:b/>
                <w:bCs w:val="0"/>
                <w:color w:val="000000" w:themeColor="text1"/>
              </w:rPr>
              <w:t>Task 3.2.</w:t>
            </w:r>
            <w:r w:rsidRPr="00390F83">
              <w:rPr>
                <w:color w:val="000000" w:themeColor="text1"/>
              </w:rPr>
              <w:t xml:space="preserve"> </w:t>
            </w:r>
            <w:r w:rsidR="00FA7B15" w:rsidRPr="00390F83">
              <w:rPr>
                <w:color w:val="000000" w:themeColor="text1"/>
              </w:rPr>
              <w:t>Assessing the im</w:t>
            </w:r>
            <w:r w:rsidRPr="00390F83">
              <w:rPr>
                <w:color w:val="000000" w:themeColor="text1"/>
              </w:rPr>
              <w:t xml:space="preserve">pact of fires </w:t>
            </w:r>
            <w:r w:rsidR="00587966" w:rsidRPr="00390F83">
              <w:rPr>
                <w:color w:val="000000" w:themeColor="text1"/>
              </w:rPr>
              <w:t xml:space="preserve">in </w:t>
            </w:r>
            <w:r w:rsidRPr="00390F83">
              <w:rPr>
                <w:color w:val="000000" w:themeColor="text1"/>
              </w:rPr>
              <w:t>wetlands</w:t>
            </w:r>
            <w:r w:rsidR="00FA7B15" w:rsidRPr="00390F83">
              <w:rPr>
                <w:color w:val="000000" w:themeColor="text1"/>
              </w:rPr>
              <w:t>.</w:t>
            </w:r>
          </w:p>
        </w:tc>
        <w:tc>
          <w:tcPr>
            <w:tcW w:w="56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177AA8" w14:textId="3417ABF2" w:rsidR="000E0BE1" w:rsidRPr="00390F83" w:rsidRDefault="00F319AD" w:rsidP="002867AE">
            <w:pPr>
              <w:spacing w:before="60" w:after="60"/>
              <w:rPr>
                <w:color w:val="000000" w:themeColor="text1"/>
              </w:rPr>
            </w:pPr>
            <w:r w:rsidRPr="00390F83">
              <w:rPr>
                <w:color w:val="000000" w:themeColor="text1"/>
              </w:rPr>
              <w:t>Task 3.2. will e</w:t>
            </w:r>
            <w:r w:rsidR="00C15FAF" w:rsidRPr="00390F83">
              <w:rPr>
                <w:color w:val="000000" w:themeColor="text1"/>
              </w:rPr>
              <w:t>valuate the occurrence and change in frequency and extent of fires in wetlands and the impact on (i) protecting biodiversity</w:t>
            </w:r>
            <w:r w:rsidR="005E036E" w:rsidRPr="00390F83">
              <w:rPr>
                <w:color w:val="000000" w:themeColor="text1"/>
              </w:rPr>
              <w:t>,</w:t>
            </w:r>
            <w:r w:rsidR="00C15FAF" w:rsidRPr="00390F83">
              <w:rPr>
                <w:color w:val="000000" w:themeColor="text1"/>
              </w:rPr>
              <w:t xml:space="preserve"> (ii) wetland carbon stocks and sequestration potential</w:t>
            </w:r>
            <w:r w:rsidR="005E036E" w:rsidRPr="00390F83">
              <w:rPr>
                <w:color w:val="000000" w:themeColor="text1"/>
              </w:rPr>
              <w:t>,</w:t>
            </w:r>
            <w:r w:rsidR="00C15FAF" w:rsidRPr="00390F83">
              <w:rPr>
                <w:color w:val="000000" w:themeColor="text1"/>
              </w:rPr>
              <w:t xml:space="preserve"> </w:t>
            </w:r>
            <w:r w:rsidR="00E831A3" w:rsidRPr="00390F83">
              <w:rPr>
                <w:color w:val="000000" w:themeColor="text1"/>
              </w:rPr>
              <w:t xml:space="preserve">and </w:t>
            </w:r>
            <w:r w:rsidR="00C15FAF" w:rsidRPr="00390F83">
              <w:rPr>
                <w:color w:val="000000" w:themeColor="text1"/>
              </w:rPr>
              <w:t>(iii) human health</w:t>
            </w:r>
            <w:r w:rsidR="00E831A3" w:rsidRPr="00390F83">
              <w:rPr>
                <w:color w:val="000000" w:themeColor="text1"/>
              </w:rPr>
              <w:t xml:space="preserve">. </w:t>
            </w:r>
            <w:r w:rsidR="008C254D" w:rsidRPr="00390F83">
              <w:rPr>
                <w:color w:val="000000" w:themeColor="text1"/>
              </w:rPr>
              <w:t xml:space="preserve">The </w:t>
            </w:r>
            <w:r w:rsidR="00C15FAF" w:rsidRPr="00390F83">
              <w:rPr>
                <w:color w:val="000000" w:themeColor="text1"/>
              </w:rPr>
              <w:t xml:space="preserve">task </w:t>
            </w:r>
            <w:r w:rsidR="008C254D" w:rsidRPr="00390F83">
              <w:rPr>
                <w:color w:val="000000" w:themeColor="text1"/>
              </w:rPr>
              <w:t>will</w:t>
            </w:r>
            <w:r w:rsidR="00C15FAF" w:rsidRPr="00390F83">
              <w:rPr>
                <w:color w:val="000000" w:themeColor="text1"/>
              </w:rPr>
              <w:t xml:space="preserve"> cover impacts on people (</w:t>
            </w:r>
            <w:r w:rsidR="008C254D" w:rsidRPr="00390F83">
              <w:rPr>
                <w:color w:val="000000" w:themeColor="text1"/>
              </w:rPr>
              <w:t xml:space="preserve">e.g., </w:t>
            </w:r>
            <w:r w:rsidR="00C15FAF" w:rsidRPr="00390F83">
              <w:rPr>
                <w:color w:val="000000" w:themeColor="text1"/>
              </w:rPr>
              <w:t>health issues from smoke) and the effects on ecosystem services</w:t>
            </w:r>
            <w:r w:rsidR="00C04F76" w:rsidRPr="00390F83">
              <w:rPr>
                <w:color w:val="000000" w:themeColor="text1"/>
              </w:rPr>
              <w:t>,</w:t>
            </w:r>
            <w:r w:rsidR="00C15FAF" w:rsidRPr="00390F83">
              <w:rPr>
                <w:color w:val="000000" w:themeColor="text1"/>
              </w:rPr>
              <w:t xml:space="preserve"> </w:t>
            </w:r>
            <w:r w:rsidR="008C254D" w:rsidRPr="00390F83">
              <w:rPr>
                <w:color w:val="000000" w:themeColor="text1"/>
              </w:rPr>
              <w:t>such as</w:t>
            </w:r>
            <w:r w:rsidR="00C15FAF" w:rsidRPr="00390F83">
              <w:rPr>
                <w:color w:val="000000" w:themeColor="text1"/>
              </w:rPr>
              <w:t xml:space="preserve"> food</w:t>
            </w:r>
            <w:r w:rsidR="008C254D" w:rsidRPr="00390F83">
              <w:rPr>
                <w:color w:val="000000" w:themeColor="text1"/>
              </w:rPr>
              <w:t xml:space="preserve">, </w:t>
            </w:r>
            <w:r w:rsidR="00036AF3" w:rsidRPr="00390F83">
              <w:rPr>
                <w:color w:val="000000" w:themeColor="text1"/>
              </w:rPr>
              <w:t>fiber</w:t>
            </w:r>
            <w:r w:rsidR="008C254D" w:rsidRPr="00390F83">
              <w:rPr>
                <w:color w:val="000000" w:themeColor="text1"/>
              </w:rPr>
              <w:t xml:space="preserve">, and </w:t>
            </w:r>
            <w:r w:rsidR="00C15FAF" w:rsidRPr="00390F83">
              <w:rPr>
                <w:color w:val="000000" w:themeColor="text1"/>
              </w:rPr>
              <w:t xml:space="preserve">access to clean water, </w:t>
            </w:r>
            <w:r w:rsidR="008C254D" w:rsidRPr="00390F83">
              <w:rPr>
                <w:color w:val="000000" w:themeColor="text1"/>
              </w:rPr>
              <w:t>if applicable.</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C94C22" w14:textId="77777777" w:rsidR="00906E80" w:rsidRPr="00390F83" w:rsidRDefault="00F319AD" w:rsidP="002867AE">
            <w:pPr>
              <w:spacing w:before="60" w:after="60"/>
            </w:pPr>
            <w:r w:rsidRPr="00390F83">
              <w:t>2026-2028</w:t>
            </w:r>
          </w:p>
        </w:tc>
        <w:tc>
          <w:tcPr>
            <w:tcW w:w="19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7A8AAC" w14:textId="77777777" w:rsidR="00906E80" w:rsidRPr="00390F83" w:rsidRDefault="00F319AD" w:rsidP="002867AE">
            <w:pPr>
              <w:spacing w:before="60" w:after="60"/>
            </w:pPr>
            <w:r w:rsidRPr="00390F83">
              <w:t>Technical Report and/or Briefing Note.</w:t>
            </w:r>
          </w:p>
        </w:tc>
        <w:tc>
          <w:tcPr>
            <w:tcW w:w="191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26A58D" w14:textId="77777777" w:rsidR="00906E80" w:rsidRPr="00390F83" w:rsidRDefault="00F319AD" w:rsidP="002867AE">
            <w:pPr>
              <w:spacing w:before="60" w:after="60"/>
            </w:pPr>
            <w:r w:rsidRPr="00390F83">
              <w:t>Doc. SC63.19 (Para. 19-21 &amp; Annex 2).</w:t>
            </w:r>
          </w:p>
        </w:tc>
      </w:tr>
      <w:tr w:rsidR="007B31B2" w:rsidRPr="00390F83" w14:paraId="2BC54BC4" w14:textId="77777777" w:rsidTr="00F8458C">
        <w:tc>
          <w:tcPr>
            <w:tcW w:w="13882"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7B0915C" w14:textId="77777777" w:rsidR="00906E80" w:rsidRPr="00390F83" w:rsidRDefault="00F319AD" w:rsidP="00F8458C">
            <w:pPr>
              <w:keepNext/>
              <w:spacing w:before="60" w:after="60"/>
              <w:rPr>
                <w:b/>
                <w:color w:val="000000"/>
              </w:rPr>
            </w:pPr>
            <w:r w:rsidRPr="00390F83">
              <w:rPr>
                <w:b/>
                <w:color w:val="000000"/>
              </w:rPr>
              <w:t>TWA 4: Wise use, sustainable management and restoration of wetlands in the wider landscape/seascape.</w:t>
            </w:r>
          </w:p>
        </w:tc>
      </w:tr>
      <w:tr w:rsidR="007B31B2" w:rsidRPr="00390F83" w14:paraId="086B77CE" w14:textId="77777777" w:rsidTr="00EF7423">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F873C5" w14:textId="77777777" w:rsidR="00906E80" w:rsidRPr="00390F83" w:rsidRDefault="00F319AD" w:rsidP="002867AE">
            <w:pPr>
              <w:spacing w:before="60" w:after="60"/>
              <w:rPr>
                <w:color w:val="000000"/>
              </w:rPr>
            </w:pPr>
            <w:r w:rsidRPr="00390F83">
              <w:rPr>
                <w:b/>
                <w:bCs w:val="0"/>
                <w:color w:val="000000" w:themeColor="text1"/>
              </w:rPr>
              <w:t>Task 4.1.</w:t>
            </w:r>
            <w:r w:rsidRPr="00390F83">
              <w:rPr>
                <w:color w:val="000000" w:themeColor="text1"/>
              </w:rPr>
              <w:t xml:space="preserve"> </w:t>
            </w:r>
            <w:r w:rsidR="00AA796E" w:rsidRPr="00390F83">
              <w:rPr>
                <w:color w:val="000000" w:themeColor="text1"/>
              </w:rPr>
              <w:t>An assessment of transformative change pathways for wetland conservation and wise use for nature, climate and people.</w:t>
            </w:r>
          </w:p>
        </w:tc>
        <w:tc>
          <w:tcPr>
            <w:tcW w:w="56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7E370A" w14:textId="77777777" w:rsidR="001712AB" w:rsidRPr="00390F83" w:rsidRDefault="00F319AD" w:rsidP="002867AE">
            <w:pPr>
              <w:pBdr>
                <w:top w:val="nil"/>
                <w:left w:val="nil"/>
                <w:bottom w:val="nil"/>
                <w:right w:val="nil"/>
                <w:between w:val="nil"/>
              </w:pBdr>
              <w:spacing w:before="60" w:after="60"/>
              <w:rPr>
                <w:color w:val="000000" w:themeColor="text1"/>
              </w:rPr>
            </w:pPr>
            <w:r w:rsidRPr="00390F83">
              <w:rPr>
                <w:color w:val="000000" w:themeColor="text1"/>
              </w:rPr>
              <w:t xml:space="preserve">Task 4.1 will focus on </w:t>
            </w:r>
            <w:r w:rsidR="00906E80" w:rsidRPr="00390F83">
              <w:rPr>
                <w:color w:val="000000" w:themeColor="text1"/>
              </w:rPr>
              <w:t xml:space="preserve">reviewing and assessing models, scenarios, and pathways for transformative change </w:t>
            </w:r>
            <w:r w:rsidR="00641BE2" w:rsidRPr="00390F83">
              <w:rPr>
                <w:color w:val="000000" w:themeColor="text1"/>
              </w:rPr>
              <w:t>that address the triple planetary crisis (climate change, pollution</w:t>
            </w:r>
            <w:r w:rsidR="001B1512" w:rsidRPr="00390F83">
              <w:rPr>
                <w:color w:val="000000" w:themeColor="text1"/>
              </w:rPr>
              <w:t>,</w:t>
            </w:r>
            <w:r w:rsidR="00641BE2" w:rsidRPr="00390F83">
              <w:rPr>
                <w:color w:val="000000" w:themeColor="text1"/>
              </w:rPr>
              <w:t xml:space="preserve"> and biodiversity loss), the </w:t>
            </w:r>
            <w:r w:rsidR="00906E80" w:rsidRPr="00390F83">
              <w:rPr>
                <w:color w:val="000000" w:themeColor="text1"/>
              </w:rPr>
              <w:t>Strategic Goals of the Convention on Wetlands, and other relevant goals</w:t>
            </w:r>
            <w:r w:rsidRPr="00390F83">
              <w:rPr>
                <w:color w:val="000000" w:themeColor="text1"/>
              </w:rPr>
              <w:t xml:space="preserve"> and targets</w:t>
            </w:r>
            <w:r w:rsidR="005F01E2" w:rsidRPr="00390F83">
              <w:rPr>
                <w:color w:val="000000" w:themeColor="text1"/>
              </w:rPr>
              <w:t>,</w:t>
            </w:r>
            <w:r w:rsidR="00906E80" w:rsidRPr="00390F83">
              <w:rPr>
                <w:color w:val="000000" w:themeColor="text1"/>
              </w:rPr>
              <w:t xml:space="preserve"> such as </w:t>
            </w:r>
            <w:r w:rsidRPr="00390F83">
              <w:rPr>
                <w:color w:val="000000" w:themeColor="text1"/>
              </w:rPr>
              <w:t xml:space="preserve">the </w:t>
            </w:r>
            <w:r w:rsidR="00906E80" w:rsidRPr="00390F83">
              <w:rPr>
                <w:color w:val="000000" w:themeColor="text1"/>
              </w:rPr>
              <w:t>SDGs</w:t>
            </w:r>
            <w:r w:rsidRPr="00390F83">
              <w:rPr>
                <w:color w:val="000000" w:themeColor="text1"/>
              </w:rPr>
              <w:t xml:space="preserve"> and KM-GBF</w:t>
            </w:r>
            <w:r w:rsidR="00906E80" w:rsidRPr="00390F83">
              <w:rPr>
                <w:color w:val="000000" w:themeColor="text1"/>
              </w:rPr>
              <w:t xml:space="preserve">, building on related IPBES assessments (e.g., Nexus Assessment and Transformative Change Assessment). </w:t>
            </w:r>
          </w:p>
          <w:p w14:paraId="5D1258BE" w14:textId="431FDD8A" w:rsidR="001712AB" w:rsidRPr="00390F83" w:rsidRDefault="00F241A5" w:rsidP="002867AE">
            <w:pPr>
              <w:pBdr>
                <w:top w:val="nil"/>
                <w:left w:val="nil"/>
                <w:bottom w:val="nil"/>
                <w:right w:val="nil"/>
                <w:between w:val="nil"/>
              </w:pBdr>
              <w:spacing w:before="60" w:after="60"/>
              <w:rPr>
                <w:color w:val="000000" w:themeColor="text1"/>
              </w:rPr>
            </w:pPr>
            <w:r w:rsidRPr="00390F83">
              <w:rPr>
                <w:color w:val="000000" w:themeColor="text1"/>
              </w:rPr>
              <w:t>Where</w:t>
            </w:r>
            <w:r w:rsidR="005B0DF5" w:rsidRPr="00390F83">
              <w:rPr>
                <w:color w:val="000000" w:themeColor="text1"/>
              </w:rPr>
              <w:t xml:space="preserve"> applicable, t</w:t>
            </w:r>
            <w:r w:rsidR="00F319AD" w:rsidRPr="00390F83">
              <w:rPr>
                <w:color w:val="000000" w:themeColor="text1"/>
              </w:rPr>
              <w:t xml:space="preserve">he task will </w:t>
            </w:r>
            <w:r w:rsidR="00C71846" w:rsidRPr="00390F83">
              <w:rPr>
                <w:color w:val="000000" w:themeColor="text1"/>
              </w:rPr>
              <w:t>strive towards integrating</w:t>
            </w:r>
            <w:r w:rsidR="00F319AD" w:rsidRPr="00390F83">
              <w:rPr>
                <w:color w:val="000000" w:themeColor="text1"/>
              </w:rPr>
              <w:t xml:space="preserve"> activities </w:t>
            </w:r>
            <w:r w:rsidR="001B1512" w:rsidRPr="00390F83">
              <w:rPr>
                <w:color w:val="000000" w:themeColor="text1"/>
              </w:rPr>
              <w:t xml:space="preserve">originally </w:t>
            </w:r>
            <w:r w:rsidR="00F319AD" w:rsidRPr="00390F83">
              <w:rPr>
                <w:color w:val="000000" w:themeColor="text1"/>
              </w:rPr>
              <w:t xml:space="preserve">planned under </w:t>
            </w:r>
            <w:r w:rsidR="00666D59" w:rsidRPr="00390F83">
              <w:rPr>
                <w:color w:val="000000" w:themeColor="text1"/>
              </w:rPr>
              <w:t xml:space="preserve">task 3.4 </w:t>
            </w:r>
            <w:r w:rsidR="00C71846" w:rsidRPr="00390F83">
              <w:rPr>
                <w:color w:val="000000" w:themeColor="text1"/>
              </w:rPr>
              <w:t>in</w:t>
            </w:r>
            <w:r w:rsidR="009F0744" w:rsidRPr="00390F83">
              <w:rPr>
                <w:color w:val="000000" w:themeColor="text1"/>
              </w:rPr>
              <w:t xml:space="preserve"> the 2023-2025</w:t>
            </w:r>
            <w:r w:rsidR="001B1512" w:rsidRPr="00390F83">
              <w:rPr>
                <w:color w:val="000000" w:themeColor="text1"/>
              </w:rPr>
              <w:t xml:space="preserve"> </w:t>
            </w:r>
            <w:r w:rsidR="00C71846" w:rsidRPr="00390F83">
              <w:rPr>
                <w:color w:val="000000" w:themeColor="text1"/>
              </w:rPr>
              <w:t>work plan</w:t>
            </w:r>
            <w:r w:rsidR="001B1512" w:rsidRPr="00390F83">
              <w:rPr>
                <w:color w:val="000000" w:themeColor="text1"/>
              </w:rPr>
              <w:t>, covering a s</w:t>
            </w:r>
            <w:r w:rsidR="00A77104" w:rsidRPr="00390F83">
              <w:rPr>
                <w:color w:val="000000" w:themeColor="text1"/>
              </w:rPr>
              <w:t xml:space="preserve">ynthesis of successful nature-based solutions </w:t>
            </w:r>
            <w:r w:rsidR="001F44A7" w:rsidRPr="00390F83">
              <w:rPr>
                <w:color w:val="000000" w:themeColor="text1"/>
              </w:rPr>
              <w:t xml:space="preserve">(NbS) </w:t>
            </w:r>
            <w:r w:rsidR="00A77104" w:rsidRPr="00390F83">
              <w:rPr>
                <w:color w:val="000000" w:themeColor="text1"/>
              </w:rPr>
              <w:t>or ecosystem-based approaches for protecting, conserving, restoring, sustainably using, and managing wetland ecosystems to address climate change and achieve other co-benefits.</w:t>
            </w:r>
            <w:r w:rsidR="00F319AD" w:rsidRPr="00390F83">
              <w:rPr>
                <w:color w:val="000000" w:themeColor="text1"/>
              </w:rPr>
              <w:t xml:space="preserve"> </w:t>
            </w:r>
            <w:r w:rsidR="00C71846" w:rsidRPr="00390F83">
              <w:rPr>
                <w:color w:val="000000" w:themeColor="text1"/>
              </w:rPr>
              <w:t>If possible, i</w:t>
            </w:r>
            <w:r w:rsidR="00F319AD" w:rsidRPr="00390F83">
              <w:rPr>
                <w:color w:val="000000" w:themeColor="text1"/>
              </w:rPr>
              <w:t xml:space="preserve">t will also </w:t>
            </w:r>
            <w:r w:rsidR="00E731FC" w:rsidRPr="00390F83">
              <w:rPr>
                <w:color w:val="000000" w:themeColor="text1"/>
              </w:rPr>
              <w:t xml:space="preserve">review diverse values </w:t>
            </w:r>
            <w:r w:rsidR="00C71846" w:rsidRPr="00390F83">
              <w:rPr>
                <w:color w:val="000000" w:themeColor="text1"/>
              </w:rPr>
              <w:t xml:space="preserve">and </w:t>
            </w:r>
            <w:r w:rsidR="00E731FC" w:rsidRPr="00390F83">
              <w:rPr>
                <w:color w:val="000000" w:themeColor="text1"/>
              </w:rPr>
              <w:t xml:space="preserve">views of </w:t>
            </w:r>
            <w:r w:rsidR="00F35B28" w:rsidRPr="00390F83">
              <w:rPr>
                <w:color w:val="000000" w:themeColor="text1"/>
              </w:rPr>
              <w:t>Indigenous</w:t>
            </w:r>
            <w:r w:rsidR="00E731FC" w:rsidRPr="00390F83">
              <w:rPr>
                <w:color w:val="000000" w:themeColor="text1"/>
              </w:rPr>
              <w:t xml:space="preserve"> and traditional knowledge as part of the drive towards transformative change.</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E35042" w14:textId="77777777" w:rsidR="00906E80" w:rsidRPr="00390F83" w:rsidRDefault="00F319AD" w:rsidP="002867AE">
            <w:pPr>
              <w:spacing w:before="60" w:after="60"/>
            </w:pPr>
            <w:r w:rsidRPr="00390F83">
              <w:t>2026-2028</w:t>
            </w:r>
          </w:p>
        </w:tc>
        <w:tc>
          <w:tcPr>
            <w:tcW w:w="19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8AC8A5" w14:textId="77777777" w:rsidR="00906E80" w:rsidRPr="00390F83" w:rsidRDefault="00F319AD" w:rsidP="002867AE">
            <w:pPr>
              <w:spacing w:before="60" w:after="60"/>
            </w:pPr>
            <w:r w:rsidRPr="00390F83">
              <w:t>Technical Report and/or Briefing Note.</w:t>
            </w:r>
          </w:p>
          <w:p w14:paraId="01404586" w14:textId="77777777" w:rsidR="00906E80" w:rsidRPr="00390F83" w:rsidRDefault="00906E80" w:rsidP="002867AE">
            <w:pPr>
              <w:spacing w:before="60" w:after="60"/>
            </w:pPr>
          </w:p>
          <w:p w14:paraId="19B7E885" w14:textId="77777777" w:rsidR="00906E80" w:rsidRPr="00390F83" w:rsidRDefault="00F319AD" w:rsidP="002867AE">
            <w:pPr>
              <w:spacing w:before="60" w:after="60"/>
              <w:rPr>
                <w:color w:val="000000" w:themeColor="text1"/>
              </w:rPr>
            </w:pPr>
            <w:r w:rsidRPr="00390F83">
              <w:rPr>
                <w:color w:val="000000" w:themeColor="text1"/>
              </w:rPr>
              <w:t>Potential topic for future Global Wetland Outlook.</w:t>
            </w:r>
          </w:p>
          <w:p w14:paraId="3F5FEAB1" w14:textId="77777777" w:rsidR="00E731FC" w:rsidRPr="00390F83" w:rsidRDefault="00E731FC" w:rsidP="002867AE">
            <w:pPr>
              <w:spacing w:before="60" w:after="60"/>
              <w:rPr>
                <w:color w:val="000000" w:themeColor="text1"/>
              </w:rPr>
            </w:pPr>
          </w:p>
          <w:p w14:paraId="5DBB6C5E" w14:textId="77777777" w:rsidR="00E731FC" w:rsidRPr="00390F83" w:rsidRDefault="00F319AD" w:rsidP="002867AE">
            <w:pPr>
              <w:spacing w:before="60" w:after="60"/>
            </w:pPr>
            <w:r w:rsidRPr="00390F83">
              <w:rPr>
                <w:color w:val="000000" w:themeColor="text1"/>
              </w:rPr>
              <w:t>Database with NbS</w:t>
            </w:r>
            <w:r w:rsidR="004B63EA" w:rsidRPr="00390F83">
              <w:rPr>
                <w:color w:val="000000" w:themeColor="text1"/>
              </w:rPr>
              <w:t xml:space="preserve"> cases</w:t>
            </w:r>
          </w:p>
        </w:tc>
        <w:tc>
          <w:tcPr>
            <w:tcW w:w="191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392F0E" w14:textId="77777777" w:rsidR="00906E80" w:rsidRPr="00390F83" w:rsidRDefault="00F319AD" w:rsidP="002867AE">
            <w:pPr>
              <w:spacing w:before="60" w:after="60"/>
            </w:pPr>
            <w:r w:rsidRPr="00390F83">
              <w:t>Doc. SC63.19 (Para. 19-21 &amp; Annex 2).</w:t>
            </w:r>
          </w:p>
          <w:p w14:paraId="7ECF3547" w14:textId="77777777" w:rsidR="00906E80" w:rsidRPr="00390F83" w:rsidRDefault="00906E80" w:rsidP="002867AE">
            <w:pPr>
              <w:spacing w:before="60" w:after="60"/>
            </w:pPr>
          </w:p>
          <w:p w14:paraId="6E3BD51C" w14:textId="77777777" w:rsidR="00906E80" w:rsidRPr="00390F83" w:rsidRDefault="00F319AD" w:rsidP="002867AE">
            <w:pPr>
              <w:spacing w:before="60" w:after="60"/>
            </w:pPr>
            <w:r w:rsidRPr="00390F83">
              <w:t>Vision of 5</w:t>
            </w:r>
            <w:r w:rsidRPr="00EF7423">
              <w:t>th</w:t>
            </w:r>
            <w:r w:rsidRPr="00390F83">
              <w:t xml:space="preserve"> Strategic Plan (TBC)</w:t>
            </w:r>
          </w:p>
        </w:tc>
      </w:tr>
      <w:tr w:rsidR="007B31B2" w:rsidRPr="00390F83" w14:paraId="73AD4165" w14:textId="77777777" w:rsidTr="00EF7423">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DFCB37" w14:textId="77777777" w:rsidR="003B60FA" w:rsidRPr="00390F83" w:rsidRDefault="00F319AD" w:rsidP="002867AE">
            <w:pPr>
              <w:spacing w:before="60" w:after="60"/>
              <w:rPr>
                <w:b/>
                <w:bCs w:val="0"/>
                <w:color w:val="000000" w:themeColor="text1"/>
              </w:rPr>
            </w:pPr>
            <w:r w:rsidRPr="00390F83">
              <w:rPr>
                <w:b/>
                <w:bCs w:val="0"/>
                <w:color w:val="000000" w:themeColor="text1"/>
              </w:rPr>
              <w:t>Task 4.2.</w:t>
            </w:r>
            <w:r w:rsidRPr="00390F83">
              <w:rPr>
                <w:color w:val="000000" w:themeColor="text1"/>
              </w:rPr>
              <w:t xml:space="preserve"> </w:t>
            </w:r>
            <w:r w:rsidR="00620984" w:rsidRPr="00390F83">
              <w:rPr>
                <w:color w:val="000000" w:themeColor="text1"/>
              </w:rPr>
              <w:t>Strengthening wetland restoration for climate resilience and biodiversity recovery: Building on STRP outputs and global frameworks.</w:t>
            </w:r>
          </w:p>
        </w:tc>
        <w:tc>
          <w:tcPr>
            <w:tcW w:w="56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83CB5B" w14:textId="5DC84375" w:rsidR="00543B5A" w:rsidRPr="00390F83" w:rsidRDefault="00F319AD" w:rsidP="002867AE">
            <w:pPr>
              <w:spacing w:before="60" w:after="60"/>
              <w:rPr>
                <w:color w:val="000000" w:themeColor="text1"/>
              </w:rPr>
            </w:pPr>
            <w:r w:rsidRPr="00390F83">
              <w:rPr>
                <w:color w:val="000000" w:themeColor="text1"/>
              </w:rPr>
              <w:t xml:space="preserve">Task 4.2 will </w:t>
            </w:r>
            <w:r w:rsidR="00036AF3" w:rsidRPr="00390F83">
              <w:rPr>
                <w:color w:val="000000" w:themeColor="text1"/>
              </w:rPr>
              <w:t>synthesize</w:t>
            </w:r>
            <w:r w:rsidR="00C47D52" w:rsidRPr="00390F83">
              <w:rPr>
                <w:color w:val="000000" w:themeColor="text1"/>
              </w:rPr>
              <w:t xml:space="preserve"> </w:t>
            </w:r>
            <w:r w:rsidR="00B46A7E" w:rsidRPr="00390F83">
              <w:rPr>
                <w:color w:val="000000" w:themeColor="text1"/>
              </w:rPr>
              <w:t xml:space="preserve">and promote </w:t>
            </w:r>
            <w:r w:rsidRPr="00390F83">
              <w:rPr>
                <w:color w:val="000000" w:themeColor="text1"/>
              </w:rPr>
              <w:t>knowledge and guidance related to wetland restoration, which enhances climate resilience and supports biodiversity recovery.</w:t>
            </w:r>
          </w:p>
          <w:p w14:paraId="341D3BC0" w14:textId="49C633CC" w:rsidR="00771678" w:rsidRPr="00390F83" w:rsidRDefault="00F319AD" w:rsidP="002867AE">
            <w:pPr>
              <w:spacing w:before="60" w:after="60"/>
              <w:rPr>
                <w:color w:val="000000" w:themeColor="text1"/>
              </w:rPr>
            </w:pPr>
            <w:r w:rsidRPr="00390F83">
              <w:rPr>
                <w:color w:val="000000" w:themeColor="text1"/>
              </w:rPr>
              <w:t>Task 4.2 will</w:t>
            </w:r>
            <w:r w:rsidR="00543B5A" w:rsidRPr="00390F83">
              <w:rPr>
                <w:color w:val="000000" w:themeColor="text1"/>
              </w:rPr>
              <w:t xml:space="preserve"> </w:t>
            </w:r>
            <w:r w:rsidR="00D97E8E" w:rsidRPr="00390F83">
              <w:rPr>
                <w:color w:val="000000" w:themeColor="text1"/>
              </w:rPr>
              <w:t xml:space="preserve">harness and </w:t>
            </w:r>
            <w:r w:rsidR="007E263E" w:rsidRPr="00390F83">
              <w:rPr>
                <w:color w:val="000000" w:themeColor="text1"/>
              </w:rPr>
              <w:t xml:space="preserve">build on the range of restoration-related outputs already produced by the STRP, such as </w:t>
            </w:r>
            <w:r w:rsidR="00691767" w:rsidRPr="00390F83">
              <w:rPr>
                <w:color w:val="000000" w:themeColor="text1"/>
              </w:rPr>
              <w:t xml:space="preserve">Briefing Note 10 on wetland restoration for climate change resilience, Briefing Note 11 on practical peatland restoration, and the </w:t>
            </w:r>
            <w:r w:rsidR="00D97E8E" w:rsidRPr="00390F83">
              <w:rPr>
                <w:color w:val="000000" w:themeColor="text1"/>
              </w:rPr>
              <w:t>Global Wetland Outlook: Special Edition 2025</w:t>
            </w:r>
            <w:r w:rsidR="0086751E" w:rsidRPr="00390F83">
              <w:rPr>
                <w:color w:val="000000" w:themeColor="text1"/>
              </w:rPr>
              <w:t xml:space="preserve">. This work will also </w:t>
            </w:r>
            <w:r w:rsidR="00D363AE" w:rsidRPr="00390F83">
              <w:rPr>
                <w:color w:val="000000" w:themeColor="text1"/>
              </w:rPr>
              <w:t xml:space="preserve">ensure the integration </w:t>
            </w:r>
            <w:r w:rsidR="00077B66" w:rsidRPr="00390F83">
              <w:rPr>
                <w:color w:val="000000" w:themeColor="text1"/>
              </w:rPr>
              <w:t xml:space="preserve">and communication of </w:t>
            </w:r>
            <w:r w:rsidR="00D363AE" w:rsidRPr="00390F83">
              <w:rPr>
                <w:color w:val="000000" w:themeColor="text1"/>
              </w:rPr>
              <w:t xml:space="preserve">international developments </w:t>
            </w:r>
            <w:r w:rsidRPr="00390F83">
              <w:rPr>
                <w:color w:val="000000" w:themeColor="text1"/>
              </w:rPr>
              <w:t>on restoration</w:t>
            </w:r>
            <w:r w:rsidR="00D363AE" w:rsidRPr="00390F83">
              <w:rPr>
                <w:color w:val="000000" w:themeColor="text1"/>
              </w:rPr>
              <w:t xml:space="preserve">, such as </w:t>
            </w:r>
            <w:r w:rsidR="00731F2A" w:rsidRPr="00390F83">
              <w:rPr>
                <w:color w:val="000000" w:themeColor="text1"/>
              </w:rPr>
              <w:t xml:space="preserve">on forthcoming </w:t>
            </w:r>
            <w:r w:rsidR="00F2322F" w:rsidRPr="00390F83">
              <w:rPr>
                <w:color w:val="000000" w:themeColor="text1"/>
              </w:rPr>
              <w:t>guidance associated with Target 2 of the KM-GBF</w:t>
            </w:r>
            <w:r w:rsidR="005B7CB7" w:rsidRPr="00390F83">
              <w:rPr>
                <w:color w:val="000000" w:themeColor="text1"/>
              </w:rPr>
              <w:t xml:space="preserve"> and the UN Decade of Restoration</w:t>
            </w:r>
            <w:r w:rsidR="00F2322F" w:rsidRPr="00390F83">
              <w:rPr>
                <w:color w:val="000000" w:themeColor="text1"/>
              </w:rPr>
              <w:t xml:space="preserve">. </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89F87C" w14:textId="77777777" w:rsidR="003B60FA" w:rsidRPr="00390F83" w:rsidRDefault="00F319AD" w:rsidP="002867AE">
            <w:pPr>
              <w:spacing w:before="60" w:after="60"/>
            </w:pPr>
            <w:r w:rsidRPr="00390F83">
              <w:t>2026-2028</w:t>
            </w:r>
          </w:p>
        </w:tc>
        <w:tc>
          <w:tcPr>
            <w:tcW w:w="19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0E8EAE" w14:textId="77777777" w:rsidR="003B60FA" w:rsidRPr="00390F83" w:rsidRDefault="00F319AD" w:rsidP="002867AE">
            <w:pPr>
              <w:spacing w:before="60" w:after="60"/>
            </w:pPr>
            <w:r w:rsidRPr="00390F83">
              <w:t xml:space="preserve">Develop communication materials, including </w:t>
            </w:r>
            <w:r w:rsidR="00AF2D48" w:rsidRPr="00390F83">
              <w:t xml:space="preserve">Policy Briefs </w:t>
            </w:r>
            <w:r w:rsidR="00C97645" w:rsidRPr="00390F83">
              <w:t>and/or Briefing Note</w:t>
            </w:r>
            <w:r w:rsidR="00D03D64" w:rsidRPr="00390F83">
              <w:t>s</w:t>
            </w:r>
            <w:r w:rsidR="00D363AE" w:rsidRPr="00390F83">
              <w:t xml:space="preserve"> if needed.</w:t>
            </w:r>
          </w:p>
          <w:p w14:paraId="61CA10BB" w14:textId="77777777" w:rsidR="00B5370C" w:rsidRPr="00390F83" w:rsidRDefault="00F319AD" w:rsidP="002867AE">
            <w:pPr>
              <w:spacing w:before="60" w:after="60"/>
            </w:pPr>
            <w:r w:rsidRPr="00390F83">
              <w:t>I</w:t>
            </w:r>
            <w:r w:rsidR="00AF2D48" w:rsidRPr="00390F83">
              <w:t xml:space="preserve">mplement </w:t>
            </w:r>
            <w:r w:rsidR="00D93D9C" w:rsidRPr="00390F83">
              <w:t xml:space="preserve">capacity-building and knowledge-exchange activities. </w:t>
            </w:r>
          </w:p>
        </w:tc>
        <w:tc>
          <w:tcPr>
            <w:tcW w:w="191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F0CB20" w14:textId="77777777" w:rsidR="007502A1" w:rsidRPr="00390F83" w:rsidRDefault="00F319AD" w:rsidP="002867AE">
            <w:pPr>
              <w:spacing w:before="60" w:after="60"/>
            </w:pPr>
            <w:r w:rsidRPr="00390F83">
              <w:t xml:space="preserve">Relevant STRP activities: </w:t>
            </w:r>
            <w:r w:rsidR="00943BA5" w:rsidRPr="00390F83">
              <w:t>e</w:t>
            </w:r>
            <w:r w:rsidR="00B46F2F" w:rsidRPr="00390F83">
              <w:t>.g.,</w:t>
            </w:r>
            <w:r w:rsidR="00943BA5" w:rsidRPr="00390F83">
              <w:t xml:space="preserve"> </w:t>
            </w:r>
            <w:r w:rsidRPr="00390F83">
              <w:t>Res. XIV.6, Para. 45</w:t>
            </w:r>
            <w:r w:rsidR="00943BA5" w:rsidRPr="00390F83">
              <w:t xml:space="preserve">; </w:t>
            </w:r>
            <w:r w:rsidR="00C802A4" w:rsidRPr="00390F83">
              <w:t>Res. XIV.14, Annex 2</w:t>
            </w:r>
            <w:r w:rsidR="00943BA5" w:rsidRPr="00390F83">
              <w:t xml:space="preserve">; </w:t>
            </w:r>
            <w:r w:rsidR="00B46F2F" w:rsidRPr="00390F83">
              <w:t>Res. XIV.16, Para. 21</w:t>
            </w:r>
            <w:r w:rsidR="00943BA5" w:rsidRPr="00390F83">
              <w:t xml:space="preserve">; </w:t>
            </w:r>
            <w:r w:rsidR="00B46F2F" w:rsidRPr="00390F83">
              <w:t>Res. XIV.17, Para. 14</w:t>
            </w:r>
            <w:r w:rsidR="00943BA5" w:rsidRPr="00390F83">
              <w:t>.</w:t>
            </w:r>
          </w:p>
        </w:tc>
      </w:tr>
      <w:tr w:rsidR="007B31B2" w:rsidRPr="00390F83" w14:paraId="5B33B4A0" w14:textId="77777777" w:rsidTr="00EF7423">
        <w:trPr>
          <w:cantSplit/>
          <w:trHeight w:val="300"/>
        </w:trPr>
        <w:tc>
          <w:tcPr>
            <w:tcW w:w="13882"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8B2B76D" w14:textId="02560657" w:rsidR="00906E80" w:rsidRPr="00390F83" w:rsidRDefault="00F319AD" w:rsidP="00F8458C">
            <w:pPr>
              <w:keepNext/>
              <w:spacing w:before="60" w:after="60"/>
              <w:rPr>
                <w:b/>
                <w:color w:val="000000"/>
              </w:rPr>
            </w:pPr>
            <w:r w:rsidRPr="00390F83">
              <w:rPr>
                <w:b/>
                <w:color w:val="000000" w:themeColor="text1"/>
              </w:rPr>
              <w:t>TWA 5: Cross-cutting issues, Global Wetland Outlook, supporting functions, and synergies with other Multilateral Environmental Agreements (MEAs).</w:t>
            </w:r>
          </w:p>
        </w:tc>
      </w:tr>
      <w:tr w:rsidR="007B31B2" w:rsidRPr="00390F83" w14:paraId="3D60002D" w14:textId="77777777" w:rsidTr="00EF7423">
        <w:trPr>
          <w:cantSplit/>
          <w:trHeight w:val="300"/>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A54AC5" w14:textId="77777777" w:rsidR="00906E80" w:rsidRPr="00390F83" w:rsidRDefault="00F319AD" w:rsidP="002867AE">
            <w:pPr>
              <w:spacing w:before="60" w:after="60"/>
              <w:rPr>
                <w:color w:val="000000"/>
              </w:rPr>
            </w:pPr>
            <w:r w:rsidRPr="00390F83">
              <w:rPr>
                <w:b/>
                <w:bCs w:val="0"/>
                <w:color w:val="000000" w:themeColor="text1"/>
              </w:rPr>
              <w:t>Task 5.1.</w:t>
            </w:r>
            <w:r w:rsidRPr="00390F83">
              <w:rPr>
                <w:color w:val="000000" w:themeColor="text1"/>
              </w:rPr>
              <w:t xml:space="preserve"> Global Wetland Outlook</w:t>
            </w:r>
          </w:p>
        </w:tc>
        <w:tc>
          <w:tcPr>
            <w:tcW w:w="566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31AB5C" w14:textId="14807BBE" w:rsidR="00906E80" w:rsidRPr="00390F83" w:rsidRDefault="00F319AD" w:rsidP="002867AE">
            <w:pPr>
              <w:spacing w:before="60" w:after="60"/>
              <w:rPr>
                <w:color w:val="000000" w:themeColor="text1"/>
              </w:rPr>
            </w:pPr>
            <w:r w:rsidRPr="00390F83">
              <w:rPr>
                <w:color w:val="000000" w:themeColor="text1"/>
              </w:rPr>
              <w:t xml:space="preserve">Task 5.1. </w:t>
            </w:r>
            <w:r w:rsidR="00115BA8" w:rsidRPr="00390F83">
              <w:rPr>
                <w:color w:val="000000" w:themeColor="text1"/>
              </w:rPr>
              <w:t>will serve as a flagship publication under the Convention, providing comprehensive, evidence-based assessments of the global status of wetlands, tracking progress against the Strategic Plan, and offering targeted recommendations for policymakers. The assessment process will follow a structured phased approach, encompassing scoping, data collection, expert review, and extensive communication efforts.</w:t>
            </w:r>
          </w:p>
        </w:tc>
        <w:tc>
          <w:tcPr>
            <w:tcW w:w="1425" w:type="dxa"/>
            <w:gridSpan w:val="2"/>
            <w:tcBorders>
              <w:left w:val="single" w:sz="8" w:space="0" w:color="000000" w:themeColor="text1"/>
              <w:bottom w:val="single" w:sz="4" w:space="0" w:color="auto"/>
              <w:right w:val="single" w:sz="8" w:space="0" w:color="000000" w:themeColor="text1"/>
            </w:tcBorders>
          </w:tcPr>
          <w:p w14:paraId="6A87EE51" w14:textId="77777777" w:rsidR="00906E80" w:rsidRPr="00390F83" w:rsidRDefault="00F319AD" w:rsidP="002867AE">
            <w:pPr>
              <w:spacing w:before="60" w:after="60"/>
            </w:pPr>
            <w:r w:rsidRPr="00390F83">
              <w:t>Cross-triennial (subject to the availability of human and financial resources).</w:t>
            </w:r>
          </w:p>
        </w:tc>
        <w:tc>
          <w:tcPr>
            <w:tcW w:w="1913" w:type="dxa"/>
            <w:tcBorders>
              <w:left w:val="single" w:sz="8" w:space="0" w:color="000000" w:themeColor="text1"/>
              <w:bottom w:val="single" w:sz="4" w:space="0" w:color="auto"/>
              <w:right w:val="single" w:sz="8" w:space="0" w:color="000000" w:themeColor="text1"/>
            </w:tcBorders>
          </w:tcPr>
          <w:p w14:paraId="7BCE8A0A" w14:textId="77777777" w:rsidR="00906E80" w:rsidRPr="00390F83" w:rsidRDefault="00F319AD" w:rsidP="002867AE">
            <w:pPr>
              <w:spacing w:before="60" w:after="60"/>
            </w:pPr>
            <w:r w:rsidRPr="00390F83">
              <w:t>Global Wetland Outlook</w:t>
            </w:r>
            <w:r w:rsidR="003A59F3" w:rsidRPr="00390F83">
              <w:t xml:space="preserve"> 2028</w:t>
            </w:r>
          </w:p>
        </w:tc>
        <w:tc>
          <w:tcPr>
            <w:tcW w:w="1914" w:type="dxa"/>
            <w:tcBorders>
              <w:left w:val="single" w:sz="8" w:space="0" w:color="000000" w:themeColor="text1"/>
              <w:bottom w:val="single" w:sz="4" w:space="0" w:color="auto"/>
              <w:right w:val="single" w:sz="8" w:space="0" w:color="000000" w:themeColor="text1"/>
            </w:tcBorders>
          </w:tcPr>
          <w:p w14:paraId="3D92A20F" w14:textId="77777777" w:rsidR="00906E80" w:rsidRPr="00390F83" w:rsidRDefault="00F319AD" w:rsidP="002867AE">
            <w:pPr>
              <w:spacing w:before="60" w:after="60"/>
            </w:pPr>
            <w:r w:rsidRPr="00390F83">
              <w:t>Doc. SC64.18</w:t>
            </w:r>
          </w:p>
        </w:tc>
      </w:tr>
      <w:tr w:rsidR="007B31B2" w:rsidRPr="00390F83" w14:paraId="0A0DDB79" w14:textId="77777777" w:rsidTr="00EF7423">
        <w:trPr>
          <w:cantSplit/>
          <w:trHeight w:val="300"/>
        </w:trPr>
        <w:tc>
          <w:tcPr>
            <w:tcW w:w="2967" w:type="dxa"/>
            <w:tcBorders>
              <w:top w:val="single" w:sz="4" w:space="0" w:color="auto"/>
              <w:left w:val="single" w:sz="8" w:space="0" w:color="000000" w:themeColor="text1"/>
              <w:bottom w:val="single" w:sz="4" w:space="0" w:color="auto"/>
              <w:right w:val="single" w:sz="8" w:space="0" w:color="000000" w:themeColor="text1"/>
            </w:tcBorders>
          </w:tcPr>
          <w:p w14:paraId="26F39950" w14:textId="3882C74F" w:rsidR="000658CD" w:rsidRPr="00390F83" w:rsidRDefault="00F319AD" w:rsidP="002867AE">
            <w:pPr>
              <w:spacing w:before="60" w:after="60"/>
              <w:rPr>
                <w:color w:val="000000"/>
              </w:rPr>
            </w:pPr>
            <w:r w:rsidRPr="00390F83">
              <w:rPr>
                <w:b/>
                <w:color w:val="000000" w:themeColor="text1"/>
              </w:rPr>
              <w:t>Task 5.2.</w:t>
            </w:r>
            <w:r w:rsidRPr="00390F83">
              <w:rPr>
                <w:color w:val="000000" w:themeColor="text1"/>
              </w:rPr>
              <w:t xml:space="preserve"> </w:t>
            </w:r>
            <w:r w:rsidR="00167355" w:rsidRPr="00390F83">
              <w:rPr>
                <w:color w:val="000000" w:themeColor="text1"/>
              </w:rPr>
              <w:t>Improved global reporting on wetlands: synergies in the development of indicators and methods for the Convention</w:t>
            </w:r>
            <w:r w:rsidR="00F35B28" w:rsidRPr="00390F83">
              <w:rPr>
                <w:color w:val="000000" w:themeColor="text1"/>
              </w:rPr>
              <w:t>’</w:t>
            </w:r>
            <w:r w:rsidR="00167355" w:rsidRPr="00390F83">
              <w:rPr>
                <w:color w:val="000000" w:themeColor="text1"/>
              </w:rPr>
              <w:t>s 5th Strategic Plan and other global processes.</w:t>
            </w:r>
          </w:p>
        </w:tc>
        <w:tc>
          <w:tcPr>
            <w:tcW w:w="5663" w:type="dxa"/>
            <w:tcBorders>
              <w:top w:val="single" w:sz="4" w:space="0" w:color="auto"/>
              <w:left w:val="single" w:sz="8" w:space="0" w:color="000000" w:themeColor="text1"/>
              <w:bottom w:val="single" w:sz="4" w:space="0" w:color="auto"/>
              <w:right w:val="single" w:sz="8" w:space="0" w:color="000000" w:themeColor="text1"/>
            </w:tcBorders>
          </w:tcPr>
          <w:p w14:paraId="6A4D592B" w14:textId="0C24E2D1" w:rsidR="000658CD" w:rsidRPr="00390F83" w:rsidRDefault="00F319AD" w:rsidP="002867AE">
            <w:pPr>
              <w:spacing w:before="60" w:after="60"/>
              <w:rPr>
                <w:color w:val="000000"/>
              </w:rPr>
            </w:pPr>
            <w:r w:rsidRPr="00390F83">
              <w:rPr>
                <w:color w:val="000000" w:themeColor="text1"/>
              </w:rPr>
              <w:t>Task 5.2. will develop guidance on addressing indicator gaps and tools for reporting on wetlands to support the assessment of indicators and targets associated with the Convention</w:t>
            </w:r>
            <w:r w:rsidR="00F35B28" w:rsidRPr="00390F83">
              <w:rPr>
                <w:color w:val="000000" w:themeColor="text1"/>
              </w:rPr>
              <w:t>’</w:t>
            </w:r>
            <w:r w:rsidRPr="00390F83">
              <w:rPr>
                <w:color w:val="000000" w:themeColor="text1"/>
              </w:rPr>
              <w:t>s 5</w:t>
            </w:r>
            <w:r w:rsidRPr="00EF7423">
              <w:rPr>
                <w:color w:val="000000" w:themeColor="text1"/>
              </w:rPr>
              <w:t>th</w:t>
            </w:r>
            <w:r w:rsidRPr="00390F83">
              <w:rPr>
                <w:color w:val="000000" w:themeColor="text1"/>
              </w:rPr>
              <w:t xml:space="preserve"> Strategic Plan and other global assessment and reporting processes (e.g., KM GBF). A key opportunity will be to continue working in parallel with the KM GBF to promote the development of ambitious and linked wetland targets and monitoring indicators, for example, as part of National Biodiversity Strategies and Action Plans (NBSAPs). </w:t>
            </w:r>
          </w:p>
        </w:tc>
        <w:tc>
          <w:tcPr>
            <w:tcW w:w="1425" w:type="dxa"/>
            <w:gridSpan w:val="2"/>
            <w:tcBorders>
              <w:top w:val="single" w:sz="4" w:space="0" w:color="auto"/>
              <w:left w:val="single" w:sz="8" w:space="0" w:color="000000" w:themeColor="text1"/>
              <w:bottom w:val="single" w:sz="4" w:space="0" w:color="auto"/>
              <w:right w:val="single" w:sz="8" w:space="0" w:color="000000" w:themeColor="text1"/>
            </w:tcBorders>
          </w:tcPr>
          <w:p w14:paraId="3462AEEC" w14:textId="77777777" w:rsidR="000658CD" w:rsidRPr="00390F83" w:rsidRDefault="00F319AD" w:rsidP="002867AE">
            <w:pPr>
              <w:spacing w:before="60" w:after="60"/>
            </w:pPr>
            <w:r w:rsidRPr="00390F83">
              <w:t>2026-2028</w:t>
            </w:r>
          </w:p>
        </w:tc>
        <w:tc>
          <w:tcPr>
            <w:tcW w:w="1913" w:type="dxa"/>
            <w:tcBorders>
              <w:top w:val="single" w:sz="4" w:space="0" w:color="auto"/>
              <w:left w:val="single" w:sz="8" w:space="0" w:color="000000" w:themeColor="text1"/>
              <w:bottom w:val="single" w:sz="4" w:space="0" w:color="auto"/>
              <w:right w:val="single" w:sz="8" w:space="0" w:color="000000" w:themeColor="text1"/>
            </w:tcBorders>
          </w:tcPr>
          <w:p w14:paraId="48DD6794" w14:textId="77777777" w:rsidR="000658CD" w:rsidRPr="00390F83" w:rsidRDefault="00F319AD" w:rsidP="002867AE">
            <w:pPr>
              <w:spacing w:before="60" w:after="60"/>
            </w:pPr>
            <w:r w:rsidRPr="00390F83">
              <w:t>Technical Report and/or Briefing Note</w:t>
            </w:r>
          </w:p>
        </w:tc>
        <w:tc>
          <w:tcPr>
            <w:tcW w:w="1914" w:type="dxa"/>
            <w:tcBorders>
              <w:top w:val="single" w:sz="4" w:space="0" w:color="auto"/>
              <w:left w:val="single" w:sz="8" w:space="0" w:color="000000" w:themeColor="text1"/>
              <w:bottom w:val="single" w:sz="4" w:space="0" w:color="auto"/>
              <w:right w:val="single" w:sz="8" w:space="0" w:color="000000" w:themeColor="text1"/>
            </w:tcBorders>
          </w:tcPr>
          <w:p w14:paraId="70DB7C6B" w14:textId="77777777" w:rsidR="000658CD" w:rsidRPr="00390F83" w:rsidRDefault="00F319AD" w:rsidP="00255F50">
            <w:pPr>
              <w:spacing w:before="60" w:after="60"/>
              <w:rPr>
                <w:lang w:val="fr-FR"/>
              </w:rPr>
            </w:pPr>
            <w:r w:rsidRPr="00390F83">
              <w:rPr>
                <w:lang w:val="fr-FR"/>
              </w:rPr>
              <w:t>Doc. SC63.19 (Para. 19-21 &amp; Annex 2).</w:t>
            </w:r>
          </w:p>
          <w:p w14:paraId="2F41050A" w14:textId="77777777" w:rsidR="00BC4F09" w:rsidRPr="00390F83" w:rsidRDefault="00F319AD" w:rsidP="00A84E26">
            <w:pPr>
              <w:spacing w:before="60" w:after="60"/>
              <w:rPr>
                <w:lang w:val="fr-FR"/>
              </w:rPr>
            </w:pPr>
            <w:r w:rsidRPr="00390F83">
              <w:rPr>
                <w:lang w:val="fr-FR"/>
              </w:rPr>
              <w:t>Res. XIII.5</w:t>
            </w:r>
          </w:p>
          <w:p w14:paraId="6C6B2753" w14:textId="77777777" w:rsidR="00A84E26" w:rsidRPr="00390F83" w:rsidRDefault="00F319AD" w:rsidP="00A84E26">
            <w:pPr>
              <w:spacing w:before="60" w:after="60"/>
              <w:rPr>
                <w:lang w:val="fr-FR"/>
              </w:rPr>
            </w:pPr>
            <w:r w:rsidRPr="00390F83">
              <w:rPr>
                <w:lang w:val="fr-FR"/>
              </w:rPr>
              <w:t>Res. XIV.14, Annex 2</w:t>
            </w:r>
          </w:p>
          <w:p w14:paraId="65D07B0F" w14:textId="77777777" w:rsidR="00A84E26" w:rsidRPr="00390F83" w:rsidRDefault="00F319AD" w:rsidP="002867AE">
            <w:pPr>
              <w:spacing w:before="60" w:after="60"/>
            </w:pPr>
            <w:r w:rsidRPr="00390F83">
              <w:t>Res. XIV.6, Para. 24 &amp; 44</w:t>
            </w:r>
          </w:p>
        </w:tc>
      </w:tr>
      <w:tr w:rsidR="007B31B2" w:rsidRPr="00390F83" w14:paraId="6E3F8A96" w14:textId="77777777" w:rsidTr="00EF7423">
        <w:trPr>
          <w:cantSplit/>
          <w:trHeight w:val="300"/>
        </w:trPr>
        <w:tc>
          <w:tcPr>
            <w:tcW w:w="2967" w:type="dxa"/>
            <w:tcBorders>
              <w:top w:val="single" w:sz="4" w:space="0" w:color="auto"/>
              <w:left w:val="single" w:sz="8" w:space="0" w:color="000000" w:themeColor="text1"/>
              <w:bottom w:val="single" w:sz="8" w:space="0" w:color="000000" w:themeColor="text1"/>
              <w:right w:val="single" w:sz="8" w:space="0" w:color="000000" w:themeColor="text1"/>
            </w:tcBorders>
          </w:tcPr>
          <w:p w14:paraId="50A96F72" w14:textId="77777777" w:rsidR="00906E80" w:rsidRPr="00390F83" w:rsidRDefault="00F319AD" w:rsidP="002867AE">
            <w:pPr>
              <w:spacing w:before="60" w:after="60"/>
            </w:pPr>
            <w:r w:rsidRPr="00390F83">
              <w:rPr>
                <w:b/>
                <w:bCs w:val="0"/>
                <w:color w:val="000000" w:themeColor="text1"/>
              </w:rPr>
              <w:t>Task 5.3.</w:t>
            </w:r>
            <w:r w:rsidRPr="00390F83">
              <w:rPr>
                <w:color w:val="000000" w:themeColor="text1"/>
              </w:rPr>
              <w:t xml:space="preserve"> </w:t>
            </w:r>
            <w:r w:rsidR="00C378D6" w:rsidRPr="00390F83">
              <w:rPr>
                <w:rFonts w:eastAsia="Calibri"/>
              </w:rPr>
              <w:t>Review of policy and legal frameworks for wetland conservation and wise use.</w:t>
            </w:r>
          </w:p>
        </w:tc>
        <w:tc>
          <w:tcPr>
            <w:tcW w:w="5663" w:type="dxa"/>
            <w:tcBorders>
              <w:top w:val="single" w:sz="4" w:space="0" w:color="auto"/>
              <w:left w:val="single" w:sz="8" w:space="0" w:color="000000" w:themeColor="text1"/>
              <w:bottom w:val="single" w:sz="8" w:space="0" w:color="000000" w:themeColor="text1"/>
              <w:right w:val="single" w:sz="8" w:space="0" w:color="000000" w:themeColor="text1"/>
            </w:tcBorders>
          </w:tcPr>
          <w:p w14:paraId="0F2554FD" w14:textId="0B2C41C7" w:rsidR="00906E80" w:rsidRPr="00390F83" w:rsidRDefault="00F319AD" w:rsidP="002867AE">
            <w:pPr>
              <w:spacing w:before="60" w:after="60"/>
              <w:rPr>
                <w:color w:val="000000" w:themeColor="text1"/>
              </w:rPr>
            </w:pPr>
            <w:r w:rsidRPr="00390F83">
              <w:rPr>
                <w:color w:val="000000" w:themeColor="text1"/>
              </w:rPr>
              <w:t>Task 5.3 will evaluate policy and legal frameworks to assess how effectively they support wetland conservation, restoration, and wise use. This evaluation will build on the guidance and information provided in Handbook 3: Laws and Institutions while incorporating more recent case studies and legal developments. The task will identify and showcase successful examples of wetland laws and policies that have demonstrated positive outcomes in promoting the wise use, conservation, and restoration of wetlands and provide recommendations for enhancing the implementation of these frameworks.</w:t>
            </w:r>
          </w:p>
        </w:tc>
        <w:tc>
          <w:tcPr>
            <w:tcW w:w="1425" w:type="dxa"/>
            <w:gridSpan w:val="2"/>
            <w:tcBorders>
              <w:top w:val="single" w:sz="4" w:space="0" w:color="auto"/>
              <w:left w:val="single" w:sz="8" w:space="0" w:color="000000" w:themeColor="text1"/>
              <w:bottom w:val="single" w:sz="8" w:space="0" w:color="000000" w:themeColor="text1"/>
              <w:right w:val="single" w:sz="8" w:space="0" w:color="000000" w:themeColor="text1"/>
            </w:tcBorders>
          </w:tcPr>
          <w:p w14:paraId="263A28F5" w14:textId="77777777" w:rsidR="00906E80" w:rsidRPr="00390F83" w:rsidRDefault="00F319AD" w:rsidP="002867AE">
            <w:pPr>
              <w:spacing w:before="60" w:after="60"/>
            </w:pPr>
            <w:r w:rsidRPr="00390F83">
              <w:t>2026-2028</w:t>
            </w:r>
          </w:p>
        </w:tc>
        <w:tc>
          <w:tcPr>
            <w:tcW w:w="1913" w:type="dxa"/>
            <w:tcBorders>
              <w:top w:val="single" w:sz="4" w:space="0" w:color="auto"/>
              <w:left w:val="single" w:sz="8" w:space="0" w:color="000000" w:themeColor="text1"/>
              <w:bottom w:val="single" w:sz="8" w:space="0" w:color="000000" w:themeColor="text1"/>
              <w:right w:val="single" w:sz="8" w:space="0" w:color="000000" w:themeColor="text1"/>
            </w:tcBorders>
          </w:tcPr>
          <w:p w14:paraId="2041F794" w14:textId="77777777" w:rsidR="00906E80" w:rsidRPr="00390F83" w:rsidRDefault="00F319AD" w:rsidP="002867AE">
            <w:pPr>
              <w:spacing w:before="60" w:after="60"/>
            </w:pPr>
            <w:r w:rsidRPr="00390F83">
              <w:t>Technical Report and/or Briefing Note</w:t>
            </w:r>
          </w:p>
          <w:p w14:paraId="1DC3A190" w14:textId="77777777" w:rsidR="00906E80" w:rsidRPr="00390F83" w:rsidRDefault="00906E80" w:rsidP="002867AE">
            <w:pPr>
              <w:spacing w:before="60" w:after="60"/>
            </w:pPr>
          </w:p>
          <w:p w14:paraId="7519DF03" w14:textId="77777777" w:rsidR="00906E80" w:rsidRPr="00390F83" w:rsidRDefault="00F319AD" w:rsidP="002867AE">
            <w:pPr>
              <w:spacing w:before="60" w:after="60"/>
            </w:pPr>
            <w:r w:rsidRPr="00390F83">
              <w:t>Policy database</w:t>
            </w:r>
          </w:p>
        </w:tc>
        <w:tc>
          <w:tcPr>
            <w:tcW w:w="1914" w:type="dxa"/>
            <w:tcBorders>
              <w:top w:val="single" w:sz="4" w:space="0" w:color="auto"/>
              <w:left w:val="single" w:sz="8" w:space="0" w:color="000000" w:themeColor="text1"/>
              <w:bottom w:val="single" w:sz="8" w:space="0" w:color="000000" w:themeColor="text1"/>
              <w:right w:val="single" w:sz="8" w:space="0" w:color="000000" w:themeColor="text1"/>
            </w:tcBorders>
          </w:tcPr>
          <w:p w14:paraId="7C8D5DCA" w14:textId="77777777" w:rsidR="00906E80" w:rsidRPr="00390F83" w:rsidRDefault="00F319AD" w:rsidP="002867AE">
            <w:pPr>
              <w:spacing w:before="60" w:after="60"/>
            </w:pPr>
            <w:r w:rsidRPr="00390F83">
              <w:t xml:space="preserve">SC57 Doc.8; Res. XIV.14., Annex 2; &amp; </w:t>
            </w:r>
          </w:p>
          <w:p w14:paraId="5653F735" w14:textId="77777777" w:rsidR="00906E80" w:rsidRPr="00390F83" w:rsidRDefault="00F319AD" w:rsidP="002867AE">
            <w:pPr>
              <w:spacing w:before="60" w:after="60"/>
            </w:pPr>
            <w:r w:rsidRPr="00390F83">
              <w:t>Continuation from STRP 2023-25 work plan (Pre-SC62 Intersessional Decision 04).</w:t>
            </w:r>
          </w:p>
        </w:tc>
      </w:tr>
    </w:tbl>
    <w:p w14:paraId="281D5F4F" w14:textId="77777777" w:rsidR="003C52C5" w:rsidRPr="00390F83" w:rsidRDefault="003C52C5" w:rsidP="003C52C5">
      <w:pPr>
        <w:sectPr w:rsidR="003C52C5" w:rsidRPr="00390F83" w:rsidSect="00EF7423">
          <w:footerReference w:type="default" r:id="rId16"/>
          <w:pgSz w:w="16838" w:h="11906" w:orient="landscape" w:code="9"/>
          <w:pgMar w:top="1440" w:right="1440" w:bottom="1440" w:left="1440" w:header="720" w:footer="720" w:gutter="0"/>
          <w:cols w:space="720"/>
          <w:docGrid w:linePitch="360"/>
        </w:sectPr>
      </w:pPr>
    </w:p>
    <w:p w14:paraId="09DE25FB" w14:textId="77777777" w:rsidR="00E952E3" w:rsidRPr="00390F83" w:rsidRDefault="00F319AD" w:rsidP="00E952E3">
      <w:pPr>
        <w:rPr>
          <w:b/>
          <w:bCs w:val="0"/>
        </w:rPr>
      </w:pPr>
      <w:r w:rsidRPr="00390F83">
        <w:rPr>
          <w:b/>
          <w:bCs w:val="0"/>
        </w:rPr>
        <w:t>Additional STRP tasks</w:t>
      </w:r>
    </w:p>
    <w:p w14:paraId="2A63BE37" w14:textId="77777777" w:rsidR="00E952E3" w:rsidRPr="00390F83" w:rsidRDefault="00E952E3" w:rsidP="00E952E3"/>
    <w:p w14:paraId="4F850804" w14:textId="282444FC" w:rsidR="00801BC8" w:rsidRPr="00390F83" w:rsidRDefault="00F319AD" w:rsidP="0045540A">
      <w:pPr>
        <w:ind w:left="432" w:hanging="432"/>
      </w:pPr>
      <w:r w:rsidRPr="00390F83">
        <w:t>4</w:t>
      </w:r>
      <w:r w:rsidR="0045540A" w:rsidRPr="00390F83">
        <w:t>.</w:t>
      </w:r>
      <w:r w:rsidR="0045540A" w:rsidRPr="00390F83">
        <w:tab/>
      </w:r>
      <w:r w:rsidR="003B146E" w:rsidRPr="00390F83">
        <w:t>F</w:t>
      </w:r>
      <w:r w:rsidRPr="00390F83">
        <w:t>urther</w:t>
      </w:r>
      <w:r w:rsidR="009157D9" w:rsidRPr="00390F83">
        <w:t xml:space="preserve"> tasks may be </w:t>
      </w:r>
      <w:r w:rsidR="003B146E" w:rsidRPr="00390F83">
        <w:t xml:space="preserve">considered for inclusion in the STRP work plan for </w:t>
      </w:r>
      <w:r w:rsidR="009157D9" w:rsidRPr="00390F83">
        <w:t>the 2026-2028 trienniu</w:t>
      </w:r>
      <w:r w:rsidR="003C6800" w:rsidRPr="00390F83">
        <w:t>m</w:t>
      </w:r>
      <w:r w:rsidRPr="00390F83">
        <w:t>.</w:t>
      </w:r>
    </w:p>
    <w:p w14:paraId="2492DCDE" w14:textId="7DB9A208" w:rsidR="00C74E9A" w:rsidRPr="00390F83" w:rsidRDefault="00C74E9A" w:rsidP="00276823">
      <w:r w:rsidRPr="00390F83">
        <w:t>P</w:t>
      </w:r>
      <w:r w:rsidR="00CF0F14" w:rsidRPr="00390F83">
        <w:t xml:space="preserve">otential tasks </w:t>
      </w:r>
      <w:r w:rsidR="006B01ED" w:rsidRPr="00390F83">
        <w:t xml:space="preserve">identified </w:t>
      </w:r>
      <w:r w:rsidR="00CF0F14" w:rsidRPr="00390F83">
        <w:t xml:space="preserve">during </w:t>
      </w:r>
      <w:r w:rsidR="00A86360" w:rsidRPr="00390F83">
        <w:t xml:space="preserve">the Panel’s </w:t>
      </w:r>
      <w:r w:rsidR="00CF0F14" w:rsidRPr="00390F83">
        <w:t xml:space="preserve">consultation on </w:t>
      </w:r>
      <w:r w:rsidR="00A86360" w:rsidRPr="00390F83">
        <w:t xml:space="preserve">potential </w:t>
      </w:r>
      <w:r w:rsidR="00CF0F14" w:rsidRPr="00390F83">
        <w:t>priorit</w:t>
      </w:r>
      <w:r w:rsidR="00FD049D" w:rsidRPr="00390F83">
        <w:t xml:space="preserve">ies </w:t>
      </w:r>
      <w:r w:rsidR="00402A5A" w:rsidRPr="00390F83">
        <w:t xml:space="preserve">are briefly </w:t>
      </w:r>
      <w:r w:rsidR="00036AF3" w:rsidRPr="00390F83">
        <w:t>itemized</w:t>
      </w:r>
      <w:r w:rsidR="00402A5A" w:rsidRPr="00390F83">
        <w:t xml:space="preserve"> in the table below</w:t>
      </w:r>
      <w:r w:rsidR="006B01ED" w:rsidRPr="00390F83">
        <w:t xml:space="preserve">. However, </w:t>
      </w:r>
      <w:r w:rsidR="00AC127D" w:rsidRPr="00390F83">
        <w:t xml:space="preserve">careful thought needs to be given to </w:t>
      </w:r>
      <w:r w:rsidRPr="00390F83">
        <w:t>availability of human and financial resources</w:t>
      </w:r>
      <w:r w:rsidR="003974B7" w:rsidRPr="00390F83">
        <w:t xml:space="preserve"> in establishing the </w:t>
      </w:r>
      <w:r w:rsidR="00A3672B" w:rsidRPr="00390F83">
        <w:t xml:space="preserve">STRP work plan for the 2026-2028 triennium. </w:t>
      </w:r>
    </w:p>
    <w:p w14:paraId="0F69B5B3" w14:textId="77777777" w:rsidR="003C6800" w:rsidRPr="00390F83" w:rsidRDefault="003C6800" w:rsidP="003C6800"/>
    <w:tbl>
      <w:tblPr>
        <w:tblW w:w="8900" w:type="dxa"/>
        <w:tblLayout w:type="fixed"/>
        <w:tblLook w:val="0400" w:firstRow="0" w:lastRow="0" w:firstColumn="0" w:lastColumn="0" w:noHBand="0" w:noVBand="1"/>
      </w:tblPr>
      <w:tblGrid>
        <w:gridCol w:w="3676"/>
        <w:gridCol w:w="5224"/>
      </w:tblGrid>
      <w:tr w:rsidR="007B31B2" w:rsidRPr="00390F83" w14:paraId="2C3DDD03" w14:textId="77777777" w:rsidTr="00EF7423">
        <w:trPr>
          <w:cantSplit/>
          <w:tblHeader/>
        </w:trPr>
        <w:tc>
          <w:tcPr>
            <w:tcW w:w="3676" w:type="dxa"/>
            <w:tcBorders>
              <w:top w:val="single" w:sz="8" w:space="0" w:color="000000"/>
              <w:left w:val="single" w:sz="8" w:space="0" w:color="000000"/>
              <w:bottom w:val="single" w:sz="8" w:space="0" w:color="000000"/>
              <w:right w:val="single" w:sz="8" w:space="0" w:color="000000"/>
            </w:tcBorders>
            <w:shd w:val="clear" w:color="auto" w:fill="D9D9D9"/>
          </w:tcPr>
          <w:p w14:paraId="656C54C3" w14:textId="77777777" w:rsidR="00E975C8" w:rsidRPr="00390F83" w:rsidRDefault="00F319AD">
            <w:pPr>
              <w:rPr>
                <w:b/>
                <w:color w:val="000000"/>
              </w:rPr>
            </w:pPr>
            <w:r w:rsidRPr="00390F83">
              <w:rPr>
                <w:b/>
                <w:color w:val="000000"/>
              </w:rPr>
              <w:t xml:space="preserve">Further </w:t>
            </w:r>
            <w:r w:rsidR="0043036B" w:rsidRPr="00390F83">
              <w:rPr>
                <w:b/>
                <w:color w:val="000000"/>
              </w:rPr>
              <w:t xml:space="preserve">emerging issues identified </w:t>
            </w:r>
          </w:p>
          <w:p w14:paraId="07FCBAA6" w14:textId="77777777" w:rsidR="00E975C8" w:rsidRPr="00390F83" w:rsidRDefault="0043036B">
            <w:pPr>
              <w:rPr>
                <w:b/>
                <w:color w:val="000000"/>
              </w:rPr>
            </w:pPr>
            <w:r w:rsidRPr="00390F83">
              <w:rPr>
                <w:b/>
                <w:color w:val="000000"/>
              </w:rPr>
              <w:t xml:space="preserve">by </w:t>
            </w:r>
            <w:r w:rsidR="008E77E1" w:rsidRPr="00390F83">
              <w:rPr>
                <w:b/>
                <w:color w:val="000000"/>
              </w:rPr>
              <w:t xml:space="preserve">the </w:t>
            </w:r>
            <w:r w:rsidRPr="00390F83">
              <w:rPr>
                <w:b/>
                <w:color w:val="000000"/>
              </w:rPr>
              <w:t>STRP</w:t>
            </w:r>
          </w:p>
        </w:tc>
        <w:tc>
          <w:tcPr>
            <w:tcW w:w="5224" w:type="dxa"/>
            <w:tcBorders>
              <w:top w:val="single" w:sz="8" w:space="0" w:color="000000"/>
              <w:left w:val="single" w:sz="8" w:space="0" w:color="000000"/>
              <w:bottom w:val="single" w:sz="8" w:space="0" w:color="000000"/>
              <w:right w:val="single" w:sz="8" w:space="0" w:color="000000"/>
            </w:tcBorders>
            <w:shd w:val="clear" w:color="auto" w:fill="D9D9D9"/>
          </w:tcPr>
          <w:p w14:paraId="059124CF" w14:textId="77777777" w:rsidR="00E975C8" w:rsidRPr="00390F83" w:rsidRDefault="00F319AD">
            <w:pPr>
              <w:rPr>
                <w:b/>
              </w:rPr>
            </w:pPr>
            <w:r w:rsidRPr="00390F83">
              <w:rPr>
                <w:b/>
              </w:rPr>
              <w:t>Description</w:t>
            </w:r>
          </w:p>
        </w:tc>
      </w:tr>
      <w:tr w:rsidR="007B31B2" w:rsidRPr="00390F83" w14:paraId="18DCAF2F" w14:textId="77777777" w:rsidTr="00EF7423">
        <w:trPr>
          <w:cantSplit/>
        </w:trPr>
        <w:tc>
          <w:tcPr>
            <w:tcW w:w="3676" w:type="dxa"/>
            <w:tcBorders>
              <w:top w:val="single" w:sz="8" w:space="0" w:color="000000"/>
              <w:left w:val="single" w:sz="8" w:space="0" w:color="000000"/>
              <w:bottom w:val="single" w:sz="8" w:space="0" w:color="000000"/>
              <w:right w:val="single" w:sz="8" w:space="0" w:color="000000"/>
            </w:tcBorders>
          </w:tcPr>
          <w:p w14:paraId="5C547E53" w14:textId="77777777" w:rsidR="00E975C8" w:rsidRPr="00390F83" w:rsidRDefault="00F319AD" w:rsidP="002867AE">
            <w:pPr>
              <w:pStyle w:val="ListParagraph"/>
              <w:numPr>
                <w:ilvl w:val="0"/>
                <w:numId w:val="14"/>
              </w:numPr>
              <w:ind w:left="242" w:hanging="242"/>
            </w:pPr>
            <w:r w:rsidRPr="00390F83">
              <w:t>Revised framework for the Convention and other MEAs to coordinate global reporting on wetland extent and degradation.</w:t>
            </w:r>
          </w:p>
        </w:tc>
        <w:tc>
          <w:tcPr>
            <w:tcW w:w="5224" w:type="dxa"/>
            <w:tcBorders>
              <w:top w:val="single" w:sz="8" w:space="0" w:color="000000"/>
              <w:left w:val="single" w:sz="8" w:space="0" w:color="000000"/>
              <w:bottom w:val="single" w:sz="8" w:space="0" w:color="000000"/>
              <w:right w:val="single" w:sz="8" w:space="0" w:color="000000"/>
            </w:tcBorders>
          </w:tcPr>
          <w:p w14:paraId="307F25DF" w14:textId="53EFFD94" w:rsidR="00E975C8" w:rsidRPr="00390F83" w:rsidRDefault="00F319AD">
            <w:pPr>
              <w:rPr>
                <w:color w:val="000000"/>
              </w:rPr>
            </w:pPr>
            <w:r w:rsidRPr="00390F83">
              <w:rPr>
                <w:color w:val="000000"/>
              </w:rPr>
              <w:t xml:space="preserve">Develop a </w:t>
            </w:r>
            <w:r w:rsidR="00036AF3" w:rsidRPr="00390F83">
              <w:rPr>
                <w:color w:val="000000"/>
              </w:rPr>
              <w:t>standardized</w:t>
            </w:r>
            <w:r w:rsidRPr="00390F83">
              <w:rPr>
                <w:color w:val="000000"/>
              </w:rPr>
              <w:t xml:space="preserve"> reporting framework to </w:t>
            </w:r>
            <w:r w:rsidR="00036AF3" w:rsidRPr="00390F83">
              <w:rPr>
                <w:color w:val="000000"/>
              </w:rPr>
              <w:t>harmonize</w:t>
            </w:r>
            <w:r w:rsidRPr="00390F83">
              <w:rPr>
                <w:color w:val="000000"/>
              </w:rPr>
              <w:t xml:space="preserve"> and enhance global coordination of data on wetland extent, condition, and degradation across multiple MEAs, improving monitoring and reporting on wetland health.</w:t>
            </w:r>
          </w:p>
        </w:tc>
      </w:tr>
      <w:tr w:rsidR="007B31B2" w:rsidRPr="00390F83" w14:paraId="35B536D0" w14:textId="77777777" w:rsidTr="00EF7423">
        <w:trPr>
          <w:cantSplit/>
        </w:trPr>
        <w:tc>
          <w:tcPr>
            <w:tcW w:w="3676" w:type="dxa"/>
            <w:tcBorders>
              <w:top w:val="single" w:sz="8" w:space="0" w:color="000000"/>
              <w:left w:val="single" w:sz="8" w:space="0" w:color="000000"/>
              <w:bottom w:val="single" w:sz="8" w:space="0" w:color="000000"/>
              <w:right w:val="single" w:sz="8" w:space="0" w:color="000000"/>
            </w:tcBorders>
          </w:tcPr>
          <w:p w14:paraId="65396960" w14:textId="77777777" w:rsidR="008F017C" w:rsidRPr="00390F83" w:rsidRDefault="00F319AD" w:rsidP="002867AE">
            <w:pPr>
              <w:pStyle w:val="ListParagraph"/>
              <w:numPr>
                <w:ilvl w:val="0"/>
                <w:numId w:val="14"/>
              </w:numPr>
              <w:ind w:left="242" w:hanging="242"/>
            </w:pPr>
            <w:r w:rsidRPr="00390F83">
              <w:t>Developing a comprehensive global wetland inventory</w:t>
            </w:r>
          </w:p>
        </w:tc>
        <w:tc>
          <w:tcPr>
            <w:tcW w:w="5224" w:type="dxa"/>
            <w:tcBorders>
              <w:top w:val="single" w:sz="8" w:space="0" w:color="000000"/>
              <w:left w:val="single" w:sz="8" w:space="0" w:color="000000"/>
              <w:bottom w:val="single" w:sz="8" w:space="0" w:color="000000"/>
              <w:right w:val="single" w:sz="8" w:space="0" w:color="000000"/>
            </w:tcBorders>
          </w:tcPr>
          <w:p w14:paraId="668C76C4" w14:textId="77777777" w:rsidR="008F017C" w:rsidRPr="00390F83" w:rsidRDefault="00F319AD">
            <w:pPr>
              <w:rPr>
                <w:color w:val="000000"/>
              </w:rPr>
            </w:pPr>
            <w:r w:rsidRPr="00390F83">
              <w:rPr>
                <w:color w:val="000000"/>
              </w:rPr>
              <w:t>Developing a global wetland inventory that consolidates existing data and fills in gaps to provide an accurate and comprehensive overview of wetland ecosystems worldwide.</w:t>
            </w:r>
          </w:p>
        </w:tc>
      </w:tr>
      <w:tr w:rsidR="007B31B2" w:rsidRPr="00390F83" w14:paraId="552D1CC9" w14:textId="77777777" w:rsidTr="00EF7423">
        <w:trPr>
          <w:cantSplit/>
        </w:trPr>
        <w:tc>
          <w:tcPr>
            <w:tcW w:w="3676" w:type="dxa"/>
            <w:tcBorders>
              <w:top w:val="single" w:sz="8" w:space="0" w:color="000000"/>
              <w:left w:val="single" w:sz="8" w:space="0" w:color="000000"/>
              <w:bottom w:val="single" w:sz="8" w:space="0" w:color="000000"/>
              <w:right w:val="single" w:sz="8" w:space="0" w:color="000000"/>
            </w:tcBorders>
          </w:tcPr>
          <w:p w14:paraId="04049BD6" w14:textId="77777777" w:rsidR="008F017C" w:rsidRPr="00390F83" w:rsidRDefault="00F319AD" w:rsidP="002867AE">
            <w:pPr>
              <w:pStyle w:val="ListParagraph"/>
              <w:numPr>
                <w:ilvl w:val="0"/>
                <w:numId w:val="14"/>
              </w:numPr>
              <w:ind w:left="242" w:hanging="242"/>
            </w:pPr>
            <w:r w:rsidRPr="00390F83">
              <w:t>Wetland mapping and inventory in a peri-urban context</w:t>
            </w:r>
          </w:p>
        </w:tc>
        <w:tc>
          <w:tcPr>
            <w:tcW w:w="5224" w:type="dxa"/>
            <w:tcBorders>
              <w:top w:val="single" w:sz="8" w:space="0" w:color="000000"/>
              <w:left w:val="single" w:sz="8" w:space="0" w:color="000000"/>
              <w:bottom w:val="single" w:sz="8" w:space="0" w:color="000000"/>
              <w:right w:val="single" w:sz="8" w:space="0" w:color="000000"/>
            </w:tcBorders>
          </w:tcPr>
          <w:p w14:paraId="3FDB2527" w14:textId="77777777" w:rsidR="008F017C" w:rsidRPr="00390F83" w:rsidRDefault="00F319AD">
            <w:pPr>
              <w:rPr>
                <w:color w:val="000000"/>
              </w:rPr>
            </w:pPr>
            <w:r w:rsidRPr="00390F83">
              <w:rPr>
                <w:color w:val="000000"/>
              </w:rPr>
              <w:t>Address the specific challenges of wetland mapping and inventorying in peri-urban areas, where pressures from urban expansion and land-use changes pose significant threats to wetland ecosystems.</w:t>
            </w:r>
          </w:p>
        </w:tc>
      </w:tr>
      <w:tr w:rsidR="007B31B2" w:rsidRPr="00390F83" w14:paraId="245079D0" w14:textId="77777777" w:rsidTr="00EF7423">
        <w:trPr>
          <w:cantSplit/>
        </w:trPr>
        <w:tc>
          <w:tcPr>
            <w:tcW w:w="3676" w:type="dxa"/>
            <w:tcBorders>
              <w:top w:val="single" w:sz="8" w:space="0" w:color="000000"/>
              <w:left w:val="single" w:sz="8" w:space="0" w:color="000000"/>
              <w:bottom w:val="single" w:sz="8" w:space="0" w:color="000000"/>
              <w:right w:val="single" w:sz="8" w:space="0" w:color="000000"/>
            </w:tcBorders>
          </w:tcPr>
          <w:p w14:paraId="3EB64022" w14:textId="77777777" w:rsidR="008F017C" w:rsidRPr="00390F83" w:rsidRDefault="00F319AD" w:rsidP="002867AE">
            <w:pPr>
              <w:pStyle w:val="ListParagraph"/>
              <w:numPr>
                <w:ilvl w:val="0"/>
                <w:numId w:val="14"/>
              </w:numPr>
              <w:ind w:left="242" w:hanging="242"/>
            </w:pPr>
            <w:r w:rsidRPr="00390F83">
              <w:t>Changes in hydrological cycles and how to manage drying cycles</w:t>
            </w:r>
          </w:p>
        </w:tc>
        <w:tc>
          <w:tcPr>
            <w:tcW w:w="5224" w:type="dxa"/>
            <w:tcBorders>
              <w:top w:val="single" w:sz="8" w:space="0" w:color="000000"/>
              <w:left w:val="single" w:sz="8" w:space="0" w:color="000000"/>
              <w:bottom w:val="single" w:sz="8" w:space="0" w:color="000000"/>
              <w:right w:val="single" w:sz="8" w:space="0" w:color="000000"/>
            </w:tcBorders>
          </w:tcPr>
          <w:p w14:paraId="70C72E84" w14:textId="77777777" w:rsidR="008F017C" w:rsidRPr="00390F83" w:rsidRDefault="00F319AD">
            <w:pPr>
              <w:rPr>
                <w:color w:val="000000"/>
              </w:rPr>
            </w:pPr>
            <w:r w:rsidRPr="00390F83">
              <w:rPr>
                <w:color w:val="000000"/>
              </w:rPr>
              <w:t>Explore the effects of changing hydrological cycles, including increased drying, on wetland ecosystems and develop strategies to manage these shifts to ensure wetland resilience and functionality</w:t>
            </w:r>
          </w:p>
        </w:tc>
      </w:tr>
      <w:tr w:rsidR="007B31B2" w:rsidRPr="00390F83" w14:paraId="78433082" w14:textId="77777777" w:rsidTr="00EF7423">
        <w:trPr>
          <w:cantSplit/>
        </w:trPr>
        <w:tc>
          <w:tcPr>
            <w:tcW w:w="3676" w:type="dxa"/>
            <w:tcBorders>
              <w:top w:val="single" w:sz="8" w:space="0" w:color="000000"/>
              <w:left w:val="single" w:sz="8" w:space="0" w:color="000000"/>
              <w:bottom w:val="single" w:sz="8" w:space="0" w:color="000000"/>
              <w:right w:val="single" w:sz="8" w:space="0" w:color="000000"/>
            </w:tcBorders>
          </w:tcPr>
          <w:p w14:paraId="3E5DDDC8" w14:textId="77777777" w:rsidR="00E975C8" w:rsidRPr="00390F83" w:rsidRDefault="00F319AD" w:rsidP="002867AE">
            <w:pPr>
              <w:pStyle w:val="ListParagraph"/>
              <w:numPr>
                <w:ilvl w:val="0"/>
                <w:numId w:val="14"/>
              </w:numPr>
              <w:ind w:left="242" w:hanging="242"/>
            </w:pPr>
            <w:r w:rsidRPr="00390F83">
              <w:t>Support for livelihoods of wetland communities</w:t>
            </w:r>
          </w:p>
        </w:tc>
        <w:tc>
          <w:tcPr>
            <w:tcW w:w="5224" w:type="dxa"/>
            <w:tcBorders>
              <w:top w:val="single" w:sz="8" w:space="0" w:color="000000"/>
              <w:left w:val="single" w:sz="8" w:space="0" w:color="000000"/>
              <w:bottom w:val="single" w:sz="8" w:space="0" w:color="000000"/>
              <w:right w:val="single" w:sz="8" w:space="0" w:color="000000"/>
            </w:tcBorders>
          </w:tcPr>
          <w:p w14:paraId="3212047E" w14:textId="77777777" w:rsidR="00E975C8" w:rsidRPr="00390F83" w:rsidRDefault="00F319AD">
            <w:pPr>
              <w:rPr>
                <w:color w:val="000000"/>
              </w:rPr>
            </w:pPr>
            <w:r w:rsidRPr="00390F83">
              <w:rPr>
                <w:color w:val="000000"/>
              </w:rPr>
              <w:t>Development of strategies to support and enhance the livelihoods of communities living in or around wetlands, ensuring that wetland conservation and wise use align with the social and economic well-being of local populations.</w:t>
            </w:r>
          </w:p>
        </w:tc>
      </w:tr>
      <w:tr w:rsidR="007B31B2" w:rsidRPr="00390F83" w14:paraId="6EB053D7" w14:textId="77777777" w:rsidTr="00EF7423">
        <w:trPr>
          <w:cantSplit/>
        </w:trPr>
        <w:tc>
          <w:tcPr>
            <w:tcW w:w="3676" w:type="dxa"/>
            <w:tcBorders>
              <w:top w:val="single" w:sz="8" w:space="0" w:color="000000"/>
              <w:left w:val="single" w:sz="8" w:space="0" w:color="000000"/>
              <w:bottom w:val="single" w:sz="8" w:space="0" w:color="000000"/>
              <w:right w:val="single" w:sz="8" w:space="0" w:color="000000"/>
            </w:tcBorders>
          </w:tcPr>
          <w:p w14:paraId="44A8EA28" w14:textId="77777777" w:rsidR="00E975C8" w:rsidRPr="00390F83" w:rsidRDefault="00F319AD" w:rsidP="002867AE">
            <w:pPr>
              <w:pStyle w:val="ListParagraph"/>
              <w:numPr>
                <w:ilvl w:val="0"/>
                <w:numId w:val="14"/>
              </w:numPr>
              <w:ind w:left="242" w:hanging="242"/>
            </w:pPr>
            <w:r w:rsidRPr="00390F83">
              <w:t>Impacts on wetlands from the shift to electric energy sources and mineral use</w:t>
            </w:r>
          </w:p>
        </w:tc>
        <w:tc>
          <w:tcPr>
            <w:tcW w:w="5224" w:type="dxa"/>
            <w:tcBorders>
              <w:top w:val="single" w:sz="8" w:space="0" w:color="000000"/>
              <w:left w:val="single" w:sz="8" w:space="0" w:color="000000"/>
              <w:bottom w:val="single" w:sz="8" w:space="0" w:color="000000"/>
              <w:right w:val="single" w:sz="8" w:space="0" w:color="000000"/>
            </w:tcBorders>
          </w:tcPr>
          <w:p w14:paraId="1F2BCEFC" w14:textId="77777777" w:rsidR="00E975C8" w:rsidRPr="00390F83" w:rsidRDefault="00F319AD">
            <w:pPr>
              <w:rPr>
                <w:color w:val="000000"/>
              </w:rPr>
            </w:pPr>
            <w:r w:rsidRPr="00390F83">
              <w:rPr>
                <w:color w:val="000000"/>
              </w:rPr>
              <w:t>Investigate the environmental impacts on wetlands resulting from the growing demand for electric energy sources and the extraction of minerals, particularly focusing on land-use changes, pollution, and habitat degradation</w:t>
            </w:r>
          </w:p>
        </w:tc>
      </w:tr>
      <w:tr w:rsidR="007B31B2" w:rsidRPr="00390F83" w14:paraId="2BE0CF1E" w14:textId="77777777" w:rsidTr="00EF7423">
        <w:trPr>
          <w:cantSplit/>
        </w:trPr>
        <w:tc>
          <w:tcPr>
            <w:tcW w:w="3676" w:type="dxa"/>
            <w:tcBorders>
              <w:top w:val="single" w:sz="8" w:space="0" w:color="000000"/>
              <w:left w:val="single" w:sz="8" w:space="0" w:color="000000"/>
              <w:bottom w:val="single" w:sz="8" w:space="0" w:color="000000"/>
              <w:right w:val="single" w:sz="8" w:space="0" w:color="000000"/>
            </w:tcBorders>
          </w:tcPr>
          <w:p w14:paraId="7D8D4514" w14:textId="77777777" w:rsidR="00E975C8" w:rsidRPr="00390F83" w:rsidRDefault="00F319AD" w:rsidP="002867AE">
            <w:pPr>
              <w:pStyle w:val="ListParagraph"/>
              <w:numPr>
                <w:ilvl w:val="0"/>
                <w:numId w:val="14"/>
              </w:numPr>
              <w:ind w:left="242" w:hanging="242"/>
            </w:pPr>
            <w:r w:rsidRPr="00390F83">
              <w:t>Challenges associated with biodiversity and carbon credits</w:t>
            </w:r>
          </w:p>
        </w:tc>
        <w:tc>
          <w:tcPr>
            <w:tcW w:w="5224" w:type="dxa"/>
            <w:tcBorders>
              <w:top w:val="single" w:sz="8" w:space="0" w:color="000000"/>
              <w:left w:val="single" w:sz="8" w:space="0" w:color="000000"/>
              <w:bottom w:val="single" w:sz="8" w:space="0" w:color="000000"/>
              <w:right w:val="single" w:sz="8" w:space="0" w:color="000000"/>
            </w:tcBorders>
          </w:tcPr>
          <w:p w14:paraId="2FA018B6" w14:textId="3398C9E5" w:rsidR="00E975C8" w:rsidRPr="00390F83" w:rsidRDefault="00F319AD">
            <w:pPr>
              <w:rPr>
                <w:color w:val="000000"/>
              </w:rPr>
            </w:pPr>
            <w:r w:rsidRPr="00390F83">
              <w:rPr>
                <w:color w:val="000000"/>
              </w:rPr>
              <w:t xml:space="preserve">Address the complexities and challenges of integrating biodiversity conservation and carbon credit mechanisms in wetland ecosystems, aiming to propose frameworks that can </w:t>
            </w:r>
            <w:r w:rsidR="00036AF3" w:rsidRPr="00390F83">
              <w:rPr>
                <w:color w:val="000000"/>
              </w:rPr>
              <w:t>maximize</w:t>
            </w:r>
            <w:r w:rsidRPr="00390F83">
              <w:rPr>
                <w:color w:val="000000"/>
              </w:rPr>
              <w:t xml:space="preserve"> both carbon sequestration and biodiversity protection</w:t>
            </w:r>
          </w:p>
        </w:tc>
      </w:tr>
      <w:tr w:rsidR="007B31B2" w:rsidRPr="00390F83" w14:paraId="500AE375" w14:textId="77777777" w:rsidTr="00EF7423">
        <w:trPr>
          <w:cantSplit/>
        </w:trPr>
        <w:tc>
          <w:tcPr>
            <w:tcW w:w="3676" w:type="dxa"/>
            <w:tcBorders>
              <w:top w:val="single" w:sz="8" w:space="0" w:color="000000"/>
              <w:left w:val="single" w:sz="8" w:space="0" w:color="000000"/>
              <w:bottom w:val="single" w:sz="8" w:space="0" w:color="000000"/>
              <w:right w:val="single" w:sz="8" w:space="0" w:color="000000"/>
            </w:tcBorders>
          </w:tcPr>
          <w:p w14:paraId="6A7672EF" w14:textId="77777777" w:rsidR="00E975C8" w:rsidRPr="00390F83" w:rsidRDefault="00F319AD" w:rsidP="002867AE">
            <w:pPr>
              <w:pStyle w:val="ListParagraph"/>
              <w:numPr>
                <w:ilvl w:val="0"/>
                <w:numId w:val="14"/>
              </w:numPr>
              <w:ind w:left="242" w:hanging="242"/>
              <w:rPr>
                <w:color w:val="000000"/>
              </w:rPr>
            </w:pPr>
            <w:r w:rsidRPr="00390F83">
              <w:t>Integrated wetland assessments to address threats at the river basin scale</w:t>
            </w:r>
          </w:p>
        </w:tc>
        <w:tc>
          <w:tcPr>
            <w:tcW w:w="5224" w:type="dxa"/>
            <w:tcBorders>
              <w:top w:val="single" w:sz="8" w:space="0" w:color="000000"/>
              <w:left w:val="single" w:sz="8" w:space="0" w:color="000000"/>
              <w:bottom w:val="single" w:sz="8" w:space="0" w:color="000000"/>
              <w:right w:val="single" w:sz="8" w:space="0" w:color="000000"/>
            </w:tcBorders>
          </w:tcPr>
          <w:p w14:paraId="5D242E23" w14:textId="77777777" w:rsidR="00E975C8" w:rsidRPr="00390F83" w:rsidRDefault="00F319AD">
            <w:pPr>
              <w:rPr>
                <w:color w:val="000000"/>
              </w:rPr>
            </w:pPr>
            <w:r w:rsidRPr="00390F83">
              <w:rPr>
                <w:color w:val="000000"/>
              </w:rPr>
              <w:t>Assessment of wetland ecosystems at the river basin scale, incorporating hydrological, ecological, and socio-economic factors to address threats holistically and promote basin-wide wetland management.</w:t>
            </w:r>
          </w:p>
        </w:tc>
      </w:tr>
      <w:tr w:rsidR="007B31B2" w:rsidRPr="00390F83" w14:paraId="56F79CF2" w14:textId="77777777" w:rsidTr="00EF7423">
        <w:trPr>
          <w:cantSplit/>
        </w:trPr>
        <w:tc>
          <w:tcPr>
            <w:tcW w:w="3676" w:type="dxa"/>
            <w:tcBorders>
              <w:top w:val="single" w:sz="8" w:space="0" w:color="000000"/>
              <w:left w:val="single" w:sz="8" w:space="0" w:color="000000"/>
              <w:bottom w:val="single" w:sz="8" w:space="0" w:color="000000"/>
              <w:right w:val="single" w:sz="8" w:space="0" w:color="000000"/>
            </w:tcBorders>
          </w:tcPr>
          <w:p w14:paraId="4CC4EB2D" w14:textId="77777777" w:rsidR="00E975C8" w:rsidRPr="00390F83" w:rsidRDefault="00F319AD" w:rsidP="002867AE">
            <w:pPr>
              <w:pStyle w:val="ListParagraph"/>
              <w:numPr>
                <w:ilvl w:val="0"/>
                <w:numId w:val="14"/>
              </w:numPr>
              <w:ind w:left="242" w:hanging="242"/>
              <w:rPr>
                <w:color w:val="000000"/>
              </w:rPr>
            </w:pPr>
            <w:r w:rsidRPr="00390F83">
              <w:t>Carbon capture potential for mineral soil wetlands</w:t>
            </w:r>
          </w:p>
        </w:tc>
        <w:tc>
          <w:tcPr>
            <w:tcW w:w="5224" w:type="dxa"/>
            <w:tcBorders>
              <w:top w:val="single" w:sz="8" w:space="0" w:color="000000"/>
              <w:left w:val="single" w:sz="8" w:space="0" w:color="000000"/>
              <w:bottom w:val="single" w:sz="8" w:space="0" w:color="000000"/>
              <w:right w:val="single" w:sz="8" w:space="0" w:color="000000"/>
            </w:tcBorders>
          </w:tcPr>
          <w:p w14:paraId="397EF7DD" w14:textId="77777777" w:rsidR="00E975C8" w:rsidRPr="00390F83" w:rsidRDefault="00F319AD">
            <w:pPr>
              <w:rPr>
                <w:color w:val="000000"/>
              </w:rPr>
            </w:pPr>
            <w:r w:rsidRPr="00390F83">
              <w:rPr>
                <w:color w:val="000000"/>
              </w:rPr>
              <w:t>Explore the carbon sequestration capacity of mineral soil wetlands, evaluating their role in mitigating climate change and developing best practices for their conservation and restoration.</w:t>
            </w:r>
          </w:p>
        </w:tc>
      </w:tr>
      <w:tr w:rsidR="007B31B2" w:rsidRPr="00390F83" w14:paraId="6017FF48" w14:textId="77777777" w:rsidTr="00EF7423">
        <w:trPr>
          <w:cantSplit/>
        </w:trPr>
        <w:tc>
          <w:tcPr>
            <w:tcW w:w="3676" w:type="dxa"/>
            <w:tcBorders>
              <w:top w:val="single" w:sz="8" w:space="0" w:color="000000"/>
              <w:left w:val="single" w:sz="8" w:space="0" w:color="000000"/>
              <w:bottom w:val="single" w:sz="8" w:space="0" w:color="000000"/>
              <w:right w:val="single" w:sz="8" w:space="0" w:color="000000"/>
            </w:tcBorders>
          </w:tcPr>
          <w:p w14:paraId="744CCA93" w14:textId="77777777" w:rsidR="00E975C8" w:rsidRPr="00390F83" w:rsidRDefault="00F319AD" w:rsidP="002867AE">
            <w:pPr>
              <w:pStyle w:val="ListParagraph"/>
              <w:numPr>
                <w:ilvl w:val="0"/>
                <w:numId w:val="14"/>
              </w:numPr>
              <w:ind w:left="242" w:hanging="242"/>
            </w:pPr>
            <w:r w:rsidRPr="00390F83">
              <w:t>Plastic pollution in wetlands and wetland species</w:t>
            </w:r>
          </w:p>
        </w:tc>
        <w:tc>
          <w:tcPr>
            <w:tcW w:w="5224" w:type="dxa"/>
            <w:tcBorders>
              <w:top w:val="single" w:sz="8" w:space="0" w:color="000000"/>
              <w:left w:val="single" w:sz="8" w:space="0" w:color="000000"/>
              <w:bottom w:val="single" w:sz="8" w:space="0" w:color="000000"/>
              <w:right w:val="single" w:sz="8" w:space="0" w:color="000000"/>
            </w:tcBorders>
          </w:tcPr>
          <w:p w14:paraId="4104615D" w14:textId="77777777" w:rsidR="00E975C8" w:rsidRPr="00390F83" w:rsidRDefault="00F319AD">
            <w:pPr>
              <w:rPr>
                <w:color w:val="000000"/>
              </w:rPr>
            </w:pPr>
            <w:r w:rsidRPr="00390F83">
              <w:rPr>
                <w:color w:val="000000"/>
              </w:rPr>
              <w:t>Examine the extent and impacts of plastic pollution in wetland ecosystems, particularly its effects on wetland species, and propose strategies to reduce and manage plastic waste in these critical habitats.</w:t>
            </w:r>
          </w:p>
        </w:tc>
      </w:tr>
      <w:tr w:rsidR="007B31B2" w:rsidRPr="00390F83" w14:paraId="2E7BA8DB" w14:textId="77777777" w:rsidTr="00EF7423">
        <w:trPr>
          <w:cantSplit/>
        </w:trPr>
        <w:tc>
          <w:tcPr>
            <w:tcW w:w="3676" w:type="dxa"/>
            <w:tcBorders>
              <w:top w:val="single" w:sz="8" w:space="0" w:color="000000"/>
              <w:left w:val="single" w:sz="8" w:space="0" w:color="000000"/>
              <w:bottom w:val="single" w:sz="8" w:space="0" w:color="000000"/>
              <w:right w:val="single" w:sz="8" w:space="0" w:color="000000"/>
            </w:tcBorders>
          </w:tcPr>
          <w:p w14:paraId="13A94679" w14:textId="77777777" w:rsidR="00E975C8" w:rsidRPr="00390F83" w:rsidRDefault="00F319AD" w:rsidP="002867AE">
            <w:pPr>
              <w:pStyle w:val="ListParagraph"/>
              <w:numPr>
                <w:ilvl w:val="0"/>
                <w:numId w:val="14"/>
              </w:numPr>
              <w:ind w:left="242" w:hanging="242"/>
              <w:rPr>
                <w:color w:val="000000"/>
              </w:rPr>
            </w:pPr>
            <w:r w:rsidRPr="00390F83">
              <w:t>Wetlands of International Importance – guidance on shifting baselines (ecological character)</w:t>
            </w:r>
          </w:p>
        </w:tc>
        <w:tc>
          <w:tcPr>
            <w:tcW w:w="5224" w:type="dxa"/>
            <w:tcBorders>
              <w:top w:val="single" w:sz="8" w:space="0" w:color="000000"/>
              <w:left w:val="single" w:sz="8" w:space="0" w:color="000000"/>
              <w:bottom w:val="single" w:sz="8" w:space="0" w:color="000000"/>
              <w:right w:val="single" w:sz="8" w:space="0" w:color="000000"/>
            </w:tcBorders>
          </w:tcPr>
          <w:p w14:paraId="60015736" w14:textId="77777777" w:rsidR="00E975C8" w:rsidRPr="00390F83" w:rsidRDefault="00F319AD">
            <w:pPr>
              <w:rPr>
                <w:color w:val="000000"/>
              </w:rPr>
            </w:pPr>
            <w:r w:rsidRPr="00390F83">
              <w:rPr>
                <w:color w:val="000000"/>
              </w:rPr>
              <w:t>Provide updated guidance on managing Wetlands of International Importance in the face of shifting ecological baselines.</w:t>
            </w:r>
          </w:p>
        </w:tc>
      </w:tr>
      <w:tr w:rsidR="007B31B2" w:rsidRPr="00390F83" w14:paraId="66BC1EBB" w14:textId="77777777" w:rsidTr="00EF7423">
        <w:trPr>
          <w:cantSplit/>
        </w:trPr>
        <w:tc>
          <w:tcPr>
            <w:tcW w:w="3676" w:type="dxa"/>
            <w:tcBorders>
              <w:top w:val="single" w:sz="8" w:space="0" w:color="000000"/>
              <w:left w:val="single" w:sz="8" w:space="0" w:color="000000"/>
              <w:bottom w:val="single" w:sz="8" w:space="0" w:color="000000"/>
              <w:right w:val="single" w:sz="8" w:space="0" w:color="000000"/>
            </w:tcBorders>
          </w:tcPr>
          <w:p w14:paraId="5909A529" w14:textId="77777777" w:rsidR="00E975C8" w:rsidRPr="00390F83" w:rsidRDefault="00F319AD" w:rsidP="002867AE">
            <w:pPr>
              <w:pStyle w:val="ListParagraph"/>
              <w:numPr>
                <w:ilvl w:val="0"/>
                <w:numId w:val="14"/>
              </w:numPr>
              <w:ind w:left="242" w:hanging="242"/>
            </w:pPr>
            <w:r w:rsidRPr="00390F83">
              <w:t>Nexus assessment – building on the IPBES assessment in a wetland context</w:t>
            </w:r>
          </w:p>
        </w:tc>
        <w:tc>
          <w:tcPr>
            <w:tcW w:w="5224" w:type="dxa"/>
            <w:tcBorders>
              <w:top w:val="single" w:sz="8" w:space="0" w:color="000000"/>
              <w:left w:val="single" w:sz="8" w:space="0" w:color="000000"/>
              <w:bottom w:val="single" w:sz="8" w:space="0" w:color="000000"/>
              <w:right w:val="single" w:sz="8" w:space="0" w:color="000000"/>
            </w:tcBorders>
          </w:tcPr>
          <w:p w14:paraId="6211FA4C" w14:textId="77777777" w:rsidR="00E975C8" w:rsidRPr="00390F83" w:rsidRDefault="00F319AD">
            <w:pPr>
              <w:rPr>
                <w:color w:val="000000"/>
              </w:rPr>
            </w:pPr>
            <w:r w:rsidRPr="00390F83">
              <w:rPr>
                <w:color w:val="000000"/>
              </w:rPr>
              <w:t>Building on the IPBES assessment, applying its nexus framework to wetlands to evaluate the interconnectedness of water, biodiversity, food, and climate.</w:t>
            </w:r>
          </w:p>
        </w:tc>
      </w:tr>
      <w:tr w:rsidR="007B31B2" w:rsidRPr="00390F83" w14:paraId="04844A37" w14:textId="77777777" w:rsidTr="00EF7423">
        <w:trPr>
          <w:cantSplit/>
        </w:trPr>
        <w:tc>
          <w:tcPr>
            <w:tcW w:w="3676" w:type="dxa"/>
            <w:tcBorders>
              <w:top w:val="single" w:sz="8" w:space="0" w:color="000000"/>
              <w:left w:val="single" w:sz="8" w:space="0" w:color="000000"/>
              <w:bottom w:val="single" w:sz="8" w:space="0" w:color="000000"/>
              <w:right w:val="single" w:sz="8" w:space="0" w:color="000000"/>
            </w:tcBorders>
          </w:tcPr>
          <w:p w14:paraId="59F3E611" w14:textId="77777777" w:rsidR="00E975C8" w:rsidRPr="00390F83" w:rsidRDefault="00F319AD" w:rsidP="002867AE">
            <w:pPr>
              <w:pStyle w:val="ListParagraph"/>
              <w:numPr>
                <w:ilvl w:val="0"/>
                <w:numId w:val="14"/>
              </w:numPr>
              <w:ind w:left="242" w:hanging="242"/>
            </w:pPr>
            <w:r w:rsidRPr="00390F83">
              <w:t>Wise use of wetlands:</w:t>
            </w:r>
            <w:r w:rsidR="00416D23" w:rsidRPr="00390F83">
              <w:t xml:space="preserve"> </w:t>
            </w:r>
            <w:r w:rsidRPr="00390F83">
              <w:t>updated guidance</w:t>
            </w:r>
          </w:p>
        </w:tc>
        <w:tc>
          <w:tcPr>
            <w:tcW w:w="5224" w:type="dxa"/>
            <w:tcBorders>
              <w:top w:val="single" w:sz="8" w:space="0" w:color="000000"/>
              <w:left w:val="single" w:sz="8" w:space="0" w:color="000000"/>
              <w:bottom w:val="single" w:sz="8" w:space="0" w:color="000000"/>
              <w:right w:val="single" w:sz="8" w:space="0" w:color="000000"/>
            </w:tcBorders>
          </w:tcPr>
          <w:p w14:paraId="7CCDF6DC" w14:textId="77777777" w:rsidR="00E975C8" w:rsidRPr="00390F83" w:rsidRDefault="00F319AD">
            <w:pPr>
              <w:rPr>
                <w:color w:val="000000"/>
              </w:rPr>
            </w:pPr>
            <w:r w:rsidRPr="00390F83">
              <w:rPr>
                <w:color w:val="000000"/>
              </w:rPr>
              <w:t>Propose revisions and updates to the Convention’s guidance on the wise use of wetlands, incorporating new scientific knowledge, best practices, and emerging environmental challenges.</w:t>
            </w:r>
          </w:p>
        </w:tc>
      </w:tr>
      <w:tr w:rsidR="007B31B2" w:rsidRPr="00390F83" w14:paraId="400619FC" w14:textId="77777777" w:rsidTr="00EF7423">
        <w:trPr>
          <w:cantSplit/>
        </w:trPr>
        <w:tc>
          <w:tcPr>
            <w:tcW w:w="3676" w:type="dxa"/>
            <w:tcBorders>
              <w:top w:val="single" w:sz="8" w:space="0" w:color="000000"/>
              <w:left w:val="single" w:sz="8" w:space="0" w:color="000000"/>
              <w:bottom w:val="single" w:sz="8" w:space="0" w:color="000000"/>
              <w:right w:val="single" w:sz="8" w:space="0" w:color="000000"/>
            </w:tcBorders>
          </w:tcPr>
          <w:p w14:paraId="621FCFDC" w14:textId="77777777" w:rsidR="00E975C8" w:rsidRPr="00390F83" w:rsidRDefault="00F319AD" w:rsidP="002867AE">
            <w:pPr>
              <w:pStyle w:val="ListParagraph"/>
              <w:numPr>
                <w:ilvl w:val="0"/>
                <w:numId w:val="14"/>
              </w:numPr>
              <w:ind w:left="242" w:hanging="242"/>
              <w:rPr>
                <w:color w:val="000000"/>
              </w:rPr>
            </w:pPr>
            <w:r w:rsidRPr="00390F83">
              <w:t>Further work on ‘other effective area-based conservation measures’ (OECMs)</w:t>
            </w:r>
          </w:p>
        </w:tc>
        <w:tc>
          <w:tcPr>
            <w:tcW w:w="5224" w:type="dxa"/>
            <w:tcBorders>
              <w:top w:val="single" w:sz="8" w:space="0" w:color="000000"/>
              <w:left w:val="single" w:sz="8" w:space="0" w:color="000000"/>
              <w:bottom w:val="single" w:sz="8" w:space="0" w:color="000000"/>
              <w:right w:val="single" w:sz="8" w:space="0" w:color="000000"/>
            </w:tcBorders>
          </w:tcPr>
          <w:p w14:paraId="79760761" w14:textId="198D30F5" w:rsidR="00E975C8" w:rsidRPr="00390F83" w:rsidRDefault="00F319AD">
            <w:pPr>
              <w:rPr>
                <w:color w:val="000000"/>
              </w:rPr>
            </w:pPr>
            <w:r w:rsidRPr="00390F83">
              <w:rPr>
                <w:color w:val="000000"/>
              </w:rPr>
              <w:t xml:space="preserve">Further explore the application and integration of OECMs in wetland conservation, identifying opportunities to </w:t>
            </w:r>
            <w:r w:rsidR="0022105A" w:rsidRPr="00390F83">
              <w:rPr>
                <w:color w:val="000000"/>
              </w:rPr>
              <w:t>recognize</w:t>
            </w:r>
            <w:r w:rsidRPr="00390F83">
              <w:rPr>
                <w:color w:val="000000"/>
              </w:rPr>
              <w:t xml:space="preserve"> and support non-traditional conservation areas.</w:t>
            </w:r>
          </w:p>
        </w:tc>
      </w:tr>
    </w:tbl>
    <w:p w14:paraId="451FBB3A" w14:textId="77777777" w:rsidR="00985E4A" w:rsidRPr="00390F83" w:rsidRDefault="00F319AD" w:rsidP="00985E4A">
      <w:r w:rsidRPr="00390F83">
        <w:br w:type="page"/>
      </w:r>
    </w:p>
    <w:p w14:paraId="6D5E8260" w14:textId="77777777" w:rsidR="006C37E3" w:rsidRPr="00EF7423" w:rsidRDefault="00F319AD" w:rsidP="006C37E3">
      <w:pPr>
        <w:rPr>
          <w:rFonts w:eastAsia="Times New Roman"/>
          <w:b/>
          <w:bCs w:val="0"/>
          <w:sz w:val="24"/>
          <w:szCs w:val="24"/>
        </w:rPr>
      </w:pPr>
      <w:r w:rsidRPr="00EF7423">
        <w:rPr>
          <w:rFonts w:eastAsia="Times New Roman"/>
          <w:b/>
          <w:sz w:val="24"/>
          <w:szCs w:val="24"/>
        </w:rPr>
        <w:t xml:space="preserve">Annex </w:t>
      </w:r>
      <w:r w:rsidR="008E77E1" w:rsidRPr="00EF7423">
        <w:rPr>
          <w:rFonts w:eastAsia="Times New Roman"/>
          <w:b/>
          <w:sz w:val="24"/>
          <w:szCs w:val="24"/>
        </w:rPr>
        <w:t>2</w:t>
      </w:r>
    </w:p>
    <w:p w14:paraId="5DBC82B3" w14:textId="7E1E197B" w:rsidR="006C37E3" w:rsidRPr="00390F83" w:rsidRDefault="00F319AD" w:rsidP="006C37E3">
      <w:pPr>
        <w:rPr>
          <w:rFonts w:eastAsia="Times New Roman"/>
          <w:b/>
          <w:bCs w:val="0"/>
        </w:rPr>
      </w:pPr>
      <w:r w:rsidRPr="00EF7423">
        <w:rPr>
          <w:rFonts w:eastAsia="Times New Roman"/>
          <w:b/>
          <w:sz w:val="24"/>
          <w:szCs w:val="24"/>
        </w:rPr>
        <w:t>Guidance on using alternative population estimates under Criterion 6</w:t>
      </w:r>
    </w:p>
    <w:p w14:paraId="23EF078A" w14:textId="77777777" w:rsidR="006C37E3" w:rsidRPr="00390F83" w:rsidRDefault="006C37E3" w:rsidP="006C37E3">
      <w:pPr>
        <w:rPr>
          <w:rFonts w:eastAsia="Times New Roman"/>
          <w:b/>
          <w:bCs w:val="0"/>
        </w:rPr>
      </w:pPr>
    </w:p>
    <w:p w14:paraId="2400EBF0" w14:textId="77777777" w:rsidR="006C37E3" w:rsidRPr="00390F83" w:rsidRDefault="00F319AD" w:rsidP="006C37E3">
      <w:pPr>
        <w:rPr>
          <w:rFonts w:eastAsia="Times New Roman"/>
          <w:b/>
          <w:bCs w:val="0"/>
        </w:rPr>
      </w:pPr>
      <w:r w:rsidRPr="00390F83">
        <w:rPr>
          <w:rFonts w:eastAsia="Times New Roman"/>
          <w:b/>
        </w:rPr>
        <w:t>Background</w:t>
      </w:r>
    </w:p>
    <w:p w14:paraId="52680F82" w14:textId="77777777" w:rsidR="006C37E3" w:rsidRPr="00390F83" w:rsidRDefault="006C37E3" w:rsidP="006C37E3">
      <w:pPr>
        <w:ind w:left="432" w:hanging="432"/>
        <w:rPr>
          <w:rFonts w:eastAsia="Calibri"/>
        </w:rPr>
      </w:pPr>
    </w:p>
    <w:p w14:paraId="7D27C657" w14:textId="77777777" w:rsidR="006C37E3" w:rsidRPr="00390F83" w:rsidRDefault="00F319AD" w:rsidP="006C37E3">
      <w:pPr>
        <w:ind w:left="432" w:hanging="432"/>
        <w:rPr>
          <w:rFonts w:eastAsia="Calibri"/>
        </w:rPr>
      </w:pPr>
      <w:r w:rsidRPr="00390F83">
        <w:rPr>
          <w:rFonts w:eastAsia="Calibri"/>
        </w:rPr>
        <w:t>1.</w:t>
      </w:r>
      <w:r w:rsidRPr="00390F83">
        <w:rPr>
          <w:rFonts w:eastAsia="Calibri"/>
        </w:rPr>
        <w:tab/>
      </w:r>
      <w:r w:rsidR="006D0D44" w:rsidRPr="00390F83">
        <w:rPr>
          <w:rFonts w:eastAsia="Calibri"/>
        </w:rPr>
        <w:t xml:space="preserve">The Waterbirds Populations Portal (WPP), managed by Wetlands International, </w:t>
      </w:r>
      <w:r w:rsidRPr="00390F83">
        <w:rPr>
          <w:rFonts w:eastAsia="Calibri"/>
        </w:rPr>
        <w:t xml:space="preserve">includes information from the Waterbird Population Estimates (editions 1-5) and for migratory species based on Conservation Status Reviews (CSRs) produced by the African Eurasian Waterbird Agreement (AEWA) and East Asian - Australasian Flyway Partnership (EAAFP). </w:t>
      </w:r>
    </w:p>
    <w:p w14:paraId="79F0E8D2" w14:textId="77777777" w:rsidR="006C37E3" w:rsidRPr="00390F83" w:rsidRDefault="006C37E3" w:rsidP="006C37E3">
      <w:pPr>
        <w:ind w:left="432" w:hanging="432"/>
        <w:rPr>
          <w:rFonts w:eastAsia="Calibri"/>
        </w:rPr>
      </w:pPr>
    </w:p>
    <w:p w14:paraId="2A20ABD0" w14:textId="77777777" w:rsidR="006C37E3" w:rsidRPr="00390F83" w:rsidRDefault="00F319AD" w:rsidP="006C37E3">
      <w:pPr>
        <w:ind w:left="432" w:hanging="432"/>
        <w:rPr>
          <w:rFonts w:eastAsia="Calibri"/>
        </w:rPr>
      </w:pPr>
      <w:r w:rsidRPr="00390F83">
        <w:rPr>
          <w:rFonts w:eastAsia="Calibri"/>
        </w:rPr>
        <w:t>2.</w:t>
      </w:r>
      <w:r w:rsidRPr="00390F83">
        <w:rPr>
          <w:rFonts w:eastAsia="Calibri"/>
        </w:rPr>
        <w:tab/>
        <w:t>The 5th edition of the global WPE was produced in 2012. The population size and trend estimates and derived 1% thresholds provided through the CSRs give the latest information for these populations and should be used for the designation of Wetlands of International Importance. AEWA and the EAAFP are reviewing and updating these CSRs as per their established processes. Information from the CSRs feeds into the WPE updates. It should be used if a more up-to-date CSR estimate exists for a migratory population than that presented in WPE5.</w:t>
      </w:r>
    </w:p>
    <w:p w14:paraId="426C1737" w14:textId="77777777" w:rsidR="006C37E3" w:rsidRPr="00390F83" w:rsidRDefault="006C37E3" w:rsidP="006C37E3">
      <w:pPr>
        <w:ind w:left="432" w:hanging="432"/>
        <w:rPr>
          <w:rFonts w:eastAsia="Calibri"/>
        </w:rPr>
      </w:pPr>
    </w:p>
    <w:p w14:paraId="47C36BDA" w14:textId="77777777" w:rsidR="006C37E3" w:rsidRPr="00390F83" w:rsidRDefault="00F319AD" w:rsidP="006C37E3">
      <w:pPr>
        <w:ind w:left="432" w:hanging="432"/>
        <w:rPr>
          <w:rFonts w:eastAsia="Calibri"/>
        </w:rPr>
      </w:pPr>
      <w:r w:rsidRPr="00390F83">
        <w:rPr>
          <w:rFonts w:eastAsia="Calibri"/>
        </w:rPr>
        <w:t>3.</w:t>
      </w:r>
      <w:r w:rsidRPr="00390F83">
        <w:rPr>
          <w:rFonts w:eastAsia="Calibri"/>
        </w:rPr>
        <w:tab/>
        <w:t xml:space="preserve">As per </w:t>
      </w:r>
      <w:hyperlink r:id="rId17" w:history="1">
        <w:r w:rsidRPr="00390F83">
          <w:rPr>
            <w:rStyle w:val="Hyperlink"/>
            <w:rFonts w:eastAsia="Calibri"/>
          </w:rPr>
          <w:t>Resolution XIV.18</w:t>
        </w:r>
      </w:hyperlink>
      <w:r w:rsidRPr="00390F83">
        <w:rPr>
          <w:rFonts w:eastAsia="Calibri"/>
        </w:rPr>
        <w:t xml:space="preserve"> “Waterbird population estimates to support new and existing Wetlands of International Importance designations under Convention on Wetlands Criterion 6 – use of alternative estimates”</w:t>
      </w:r>
      <w:r w:rsidR="001379C7" w:rsidRPr="00390F83">
        <w:rPr>
          <w:rFonts w:eastAsia="Calibri"/>
        </w:rPr>
        <w:t>:</w:t>
      </w:r>
    </w:p>
    <w:p w14:paraId="2F0D5FFD" w14:textId="77777777" w:rsidR="006C37E3" w:rsidRPr="00390F83" w:rsidRDefault="006C37E3" w:rsidP="006C37E3">
      <w:pPr>
        <w:ind w:left="432" w:hanging="432"/>
        <w:rPr>
          <w:rFonts w:eastAsia="Calibri"/>
        </w:rPr>
      </w:pPr>
    </w:p>
    <w:tbl>
      <w:tblPr>
        <w:tblStyle w:val="TableGrid"/>
        <w:tblW w:w="9639" w:type="dxa"/>
        <w:tblInd w:w="-5" w:type="dxa"/>
        <w:tblLook w:val="04A0" w:firstRow="1" w:lastRow="0" w:firstColumn="1" w:lastColumn="0" w:noHBand="0" w:noVBand="1"/>
      </w:tblPr>
      <w:tblGrid>
        <w:gridCol w:w="9639"/>
      </w:tblGrid>
      <w:tr w:rsidR="007B31B2" w:rsidRPr="00390F83" w14:paraId="7819AF4B" w14:textId="77777777" w:rsidTr="00EF7423">
        <w:tc>
          <w:tcPr>
            <w:tcW w:w="9639" w:type="dxa"/>
          </w:tcPr>
          <w:p w14:paraId="2F2845ED" w14:textId="77777777" w:rsidR="006C37E3" w:rsidRPr="00390F83" w:rsidRDefault="00F319AD" w:rsidP="00634154">
            <w:pPr>
              <w:spacing w:before="120" w:after="120"/>
              <w:ind w:left="274" w:hanging="360"/>
              <w:rPr>
                <w:rFonts w:eastAsia="Calibri"/>
              </w:rPr>
            </w:pPr>
            <w:r w:rsidRPr="00390F83">
              <w:rPr>
                <w:rFonts w:eastAsia="Calibri"/>
              </w:rPr>
              <w:t>11. “AGREES that until the Waterbird Population Estimates are updated with accurate population estimates, alternative data sources may be used by Contracting Parties for the purposes of determining the 1% threshold in the context of applying Ramsar Criterion 6, provided:</w:t>
            </w:r>
          </w:p>
          <w:p w14:paraId="370F66D8" w14:textId="77777777" w:rsidR="006C37E3" w:rsidRPr="00390F83" w:rsidRDefault="00F319AD" w:rsidP="00EF7423">
            <w:pPr>
              <w:pStyle w:val="ListParagraph"/>
              <w:numPr>
                <w:ilvl w:val="0"/>
                <w:numId w:val="10"/>
              </w:numPr>
              <w:rPr>
                <w:rFonts w:eastAsia="Calibri"/>
              </w:rPr>
            </w:pPr>
            <w:r w:rsidRPr="00390F83">
              <w:rPr>
                <w:rFonts w:eastAsia="Calibri"/>
              </w:rPr>
              <w:t>that the biogeographical population of the species concerned is clearly stated for the species as listed in Waterbird Population Estimates available through the Waterbird Populations Portal;</w:t>
            </w:r>
          </w:p>
          <w:p w14:paraId="64E94CD3" w14:textId="77777777" w:rsidR="006C37E3" w:rsidRPr="00390F83" w:rsidRDefault="00F319AD" w:rsidP="00EF7423">
            <w:pPr>
              <w:pStyle w:val="ListParagraph"/>
              <w:numPr>
                <w:ilvl w:val="0"/>
                <w:numId w:val="10"/>
              </w:numPr>
              <w:rPr>
                <w:rFonts w:eastAsia="Calibri"/>
              </w:rPr>
            </w:pPr>
            <w:r w:rsidRPr="00390F83">
              <w:rPr>
                <w:rFonts w:eastAsia="Calibri"/>
              </w:rPr>
              <w:t>that such thresholds should be derived from estimates that are published in the Waterbird Populations Portal, for migratory species, based on Conservation Status Reviews (CSRs) produced under the auspices of flyway instruments or other peer-reviewed assessments for other migratory populations for which CSR-type assessments do not exist as well as for non-migratory and endemic populations;</w:t>
            </w:r>
          </w:p>
          <w:p w14:paraId="65352B1E" w14:textId="77777777" w:rsidR="006C37E3" w:rsidRPr="00390F83" w:rsidRDefault="00F319AD" w:rsidP="00EF7423">
            <w:pPr>
              <w:pStyle w:val="ListParagraph"/>
              <w:numPr>
                <w:ilvl w:val="0"/>
                <w:numId w:val="10"/>
              </w:numPr>
              <w:rPr>
                <w:rFonts w:eastAsia="Calibri"/>
              </w:rPr>
            </w:pPr>
            <w:r w:rsidRPr="00390F83">
              <w:rPr>
                <w:rFonts w:eastAsia="Calibri"/>
              </w:rPr>
              <w:t>that the reasons why a new estimate is considered more appropriate are documented with a clear audit trail to original sources, thus allowing third parties to check any derivation of the estimate;</w:t>
            </w:r>
          </w:p>
          <w:p w14:paraId="43C41064" w14:textId="77777777" w:rsidR="006C37E3" w:rsidRPr="00390F83" w:rsidRDefault="00F319AD" w:rsidP="00EF7423">
            <w:pPr>
              <w:pStyle w:val="ListParagraph"/>
              <w:numPr>
                <w:ilvl w:val="0"/>
                <w:numId w:val="10"/>
              </w:numPr>
              <w:rPr>
                <w:rFonts w:eastAsia="Calibri"/>
              </w:rPr>
            </w:pPr>
            <w:r w:rsidRPr="00390F83">
              <w:rPr>
                <w:rFonts w:eastAsia="Calibri"/>
              </w:rPr>
              <w:t>that the standard methodology used for the Waterbird Populations Portal to convert from a biogeographic population estimate size to a 1% population threshold should be used; and</w:t>
            </w:r>
          </w:p>
          <w:p w14:paraId="53B594C8" w14:textId="77777777" w:rsidR="006C37E3" w:rsidRPr="00390F83" w:rsidRDefault="00F319AD" w:rsidP="00EF7423">
            <w:pPr>
              <w:pStyle w:val="ListParagraph"/>
              <w:numPr>
                <w:ilvl w:val="0"/>
                <w:numId w:val="10"/>
              </w:numPr>
              <w:spacing w:before="120" w:after="120"/>
              <w:rPr>
                <w:rFonts w:eastAsia="Calibri"/>
              </w:rPr>
            </w:pPr>
            <w:r w:rsidRPr="00390F83">
              <w:rPr>
                <w:rFonts w:eastAsia="Calibri"/>
              </w:rPr>
              <w:t>that any alternate thresholds used by Parties for Criterion 6 purposes, and their justification, be communicated both to the Secretariat (to maintain a log of such instances), and Wetlands International;”</w:t>
            </w:r>
          </w:p>
        </w:tc>
      </w:tr>
    </w:tbl>
    <w:p w14:paraId="0C66CD01" w14:textId="77777777" w:rsidR="006C37E3" w:rsidRPr="00390F83" w:rsidRDefault="006C37E3" w:rsidP="006C37E3">
      <w:pPr>
        <w:ind w:left="432" w:hanging="432"/>
        <w:rPr>
          <w:rFonts w:eastAsia="Calibri"/>
        </w:rPr>
      </w:pPr>
    </w:p>
    <w:p w14:paraId="5ED36379" w14:textId="78C77736" w:rsidR="00120746" w:rsidRPr="00390F83" w:rsidRDefault="00120746" w:rsidP="00EF7423">
      <w:pPr>
        <w:rPr>
          <w:rFonts w:eastAsia="Calibri"/>
        </w:rPr>
      </w:pPr>
    </w:p>
    <w:p w14:paraId="6E9BF710" w14:textId="77777777" w:rsidR="00120746" w:rsidRPr="00390F83" w:rsidRDefault="00F319AD" w:rsidP="006C37E3">
      <w:pPr>
        <w:ind w:left="432" w:hanging="432"/>
        <w:rPr>
          <w:rFonts w:eastAsia="Times New Roman"/>
          <w:b/>
        </w:rPr>
      </w:pPr>
      <w:r w:rsidRPr="00390F83">
        <w:rPr>
          <w:rFonts w:eastAsia="Times New Roman"/>
          <w:b/>
        </w:rPr>
        <w:t>Using alternative population estimates</w:t>
      </w:r>
    </w:p>
    <w:p w14:paraId="70622668" w14:textId="77777777" w:rsidR="00120746" w:rsidRPr="00390F83" w:rsidRDefault="00120746" w:rsidP="006C37E3">
      <w:pPr>
        <w:ind w:left="432" w:hanging="432"/>
        <w:rPr>
          <w:rFonts w:eastAsia="Calibri"/>
        </w:rPr>
      </w:pPr>
    </w:p>
    <w:p w14:paraId="00685EE5" w14:textId="558A17BF" w:rsidR="006C37E3" w:rsidRPr="00390F83" w:rsidRDefault="00F319AD" w:rsidP="006C37E3">
      <w:pPr>
        <w:ind w:left="432" w:hanging="432"/>
        <w:rPr>
          <w:rFonts w:eastAsia="Calibri"/>
        </w:rPr>
      </w:pPr>
      <w:r w:rsidRPr="00390F83">
        <w:rPr>
          <w:rFonts w:eastAsia="Calibri"/>
        </w:rPr>
        <w:t>4.</w:t>
      </w:r>
      <w:r w:rsidRPr="00390F83">
        <w:rPr>
          <w:rFonts w:eastAsia="Calibri"/>
        </w:rPr>
        <w:tab/>
      </w:r>
      <w:r w:rsidR="00EA49A4" w:rsidRPr="00390F83">
        <w:rPr>
          <w:rFonts w:eastAsia="Calibri"/>
        </w:rPr>
        <w:t xml:space="preserve">Complementing </w:t>
      </w:r>
      <w:r w:rsidR="000A07D9" w:rsidRPr="00390F83">
        <w:rPr>
          <w:rFonts w:eastAsia="Calibri"/>
        </w:rPr>
        <w:t>SC63 Doc.19 (</w:t>
      </w:r>
      <w:r w:rsidR="00EA49A4" w:rsidRPr="00390F83">
        <w:rPr>
          <w:rFonts w:eastAsia="Calibri"/>
        </w:rPr>
        <w:t>Annex 4</w:t>
      </w:r>
      <w:r w:rsidR="002E31E5" w:rsidRPr="00390F83">
        <w:rPr>
          <w:rFonts w:eastAsia="Calibri"/>
        </w:rPr>
        <w:t xml:space="preserve"> on guidance to facilitate the application of Criterion 6</w:t>
      </w:r>
      <w:r w:rsidR="000A07D9" w:rsidRPr="00390F83">
        <w:rPr>
          <w:rFonts w:eastAsia="Calibri"/>
        </w:rPr>
        <w:t>)</w:t>
      </w:r>
      <w:r w:rsidR="00E919FF" w:rsidRPr="00390F83">
        <w:rPr>
          <w:rFonts w:eastAsia="Calibri"/>
        </w:rPr>
        <w:t xml:space="preserve"> and Resolution XIV.18</w:t>
      </w:r>
      <w:r w:rsidR="000A07D9" w:rsidRPr="00390F83">
        <w:rPr>
          <w:rFonts w:eastAsia="Calibri"/>
        </w:rPr>
        <w:t>, t</w:t>
      </w:r>
      <w:r w:rsidRPr="00390F83">
        <w:rPr>
          <w:rFonts w:eastAsia="Calibri"/>
        </w:rPr>
        <w:t xml:space="preserve">his document outlines the steps that may be followed by Contracting Parties wishing to submit an alternative population size estimate and derive a 1% threshold to apply Convention on Wetlands Criterion 6. Such submissions are limited to an outdated population for which new information is available and is not covered by the CSRs. If a CSR covers the population, no submission should be made; indicate the web link of the CSR population to be used in the </w:t>
      </w:r>
      <w:r w:rsidRPr="00390F83">
        <w:rPr>
          <w:lang w:eastAsia="ko-KR"/>
        </w:rPr>
        <w:t xml:space="preserve">Ramsar </w:t>
      </w:r>
      <w:r w:rsidRPr="00390F83">
        <w:rPr>
          <w:rFonts w:eastAsia="Calibri"/>
        </w:rPr>
        <w:t>Information Sheet (RIS) submission.</w:t>
      </w:r>
    </w:p>
    <w:p w14:paraId="3F0D1517" w14:textId="06994864" w:rsidR="006C37E3" w:rsidRPr="00390F83" w:rsidRDefault="006C37E3" w:rsidP="006C37E3"/>
    <w:p w14:paraId="73EED90A" w14:textId="77777777" w:rsidR="006C37E3" w:rsidRPr="00390F83" w:rsidRDefault="00F319AD" w:rsidP="006C37E3">
      <w:pPr>
        <w:rPr>
          <w:rFonts w:eastAsia="Times New Roman"/>
          <w:b/>
        </w:rPr>
      </w:pPr>
      <w:r w:rsidRPr="00390F83">
        <w:rPr>
          <w:rFonts w:eastAsia="Times New Roman"/>
          <w:b/>
        </w:rPr>
        <w:t>Steps for submitting alternative population size estimates for Criterion 6</w:t>
      </w:r>
    </w:p>
    <w:p w14:paraId="2D093A03" w14:textId="77777777" w:rsidR="00186A0A" w:rsidRPr="00390F83" w:rsidRDefault="00186A0A" w:rsidP="006C37E3">
      <w:pPr>
        <w:rPr>
          <w:rFonts w:eastAsia="Times New Roman"/>
          <w:b/>
          <w:bCs w:val="0"/>
        </w:rPr>
      </w:pPr>
    </w:p>
    <w:p w14:paraId="560355C9" w14:textId="77777777" w:rsidR="00B8027F" w:rsidRPr="00390F83" w:rsidRDefault="00F319AD" w:rsidP="00B8027F">
      <w:pPr>
        <w:ind w:left="432" w:hanging="432"/>
        <w:rPr>
          <w:rFonts w:eastAsia="Calibri"/>
        </w:rPr>
      </w:pPr>
      <w:r w:rsidRPr="00390F83">
        <w:rPr>
          <w:rFonts w:eastAsia="Calibri"/>
        </w:rPr>
        <w:t>5.</w:t>
      </w:r>
      <w:r w:rsidRPr="00390F83">
        <w:rPr>
          <w:rFonts w:eastAsia="Calibri"/>
        </w:rPr>
        <w:tab/>
      </w:r>
      <w:r w:rsidRPr="00390F83">
        <w:rPr>
          <w:rFonts w:eastAsia="Calibri"/>
          <w:u w:val="single"/>
        </w:rPr>
        <w:t xml:space="preserve">Step 1: Identifying the need for an Alternative </w:t>
      </w:r>
      <w:r w:rsidR="00186A0A" w:rsidRPr="00390F83">
        <w:rPr>
          <w:rFonts w:eastAsia="Calibri"/>
          <w:u w:val="single"/>
        </w:rPr>
        <w:t xml:space="preserve">Population </w:t>
      </w:r>
      <w:r w:rsidRPr="00390F83">
        <w:rPr>
          <w:rFonts w:eastAsia="Calibri"/>
          <w:u w:val="single"/>
        </w:rPr>
        <w:t>Size Estimate</w:t>
      </w:r>
    </w:p>
    <w:p w14:paraId="47935514" w14:textId="7D9CE92D" w:rsidR="00B8027F" w:rsidRPr="00527D53" w:rsidRDefault="00F319AD" w:rsidP="00551401">
      <w:pPr>
        <w:pStyle w:val="ListParagraph"/>
        <w:numPr>
          <w:ilvl w:val="0"/>
          <w:numId w:val="9"/>
        </w:numPr>
        <w:ind w:left="810"/>
        <w:rPr>
          <w:rFonts w:eastAsia="Calibri"/>
        </w:rPr>
      </w:pPr>
      <w:r w:rsidRPr="00527D53">
        <w:rPr>
          <w:rFonts w:eastAsia="Calibri"/>
        </w:rPr>
        <w:t xml:space="preserve">The Contracting Party identifies a waterbird species or population for which the current 1% threshold in </w:t>
      </w:r>
      <w:r w:rsidRPr="00390F83">
        <w:t>the</w:t>
      </w:r>
      <w:r w:rsidRPr="00527D53">
        <w:rPr>
          <w:rFonts w:eastAsia="Calibri"/>
        </w:rPr>
        <w:t xml:space="preserve"> Waterbird Population Estimates (WPE) is not included in the Conservation Status Reviews (CSRs), and it is either not provided, is outdated, or considered inaccurate.</w:t>
      </w:r>
    </w:p>
    <w:p w14:paraId="7A33CD82" w14:textId="77777777" w:rsidR="00B8027F" w:rsidRPr="00390F83" w:rsidRDefault="00F319AD" w:rsidP="00B8027F">
      <w:pPr>
        <w:pStyle w:val="ListParagraph"/>
        <w:numPr>
          <w:ilvl w:val="0"/>
          <w:numId w:val="9"/>
        </w:numPr>
        <w:ind w:left="810"/>
        <w:rPr>
          <w:rFonts w:eastAsia="Calibri"/>
        </w:rPr>
      </w:pPr>
      <w:r w:rsidRPr="00390F83">
        <w:rPr>
          <w:rFonts w:eastAsia="Calibri"/>
        </w:rPr>
        <w:t>The Contracting Party has identified relevant data from peer-reviewed sources</w:t>
      </w:r>
      <w:r w:rsidR="00186A0A" w:rsidRPr="00390F83">
        <w:rPr>
          <w:rFonts w:eastAsia="Calibri"/>
        </w:rPr>
        <w:t>,</w:t>
      </w:r>
      <w:r w:rsidRPr="00390F83">
        <w:rPr>
          <w:rFonts w:eastAsia="Calibri"/>
        </w:rPr>
        <w:t xml:space="preserve"> and/or other reputable assessments</w:t>
      </w:r>
      <w:r w:rsidR="00186A0A" w:rsidRPr="00390F83">
        <w:rPr>
          <w:rFonts w:eastAsia="Calibri"/>
        </w:rPr>
        <w:t>,</w:t>
      </w:r>
      <w:r w:rsidRPr="00390F83">
        <w:rPr>
          <w:rFonts w:eastAsia="Calibri"/>
        </w:rPr>
        <w:t xml:space="preserve"> </w:t>
      </w:r>
      <w:r w:rsidR="00186A0A" w:rsidRPr="00390F83">
        <w:rPr>
          <w:rFonts w:eastAsia="Calibri"/>
        </w:rPr>
        <w:t>and/or</w:t>
      </w:r>
      <w:r w:rsidRPr="00390F83">
        <w:rPr>
          <w:rFonts w:eastAsia="Calibri"/>
        </w:rPr>
        <w:t xml:space="preserve"> grey literature.</w:t>
      </w:r>
    </w:p>
    <w:p w14:paraId="305FEDFC" w14:textId="77777777" w:rsidR="00B8027F" w:rsidRPr="00390F83" w:rsidRDefault="00B8027F" w:rsidP="00B8027F">
      <w:pPr>
        <w:ind w:left="432" w:hanging="432"/>
        <w:rPr>
          <w:rFonts w:eastAsia="Calibri"/>
        </w:rPr>
      </w:pPr>
    </w:p>
    <w:p w14:paraId="6B39BCD4" w14:textId="77777777" w:rsidR="00B8027F" w:rsidRPr="00390F83" w:rsidRDefault="00F319AD" w:rsidP="00B8027F">
      <w:pPr>
        <w:ind w:left="432" w:hanging="432"/>
        <w:rPr>
          <w:rFonts w:eastAsia="Calibri"/>
          <w:u w:val="single"/>
        </w:rPr>
      </w:pPr>
      <w:r w:rsidRPr="00390F83">
        <w:rPr>
          <w:rFonts w:eastAsia="Calibri"/>
        </w:rPr>
        <w:t>6.</w:t>
      </w:r>
      <w:r w:rsidRPr="00390F83">
        <w:rPr>
          <w:rFonts w:eastAsia="Calibri"/>
        </w:rPr>
        <w:tab/>
      </w:r>
      <w:r w:rsidRPr="00390F83">
        <w:rPr>
          <w:rFonts w:eastAsia="Calibri"/>
          <w:u w:val="single"/>
        </w:rPr>
        <w:t>Step 2: Compiling a submission package</w:t>
      </w:r>
    </w:p>
    <w:p w14:paraId="210DFA84" w14:textId="77777777" w:rsidR="00B8027F" w:rsidRPr="00390F83" w:rsidRDefault="00F319AD" w:rsidP="00B8027F">
      <w:pPr>
        <w:pStyle w:val="ListParagraph"/>
        <w:ind w:left="432" w:firstLine="18"/>
      </w:pPr>
      <w:r w:rsidRPr="00390F83">
        <w:t>Prepare a report with the following information:</w:t>
      </w:r>
    </w:p>
    <w:p w14:paraId="30506A34" w14:textId="77777777" w:rsidR="00B8027F" w:rsidRPr="00390F83" w:rsidRDefault="00F319AD" w:rsidP="00B8027F">
      <w:pPr>
        <w:pStyle w:val="ListParagraph"/>
        <w:numPr>
          <w:ilvl w:val="0"/>
          <w:numId w:val="9"/>
        </w:numPr>
        <w:ind w:left="810"/>
      </w:pPr>
      <w:r w:rsidRPr="00390F83">
        <w:rPr>
          <w:i/>
          <w:iCs/>
        </w:rPr>
        <w:t>State the biogeographical population</w:t>
      </w:r>
      <w:r w:rsidRPr="00390F83">
        <w:t xml:space="preserve">: Clearly state the biogeographical population of the species concerned as listed in the </w:t>
      </w:r>
      <w:hyperlink r:id="rId18" w:history="1">
        <w:r w:rsidRPr="00390F83">
          <w:rPr>
            <w:rStyle w:val="Hyperlink"/>
          </w:rPr>
          <w:t>Waterbird Populations Portal</w:t>
        </w:r>
      </w:hyperlink>
      <w:r w:rsidRPr="00390F83">
        <w:rPr>
          <w:rStyle w:val="Hyperlink"/>
        </w:rPr>
        <w:t xml:space="preserve"> </w:t>
      </w:r>
      <w:r w:rsidRPr="00390F83">
        <w:t xml:space="preserve">(provide the specific weblink to the page of the concerned population in the Waterbird Populations Portal). </w:t>
      </w:r>
    </w:p>
    <w:p w14:paraId="180714F9" w14:textId="77777777" w:rsidR="00B8027F" w:rsidRPr="00390F83" w:rsidRDefault="00F319AD" w:rsidP="00B8027F">
      <w:pPr>
        <w:pStyle w:val="ListParagraph"/>
        <w:numPr>
          <w:ilvl w:val="0"/>
          <w:numId w:val="9"/>
        </w:numPr>
        <w:ind w:left="810"/>
      </w:pPr>
      <w:r w:rsidRPr="00390F83">
        <w:rPr>
          <w:i/>
          <w:iCs/>
        </w:rPr>
        <w:t>Document new size estimates</w:t>
      </w:r>
      <w:r w:rsidRPr="00390F83">
        <w:t xml:space="preserve">: Document in detail the reasons why a new size estimate, either as a single figure or a minimum and maximum estimate size range, along with the time period over which it was calculated, is considered more appropriate, including a clear audit trail to original sources, ensuring third-party review is possible (see Step 4). As a minimum, the description of the methodologies should include a description of the data, how the estimates were made, data gaps, and assumptions made. </w:t>
      </w:r>
    </w:p>
    <w:p w14:paraId="62BC6441" w14:textId="03618C68" w:rsidR="00B8027F" w:rsidRPr="00390F83" w:rsidRDefault="00F319AD" w:rsidP="00B8027F">
      <w:pPr>
        <w:pStyle w:val="ListParagraph"/>
        <w:numPr>
          <w:ilvl w:val="0"/>
          <w:numId w:val="9"/>
        </w:numPr>
        <w:ind w:left="810"/>
      </w:pPr>
      <w:r w:rsidRPr="00390F83">
        <w:rPr>
          <w:i/>
          <w:iCs/>
        </w:rPr>
        <w:t>Use standard methodology for 1% threshold calculation</w:t>
      </w:r>
      <w:r w:rsidRPr="00390F83">
        <w:t xml:space="preserve">: Ensure that the </w:t>
      </w:r>
      <w:hyperlink r:id="rId19" w:history="1">
        <w:r w:rsidRPr="00390F83">
          <w:rPr>
            <w:rStyle w:val="Hyperlink"/>
          </w:rPr>
          <w:t>standard methodology</w:t>
        </w:r>
      </w:hyperlink>
      <w:r w:rsidRPr="00390F83">
        <w:t xml:space="preserve"> used for converting biogeographic population estimates to a 1% population threshold is applied. This involves two steps: (1) converting a range estimate to a single figure estimate using the geometric mean, and (2) deriving the rounded 1% value (see </w:t>
      </w:r>
      <w:r w:rsidR="00F35B28" w:rsidRPr="00390F83">
        <w:t>‘</w:t>
      </w:r>
      <w:r w:rsidRPr="00390F83">
        <w:t>Rounding of one per cent thresholds</w:t>
      </w:r>
      <w:r w:rsidR="00F35B28" w:rsidRPr="00390F83">
        <w:t>’</w:t>
      </w:r>
      <w:r w:rsidR="00355D00">
        <w:t xml:space="preserve"> at the same link</w:t>
      </w:r>
      <w:r w:rsidRPr="00390F83">
        <w:t>).</w:t>
      </w:r>
    </w:p>
    <w:p w14:paraId="705EFC9C" w14:textId="77777777" w:rsidR="00B8027F" w:rsidRPr="00390F83" w:rsidRDefault="00F319AD" w:rsidP="00B8027F">
      <w:pPr>
        <w:pStyle w:val="ListParagraph"/>
        <w:numPr>
          <w:ilvl w:val="0"/>
          <w:numId w:val="9"/>
        </w:numPr>
        <w:ind w:left="810"/>
      </w:pPr>
      <w:r w:rsidRPr="00390F83">
        <w:rPr>
          <w:i/>
          <w:iCs/>
        </w:rPr>
        <w:t>Annexes</w:t>
      </w:r>
      <w:r w:rsidRPr="00390F83">
        <w:t xml:space="preserve">: A clear audit trail </w:t>
      </w:r>
      <w:r w:rsidR="00DB2812" w:rsidRPr="00390F83">
        <w:t xml:space="preserve">(see standard report template below) </w:t>
      </w:r>
      <w:r w:rsidRPr="00390F83">
        <w:t>for all data and estimates used, along with a copy of sources used, including peer-reviewed sources</w:t>
      </w:r>
      <w:r w:rsidR="00DB2812" w:rsidRPr="00390F83">
        <w:t>,</w:t>
      </w:r>
      <w:r w:rsidRPr="00390F83">
        <w:t xml:space="preserve"> other reputable assessments</w:t>
      </w:r>
      <w:r w:rsidR="00DB2812" w:rsidRPr="00390F83">
        <w:t>,</w:t>
      </w:r>
      <w:r w:rsidRPr="00390F83">
        <w:t xml:space="preserve"> and</w:t>
      </w:r>
      <w:r w:rsidR="00DB2812" w:rsidRPr="00390F83">
        <w:t>/or</w:t>
      </w:r>
      <w:r w:rsidRPr="00390F83">
        <w:t xml:space="preserve"> grey literature.</w:t>
      </w:r>
    </w:p>
    <w:p w14:paraId="070DD533" w14:textId="77777777" w:rsidR="00B8027F" w:rsidRPr="00390F83" w:rsidRDefault="00B8027F" w:rsidP="00B8027F"/>
    <w:p w14:paraId="38B8C7FD" w14:textId="77777777" w:rsidR="00B8027F" w:rsidRPr="00390F83" w:rsidRDefault="00F319AD" w:rsidP="00B8027F">
      <w:pPr>
        <w:ind w:left="432" w:hanging="432"/>
        <w:rPr>
          <w:rFonts w:eastAsia="Calibri"/>
          <w:u w:val="single"/>
        </w:rPr>
      </w:pPr>
      <w:r w:rsidRPr="00390F83">
        <w:rPr>
          <w:rFonts w:eastAsia="Calibri"/>
        </w:rPr>
        <w:t>7.</w:t>
      </w:r>
      <w:r w:rsidRPr="00390F83">
        <w:rPr>
          <w:rFonts w:eastAsia="Calibri"/>
        </w:rPr>
        <w:tab/>
      </w:r>
      <w:r w:rsidRPr="00390F83">
        <w:rPr>
          <w:rFonts w:eastAsia="Calibri"/>
          <w:u w:val="single"/>
        </w:rPr>
        <w:t>Step 3: Submission to the Secretariat</w:t>
      </w:r>
    </w:p>
    <w:p w14:paraId="23DD132C" w14:textId="77777777" w:rsidR="00B8027F" w:rsidRPr="00390F83" w:rsidRDefault="00F319AD" w:rsidP="00B8027F">
      <w:pPr>
        <w:pStyle w:val="ListParagraph"/>
        <w:numPr>
          <w:ilvl w:val="0"/>
          <w:numId w:val="9"/>
        </w:numPr>
        <w:ind w:left="810"/>
      </w:pPr>
      <w:r w:rsidRPr="00390F83">
        <w:rPr>
          <w:i/>
          <w:iCs/>
        </w:rPr>
        <w:t>Submit to the Secretariat</w:t>
      </w:r>
      <w:r w:rsidRPr="00390F83">
        <w:t>: submit the completed report to the Secretariat using the additional reports and documents section 6.1 and reference this document in the justification section 3.3 in the RIS.</w:t>
      </w:r>
    </w:p>
    <w:p w14:paraId="733545CA" w14:textId="77777777" w:rsidR="00B8027F" w:rsidRPr="00390F83" w:rsidRDefault="00F319AD" w:rsidP="00B8027F">
      <w:pPr>
        <w:pStyle w:val="ListParagraph"/>
        <w:numPr>
          <w:ilvl w:val="0"/>
          <w:numId w:val="9"/>
        </w:numPr>
        <w:ind w:left="810"/>
      </w:pPr>
      <w:r w:rsidRPr="00390F83">
        <w:t xml:space="preserve">Ensure that a submission copy is sent directly to the Scientific and Technical Review Panel (STRP) and Wetlands International to maintain a log of the alternative size estimate used: </w:t>
      </w:r>
      <w:hyperlink r:id="rId20" w:history="1">
        <w:r w:rsidRPr="00390F83">
          <w:rPr>
            <w:rStyle w:val="Hyperlink"/>
          </w:rPr>
          <w:t>strp@ramsar.org</w:t>
        </w:r>
      </w:hyperlink>
      <w:r w:rsidRPr="00390F83">
        <w:t xml:space="preserve"> and </w:t>
      </w:r>
      <w:hyperlink r:id="rId21" w:history="1">
        <w:r w:rsidRPr="00390F83">
          <w:rPr>
            <w:rStyle w:val="Hyperlink"/>
          </w:rPr>
          <w:t>wpe@wetlands.org</w:t>
        </w:r>
      </w:hyperlink>
      <w:r w:rsidRPr="00390F83">
        <w:t xml:space="preserve">. </w:t>
      </w:r>
    </w:p>
    <w:p w14:paraId="5DC3492C" w14:textId="06A77078" w:rsidR="00DB2812" w:rsidRPr="00390F83" w:rsidRDefault="00DB2812" w:rsidP="00B8027F"/>
    <w:p w14:paraId="27DB0151" w14:textId="77777777" w:rsidR="00B8027F" w:rsidRPr="00390F83" w:rsidRDefault="00F319AD" w:rsidP="00B8027F">
      <w:pPr>
        <w:ind w:left="432" w:hanging="432"/>
        <w:rPr>
          <w:rFonts w:eastAsia="Calibri"/>
          <w:u w:val="single"/>
        </w:rPr>
      </w:pPr>
      <w:r w:rsidRPr="00390F83">
        <w:rPr>
          <w:rFonts w:eastAsia="Calibri"/>
        </w:rPr>
        <w:t>8.</w:t>
      </w:r>
      <w:r w:rsidRPr="00390F83">
        <w:rPr>
          <w:rFonts w:eastAsia="Calibri"/>
        </w:rPr>
        <w:tab/>
      </w:r>
      <w:r w:rsidRPr="00390F83">
        <w:rPr>
          <w:rFonts w:eastAsia="Calibri"/>
          <w:u w:val="single"/>
        </w:rPr>
        <w:t>Step 4: Review and evaluation by the STRP</w:t>
      </w:r>
    </w:p>
    <w:p w14:paraId="17CE3C39" w14:textId="77777777" w:rsidR="00B8027F" w:rsidRPr="00390F83" w:rsidRDefault="00F319AD" w:rsidP="00B8027F">
      <w:pPr>
        <w:pStyle w:val="ListParagraph"/>
        <w:numPr>
          <w:ilvl w:val="0"/>
          <w:numId w:val="9"/>
        </w:numPr>
        <w:ind w:left="810"/>
      </w:pPr>
      <w:r w:rsidRPr="00390F83">
        <w:rPr>
          <w:i/>
          <w:iCs/>
        </w:rPr>
        <w:t>Initial review by Secretariat</w:t>
      </w:r>
      <w:r w:rsidRPr="00390F83">
        <w:t>: The Secretariat conducts an initial review to ensure completeness and adherence to submission guidelines.</w:t>
      </w:r>
    </w:p>
    <w:p w14:paraId="5DE9083C" w14:textId="77777777" w:rsidR="00B8027F" w:rsidRPr="00390F83" w:rsidRDefault="00F319AD" w:rsidP="00B8027F">
      <w:pPr>
        <w:pStyle w:val="ListParagraph"/>
        <w:numPr>
          <w:ilvl w:val="0"/>
          <w:numId w:val="9"/>
        </w:numPr>
        <w:ind w:left="810"/>
      </w:pPr>
      <w:r w:rsidRPr="00390F83">
        <w:rPr>
          <w:i/>
          <w:iCs/>
        </w:rPr>
        <w:t>Forward to STRP</w:t>
      </w:r>
      <w:r w:rsidRPr="00390F83">
        <w:t>: The Secretariat forwards the submission to the STRP for evaluation.</w:t>
      </w:r>
    </w:p>
    <w:p w14:paraId="4FEDC21C" w14:textId="77777777" w:rsidR="00B8027F" w:rsidRPr="00390F83" w:rsidRDefault="00F319AD" w:rsidP="00B8027F">
      <w:pPr>
        <w:pStyle w:val="ListParagraph"/>
        <w:numPr>
          <w:ilvl w:val="0"/>
          <w:numId w:val="9"/>
        </w:numPr>
        <w:ind w:left="810"/>
      </w:pPr>
      <w:r w:rsidRPr="00390F83">
        <w:rPr>
          <w:i/>
          <w:iCs/>
        </w:rPr>
        <w:t>STRP Review</w:t>
      </w:r>
      <w:r w:rsidRPr="00390F83">
        <w:t xml:space="preserve">: </w:t>
      </w:r>
      <w:r w:rsidR="00305F99" w:rsidRPr="00390F83">
        <w:t xml:space="preserve">The STRP </w:t>
      </w:r>
      <w:r w:rsidR="00C3570A" w:rsidRPr="00390F83">
        <w:t xml:space="preserve">oversee </w:t>
      </w:r>
      <w:r w:rsidR="00AD2D48" w:rsidRPr="00390F83">
        <w:t>a process whereby r</w:t>
      </w:r>
      <w:r w:rsidRPr="00390F83">
        <w:t xml:space="preserve">elevant waterbird experts </w:t>
      </w:r>
      <w:r w:rsidR="006350F6" w:rsidRPr="00390F83">
        <w:t>are requested to</w:t>
      </w:r>
      <w:r w:rsidRPr="00390F83">
        <w:t xml:space="preserve"> review the methodologies and data sources used in the submission, including those from Wetlands International and other authoritative bodies.</w:t>
      </w:r>
    </w:p>
    <w:p w14:paraId="6F3C7D9E" w14:textId="77777777" w:rsidR="006C37E3" w:rsidRPr="00390F83" w:rsidRDefault="006C37E3" w:rsidP="00CE4218">
      <w:pPr>
        <w:keepNext/>
      </w:pPr>
    </w:p>
    <w:p w14:paraId="7EAC013E" w14:textId="77777777" w:rsidR="006C37E3" w:rsidRPr="00390F83" w:rsidRDefault="00F319AD" w:rsidP="00CE4218">
      <w:pPr>
        <w:keepNext/>
        <w:ind w:left="432" w:hanging="432"/>
        <w:rPr>
          <w:rFonts w:eastAsia="Calibri"/>
          <w:u w:val="single"/>
        </w:rPr>
      </w:pPr>
      <w:r w:rsidRPr="00390F83">
        <w:rPr>
          <w:rFonts w:eastAsia="Calibri"/>
        </w:rPr>
        <w:t>9.</w:t>
      </w:r>
      <w:r w:rsidRPr="00390F83">
        <w:rPr>
          <w:rFonts w:eastAsia="Calibri"/>
        </w:rPr>
        <w:tab/>
      </w:r>
      <w:r w:rsidRPr="00390F83">
        <w:rPr>
          <w:rFonts w:eastAsia="Calibri"/>
          <w:u w:val="single"/>
        </w:rPr>
        <w:t>Step 5: Feedback and revisions</w:t>
      </w:r>
    </w:p>
    <w:p w14:paraId="27B8A8A0" w14:textId="77777777" w:rsidR="006C37E3" w:rsidRPr="00390F83" w:rsidRDefault="00F319AD" w:rsidP="006C37E3">
      <w:pPr>
        <w:pStyle w:val="ListParagraph"/>
        <w:numPr>
          <w:ilvl w:val="0"/>
          <w:numId w:val="9"/>
        </w:numPr>
        <w:ind w:left="810"/>
      </w:pPr>
      <w:r w:rsidRPr="00390F83">
        <w:rPr>
          <w:i/>
          <w:iCs/>
        </w:rPr>
        <w:t>Request for additional information</w:t>
      </w:r>
      <w:r w:rsidRPr="00390F83">
        <w:t>: If necessary, the Secretariat or the STRP may request additional information or clarification from the submitting Contracting Party.</w:t>
      </w:r>
    </w:p>
    <w:p w14:paraId="7229DAC3" w14:textId="77777777" w:rsidR="006C37E3" w:rsidRPr="00390F83" w:rsidRDefault="00F319AD" w:rsidP="006C37E3">
      <w:pPr>
        <w:pStyle w:val="ListParagraph"/>
        <w:numPr>
          <w:ilvl w:val="0"/>
          <w:numId w:val="9"/>
        </w:numPr>
        <w:ind w:left="810"/>
      </w:pPr>
      <w:r w:rsidRPr="00390F83">
        <w:rPr>
          <w:i/>
          <w:iCs/>
        </w:rPr>
        <w:t>Resubmission</w:t>
      </w:r>
      <w:r w:rsidRPr="00390F83">
        <w:t>: The Contracting Party provides the requested information or makes necessary revisions and resubmits the documentation.</w:t>
      </w:r>
    </w:p>
    <w:p w14:paraId="4ABA6679" w14:textId="77777777" w:rsidR="006C37E3" w:rsidRPr="00390F83" w:rsidRDefault="006C37E3" w:rsidP="006C37E3"/>
    <w:p w14:paraId="6BF9FEB4" w14:textId="77777777" w:rsidR="006C37E3" w:rsidRPr="00390F83" w:rsidRDefault="00F319AD" w:rsidP="006C37E3">
      <w:pPr>
        <w:ind w:left="432" w:hanging="432"/>
        <w:rPr>
          <w:rFonts w:eastAsia="Calibri"/>
          <w:u w:val="single"/>
        </w:rPr>
      </w:pPr>
      <w:r w:rsidRPr="00390F83">
        <w:rPr>
          <w:rFonts w:eastAsia="Calibri"/>
        </w:rPr>
        <w:t>10.</w:t>
      </w:r>
      <w:r w:rsidRPr="00390F83">
        <w:rPr>
          <w:rFonts w:eastAsia="Calibri"/>
        </w:rPr>
        <w:tab/>
      </w:r>
      <w:r w:rsidRPr="00390F83">
        <w:rPr>
          <w:rFonts w:eastAsia="Calibri"/>
          <w:u w:val="single"/>
        </w:rPr>
        <w:t>Step 6: Recommendation and communication</w:t>
      </w:r>
    </w:p>
    <w:p w14:paraId="70AD3BEB" w14:textId="77777777" w:rsidR="006C37E3" w:rsidRPr="00390F83" w:rsidRDefault="00F319AD" w:rsidP="006C37E3">
      <w:pPr>
        <w:pStyle w:val="ListParagraph"/>
        <w:numPr>
          <w:ilvl w:val="0"/>
          <w:numId w:val="9"/>
        </w:numPr>
        <w:ind w:left="810"/>
      </w:pPr>
      <w:r w:rsidRPr="00390F83">
        <w:rPr>
          <w:i/>
          <w:iCs/>
        </w:rPr>
        <w:t>Recommendation by the STRP</w:t>
      </w:r>
      <w:r w:rsidRPr="00390F83">
        <w:t xml:space="preserve">: Upon satisfactory review, the STRP recommends </w:t>
      </w:r>
      <w:r w:rsidRPr="00390F83">
        <w:rPr>
          <w:lang w:eastAsia="ko-KR"/>
        </w:rPr>
        <w:t xml:space="preserve">to the Secretariat and the Contracting Party </w:t>
      </w:r>
      <w:r w:rsidRPr="00390F83">
        <w:t>that the alternative size estimate and derived 1% threshold be submitted.</w:t>
      </w:r>
    </w:p>
    <w:p w14:paraId="40E0A261" w14:textId="77777777" w:rsidR="006C37E3" w:rsidRPr="00390F83" w:rsidRDefault="00F319AD" w:rsidP="006C37E3">
      <w:pPr>
        <w:pStyle w:val="ListParagraph"/>
        <w:numPr>
          <w:ilvl w:val="0"/>
          <w:numId w:val="9"/>
        </w:numPr>
        <w:ind w:left="810"/>
      </w:pPr>
      <w:r w:rsidRPr="00390F83">
        <w:rPr>
          <w:i/>
          <w:iCs/>
          <w:lang w:eastAsia="ko-KR"/>
        </w:rPr>
        <w:t>Based on the recommendation by the STRP, t</w:t>
      </w:r>
      <w:r w:rsidRPr="00390F83">
        <w:t>he Secretariat</w:t>
      </w:r>
      <w:r w:rsidRPr="00390F83">
        <w:rPr>
          <w:lang w:eastAsia="ko-KR"/>
        </w:rPr>
        <w:t xml:space="preserve"> reviews the submitted RIS.</w:t>
      </w:r>
      <w:r w:rsidR="00416D23" w:rsidRPr="00390F83">
        <w:rPr>
          <w:lang w:eastAsia="ko-KR"/>
        </w:rPr>
        <w:t xml:space="preserve"> </w:t>
      </w:r>
    </w:p>
    <w:p w14:paraId="04C22E65" w14:textId="77777777" w:rsidR="006C37E3" w:rsidRPr="00390F83" w:rsidRDefault="006C37E3" w:rsidP="006C37E3"/>
    <w:p w14:paraId="287A9349" w14:textId="77777777" w:rsidR="006C37E3" w:rsidRPr="00EF7423" w:rsidRDefault="00F319AD" w:rsidP="006C37E3">
      <w:pPr>
        <w:rPr>
          <w:rFonts w:eastAsia="Times New Roman"/>
          <w:bCs w:val="0"/>
          <w:i/>
          <w:iCs/>
        </w:rPr>
      </w:pPr>
      <w:r w:rsidRPr="00EF7423">
        <w:rPr>
          <w:rFonts w:eastAsia="Times New Roman"/>
          <w:bCs w:val="0"/>
          <w:i/>
          <w:iCs/>
        </w:rPr>
        <w:t>Report template for alternative size estimate submission</w:t>
      </w:r>
    </w:p>
    <w:tbl>
      <w:tblPr>
        <w:tblStyle w:val="TableGrid"/>
        <w:tblW w:w="0" w:type="auto"/>
        <w:tblLook w:val="04A0" w:firstRow="1" w:lastRow="0" w:firstColumn="1" w:lastColumn="0" w:noHBand="0" w:noVBand="1"/>
      </w:tblPr>
      <w:tblGrid>
        <w:gridCol w:w="9016"/>
      </w:tblGrid>
      <w:tr w:rsidR="007B31B2" w:rsidRPr="00390F83" w14:paraId="0FE6D46D" w14:textId="77777777" w:rsidTr="00634154">
        <w:tc>
          <w:tcPr>
            <w:tcW w:w="9350" w:type="dxa"/>
          </w:tcPr>
          <w:p w14:paraId="6EBEA53F" w14:textId="77777777" w:rsidR="006C37E3" w:rsidRPr="00CE4218" w:rsidRDefault="00F319AD" w:rsidP="00186A0A">
            <w:pPr>
              <w:spacing w:before="120"/>
              <w:rPr>
                <w:b/>
                <w:bCs w:val="0"/>
              </w:rPr>
            </w:pPr>
            <w:r w:rsidRPr="00CE4218">
              <w:rPr>
                <w:b/>
              </w:rPr>
              <w:t>Alternative size estimate submission</w:t>
            </w:r>
          </w:p>
          <w:p w14:paraId="22D653B5" w14:textId="77777777" w:rsidR="006C37E3" w:rsidRPr="00CE4218" w:rsidRDefault="006C37E3" w:rsidP="00634154"/>
          <w:p w14:paraId="1356027A" w14:textId="77777777" w:rsidR="006C37E3" w:rsidRPr="00CE4218" w:rsidRDefault="00F319AD" w:rsidP="006C37E3">
            <w:pPr>
              <w:pStyle w:val="ListParagraph"/>
              <w:numPr>
                <w:ilvl w:val="0"/>
                <w:numId w:val="11"/>
              </w:numPr>
            </w:pPr>
            <w:r w:rsidRPr="00CE4218">
              <w:t>Contact information:</w:t>
            </w:r>
          </w:p>
          <w:p w14:paraId="65A9ACE1" w14:textId="77777777" w:rsidR="006C37E3" w:rsidRPr="00CE4218" w:rsidRDefault="00F319AD" w:rsidP="006C37E3">
            <w:pPr>
              <w:pStyle w:val="ListParagraph"/>
              <w:numPr>
                <w:ilvl w:val="1"/>
                <w:numId w:val="11"/>
              </w:numPr>
            </w:pPr>
            <w:r w:rsidRPr="00CE4218">
              <w:t>Contact person.</w:t>
            </w:r>
          </w:p>
          <w:p w14:paraId="395A142C" w14:textId="77777777" w:rsidR="006C37E3" w:rsidRPr="00CE4218" w:rsidRDefault="00F319AD" w:rsidP="006C37E3">
            <w:pPr>
              <w:pStyle w:val="ListParagraph"/>
              <w:numPr>
                <w:ilvl w:val="1"/>
                <w:numId w:val="11"/>
              </w:numPr>
            </w:pPr>
            <w:r w:rsidRPr="00CE4218">
              <w:t>E-mail.</w:t>
            </w:r>
          </w:p>
          <w:p w14:paraId="4FC4AD0E" w14:textId="77777777" w:rsidR="006C37E3" w:rsidRPr="00CE4218" w:rsidRDefault="00F319AD" w:rsidP="006C37E3">
            <w:pPr>
              <w:pStyle w:val="ListParagraph"/>
              <w:numPr>
                <w:ilvl w:val="1"/>
                <w:numId w:val="11"/>
              </w:numPr>
            </w:pPr>
            <w:r w:rsidRPr="00CE4218">
              <w:t>Telephone.</w:t>
            </w:r>
          </w:p>
          <w:p w14:paraId="472FE075" w14:textId="77777777" w:rsidR="006C37E3" w:rsidRPr="00CE4218" w:rsidRDefault="006C37E3" w:rsidP="00634154"/>
          <w:p w14:paraId="12C2B156" w14:textId="77777777" w:rsidR="006C37E3" w:rsidRPr="00CE4218" w:rsidRDefault="00F319AD" w:rsidP="006C37E3">
            <w:pPr>
              <w:pStyle w:val="ListParagraph"/>
              <w:numPr>
                <w:ilvl w:val="0"/>
                <w:numId w:val="11"/>
              </w:numPr>
            </w:pPr>
            <w:r w:rsidRPr="00CE4218">
              <w:t xml:space="preserve">Biogeographical population size proposed </w:t>
            </w:r>
          </w:p>
          <w:p w14:paraId="5219F8FF" w14:textId="77777777" w:rsidR="006C37E3" w:rsidRPr="00CE4218" w:rsidRDefault="00F319AD" w:rsidP="006C37E3">
            <w:pPr>
              <w:pStyle w:val="ListParagraph"/>
              <w:numPr>
                <w:ilvl w:val="1"/>
                <w:numId w:val="11"/>
              </w:numPr>
            </w:pPr>
            <w:r w:rsidRPr="00CE4218">
              <w:t>Biogeographical population name (also provide the specific weblink to the page of the concerned population in the Waterbird Populations Portal).</w:t>
            </w:r>
          </w:p>
          <w:p w14:paraId="497236C9" w14:textId="77777777" w:rsidR="006C37E3" w:rsidRPr="00CE4218" w:rsidRDefault="00F319AD" w:rsidP="006C37E3">
            <w:pPr>
              <w:pStyle w:val="ListParagraph"/>
              <w:numPr>
                <w:ilvl w:val="1"/>
                <w:numId w:val="11"/>
              </w:numPr>
            </w:pPr>
            <w:r w:rsidRPr="00CE4218">
              <w:t>Source(s) of current population data.</w:t>
            </w:r>
          </w:p>
          <w:p w14:paraId="3DACA94B" w14:textId="77777777" w:rsidR="006C37E3" w:rsidRPr="00CE4218" w:rsidRDefault="00F319AD" w:rsidP="006C37E3">
            <w:pPr>
              <w:pStyle w:val="ListParagraph"/>
              <w:numPr>
                <w:ilvl w:val="1"/>
                <w:numId w:val="11"/>
              </w:numPr>
            </w:pPr>
            <w:r w:rsidRPr="00CE4218">
              <w:t>Current population size estimate and 1% Threshold.</w:t>
            </w:r>
          </w:p>
          <w:p w14:paraId="23E767C8" w14:textId="77777777" w:rsidR="006C37E3" w:rsidRPr="00CE4218" w:rsidRDefault="00F319AD" w:rsidP="006C37E3">
            <w:pPr>
              <w:pStyle w:val="ListParagraph"/>
              <w:numPr>
                <w:ilvl w:val="1"/>
                <w:numId w:val="11"/>
              </w:numPr>
            </w:pPr>
            <w:r w:rsidRPr="00CE4218">
              <w:t>Reason for submission.</w:t>
            </w:r>
          </w:p>
          <w:p w14:paraId="7F852CB5" w14:textId="77777777" w:rsidR="006C37E3" w:rsidRPr="00CE4218" w:rsidRDefault="006C37E3" w:rsidP="00634154"/>
          <w:p w14:paraId="33111FC7" w14:textId="77777777" w:rsidR="006C37E3" w:rsidRPr="00CE4218" w:rsidRDefault="00F319AD" w:rsidP="006C37E3">
            <w:pPr>
              <w:pStyle w:val="ListParagraph"/>
              <w:numPr>
                <w:ilvl w:val="0"/>
                <w:numId w:val="11"/>
              </w:numPr>
            </w:pPr>
            <w:r w:rsidRPr="00CE4218">
              <w:t>New population size estimate</w:t>
            </w:r>
          </w:p>
          <w:p w14:paraId="32FCF13B" w14:textId="77777777" w:rsidR="006C37E3" w:rsidRPr="00CE4218" w:rsidRDefault="00F319AD" w:rsidP="006C37E3">
            <w:pPr>
              <w:pStyle w:val="ListParagraph"/>
              <w:numPr>
                <w:ilvl w:val="1"/>
                <w:numId w:val="11"/>
              </w:numPr>
            </w:pPr>
            <w:r w:rsidRPr="00CE4218">
              <w:t>New population size estimate.</w:t>
            </w:r>
          </w:p>
          <w:p w14:paraId="2CBF3967" w14:textId="77777777" w:rsidR="006C37E3" w:rsidRPr="00CE4218" w:rsidRDefault="00F319AD" w:rsidP="006C37E3">
            <w:pPr>
              <w:pStyle w:val="ListParagraph"/>
              <w:numPr>
                <w:ilvl w:val="1"/>
                <w:numId w:val="11"/>
              </w:numPr>
            </w:pPr>
            <w:r w:rsidRPr="00CE4218">
              <w:t>Methodology/ Detailed steps for deriving new size estimate.</w:t>
            </w:r>
          </w:p>
          <w:p w14:paraId="3F09FD82" w14:textId="77777777" w:rsidR="006C37E3" w:rsidRPr="00CE4218" w:rsidRDefault="00F319AD" w:rsidP="006C37E3">
            <w:pPr>
              <w:pStyle w:val="ListParagraph"/>
              <w:numPr>
                <w:ilvl w:val="1"/>
                <w:numId w:val="11"/>
              </w:numPr>
            </w:pPr>
            <w:r w:rsidRPr="00CE4218">
              <w:t>References to original sources.</w:t>
            </w:r>
          </w:p>
          <w:p w14:paraId="7D4F3CF0" w14:textId="5B326C06" w:rsidR="006C37E3" w:rsidRPr="00CE4218" w:rsidRDefault="006C37E3" w:rsidP="00EF7423">
            <w:pPr>
              <w:tabs>
                <w:tab w:val="left" w:pos="1614"/>
              </w:tabs>
            </w:pPr>
          </w:p>
          <w:p w14:paraId="63E1C5C9" w14:textId="77777777" w:rsidR="006C37E3" w:rsidRPr="00CE4218" w:rsidRDefault="00F319AD" w:rsidP="006C37E3">
            <w:pPr>
              <w:pStyle w:val="ListParagraph"/>
              <w:numPr>
                <w:ilvl w:val="0"/>
                <w:numId w:val="11"/>
              </w:numPr>
            </w:pPr>
            <w:r w:rsidRPr="00CE4218">
              <w:t>1% Threshold calculation</w:t>
            </w:r>
          </w:p>
          <w:p w14:paraId="676DA0EF" w14:textId="77777777" w:rsidR="006C37E3" w:rsidRPr="00CE4218" w:rsidRDefault="00F319AD" w:rsidP="006C37E3">
            <w:pPr>
              <w:pStyle w:val="ListParagraph"/>
              <w:numPr>
                <w:ilvl w:val="1"/>
                <w:numId w:val="11"/>
              </w:numPr>
            </w:pPr>
            <w:r w:rsidRPr="00CE4218">
              <w:t>Calculation method.</w:t>
            </w:r>
          </w:p>
          <w:p w14:paraId="73C3E6C2" w14:textId="77777777" w:rsidR="006C37E3" w:rsidRPr="00CE4218" w:rsidRDefault="00F319AD" w:rsidP="006C37E3">
            <w:pPr>
              <w:pStyle w:val="ListParagraph"/>
              <w:numPr>
                <w:ilvl w:val="1"/>
                <w:numId w:val="11"/>
              </w:numPr>
            </w:pPr>
            <w:r w:rsidRPr="00CE4218">
              <w:t>Resulting 1% threshold.</w:t>
            </w:r>
          </w:p>
          <w:p w14:paraId="3D789CEF" w14:textId="77777777" w:rsidR="006C37E3" w:rsidRPr="00CE4218" w:rsidRDefault="006C37E3" w:rsidP="00634154"/>
          <w:p w14:paraId="57294B6C" w14:textId="77777777" w:rsidR="006C37E3" w:rsidRPr="00CE4218" w:rsidRDefault="00F319AD" w:rsidP="006C37E3">
            <w:pPr>
              <w:pStyle w:val="ListParagraph"/>
              <w:numPr>
                <w:ilvl w:val="0"/>
                <w:numId w:val="11"/>
              </w:numPr>
            </w:pPr>
            <w:r w:rsidRPr="00CE4218">
              <w:t>Checklist of Attachments/Annexes</w:t>
            </w:r>
          </w:p>
          <w:p w14:paraId="663F5CD4" w14:textId="77777777" w:rsidR="006C37E3" w:rsidRPr="00CE4218" w:rsidRDefault="00F319AD" w:rsidP="006C37E3">
            <w:pPr>
              <w:pStyle w:val="ListParagraph"/>
              <w:numPr>
                <w:ilvl w:val="1"/>
                <w:numId w:val="11"/>
              </w:numPr>
            </w:pPr>
            <w:r w:rsidRPr="00CE4218">
              <w:t>Relevant data tables.</w:t>
            </w:r>
          </w:p>
          <w:p w14:paraId="27D90EC1" w14:textId="77777777" w:rsidR="006C37E3" w:rsidRPr="00CE4218" w:rsidRDefault="00F319AD" w:rsidP="006C37E3">
            <w:pPr>
              <w:pStyle w:val="ListParagraph"/>
              <w:numPr>
                <w:ilvl w:val="1"/>
                <w:numId w:val="11"/>
              </w:numPr>
            </w:pPr>
            <w:r w:rsidRPr="00CE4218">
              <w:t>Copies of original sources.</w:t>
            </w:r>
          </w:p>
          <w:p w14:paraId="433ED730" w14:textId="77777777" w:rsidR="006C37E3" w:rsidRDefault="00F319AD" w:rsidP="00634154">
            <w:pPr>
              <w:pStyle w:val="ListParagraph"/>
              <w:numPr>
                <w:ilvl w:val="1"/>
                <w:numId w:val="11"/>
              </w:numPr>
            </w:pPr>
            <w:r w:rsidRPr="00390F83">
              <w:t>Additional supporting documents.</w:t>
            </w:r>
          </w:p>
          <w:p w14:paraId="22F44424" w14:textId="637656F7" w:rsidR="00CE4218" w:rsidRPr="00390F83" w:rsidRDefault="00CE4218" w:rsidP="00CE4218">
            <w:pPr>
              <w:pStyle w:val="ListParagraph"/>
              <w:ind w:left="792"/>
            </w:pPr>
          </w:p>
        </w:tc>
      </w:tr>
    </w:tbl>
    <w:p w14:paraId="21623259" w14:textId="77777777" w:rsidR="00EF7423" w:rsidRDefault="00EF7423">
      <w:pPr>
        <w:spacing w:after="160" w:line="259" w:lineRule="auto"/>
      </w:pPr>
      <w:r>
        <w:br w:type="page"/>
      </w:r>
    </w:p>
    <w:p w14:paraId="2441AC9F" w14:textId="77777777" w:rsidR="00E61AC3" w:rsidRPr="00EF7423" w:rsidRDefault="00E61AC3" w:rsidP="00E61AC3">
      <w:pPr>
        <w:rPr>
          <w:rFonts w:eastAsia="Times New Roman"/>
          <w:b/>
          <w:sz w:val="24"/>
          <w:szCs w:val="24"/>
        </w:rPr>
      </w:pPr>
      <w:r w:rsidRPr="00EF7423">
        <w:rPr>
          <w:rFonts w:eastAsia="Times New Roman"/>
          <w:b/>
          <w:sz w:val="24"/>
          <w:szCs w:val="24"/>
        </w:rPr>
        <w:t>Annex 3</w:t>
      </w:r>
    </w:p>
    <w:p w14:paraId="06881620" w14:textId="5DAE4CDA" w:rsidR="00E61AC3" w:rsidRPr="00EF7423" w:rsidRDefault="00E61AC3" w:rsidP="00E61AC3">
      <w:pPr>
        <w:rPr>
          <w:rFonts w:eastAsia="Times New Roman"/>
          <w:b/>
          <w:sz w:val="24"/>
          <w:szCs w:val="24"/>
        </w:rPr>
      </w:pPr>
      <w:r w:rsidRPr="00EF7423">
        <w:rPr>
          <w:rFonts w:eastAsia="Times New Roman"/>
          <w:b/>
          <w:sz w:val="24"/>
          <w:szCs w:val="24"/>
        </w:rPr>
        <w:t xml:space="preserve">Scoping </w:t>
      </w:r>
      <w:r w:rsidR="00706C8F" w:rsidRPr="00EF7423">
        <w:rPr>
          <w:rFonts w:eastAsia="Times New Roman"/>
          <w:b/>
          <w:sz w:val="24"/>
          <w:szCs w:val="24"/>
        </w:rPr>
        <w:t>n</w:t>
      </w:r>
      <w:r w:rsidR="00011730" w:rsidRPr="00EF7423">
        <w:rPr>
          <w:rFonts w:eastAsia="Times New Roman"/>
          <w:b/>
          <w:sz w:val="24"/>
          <w:szCs w:val="24"/>
        </w:rPr>
        <w:t>ote</w:t>
      </w:r>
      <w:r w:rsidRPr="00EF7423">
        <w:rPr>
          <w:rFonts w:eastAsia="Times New Roman"/>
          <w:b/>
          <w:sz w:val="24"/>
          <w:szCs w:val="24"/>
        </w:rPr>
        <w:t xml:space="preserve"> for the review of legal and policy frameworks for wetland conservation and wise use</w:t>
      </w:r>
    </w:p>
    <w:p w14:paraId="68CAFD7D" w14:textId="77777777" w:rsidR="00BF0545" w:rsidRPr="00390F83" w:rsidRDefault="00BF0545" w:rsidP="00BF0545">
      <w:pPr>
        <w:rPr>
          <w:lang w:val="en-GB"/>
        </w:rPr>
      </w:pPr>
    </w:p>
    <w:p w14:paraId="4E6B83A5" w14:textId="77777777" w:rsidR="00BF0545" w:rsidRPr="00390F83" w:rsidRDefault="00BF0545" w:rsidP="005F4289">
      <w:pPr>
        <w:ind w:left="432" w:hanging="432"/>
        <w:rPr>
          <w:lang w:val="en-GB"/>
        </w:rPr>
      </w:pPr>
      <w:r w:rsidRPr="00390F83">
        <w:rPr>
          <w:lang w:val="en-GB"/>
        </w:rPr>
        <w:t>1.</w:t>
      </w:r>
      <w:r w:rsidRPr="00390F83">
        <w:rPr>
          <w:lang w:val="en-GB"/>
        </w:rPr>
        <w:tab/>
        <w:t xml:space="preserve">The Scientific and Technical Review Panel (STRP) has prepared this technical scoping note in accordance </w:t>
      </w:r>
      <w:r w:rsidRPr="00390F83">
        <w:rPr>
          <w:rFonts w:eastAsia="Calibri"/>
        </w:rPr>
        <w:t>with</w:t>
      </w:r>
      <w:r w:rsidRPr="00390F83">
        <w:rPr>
          <w:lang w:val="en-GB"/>
        </w:rPr>
        <w:t xml:space="preserve"> Resolution XIV.14 and Task 5.4 of the 2023-2025 STRP work plan. The note provides guidance for a review of policy instruments related to wetland conservation, restoration, and wise use. This review is scheduled to take place during the next triennium, subject to approval by the Conference of the Contracting Parties and the Standing Committee as part of the STRP work plan for 2026-2028. </w:t>
      </w:r>
    </w:p>
    <w:p w14:paraId="0DA6259D" w14:textId="77777777" w:rsidR="00BF0545" w:rsidRPr="00390F83" w:rsidRDefault="00BF0545" w:rsidP="00BF0545">
      <w:pPr>
        <w:rPr>
          <w:lang w:val="en-GB"/>
        </w:rPr>
      </w:pPr>
    </w:p>
    <w:p w14:paraId="39FDB541" w14:textId="77777777" w:rsidR="00BF0545" w:rsidRPr="00390F83" w:rsidRDefault="00BF0545" w:rsidP="005F4289">
      <w:pPr>
        <w:ind w:left="432" w:hanging="432"/>
        <w:rPr>
          <w:lang w:val="en-GB"/>
        </w:rPr>
      </w:pPr>
      <w:r w:rsidRPr="00390F83">
        <w:rPr>
          <w:lang w:val="en-GB"/>
        </w:rPr>
        <w:t>2.</w:t>
      </w:r>
      <w:r w:rsidRPr="00390F83">
        <w:rPr>
          <w:lang w:val="en-GB"/>
        </w:rPr>
        <w:tab/>
        <w:t xml:space="preserve">The Global Wetland Outlook (2018, 2021) highlights the continuing loss and degradation of wetlands </w:t>
      </w:r>
      <w:r w:rsidRPr="00390F83">
        <w:rPr>
          <w:rFonts w:eastAsia="Calibri"/>
        </w:rPr>
        <w:t>worldwide</w:t>
      </w:r>
      <w:r w:rsidRPr="00390F83">
        <w:rPr>
          <w:lang w:val="en-GB"/>
        </w:rPr>
        <w:t>. The implementation of effective policy instruments is crucial to halting wetland loss, in line with the Convention’s goals. The Convention on Wetlands Handbook 3: Laws and Institutions stresses the need for national and sub-national wetland laws, regulations, and policies as part of the obligation of wise use. Similarly, the conservation of Wetlands of International Importance requires laws and regulations concerning protected areas and other conservation mechanisms. Notably, several Resolutions of the Convention provide guidance on the content of such instruments, including Resolution VII.7 on reviewing laws and institutions, Resolution VIII.4 on integrated coastal zone management, Resolution X.19 on river basin management, and Resolution XI.9 on avoiding, mitigating, and compensating for wetland losses.</w:t>
      </w:r>
    </w:p>
    <w:p w14:paraId="551F4173" w14:textId="77777777" w:rsidR="00BF0545" w:rsidRPr="00390F83" w:rsidRDefault="00BF0545" w:rsidP="00BF0545"/>
    <w:p w14:paraId="2B1EB384" w14:textId="690E6CF2" w:rsidR="00BF0545" w:rsidRPr="00390F83" w:rsidRDefault="00BF0545" w:rsidP="005F4289">
      <w:pPr>
        <w:ind w:left="432" w:hanging="432"/>
      </w:pPr>
      <w:r w:rsidRPr="00390F83">
        <w:rPr>
          <w:lang w:val="en-GB"/>
        </w:rPr>
        <w:t>3.</w:t>
      </w:r>
      <w:r w:rsidRPr="00390F83">
        <w:rPr>
          <w:lang w:val="en-GB"/>
        </w:rPr>
        <w:tab/>
      </w:r>
      <w:r w:rsidRPr="00390F83">
        <w:t>The scope of wetland-related laws and policies is broad, encompassing both wetlands-specific instruments and broader environmental regulations that impact wetlands. Some laws may indirectly affect wetlands, either positively or negatively. These instruments operate at various levels of governance</w:t>
      </w:r>
      <w:r w:rsidR="00730555">
        <w:t xml:space="preserve"> – </w:t>
      </w:r>
      <w:r w:rsidRPr="00390F83">
        <w:t xml:space="preserve">local, national, regional, and international. Thus, the review will need to clearly define the types of </w:t>
      </w:r>
      <w:r w:rsidRPr="00390F83">
        <w:rPr>
          <w:rFonts w:eastAsia="Calibri"/>
        </w:rPr>
        <w:t>policy</w:t>
      </w:r>
      <w:r w:rsidRPr="00390F83">
        <w:t xml:space="preserve"> instruments to be considered, their subject matter, and their scale, as well as establish the limitations of the review. This scoping note provides the necessary framework to ensure the review is conducted effectively, examining laws and policies at different levels of detail and against various parameters.</w:t>
      </w:r>
    </w:p>
    <w:p w14:paraId="53D9A784" w14:textId="77777777" w:rsidR="00BF0545" w:rsidRPr="00390F83" w:rsidRDefault="00BF0545" w:rsidP="00BF0545"/>
    <w:p w14:paraId="5FFC679D" w14:textId="77777777" w:rsidR="00BF0545" w:rsidRPr="00390F83" w:rsidRDefault="00BF0545" w:rsidP="00BF0545">
      <w:pPr>
        <w:rPr>
          <w:b/>
          <w:lang w:val="en-GB"/>
        </w:rPr>
      </w:pPr>
      <w:r w:rsidRPr="00390F83">
        <w:rPr>
          <w:b/>
          <w:lang w:val="en-GB"/>
        </w:rPr>
        <w:t>Benefits/purposes</w:t>
      </w:r>
    </w:p>
    <w:p w14:paraId="711FEB1E" w14:textId="77777777" w:rsidR="00BF0545" w:rsidRPr="00390F83" w:rsidRDefault="00BF0545" w:rsidP="00BF0545">
      <w:pPr>
        <w:rPr>
          <w:lang w:val="en-GB"/>
        </w:rPr>
      </w:pPr>
    </w:p>
    <w:p w14:paraId="708BCC1E" w14:textId="77777777" w:rsidR="00BF0545" w:rsidRPr="00390F83" w:rsidRDefault="00BF0545" w:rsidP="005F4289">
      <w:pPr>
        <w:ind w:left="432" w:hanging="432"/>
        <w:rPr>
          <w:lang w:val="en-GB"/>
        </w:rPr>
      </w:pPr>
      <w:r w:rsidRPr="00390F83">
        <w:rPr>
          <w:lang w:val="en-GB"/>
        </w:rPr>
        <w:t>4.</w:t>
      </w:r>
      <w:r w:rsidRPr="00390F83">
        <w:rPr>
          <w:lang w:val="en-GB"/>
        </w:rPr>
        <w:tab/>
      </w:r>
      <w:r w:rsidRPr="00390F83">
        <w:t>The global synthesis of wetland-related policy instruments will provide Contracting Parties with valuable insights into the range of laws and policies that promote the wise use and conservation of wetlands, while addressing key drivers of wetland loss and degradation</w:t>
      </w:r>
      <w:r w:rsidRPr="00390F83">
        <w:rPr>
          <w:lang w:val="en-GB"/>
        </w:rPr>
        <w:t xml:space="preserve">. </w:t>
      </w:r>
    </w:p>
    <w:p w14:paraId="3E227C3B" w14:textId="77777777" w:rsidR="00BF0545" w:rsidRPr="00390F83" w:rsidRDefault="00BF0545" w:rsidP="00BF0545">
      <w:pPr>
        <w:rPr>
          <w:lang w:val="en-GB"/>
        </w:rPr>
      </w:pPr>
    </w:p>
    <w:p w14:paraId="4C04BB79" w14:textId="77777777" w:rsidR="00BF0545" w:rsidRPr="00390F83" w:rsidRDefault="00BF0545" w:rsidP="005F4289">
      <w:pPr>
        <w:ind w:left="432" w:hanging="432"/>
        <w:rPr>
          <w:lang w:val="en-GB"/>
        </w:rPr>
      </w:pPr>
      <w:r w:rsidRPr="00390F83">
        <w:rPr>
          <w:lang w:val="en-GB"/>
        </w:rPr>
        <w:t>5.</w:t>
      </w:r>
      <w:r w:rsidRPr="00390F83">
        <w:rPr>
          <w:lang w:val="en-GB"/>
        </w:rPr>
        <w:tab/>
        <w:t xml:space="preserve">This information will support the implementation of the Convention on Wetlands at local, national, and </w:t>
      </w:r>
      <w:r w:rsidRPr="00390F83">
        <w:t>regional</w:t>
      </w:r>
      <w:r w:rsidRPr="00390F83">
        <w:rPr>
          <w:lang w:val="en-GB"/>
        </w:rPr>
        <w:t xml:space="preserve"> levels, including in transboundary wetlands. The findings will be particularly useful for Contracting Parties seeking to review or strengthen their legal and institutional frameworks for wetlands, contributing to the achievement of the Sustainable Development Goals (SDGs), particularly indicator 6.6.1 on water-related ecosystems. </w:t>
      </w:r>
    </w:p>
    <w:p w14:paraId="6C98FB34" w14:textId="77777777" w:rsidR="00BF0545" w:rsidRPr="00390F83" w:rsidRDefault="00BF0545" w:rsidP="00BF0545"/>
    <w:p w14:paraId="43E9E975" w14:textId="77777777" w:rsidR="00BF0545" w:rsidRPr="00390F83" w:rsidRDefault="00BF0545" w:rsidP="00BF0545">
      <w:pPr>
        <w:rPr>
          <w:b/>
          <w:lang w:val="en-GB"/>
        </w:rPr>
      </w:pPr>
      <w:r w:rsidRPr="00390F83">
        <w:rPr>
          <w:b/>
          <w:lang w:val="en-GB"/>
        </w:rPr>
        <w:t>Definitions</w:t>
      </w:r>
    </w:p>
    <w:p w14:paraId="7FAE192C" w14:textId="77777777" w:rsidR="00BF0545" w:rsidRPr="00390F83" w:rsidRDefault="00BF0545" w:rsidP="00BF0545">
      <w:pPr>
        <w:rPr>
          <w:lang w:val="en-GB"/>
        </w:rPr>
      </w:pPr>
    </w:p>
    <w:p w14:paraId="5508ADDC" w14:textId="77777777" w:rsidR="00BF0545" w:rsidRPr="00390F83" w:rsidRDefault="00BF0545" w:rsidP="005F4289">
      <w:pPr>
        <w:ind w:left="432" w:hanging="432"/>
        <w:rPr>
          <w:lang w:val="en-GB"/>
        </w:rPr>
      </w:pPr>
      <w:r w:rsidRPr="00390F83">
        <w:rPr>
          <w:lang w:val="en-GB"/>
        </w:rPr>
        <w:t>6.</w:t>
      </w:r>
      <w:r w:rsidRPr="00390F83">
        <w:rPr>
          <w:lang w:val="en-GB"/>
        </w:rPr>
        <w:tab/>
        <w:t xml:space="preserve">For the purposes of this review, wetland law and policy refers to rules adopted by governments concerning </w:t>
      </w:r>
      <w:r w:rsidRPr="00390F83">
        <w:t>activities</w:t>
      </w:r>
      <w:r w:rsidRPr="00390F83">
        <w:rPr>
          <w:lang w:val="en-GB"/>
        </w:rPr>
        <w:t xml:space="preserve"> that impact wetlands, including legislation (statutes, acts, decrees, ordinances), regulations with the force of law, and policies that guide decision-making processes. This definition also encompasses judicial decisions interpreting such laws, as well as customary law applied to wetlands.</w:t>
      </w:r>
    </w:p>
    <w:p w14:paraId="4902BAF2" w14:textId="77777777" w:rsidR="00BF0545" w:rsidRPr="00390F83" w:rsidRDefault="00BF0545" w:rsidP="00BF0545">
      <w:pPr>
        <w:rPr>
          <w:lang w:val="en-GB"/>
        </w:rPr>
      </w:pPr>
    </w:p>
    <w:p w14:paraId="08CAB095" w14:textId="77777777" w:rsidR="00BF0545" w:rsidRPr="00390F83" w:rsidRDefault="00BF0545" w:rsidP="005F4289">
      <w:pPr>
        <w:ind w:left="432" w:hanging="432"/>
      </w:pPr>
      <w:r w:rsidRPr="00390F83">
        <w:rPr>
          <w:lang w:val="en-GB"/>
        </w:rPr>
        <w:t>7.</w:t>
      </w:r>
      <w:r w:rsidRPr="00390F83">
        <w:rPr>
          <w:lang w:val="en-GB"/>
        </w:rPr>
        <w:tab/>
        <w:t xml:space="preserve">As noted in Handbook 3, statutes and regulations provide the legal foundation for regulatory powers, planning </w:t>
      </w:r>
      <w:r w:rsidRPr="00390F83">
        <w:t>frameworks</w:t>
      </w:r>
      <w:r w:rsidRPr="00390F83">
        <w:rPr>
          <w:lang w:val="en-GB"/>
        </w:rPr>
        <w:t>, and public expenditures that influence wetland management. Customary laws, meanwhile, often govern the rights and duties of Indigenous Peoples and local communities in relation to wetland resources</w:t>
      </w:r>
      <w:r w:rsidRPr="00390F83">
        <w:t>.</w:t>
      </w:r>
      <w:r w:rsidRPr="00390F83">
        <w:rPr>
          <w:vertAlign w:val="superscript"/>
        </w:rPr>
        <w:footnoteReference w:id="7"/>
      </w:r>
    </w:p>
    <w:p w14:paraId="62E4EF5C" w14:textId="77777777" w:rsidR="00BF0545" w:rsidRPr="00390F83" w:rsidRDefault="00BF0545" w:rsidP="00BF0545">
      <w:pPr>
        <w:rPr>
          <w:lang w:val="en-GB"/>
        </w:rPr>
      </w:pPr>
    </w:p>
    <w:p w14:paraId="03BF9536" w14:textId="77777777" w:rsidR="00BF0545" w:rsidRPr="00390F83" w:rsidRDefault="00BF0545" w:rsidP="005F4289">
      <w:pPr>
        <w:ind w:left="432" w:hanging="432"/>
        <w:rPr>
          <w:lang w:val="en-GB"/>
        </w:rPr>
      </w:pPr>
      <w:r w:rsidRPr="00390F83">
        <w:rPr>
          <w:lang w:val="en-GB"/>
        </w:rPr>
        <w:t>8.</w:t>
      </w:r>
      <w:r w:rsidRPr="00390F83">
        <w:rPr>
          <w:lang w:val="en-GB"/>
        </w:rPr>
        <w:tab/>
        <w:t xml:space="preserve">The </w:t>
      </w:r>
      <w:r w:rsidRPr="00390F83">
        <w:t>following</w:t>
      </w:r>
      <w:r w:rsidRPr="00390F83">
        <w:rPr>
          <w:lang w:val="en-GB"/>
        </w:rPr>
        <w:t xml:space="preserve"> table outlines potential sources of law and policy relevant to wetlands.</w:t>
      </w:r>
    </w:p>
    <w:p w14:paraId="67CBE499" w14:textId="77777777" w:rsidR="00BF0545" w:rsidRPr="00390F83" w:rsidRDefault="00BF0545" w:rsidP="00BF0545">
      <w:pPr>
        <w:rPr>
          <w:lang w:val="en-GB"/>
        </w:rPr>
      </w:pPr>
    </w:p>
    <w:tbl>
      <w:tblPr>
        <w:tblStyle w:val="TableGrid"/>
        <w:tblW w:w="0" w:type="auto"/>
        <w:tblInd w:w="-5" w:type="dxa"/>
        <w:tblLook w:val="04A0" w:firstRow="1" w:lastRow="0" w:firstColumn="1" w:lastColumn="0" w:noHBand="0" w:noVBand="1"/>
      </w:tblPr>
      <w:tblGrid>
        <w:gridCol w:w="4504"/>
        <w:gridCol w:w="4517"/>
      </w:tblGrid>
      <w:tr w:rsidR="00BF0545" w:rsidRPr="00390F83" w14:paraId="6CA546A6" w14:textId="77777777" w:rsidTr="00BF0545">
        <w:tc>
          <w:tcPr>
            <w:tcW w:w="9270" w:type="dxa"/>
            <w:gridSpan w:val="2"/>
            <w:tcBorders>
              <w:top w:val="single" w:sz="4" w:space="0" w:color="auto"/>
              <w:left w:val="single" w:sz="4" w:space="0" w:color="auto"/>
              <w:bottom w:val="single" w:sz="4" w:space="0" w:color="auto"/>
              <w:right w:val="single" w:sz="4" w:space="0" w:color="auto"/>
            </w:tcBorders>
            <w:hideMark/>
          </w:tcPr>
          <w:p w14:paraId="140DB354" w14:textId="77777777" w:rsidR="00BF0545" w:rsidRPr="00390F83" w:rsidRDefault="00BF0545" w:rsidP="00BF0545">
            <w:pPr>
              <w:rPr>
                <w:b/>
                <w:lang w:val="en-GB"/>
              </w:rPr>
            </w:pPr>
            <w:r w:rsidRPr="00390F83">
              <w:rPr>
                <w:b/>
                <w:lang w:val="en-GB"/>
              </w:rPr>
              <w:t>Possible sources of law</w:t>
            </w:r>
          </w:p>
        </w:tc>
      </w:tr>
      <w:tr w:rsidR="00BF0545" w:rsidRPr="00390F83" w14:paraId="7EE50493" w14:textId="77777777" w:rsidTr="00BF0545">
        <w:tc>
          <w:tcPr>
            <w:tcW w:w="4624" w:type="dxa"/>
            <w:tcBorders>
              <w:top w:val="single" w:sz="4" w:space="0" w:color="auto"/>
              <w:left w:val="single" w:sz="4" w:space="0" w:color="auto"/>
              <w:bottom w:val="single" w:sz="4" w:space="0" w:color="auto"/>
              <w:right w:val="single" w:sz="4" w:space="0" w:color="auto"/>
            </w:tcBorders>
            <w:hideMark/>
          </w:tcPr>
          <w:p w14:paraId="1B9443CB" w14:textId="77777777" w:rsidR="00BF0545" w:rsidRPr="00390F83" w:rsidRDefault="00BF0545" w:rsidP="00BF0545">
            <w:pPr>
              <w:rPr>
                <w:lang w:val="en-GB"/>
              </w:rPr>
            </w:pPr>
            <w:r w:rsidRPr="00390F83">
              <w:rPr>
                <w:lang w:val="en-GB"/>
              </w:rPr>
              <w:t>Obligations under international law</w:t>
            </w:r>
          </w:p>
        </w:tc>
        <w:tc>
          <w:tcPr>
            <w:tcW w:w="4646" w:type="dxa"/>
            <w:tcBorders>
              <w:top w:val="single" w:sz="4" w:space="0" w:color="auto"/>
              <w:left w:val="single" w:sz="4" w:space="0" w:color="auto"/>
              <w:bottom w:val="single" w:sz="4" w:space="0" w:color="auto"/>
              <w:right w:val="single" w:sz="4" w:space="0" w:color="auto"/>
            </w:tcBorders>
            <w:hideMark/>
          </w:tcPr>
          <w:p w14:paraId="21F99565" w14:textId="77777777" w:rsidR="00BF0545" w:rsidRPr="00390F83" w:rsidRDefault="00BF0545" w:rsidP="00BF0545">
            <w:pPr>
              <w:rPr>
                <w:lang w:val="en-GB"/>
              </w:rPr>
            </w:pPr>
            <w:r w:rsidRPr="00390F83">
              <w:rPr>
                <w:lang w:val="en-GB"/>
              </w:rPr>
              <w:t>Municipal regulation</w:t>
            </w:r>
          </w:p>
        </w:tc>
      </w:tr>
      <w:tr w:rsidR="00BF0545" w:rsidRPr="00390F83" w14:paraId="3C8F9B9B" w14:textId="77777777" w:rsidTr="00BF0545">
        <w:tc>
          <w:tcPr>
            <w:tcW w:w="4624" w:type="dxa"/>
            <w:tcBorders>
              <w:top w:val="single" w:sz="4" w:space="0" w:color="auto"/>
              <w:left w:val="single" w:sz="4" w:space="0" w:color="auto"/>
              <w:bottom w:val="single" w:sz="4" w:space="0" w:color="auto"/>
              <w:right w:val="single" w:sz="4" w:space="0" w:color="auto"/>
            </w:tcBorders>
            <w:hideMark/>
          </w:tcPr>
          <w:p w14:paraId="32ED8725" w14:textId="77777777" w:rsidR="00BF0545" w:rsidRPr="00390F83" w:rsidRDefault="00BF0545" w:rsidP="00BF0545">
            <w:pPr>
              <w:rPr>
                <w:lang w:val="en-GB"/>
              </w:rPr>
            </w:pPr>
            <w:r w:rsidRPr="00390F83">
              <w:rPr>
                <w:lang w:val="en-GB"/>
              </w:rPr>
              <w:t>Relevant constitutional provisions</w:t>
            </w:r>
          </w:p>
        </w:tc>
        <w:tc>
          <w:tcPr>
            <w:tcW w:w="4646" w:type="dxa"/>
            <w:tcBorders>
              <w:top w:val="single" w:sz="4" w:space="0" w:color="auto"/>
              <w:left w:val="single" w:sz="4" w:space="0" w:color="auto"/>
              <w:bottom w:val="single" w:sz="4" w:space="0" w:color="auto"/>
              <w:right w:val="single" w:sz="4" w:space="0" w:color="auto"/>
            </w:tcBorders>
            <w:hideMark/>
          </w:tcPr>
          <w:p w14:paraId="5D666723" w14:textId="77777777" w:rsidR="00BF0545" w:rsidRPr="00390F83" w:rsidRDefault="00BF0545" w:rsidP="00BF0545">
            <w:pPr>
              <w:rPr>
                <w:lang w:val="en-GB"/>
              </w:rPr>
            </w:pPr>
            <w:r w:rsidRPr="00390F83">
              <w:rPr>
                <w:lang w:val="en-GB"/>
              </w:rPr>
              <w:t>Ministerial technical / planning guidelines</w:t>
            </w:r>
          </w:p>
        </w:tc>
      </w:tr>
      <w:tr w:rsidR="00BF0545" w:rsidRPr="00390F83" w14:paraId="5C7C4E9C" w14:textId="77777777" w:rsidTr="00BF0545">
        <w:tc>
          <w:tcPr>
            <w:tcW w:w="4624" w:type="dxa"/>
            <w:tcBorders>
              <w:top w:val="single" w:sz="4" w:space="0" w:color="auto"/>
              <w:left w:val="single" w:sz="4" w:space="0" w:color="auto"/>
              <w:bottom w:val="single" w:sz="4" w:space="0" w:color="auto"/>
              <w:right w:val="single" w:sz="4" w:space="0" w:color="auto"/>
            </w:tcBorders>
            <w:hideMark/>
          </w:tcPr>
          <w:p w14:paraId="6C5166BE" w14:textId="77777777" w:rsidR="00BF0545" w:rsidRPr="00390F83" w:rsidRDefault="00BF0545" w:rsidP="00BF0545">
            <w:pPr>
              <w:rPr>
                <w:lang w:val="en-GB"/>
              </w:rPr>
            </w:pPr>
            <w:r w:rsidRPr="00390F83">
              <w:t>Regional /Local Agreements</w:t>
            </w:r>
          </w:p>
        </w:tc>
        <w:tc>
          <w:tcPr>
            <w:tcW w:w="4646" w:type="dxa"/>
            <w:tcBorders>
              <w:top w:val="single" w:sz="4" w:space="0" w:color="auto"/>
              <w:left w:val="single" w:sz="4" w:space="0" w:color="auto"/>
              <w:bottom w:val="single" w:sz="4" w:space="0" w:color="auto"/>
              <w:right w:val="single" w:sz="4" w:space="0" w:color="auto"/>
            </w:tcBorders>
          </w:tcPr>
          <w:p w14:paraId="09DF7446" w14:textId="77777777" w:rsidR="00BF0545" w:rsidRPr="00390F83" w:rsidRDefault="00BF0545" w:rsidP="00BF0545">
            <w:pPr>
              <w:rPr>
                <w:lang w:val="en-GB"/>
              </w:rPr>
            </w:pPr>
          </w:p>
        </w:tc>
      </w:tr>
      <w:tr w:rsidR="00BF0545" w:rsidRPr="00390F83" w14:paraId="0D1DD31A" w14:textId="77777777" w:rsidTr="00BF0545">
        <w:tc>
          <w:tcPr>
            <w:tcW w:w="4624" w:type="dxa"/>
            <w:tcBorders>
              <w:top w:val="single" w:sz="4" w:space="0" w:color="auto"/>
              <w:left w:val="single" w:sz="4" w:space="0" w:color="auto"/>
              <w:bottom w:val="single" w:sz="4" w:space="0" w:color="auto"/>
              <w:right w:val="single" w:sz="4" w:space="0" w:color="auto"/>
            </w:tcBorders>
            <w:hideMark/>
          </w:tcPr>
          <w:p w14:paraId="27E0A4D1" w14:textId="77777777" w:rsidR="00BF0545" w:rsidRPr="00390F83" w:rsidRDefault="00BF0545" w:rsidP="00BF0545">
            <w:pPr>
              <w:rPr>
                <w:lang w:val="en-GB"/>
              </w:rPr>
            </w:pPr>
            <w:r w:rsidRPr="00390F83">
              <w:rPr>
                <w:lang w:val="en-GB"/>
              </w:rPr>
              <w:t>Primary legislation (statutes)</w:t>
            </w:r>
          </w:p>
        </w:tc>
        <w:tc>
          <w:tcPr>
            <w:tcW w:w="4646" w:type="dxa"/>
            <w:tcBorders>
              <w:top w:val="single" w:sz="4" w:space="0" w:color="auto"/>
              <w:left w:val="single" w:sz="4" w:space="0" w:color="auto"/>
              <w:bottom w:val="single" w:sz="4" w:space="0" w:color="auto"/>
              <w:right w:val="single" w:sz="4" w:space="0" w:color="auto"/>
            </w:tcBorders>
            <w:hideMark/>
          </w:tcPr>
          <w:p w14:paraId="701FC036" w14:textId="77777777" w:rsidR="00BF0545" w:rsidRPr="00390F83" w:rsidRDefault="00BF0545" w:rsidP="00BF0545">
            <w:pPr>
              <w:rPr>
                <w:lang w:val="en-GB"/>
              </w:rPr>
            </w:pPr>
            <w:r w:rsidRPr="00390F83">
              <w:rPr>
                <w:lang w:val="en-GB"/>
              </w:rPr>
              <w:t>Rules on land tenure and resource use</w:t>
            </w:r>
          </w:p>
        </w:tc>
      </w:tr>
      <w:tr w:rsidR="00BF0545" w:rsidRPr="00390F83" w14:paraId="52ACC5ED" w14:textId="77777777" w:rsidTr="00BF0545">
        <w:tc>
          <w:tcPr>
            <w:tcW w:w="4624" w:type="dxa"/>
            <w:tcBorders>
              <w:top w:val="single" w:sz="4" w:space="0" w:color="auto"/>
              <w:left w:val="single" w:sz="4" w:space="0" w:color="auto"/>
              <w:bottom w:val="single" w:sz="4" w:space="0" w:color="auto"/>
              <w:right w:val="single" w:sz="4" w:space="0" w:color="auto"/>
            </w:tcBorders>
            <w:hideMark/>
          </w:tcPr>
          <w:p w14:paraId="4C384D1C" w14:textId="77777777" w:rsidR="00BF0545" w:rsidRPr="00390F83" w:rsidRDefault="00BF0545" w:rsidP="00BF0545">
            <w:pPr>
              <w:rPr>
                <w:lang w:val="en-GB"/>
              </w:rPr>
            </w:pPr>
            <w:r w:rsidRPr="00390F83">
              <w:rPr>
                <w:lang w:val="en-GB"/>
              </w:rPr>
              <w:t>Secondary (implementing) legislation</w:t>
            </w:r>
          </w:p>
        </w:tc>
        <w:tc>
          <w:tcPr>
            <w:tcW w:w="4646" w:type="dxa"/>
            <w:tcBorders>
              <w:top w:val="single" w:sz="4" w:space="0" w:color="auto"/>
              <w:left w:val="single" w:sz="4" w:space="0" w:color="auto"/>
              <w:bottom w:val="single" w:sz="4" w:space="0" w:color="auto"/>
              <w:right w:val="single" w:sz="4" w:space="0" w:color="auto"/>
            </w:tcBorders>
            <w:hideMark/>
          </w:tcPr>
          <w:p w14:paraId="26F2FBA6" w14:textId="77777777" w:rsidR="00BF0545" w:rsidRPr="00390F83" w:rsidRDefault="00BF0545" w:rsidP="00BF0545">
            <w:pPr>
              <w:rPr>
                <w:lang w:val="en-GB"/>
              </w:rPr>
            </w:pPr>
            <w:r w:rsidRPr="00390F83">
              <w:rPr>
                <w:lang w:val="en-GB"/>
              </w:rPr>
              <w:t>Contracts and concessions</w:t>
            </w:r>
          </w:p>
        </w:tc>
      </w:tr>
      <w:tr w:rsidR="00BF0545" w:rsidRPr="00390F83" w14:paraId="61167205" w14:textId="77777777" w:rsidTr="00BF0545">
        <w:tc>
          <w:tcPr>
            <w:tcW w:w="4624" w:type="dxa"/>
            <w:tcBorders>
              <w:top w:val="single" w:sz="4" w:space="0" w:color="auto"/>
              <w:left w:val="single" w:sz="4" w:space="0" w:color="auto"/>
              <w:bottom w:val="single" w:sz="4" w:space="0" w:color="auto"/>
              <w:right w:val="single" w:sz="4" w:space="0" w:color="auto"/>
            </w:tcBorders>
            <w:hideMark/>
          </w:tcPr>
          <w:p w14:paraId="4931FEE5" w14:textId="77777777" w:rsidR="00BF0545" w:rsidRPr="00390F83" w:rsidRDefault="00BF0545" w:rsidP="00BF0545">
            <w:pPr>
              <w:rPr>
                <w:lang w:val="en-GB"/>
              </w:rPr>
            </w:pPr>
            <w:r w:rsidRPr="00390F83">
              <w:rPr>
                <w:lang w:val="en-GB"/>
              </w:rPr>
              <w:t>Common law (including case law)</w:t>
            </w:r>
          </w:p>
        </w:tc>
        <w:tc>
          <w:tcPr>
            <w:tcW w:w="4646" w:type="dxa"/>
            <w:tcBorders>
              <w:top w:val="single" w:sz="4" w:space="0" w:color="auto"/>
              <w:left w:val="single" w:sz="4" w:space="0" w:color="auto"/>
              <w:bottom w:val="single" w:sz="4" w:space="0" w:color="auto"/>
              <w:right w:val="single" w:sz="4" w:space="0" w:color="auto"/>
            </w:tcBorders>
            <w:hideMark/>
          </w:tcPr>
          <w:p w14:paraId="1E0C8351" w14:textId="77777777" w:rsidR="00BF0545" w:rsidRPr="00390F83" w:rsidRDefault="00BF0545" w:rsidP="00BF0545">
            <w:pPr>
              <w:rPr>
                <w:lang w:val="en-GB"/>
              </w:rPr>
            </w:pPr>
            <w:r w:rsidRPr="00390F83">
              <w:rPr>
                <w:lang w:val="en-GB"/>
              </w:rPr>
              <w:t>Customary laws and best practices</w:t>
            </w:r>
          </w:p>
        </w:tc>
      </w:tr>
      <w:tr w:rsidR="00BF0545" w:rsidRPr="00390F83" w14:paraId="60441443" w14:textId="77777777" w:rsidTr="00BF0545">
        <w:tc>
          <w:tcPr>
            <w:tcW w:w="4624" w:type="dxa"/>
            <w:tcBorders>
              <w:top w:val="single" w:sz="4" w:space="0" w:color="auto"/>
              <w:left w:val="single" w:sz="4" w:space="0" w:color="auto"/>
              <w:bottom w:val="single" w:sz="4" w:space="0" w:color="auto"/>
              <w:right w:val="single" w:sz="4" w:space="0" w:color="auto"/>
            </w:tcBorders>
            <w:hideMark/>
          </w:tcPr>
          <w:p w14:paraId="3521217A" w14:textId="77777777" w:rsidR="00BF0545" w:rsidRPr="00390F83" w:rsidRDefault="00BF0545" w:rsidP="00BF0545">
            <w:pPr>
              <w:rPr>
                <w:lang w:val="en-GB"/>
              </w:rPr>
            </w:pPr>
            <w:r w:rsidRPr="00390F83">
              <w:rPr>
                <w:lang w:val="en-GB"/>
              </w:rPr>
              <w:t>Formal government policies</w:t>
            </w:r>
          </w:p>
        </w:tc>
        <w:tc>
          <w:tcPr>
            <w:tcW w:w="4646" w:type="dxa"/>
            <w:tcBorders>
              <w:top w:val="single" w:sz="4" w:space="0" w:color="auto"/>
              <w:left w:val="single" w:sz="4" w:space="0" w:color="auto"/>
              <w:bottom w:val="single" w:sz="4" w:space="0" w:color="auto"/>
              <w:right w:val="single" w:sz="4" w:space="0" w:color="auto"/>
            </w:tcBorders>
            <w:hideMark/>
          </w:tcPr>
          <w:p w14:paraId="530E223B" w14:textId="77777777" w:rsidR="00BF0545" w:rsidRPr="00390F83" w:rsidRDefault="00BF0545" w:rsidP="00BF0545">
            <w:pPr>
              <w:rPr>
                <w:lang w:val="en-GB"/>
              </w:rPr>
            </w:pPr>
            <w:r w:rsidRPr="00390F83">
              <w:rPr>
                <w:lang w:val="en-GB"/>
              </w:rPr>
              <w:t>Relevant cultural or religious norms</w:t>
            </w:r>
          </w:p>
        </w:tc>
      </w:tr>
      <w:tr w:rsidR="00BF0545" w:rsidRPr="00390F83" w14:paraId="4F8FA120" w14:textId="77777777" w:rsidTr="00BF0545">
        <w:tc>
          <w:tcPr>
            <w:tcW w:w="4624" w:type="dxa"/>
            <w:tcBorders>
              <w:top w:val="single" w:sz="4" w:space="0" w:color="auto"/>
              <w:left w:val="single" w:sz="4" w:space="0" w:color="auto"/>
              <w:bottom w:val="single" w:sz="4" w:space="0" w:color="auto"/>
              <w:right w:val="single" w:sz="4" w:space="0" w:color="auto"/>
            </w:tcBorders>
            <w:hideMark/>
          </w:tcPr>
          <w:p w14:paraId="2ECA3E95" w14:textId="77777777" w:rsidR="00BF0545" w:rsidRPr="00390F83" w:rsidRDefault="00BF0545" w:rsidP="00BF0545">
            <w:pPr>
              <w:rPr>
                <w:lang w:val="en-GB"/>
              </w:rPr>
            </w:pPr>
            <w:r w:rsidRPr="00390F83">
              <w:t>Indigenous Laws and Practices</w:t>
            </w:r>
          </w:p>
        </w:tc>
        <w:tc>
          <w:tcPr>
            <w:tcW w:w="4646" w:type="dxa"/>
            <w:tcBorders>
              <w:top w:val="single" w:sz="4" w:space="0" w:color="auto"/>
              <w:left w:val="single" w:sz="4" w:space="0" w:color="auto"/>
              <w:bottom w:val="single" w:sz="4" w:space="0" w:color="auto"/>
              <w:right w:val="single" w:sz="4" w:space="0" w:color="auto"/>
            </w:tcBorders>
            <w:hideMark/>
          </w:tcPr>
          <w:p w14:paraId="1FCFB7B7" w14:textId="77777777" w:rsidR="00BF0545" w:rsidRPr="00390F83" w:rsidRDefault="00BF0545" w:rsidP="00BF0545">
            <w:pPr>
              <w:rPr>
                <w:lang w:val="en-CA"/>
              </w:rPr>
            </w:pPr>
            <w:r w:rsidRPr="00390F83">
              <w:t>Traditional ecological knowledge frameworks</w:t>
            </w:r>
          </w:p>
          <w:p w14:paraId="7EC7BC4C" w14:textId="77777777" w:rsidR="00BF0545" w:rsidRPr="00390F83" w:rsidRDefault="00BF0545" w:rsidP="00BF0545">
            <w:pPr>
              <w:rPr>
                <w:lang w:val="en-GB"/>
              </w:rPr>
            </w:pPr>
            <w:r w:rsidRPr="00390F83">
              <w:rPr>
                <w:lang w:val="en-CA"/>
              </w:rPr>
              <w:t>Indigenous land management policies</w:t>
            </w:r>
          </w:p>
        </w:tc>
      </w:tr>
    </w:tbl>
    <w:p w14:paraId="542529A8" w14:textId="77777777" w:rsidR="00BF0545" w:rsidRPr="00390F83" w:rsidRDefault="00BF0545" w:rsidP="00BF0545">
      <w:pPr>
        <w:rPr>
          <w:lang w:val="en-GB"/>
        </w:rPr>
      </w:pPr>
      <w:r w:rsidRPr="00390F83">
        <w:rPr>
          <w:i/>
          <w:iCs/>
          <w:lang w:val="en-GB"/>
        </w:rPr>
        <w:t>Source</w:t>
      </w:r>
      <w:r w:rsidRPr="00390F83">
        <w:rPr>
          <w:lang w:val="en-GB"/>
        </w:rPr>
        <w:t xml:space="preserve">: Adapted from the Convention on Wetlands Handbook 3, </w:t>
      </w:r>
      <w:r w:rsidRPr="00390F83">
        <w:rPr>
          <w:i/>
          <w:iCs/>
          <w:lang w:val="en-GB"/>
        </w:rPr>
        <w:t>Laws and institutions</w:t>
      </w:r>
      <w:r w:rsidRPr="00390F83">
        <w:rPr>
          <w:lang w:val="en-GB"/>
        </w:rPr>
        <w:t>.</w:t>
      </w:r>
    </w:p>
    <w:p w14:paraId="30BBF47D" w14:textId="77777777" w:rsidR="00BF0545" w:rsidRPr="00390F83" w:rsidRDefault="00BF0545" w:rsidP="00BF0545">
      <w:pPr>
        <w:rPr>
          <w:lang w:val="en-GB"/>
        </w:rPr>
      </w:pPr>
    </w:p>
    <w:p w14:paraId="359F2CD0" w14:textId="77777777" w:rsidR="00BF0545" w:rsidRPr="00390F83" w:rsidRDefault="00BF0545" w:rsidP="005F4289">
      <w:pPr>
        <w:ind w:left="432" w:hanging="432"/>
        <w:rPr>
          <w:lang w:val="en-GB"/>
        </w:rPr>
      </w:pPr>
      <w:r w:rsidRPr="00390F83">
        <w:rPr>
          <w:lang w:val="en-GB"/>
        </w:rPr>
        <w:t>9.</w:t>
      </w:r>
      <w:r w:rsidRPr="00390F83">
        <w:rPr>
          <w:lang w:val="en-GB"/>
        </w:rPr>
        <w:tab/>
        <w:t xml:space="preserve">For the review, the Convention on Wetlands definition of wetlands (Article 1.1) will apply: “areas of marsh, fen, peatland or water, whether natural or artificial, permanent or temporary, with water that is static or flowing, fresh, brackish or salt, including areas of marine water the depth of which at low tide does not exceed six metres.” The review will consider all wetland types within the </w:t>
      </w:r>
      <w:r w:rsidRPr="00390F83">
        <w:t>Convention’s</w:t>
      </w:r>
      <w:r w:rsidRPr="00390F83">
        <w:rPr>
          <w:lang w:val="en-GB"/>
        </w:rPr>
        <w:t xml:space="preserve"> Classification System, including marine, coastal, inland, and human-made wetlands, such as coral reefs, marshes, mangroves, lagoons, rivers, lakes, and peatlands.</w:t>
      </w:r>
      <w:r w:rsidRPr="00390F83">
        <w:rPr>
          <w:vertAlign w:val="superscript"/>
          <w:lang w:val="en-GB"/>
        </w:rPr>
        <w:footnoteReference w:id="8"/>
      </w:r>
    </w:p>
    <w:p w14:paraId="3686F364" w14:textId="77777777" w:rsidR="00BF0545" w:rsidRPr="00390F83" w:rsidRDefault="00BF0545" w:rsidP="00BF0545">
      <w:pPr>
        <w:rPr>
          <w:lang w:val="en-GB"/>
        </w:rPr>
      </w:pPr>
    </w:p>
    <w:p w14:paraId="72341645" w14:textId="77777777" w:rsidR="00BF0545" w:rsidRPr="00390F83" w:rsidRDefault="00BF0545" w:rsidP="00BF0545">
      <w:pPr>
        <w:rPr>
          <w:b/>
          <w:lang w:val="en-GB"/>
        </w:rPr>
      </w:pPr>
      <w:r w:rsidRPr="00390F83">
        <w:rPr>
          <w:b/>
          <w:lang w:val="en-GB"/>
        </w:rPr>
        <w:t>Scope of Work</w:t>
      </w:r>
    </w:p>
    <w:p w14:paraId="53475831" w14:textId="77777777" w:rsidR="00BF0545" w:rsidRPr="00390F83" w:rsidRDefault="00BF0545" w:rsidP="00BF0545">
      <w:pPr>
        <w:rPr>
          <w:lang w:val="en-GB"/>
        </w:rPr>
      </w:pPr>
    </w:p>
    <w:p w14:paraId="730F24D7" w14:textId="77777777" w:rsidR="00BF0545" w:rsidRPr="00390F83" w:rsidRDefault="00BF0545" w:rsidP="005F4289">
      <w:pPr>
        <w:ind w:left="432" w:hanging="432"/>
        <w:rPr>
          <w:lang w:val="en-GB"/>
        </w:rPr>
      </w:pPr>
      <w:r w:rsidRPr="00390F83">
        <w:rPr>
          <w:lang w:val="en-GB"/>
        </w:rPr>
        <w:t>10.</w:t>
      </w:r>
      <w:r w:rsidRPr="00390F83">
        <w:rPr>
          <w:lang w:val="en-GB"/>
        </w:rPr>
        <w:tab/>
        <w:t xml:space="preserve">The review will cover all Convention on Wetlands regions through a desktop study combined with </w:t>
      </w:r>
      <w:r w:rsidRPr="00390F83">
        <w:t>consultations</w:t>
      </w:r>
      <w:r w:rsidRPr="00390F83">
        <w:rPr>
          <w:lang w:val="en-GB"/>
        </w:rPr>
        <w:t xml:space="preserve"> with National Focal Points, STRP Focal Points, and representatives from regional initiatives. The review will identify a range of legal and policy instruments at various levels and include case examples of Indigenous and customary laws. Wherever possible, the review will highlight effective laws and policies that have successfully promoted the wise use and conservation of wetlands. </w:t>
      </w:r>
    </w:p>
    <w:p w14:paraId="27055287" w14:textId="77777777" w:rsidR="00BF0545" w:rsidRPr="00390F83" w:rsidRDefault="00BF0545" w:rsidP="00BF0545">
      <w:pPr>
        <w:rPr>
          <w:lang w:val="en-GB"/>
        </w:rPr>
      </w:pPr>
    </w:p>
    <w:p w14:paraId="123BD9CA" w14:textId="163D5C6D" w:rsidR="00BF0545" w:rsidRPr="00390F83" w:rsidRDefault="00BF0545" w:rsidP="005F4289">
      <w:pPr>
        <w:ind w:left="432" w:hanging="432"/>
        <w:rPr>
          <w:lang w:val="en-GB"/>
        </w:rPr>
      </w:pPr>
      <w:r w:rsidRPr="00390F83">
        <w:rPr>
          <w:lang w:val="en-GB"/>
        </w:rPr>
        <w:t>11.</w:t>
      </w:r>
      <w:r w:rsidRPr="00390F83">
        <w:rPr>
          <w:lang w:val="en-GB"/>
        </w:rPr>
        <w:tab/>
        <w:t xml:space="preserve">The </w:t>
      </w:r>
      <w:r w:rsidRPr="00390F83">
        <w:t>review</w:t>
      </w:r>
      <w:r w:rsidRPr="00390F83">
        <w:rPr>
          <w:lang w:val="en-GB"/>
        </w:rPr>
        <w:t xml:space="preserve"> will assess both the legal text of policy instruments and their implementation outcomes, examining their legal, social, and ecological performance. Factors such as the precision, stringency, scientific basis, public participation, enforceability, and administrative control will be considered in determining their effectiveness. The review will also identify lessons learned and best practices.</w:t>
      </w:r>
    </w:p>
    <w:p w14:paraId="1D1EDE92" w14:textId="77777777" w:rsidR="00BF0545" w:rsidRPr="00390F83" w:rsidRDefault="00BF0545" w:rsidP="00BF0545">
      <w:pPr>
        <w:rPr>
          <w:lang w:val="en-GB"/>
        </w:rPr>
      </w:pPr>
    </w:p>
    <w:p w14:paraId="444D45C1" w14:textId="77777777" w:rsidR="00BF0545" w:rsidRPr="00390F83" w:rsidRDefault="00BF0545" w:rsidP="00CE4218">
      <w:pPr>
        <w:keepNext/>
        <w:rPr>
          <w:b/>
          <w:lang w:val="en-GB"/>
        </w:rPr>
      </w:pPr>
      <w:r w:rsidRPr="00390F83">
        <w:rPr>
          <w:b/>
          <w:lang w:val="en-GB"/>
        </w:rPr>
        <w:t>Desktop Study and Consultation</w:t>
      </w:r>
    </w:p>
    <w:p w14:paraId="6379D839" w14:textId="77777777" w:rsidR="00BF0545" w:rsidRPr="00390F83" w:rsidRDefault="00BF0545" w:rsidP="00CE4218">
      <w:pPr>
        <w:keepNext/>
        <w:rPr>
          <w:lang w:val="en-GB"/>
        </w:rPr>
      </w:pPr>
    </w:p>
    <w:p w14:paraId="5468FE1D" w14:textId="0D3650C8" w:rsidR="00BF0545" w:rsidRPr="00390F83" w:rsidRDefault="00BF0545" w:rsidP="005F4289">
      <w:pPr>
        <w:ind w:left="432" w:hanging="432"/>
        <w:rPr>
          <w:lang w:val="en-GB"/>
        </w:rPr>
      </w:pPr>
      <w:r w:rsidRPr="00390F83">
        <w:rPr>
          <w:lang w:val="en-GB"/>
        </w:rPr>
        <w:t>12.</w:t>
      </w:r>
      <w:r w:rsidRPr="00390F83">
        <w:rPr>
          <w:lang w:val="en-GB"/>
        </w:rPr>
        <w:tab/>
        <w:t>The desktop study will analyse existing literature and databases, such as the Legal Atlas, which is developing a global database on laws related to freshwater management</w:t>
      </w:r>
      <w:r w:rsidRPr="00390F83">
        <w:rPr>
          <w:i/>
          <w:iCs/>
          <w:lang w:val="en-GB"/>
        </w:rPr>
        <w:t xml:space="preserve"> </w:t>
      </w:r>
      <w:r w:rsidRPr="00390F83">
        <w:rPr>
          <w:lang w:val="en-GB"/>
        </w:rPr>
        <w:t>(</w:t>
      </w:r>
      <w:hyperlink r:id="rId22" w:history="1">
        <w:r w:rsidRPr="00390F83">
          <w:rPr>
            <w:rStyle w:val="Hyperlink"/>
            <w:lang w:val="en-GB"/>
          </w:rPr>
          <w:t>https://www.legal-atlas.com/legal-intelligence-platform.html</w:t>
        </w:r>
      </w:hyperlink>
      <w:r w:rsidRPr="00390F83">
        <w:rPr>
          <w:lang w:val="en-GB"/>
        </w:rPr>
        <w:t>).</w:t>
      </w:r>
      <w:r w:rsidR="009D46C3" w:rsidRPr="00390F83">
        <w:rPr>
          <w:lang w:val="en-GB"/>
        </w:rPr>
        <w:t xml:space="preserve"> </w:t>
      </w:r>
    </w:p>
    <w:p w14:paraId="5AE97E98" w14:textId="77777777" w:rsidR="00BF0545" w:rsidRPr="00390F83" w:rsidRDefault="00BF0545" w:rsidP="00BF0545">
      <w:pPr>
        <w:rPr>
          <w:lang w:val="en-GB"/>
        </w:rPr>
      </w:pPr>
    </w:p>
    <w:p w14:paraId="4AAA61D0" w14:textId="77777777" w:rsidR="00BF0545" w:rsidRPr="00390F83" w:rsidRDefault="00BF0545" w:rsidP="005F4289">
      <w:pPr>
        <w:ind w:left="432" w:hanging="432"/>
        <w:rPr>
          <w:lang w:val="en-GB"/>
        </w:rPr>
      </w:pPr>
      <w:r w:rsidRPr="00390F83">
        <w:rPr>
          <w:lang w:val="en-GB"/>
        </w:rPr>
        <w:t>13.</w:t>
      </w:r>
      <w:r w:rsidRPr="00390F83">
        <w:rPr>
          <w:lang w:val="en-GB"/>
        </w:rPr>
        <w:tab/>
        <w:t>Additionally, existing legal databases will be explored to identify wetland-related policy instruments across categories:</w:t>
      </w:r>
      <w:r w:rsidRPr="00390F83">
        <w:rPr>
          <w:vertAlign w:val="superscript"/>
          <w:lang w:val="en-GB"/>
        </w:rPr>
        <w:footnoteReference w:id="9"/>
      </w:r>
    </w:p>
    <w:p w14:paraId="0577452E" w14:textId="77777777" w:rsidR="00BF0545" w:rsidRPr="00390F83" w:rsidRDefault="00BF0545" w:rsidP="00BF0545">
      <w:pPr>
        <w:numPr>
          <w:ilvl w:val="0"/>
          <w:numId w:val="22"/>
        </w:numPr>
        <w:rPr>
          <w:lang w:val="en-GB"/>
        </w:rPr>
      </w:pPr>
      <w:r w:rsidRPr="00390F83">
        <w:rPr>
          <w:lang w:val="en-GB"/>
        </w:rPr>
        <w:t xml:space="preserve">Protected areas and other area-based conservation instruments: Protected area laws and policies related to wetlands; </w:t>
      </w:r>
    </w:p>
    <w:p w14:paraId="4BA5964E" w14:textId="77777777" w:rsidR="00BF0545" w:rsidRPr="00390F83" w:rsidRDefault="00BF0545" w:rsidP="00BF0545">
      <w:pPr>
        <w:numPr>
          <w:ilvl w:val="0"/>
          <w:numId w:val="22"/>
        </w:numPr>
        <w:rPr>
          <w:lang w:val="en-GB"/>
        </w:rPr>
      </w:pPr>
      <w:r w:rsidRPr="00390F83">
        <w:rPr>
          <w:lang w:val="en-GB"/>
        </w:rPr>
        <w:t xml:space="preserve">Prescriptive regulation: Prescriptive regulatory schemes related to activities that affect wetlands. This category includes permit regimes, land use restrictions, water use restrictions and many other tools; </w:t>
      </w:r>
    </w:p>
    <w:p w14:paraId="2A8408B3" w14:textId="77777777" w:rsidR="00BF0545" w:rsidRPr="00390F83" w:rsidRDefault="00BF0545" w:rsidP="00BF0545">
      <w:pPr>
        <w:numPr>
          <w:ilvl w:val="0"/>
          <w:numId w:val="22"/>
        </w:numPr>
        <w:rPr>
          <w:lang w:val="en-GB"/>
        </w:rPr>
      </w:pPr>
      <w:r w:rsidRPr="00390F83">
        <w:rPr>
          <w:lang w:val="en-GB"/>
        </w:rPr>
        <w:t>Penalties and payments : Penalty provisions for causing wetland loss and degradation and financial schemes and programs that encourage wetland conservation, restoration and wise use;</w:t>
      </w:r>
    </w:p>
    <w:p w14:paraId="264E971E" w14:textId="77777777" w:rsidR="00BF0545" w:rsidRPr="00390F83" w:rsidRDefault="00BF0545" w:rsidP="00BF0545">
      <w:pPr>
        <w:numPr>
          <w:ilvl w:val="0"/>
          <w:numId w:val="22"/>
        </w:numPr>
        <w:rPr>
          <w:lang w:val="en-GB"/>
        </w:rPr>
      </w:pPr>
      <w:r w:rsidRPr="00390F83">
        <w:rPr>
          <w:lang w:val="en-GB"/>
        </w:rPr>
        <w:t xml:space="preserve">Persuasion: Procedures based on persuasion requiring informed decision-making, such as environmental impact assessments, related to activities that affect wetlands; </w:t>
      </w:r>
    </w:p>
    <w:p w14:paraId="30081671" w14:textId="77777777" w:rsidR="00BF0545" w:rsidRPr="00390F83" w:rsidRDefault="00BF0545" w:rsidP="00BF0545">
      <w:pPr>
        <w:numPr>
          <w:ilvl w:val="0"/>
          <w:numId w:val="22"/>
        </w:numPr>
        <w:rPr>
          <w:lang w:val="en-GB"/>
        </w:rPr>
      </w:pPr>
      <w:r w:rsidRPr="00390F83">
        <w:rPr>
          <w:lang w:val="en-GB"/>
        </w:rPr>
        <w:t xml:space="preserve">Property: Property-rights based approaches to wetland conservation and wise use; </w:t>
      </w:r>
    </w:p>
    <w:p w14:paraId="4151BDE6" w14:textId="77777777" w:rsidR="00BF0545" w:rsidRPr="00390F83" w:rsidRDefault="00BF0545" w:rsidP="00BF0545">
      <w:pPr>
        <w:numPr>
          <w:ilvl w:val="0"/>
          <w:numId w:val="22"/>
        </w:numPr>
        <w:rPr>
          <w:lang w:val="en-GB"/>
        </w:rPr>
      </w:pPr>
      <w:r w:rsidRPr="00390F83">
        <w:rPr>
          <w:lang w:val="en-GB"/>
        </w:rPr>
        <w:t xml:space="preserve">Proxy: Laws and policies that protect wetlands by proxy—for example, by protecting wetland-dependent species or integrating the rights of nature for wetlands and/or Indigenous Peoples’ rights into laws and customs. </w:t>
      </w:r>
    </w:p>
    <w:p w14:paraId="77EEFA04" w14:textId="02C544FA" w:rsidR="00BF0545" w:rsidRPr="00390F83" w:rsidRDefault="00BF0545" w:rsidP="00BF0545">
      <w:pPr>
        <w:numPr>
          <w:ilvl w:val="0"/>
          <w:numId w:val="22"/>
        </w:numPr>
        <w:rPr>
          <w:lang w:val="en-GB"/>
        </w:rPr>
      </w:pPr>
      <w:r w:rsidRPr="00390F83">
        <w:rPr>
          <w:lang w:val="en-GB"/>
        </w:rPr>
        <w:t xml:space="preserve">Planning: Incorporating wetland protection and restoration in planning documents, usually in the context of watershed management. </w:t>
      </w:r>
      <w:r w:rsidRPr="00390F83">
        <w:t xml:space="preserve">Planning not only addresses the conservation of wetlands but also considers </w:t>
      </w:r>
      <w:r w:rsidRPr="003669CE">
        <w:t>large-</w:t>
      </w:r>
      <w:r w:rsidRPr="003669CE">
        <w:t xml:space="preserve">scale </w:t>
      </w:r>
      <w:r w:rsidR="00355D00" w:rsidRPr="00355D00">
        <w:t>phenomena</w:t>
      </w:r>
      <w:r w:rsidRPr="00390F83">
        <w:t>. For example, the impact of fire can exacerbate wetland degradation. By integrating strategies to mitigate fire risks and promote restoration, planning efforts can enhance the resilience of wetlands and support broader ecological health.</w:t>
      </w:r>
    </w:p>
    <w:p w14:paraId="25FA6703" w14:textId="77777777" w:rsidR="00BF0545" w:rsidRPr="00390F83" w:rsidRDefault="00BF0545" w:rsidP="00BF0545">
      <w:pPr>
        <w:rPr>
          <w:lang w:val="en-GB"/>
        </w:rPr>
      </w:pPr>
    </w:p>
    <w:p w14:paraId="124EA5CD" w14:textId="77777777" w:rsidR="00BF0545" w:rsidRPr="00390F83" w:rsidRDefault="00BF0545" w:rsidP="005F4289">
      <w:pPr>
        <w:ind w:left="432" w:hanging="432"/>
        <w:rPr>
          <w:lang w:val="en-GB"/>
        </w:rPr>
      </w:pPr>
      <w:r w:rsidRPr="00390F83">
        <w:rPr>
          <w:lang w:val="en-GB"/>
        </w:rPr>
        <w:t>14.</w:t>
      </w:r>
      <w:r w:rsidRPr="00390F83">
        <w:rPr>
          <w:lang w:val="en-GB"/>
        </w:rPr>
        <w:tab/>
        <w:t>Examples of wetland laws and policies will be categorised to build a comprehensive legal database for comparison and analysis.</w:t>
      </w:r>
    </w:p>
    <w:p w14:paraId="6E3B566D" w14:textId="77777777" w:rsidR="00BF0545" w:rsidRPr="00390F83" w:rsidRDefault="00BF0545" w:rsidP="00BF0545">
      <w:pPr>
        <w:rPr>
          <w:lang w:val="en-GB"/>
        </w:rPr>
      </w:pPr>
    </w:p>
    <w:p w14:paraId="756F9333" w14:textId="77777777" w:rsidR="00BF0545" w:rsidRPr="00390F83" w:rsidRDefault="00BF0545" w:rsidP="005F4289">
      <w:pPr>
        <w:ind w:left="432" w:hanging="432"/>
        <w:rPr>
          <w:lang w:val="en-GB"/>
        </w:rPr>
      </w:pPr>
      <w:r w:rsidRPr="00390F83">
        <w:rPr>
          <w:lang w:val="en-GB"/>
        </w:rPr>
        <w:t>15.</w:t>
      </w:r>
      <w:r w:rsidRPr="00390F83">
        <w:rPr>
          <w:lang w:val="en-GB"/>
        </w:rPr>
        <w:tab/>
        <w:t xml:space="preserve">Useful legal databases for this review may include: </w:t>
      </w:r>
    </w:p>
    <w:p w14:paraId="546EF241" w14:textId="77777777" w:rsidR="00BF0545" w:rsidRPr="00390F83" w:rsidRDefault="00BF0545" w:rsidP="00BF0545">
      <w:pPr>
        <w:numPr>
          <w:ilvl w:val="0"/>
          <w:numId w:val="36"/>
        </w:numPr>
        <w:rPr>
          <w:lang w:val="en-GB"/>
        </w:rPr>
      </w:pPr>
      <w:r w:rsidRPr="00390F83">
        <w:rPr>
          <w:lang w:val="en-GB"/>
        </w:rPr>
        <w:t>Ecolex and Faolex, which is operated jointly by FAO, IUCN and UNEP and which is free (</w:t>
      </w:r>
      <w:hyperlink r:id="rId23" w:history="1">
        <w:r w:rsidRPr="00390F83">
          <w:rPr>
            <w:rStyle w:val="Hyperlink"/>
            <w:lang w:val="en-GB"/>
          </w:rPr>
          <w:t>https://www.ecolex.org/</w:t>
        </w:r>
      </w:hyperlink>
      <w:r w:rsidRPr="00390F83">
        <w:rPr>
          <w:lang w:val="en-GB"/>
        </w:rPr>
        <w:t>);</w:t>
      </w:r>
    </w:p>
    <w:p w14:paraId="3F5082A7" w14:textId="77777777" w:rsidR="00BF0545" w:rsidRPr="00390F83" w:rsidRDefault="00BF0545" w:rsidP="00BF0545">
      <w:pPr>
        <w:numPr>
          <w:ilvl w:val="0"/>
          <w:numId w:val="36"/>
        </w:numPr>
        <w:rPr>
          <w:lang w:val="en-GB"/>
        </w:rPr>
      </w:pPr>
      <w:r w:rsidRPr="00390F83">
        <w:rPr>
          <w:lang w:val="en-GB"/>
        </w:rPr>
        <w:t>Country-by-country searches can also be conducted through national research guides contained on NYU GlobaLex (</w:t>
      </w:r>
      <w:hyperlink r:id="rId24" w:history="1">
        <w:r w:rsidRPr="00390F83">
          <w:rPr>
            <w:rStyle w:val="Hyperlink"/>
            <w:lang w:val="en-GB"/>
          </w:rPr>
          <w:t>https://www.nyulawglobal.org/globalex/flr.html</w:t>
        </w:r>
      </w:hyperlink>
      <w:r w:rsidRPr="00390F83">
        <w:rPr>
          <w:lang w:val="en-GB"/>
        </w:rPr>
        <w:t>);</w:t>
      </w:r>
    </w:p>
    <w:p w14:paraId="0EB10EBF" w14:textId="799B2154" w:rsidR="00BF0545" w:rsidRPr="00390F83" w:rsidRDefault="00BF0545" w:rsidP="00BF0545">
      <w:pPr>
        <w:numPr>
          <w:ilvl w:val="0"/>
          <w:numId w:val="36"/>
        </w:numPr>
        <w:rPr>
          <w:lang w:val="en-GB"/>
        </w:rPr>
      </w:pPr>
      <w:r w:rsidRPr="00390F83">
        <w:rPr>
          <w:lang w:val="en-GB"/>
        </w:rPr>
        <w:t>the Law Library of Congress (USA), which are also freely accessible</w:t>
      </w:r>
      <w:r w:rsidR="009D46C3" w:rsidRPr="00390F83">
        <w:rPr>
          <w:lang w:val="en-GB"/>
        </w:rPr>
        <w:t xml:space="preserve"> </w:t>
      </w:r>
      <w:r w:rsidRPr="00390F83">
        <w:rPr>
          <w:lang w:val="en-GB"/>
        </w:rPr>
        <w:t>(</w:t>
      </w:r>
      <w:hyperlink r:id="rId25" w:history="1">
        <w:r w:rsidRPr="00390F83">
          <w:rPr>
            <w:rStyle w:val="Hyperlink"/>
            <w:lang w:val="en-GB"/>
          </w:rPr>
          <w:t>https://guides.loc.gov/nations-world</w:t>
        </w:r>
      </w:hyperlink>
      <w:r w:rsidRPr="00390F83">
        <w:rPr>
          <w:lang w:val="en-GB"/>
        </w:rPr>
        <w:t>);</w:t>
      </w:r>
    </w:p>
    <w:p w14:paraId="398F7334" w14:textId="77777777" w:rsidR="00BF0545" w:rsidRPr="00390F83" w:rsidRDefault="00BF0545" w:rsidP="00BF0545">
      <w:pPr>
        <w:numPr>
          <w:ilvl w:val="0"/>
          <w:numId w:val="36"/>
        </w:numPr>
        <w:rPr>
          <w:lang w:val="en-GB"/>
        </w:rPr>
      </w:pPr>
      <w:r w:rsidRPr="00390F83">
        <w:rPr>
          <w:lang w:val="en-GB"/>
        </w:rPr>
        <w:t>Subscription-based services, such as Brill’s Foreign Law Guide, are also potential tools (</w:t>
      </w:r>
      <w:hyperlink r:id="rId26" w:history="1">
        <w:r w:rsidRPr="00390F83">
          <w:rPr>
            <w:rStyle w:val="Hyperlink"/>
            <w:lang w:val="en-GB"/>
          </w:rPr>
          <w:t>https://referenceworks.brillonline.com/browse/foreign-law-guide</w:t>
        </w:r>
      </w:hyperlink>
      <w:r w:rsidRPr="00390F83">
        <w:rPr>
          <w:lang w:val="en-GB"/>
        </w:rPr>
        <w:t>);</w:t>
      </w:r>
    </w:p>
    <w:p w14:paraId="4F43661C" w14:textId="77777777" w:rsidR="00BF0545" w:rsidRPr="00390F83" w:rsidRDefault="00BF0545" w:rsidP="00BF0545">
      <w:pPr>
        <w:numPr>
          <w:ilvl w:val="0"/>
          <w:numId w:val="36"/>
        </w:numPr>
        <w:rPr>
          <w:lang w:val="fr-CA"/>
        </w:rPr>
      </w:pPr>
      <w:r w:rsidRPr="00390F83">
        <w:rPr>
          <w:lang w:val="fr-CA"/>
        </w:rPr>
        <w:t>EUR-Lex (</w:t>
      </w:r>
      <w:hyperlink r:id="rId27" w:history="1">
        <w:r w:rsidRPr="00390F83">
          <w:rPr>
            <w:rStyle w:val="Hyperlink"/>
            <w:lang w:val="fr-CA"/>
          </w:rPr>
          <w:t>EU law - EUR-Lex (europa.eu)</w:t>
        </w:r>
      </w:hyperlink>
      <w:r w:rsidRPr="00390F83">
        <w:rPr>
          <w:lang w:val="fr-CA"/>
        </w:rPr>
        <w:t>);</w:t>
      </w:r>
    </w:p>
    <w:p w14:paraId="67B1204E" w14:textId="77777777" w:rsidR="00BF0545" w:rsidRPr="00390F83" w:rsidRDefault="00BF0545" w:rsidP="00BF0545">
      <w:pPr>
        <w:numPr>
          <w:ilvl w:val="0"/>
          <w:numId w:val="36"/>
        </w:numPr>
        <w:rPr>
          <w:lang w:val="fr-CA"/>
        </w:rPr>
      </w:pPr>
      <w:r w:rsidRPr="00390F83">
        <w:rPr>
          <w:lang w:val="fr-CA"/>
        </w:rPr>
        <w:t>International Environmental Agreements Database Project (</w:t>
      </w:r>
      <w:hyperlink r:id="rId28" w:history="1">
        <w:r w:rsidRPr="00390F83">
          <w:rPr>
            <w:rStyle w:val="Hyperlink"/>
            <w:lang w:val="en-GB"/>
          </w:rPr>
          <w:t>https://iea.uoregon.edu/</w:t>
        </w:r>
      </w:hyperlink>
      <w:r w:rsidRPr="00390F83">
        <w:rPr>
          <w:lang w:val="fr-CA"/>
        </w:rPr>
        <w:t>);</w:t>
      </w:r>
    </w:p>
    <w:p w14:paraId="11312BE7" w14:textId="77777777" w:rsidR="00BF0545" w:rsidRPr="00390F83" w:rsidRDefault="00BF0545" w:rsidP="00BF0545">
      <w:pPr>
        <w:numPr>
          <w:ilvl w:val="0"/>
          <w:numId w:val="36"/>
        </w:numPr>
        <w:rPr>
          <w:lang w:val="en-CA"/>
        </w:rPr>
      </w:pPr>
      <w:r w:rsidRPr="00390F83">
        <w:rPr>
          <w:lang w:val="en-CA"/>
        </w:rPr>
        <w:t>World Bank Environmental and Social Policies Database (</w:t>
      </w:r>
      <w:hyperlink r:id="rId29" w:history="1">
        <w:r w:rsidRPr="00390F83">
          <w:rPr>
            <w:rStyle w:val="Hyperlink"/>
            <w:lang w:val="en-GB"/>
          </w:rPr>
          <w:t>https://policies.worldbank.org/</w:t>
        </w:r>
      </w:hyperlink>
      <w:r w:rsidRPr="00390F83">
        <w:rPr>
          <w:lang w:val="en-CA"/>
        </w:rPr>
        <w:t>);</w:t>
      </w:r>
    </w:p>
    <w:p w14:paraId="266DEF0C" w14:textId="77777777" w:rsidR="00BF0545" w:rsidRPr="00390F83" w:rsidRDefault="00BF0545" w:rsidP="00BF0545">
      <w:pPr>
        <w:numPr>
          <w:ilvl w:val="0"/>
          <w:numId w:val="36"/>
        </w:numPr>
        <w:rPr>
          <w:lang w:val="fr-CA"/>
        </w:rPr>
      </w:pPr>
      <w:r w:rsidRPr="00390F83">
        <w:rPr>
          <w:lang w:val="fr-CA"/>
        </w:rPr>
        <w:t>UN Treaty Collection (</w:t>
      </w:r>
      <w:hyperlink r:id="rId30" w:history="1">
        <w:r w:rsidRPr="00390F83">
          <w:rPr>
            <w:rStyle w:val="Hyperlink"/>
            <w:lang w:val="en-GB"/>
          </w:rPr>
          <w:t>https://treaties.un.org/</w:t>
        </w:r>
      </w:hyperlink>
      <w:r w:rsidRPr="00390F83">
        <w:rPr>
          <w:lang w:val="en-GB"/>
        </w:rPr>
        <w:t>).</w:t>
      </w:r>
    </w:p>
    <w:p w14:paraId="627866B0" w14:textId="77777777" w:rsidR="00BF0545" w:rsidRPr="00390F83" w:rsidRDefault="00BF0545" w:rsidP="00BF0545">
      <w:pPr>
        <w:rPr>
          <w:lang w:val="fr-CA"/>
        </w:rPr>
      </w:pPr>
    </w:p>
    <w:p w14:paraId="40086B25" w14:textId="77777777" w:rsidR="00BF0545" w:rsidRPr="00390F83" w:rsidRDefault="00BF0545" w:rsidP="005F4289">
      <w:pPr>
        <w:ind w:left="432" w:hanging="432"/>
        <w:rPr>
          <w:lang w:val="en-GB"/>
        </w:rPr>
      </w:pPr>
      <w:r w:rsidRPr="00390F83">
        <w:rPr>
          <w:lang w:val="en-GB"/>
        </w:rPr>
        <w:t>16.</w:t>
      </w:r>
      <w:r w:rsidRPr="00390F83">
        <w:rPr>
          <w:lang w:val="en-GB"/>
        </w:rPr>
        <w:tab/>
        <w:t>The national reports submitted by Contracting Parties will also be analysed to identify examples of relevant wetland laws and policies highlighted by the Parties. For example, several questions in the national reports submitted prior to COP14 may contain relevant information. In particular, question 9.2 asked whether any amendments to existing legislation been made to reflect Convention on Wetlands commitments. Question 1.1 inquired as to whether a national wetland policy exists, as well as whether wetland conservation and the identification of wetlands benefits have been integrated into sustainable approaches to the national strategies and planning processes for 15 different sectors and activities.</w:t>
      </w:r>
      <w:r w:rsidRPr="00390F83">
        <w:rPr>
          <w:vertAlign w:val="superscript"/>
          <w:lang w:val="en-GB"/>
        </w:rPr>
        <w:footnoteReference w:id="10"/>
      </w:r>
      <w:r w:rsidRPr="00390F83">
        <w:rPr>
          <w:lang w:val="en-GB"/>
        </w:rPr>
        <w:t xml:space="preserve"> Interactions between wetland laws and policies and other natural resources legal frameworks could therefore be described in order to discuss how one field can positively contribute to wetland protection and restoration, or not. In addition, Questions 10.1 and 10.3 may reveal information about laws and policies developed by [Indigenous Peoples and local communities].</w:t>
      </w:r>
    </w:p>
    <w:p w14:paraId="1E0331ED" w14:textId="77777777" w:rsidR="00BF0545" w:rsidRPr="00390F83" w:rsidRDefault="00BF0545" w:rsidP="00BF0545">
      <w:pPr>
        <w:rPr>
          <w:lang w:val="en-GB"/>
        </w:rPr>
      </w:pPr>
    </w:p>
    <w:p w14:paraId="7B9F0F82" w14:textId="77777777" w:rsidR="00BF0545" w:rsidRPr="00390F83" w:rsidRDefault="00BF0545" w:rsidP="005F4289">
      <w:pPr>
        <w:ind w:left="432" w:hanging="432"/>
        <w:rPr>
          <w:lang w:val="en-GB"/>
        </w:rPr>
      </w:pPr>
      <w:r w:rsidRPr="00390F83">
        <w:rPr>
          <w:lang w:val="en-GB"/>
        </w:rPr>
        <w:t>17.</w:t>
      </w:r>
      <w:r w:rsidRPr="00390F83">
        <w:rPr>
          <w:lang w:val="en-GB"/>
        </w:rPr>
        <w:tab/>
        <w:t>Consultations</w:t>
      </w:r>
      <w:r w:rsidRPr="00390F83">
        <w:rPr>
          <w:iCs/>
          <w:lang w:val="en-GB"/>
        </w:rPr>
        <w:t xml:space="preserve"> will be conducted with National Focal Points</w:t>
      </w:r>
      <w:r w:rsidRPr="00390F83">
        <w:t>, STRP Focal Points</w:t>
      </w:r>
      <w:r w:rsidRPr="00390F83">
        <w:rPr>
          <w:iCs/>
          <w:lang w:val="en-GB"/>
        </w:rPr>
        <w:t xml:space="preserve"> and regional initiatives to ensure comprehensive identification of wetland laws and policies across all regions. The consultations will involve sharing initial findings and requesting feedback to fill gaps and highlight effective instruments</w:t>
      </w:r>
      <w:r w:rsidRPr="00390F83">
        <w:rPr>
          <w:i/>
          <w:lang w:val="en-GB"/>
        </w:rPr>
        <w:t>.</w:t>
      </w:r>
    </w:p>
    <w:p w14:paraId="2022FA32" w14:textId="77777777" w:rsidR="00BF0545" w:rsidRPr="00390F83" w:rsidRDefault="00BF0545" w:rsidP="00BF0545">
      <w:pPr>
        <w:rPr>
          <w:lang w:val="en-GB"/>
        </w:rPr>
      </w:pPr>
    </w:p>
    <w:p w14:paraId="78E50F53" w14:textId="77777777" w:rsidR="00BF0545" w:rsidRPr="00390F83" w:rsidRDefault="00BF0545" w:rsidP="00BF0545">
      <w:pPr>
        <w:rPr>
          <w:b/>
          <w:lang w:val="en-GB"/>
        </w:rPr>
      </w:pPr>
      <w:r w:rsidRPr="00390F83">
        <w:rPr>
          <w:b/>
          <w:lang w:val="en-GB"/>
        </w:rPr>
        <w:t>Deliverables</w:t>
      </w:r>
    </w:p>
    <w:p w14:paraId="0689E814" w14:textId="77777777" w:rsidR="00BF0545" w:rsidRPr="00390F83" w:rsidRDefault="00BF0545" w:rsidP="00BF0545">
      <w:pPr>
        <w:rPr>
          <w:lang w:val="en-GB"/>
        </w:rPr>
      </w:pPr>
    </w:p>
    <w:p w14:paraId="739903BB" w14:textId="77777777" w:rsidR="00BF0545" w:rsidRPr="00390F83" w:rsidRDefault="00BF0545" w:rsidP="005F4289">
      <w:pPr>
        <w:ind w:left="432" w:hanging="432"/>
        <w:rPr>
          <w:lang w:val="en-GB"/>
        </w:rPr>
      </w:pPr>
      <w:r w:rsidRPr="00390F83">
        <w:rPr>
          <w:lang w:val="en-GB"/>
        </w:rPr>
        <w:t>18.</w:t>
      </w:r>
      <w:r w:rsidRPr="00390F83">
        <w:rPr>
          <w:lang w:val="en-GB"/>
        </w:rPr>
        <w:tab/>
        <w:t>The</w:t>
      </w:r>
      <w:r w:rsidRPr="00390F83">
        <w:rPr>
          <w:iCs/>
          <w:lang w:val="en-GB"/>
        </w:rPr>
        <w:t xml:space="preserve"> review will result in the following deliverables</w:t>
      </w:r>
      <w:r w:rsidRPr="00390F83">
        <w:rPr>
          <w:i/>
          <w:lang w:val="en-GB"/>
        </w:rPr>
        <w:t>:</w:t>
      </w:r>
    </w:p>
    <w:p w14:paraId="50310D2D" w14:textId="77777777" w:rsidR="00BF0545" w:rsidRPr="00390F83" w:rsidRDefault="00BF0545" w:rsidP="00CE4218">
      <w:pPr>
        <w:numPr>
          <w:ilvl w:val="0"/>
          <w:numId w:val="36"/>
        </w:numPr>
        <w:ind w:left="851" w:hanging="425"/>
        <w:rPr>
          <w:lang w:val="en-CA"/>
        </w:rPr>
      </w:pPr>
      <w:r w:rsidRPr="00390F83">
        <w:rPr>
          <w:lang w:val="en-CA"/>
        </w:rPr>
        <w:t>Technical Report: A detailed report on the findings of the review.</w:t>
      </w:r>
    </w:p>
    <w:p w14:paraId="04D35516" w14:textId="77777777" w:rsidR="00BF0545" w:rsidRPr="00390F83" w:rsidRDefault="00BF0545" w:rsidP="00CE4218">
      <w:pPr>
        <w:numPr>
          <w:ilvl w:val="0"/>
          <w:numId w:val="36"/>
        </w:numPr>
        <w:ind w:left="851" w:hanging="425"/>
        <w:rPr>
          <w:lang w:val="en-CA"/>
        </w:rPr>
      </w:pPr>
      <w:r w:rsidRPr="00390F83">
        <w:rPr>
          <w:lang w:val="en-CA"/>
        </w:rPr>
        <w:t>Legal Database: A database showcasing successful laws and policies for each Convention region.</w:t>
      </w:r>
    </w:p>
    <w:p w14:paraId="3A73E963" w14:textId="77777777" w:rsidR="00BF0545" w:rsidRPr="00390F83" w:rsidRDefault="00BF0545" w:rsidP="00CE4218">
      <w:pPr>
        <w:numPr>
          <w:ilvl w:val="0"/>
          <w:numId w:val="36"/>
        </w:numPr>
        <w:ind w:left="851" w:hanging="425"/>
        <w:rPr>
          <w:lang w:val="en-CA"/>
        </w:rPr>
      </w:pPr>
      <w:r w:rsidRPr="00390F83">
        <w:rPr>
          <w:lang w:val="en-CA"/>
        </w:rPr>
        <w:t>Infographic: A visual summary of key elements to consider when reviewing wetland laws and policies.</w:t>
      </w:r>
    </w:p>
    <w:p w14:paraId="0BCD3DE1" w14:textId="77777777" w:rsidR="00BF0545" w:rsidRPr="00390F83" w:rsidRDefault="00BF0545" w:rsidP="00CE4218">
      <w:pPr>
        <w:numPr>
          <w:ilvl w:val="0"/>
          <w:numId w:val="36"/>
        </w:numPr>
        <w:ind w:left="851" w:hanging="425"/>
        <w:rPr>
          <w:lang w:val="en-GB"/>
        </w:rPr>
      </w:pPr>
      <w:r w:rsidRPr="00390F83">
        <w:rPr>
          <w:lang w:val="en-CA"/>
        </w:rPr>
        <w:t>Training Course: A series of training sessions or webinars for each Convention region to promote legal frameworks</w:t>
      </w:r>
      <w:r w:rsidRPr="00390F83">
        <w:rPr>
          <w:lang w:val="en-GB"/>
        </w:rPr>
        <w:t xml:space="preserve"> that support wetland conservation and wise use.</w:t>
      </w:r>
    </w:p>
    <w:p w14:paraId="5BCB9C15" w14:textId="77777777" w:rsidR="00BF0545" w:rsidRPr="00390F83" w:rsidRDefault="00BF0545" w:rsidP="00BF0545">
      <w:pPr>
        <w:rPr>
          <w:b/>
          <w:lang w:val="en-GB"/>
        </w:rPr>
      </w:pPr>
    </w:p>
    <w:p w14:paraId="2D2FA613" w14:textId="77777777" w:rsidR="00BF0545" w:rsidRPr="00390F83" w:rsidRDefault="00BF0545" w:rsidP="00BF0545">
      <w:pPr>
        <w:rPr>
          <w:b/>
          <w:lang w:val="en-GB"/>
        </w:rPr>
      </w:pPr>
      <w:r w:rsidRPr="00390F83">
        <w:rPr>
          <w:b/>
          <w:lang w:val="en-GB"/>
        </w:rPr>
        <w:t>References</w:t>
      </w:r>
    </w:p>
    <w:p w14:paraId="1802F594" w14:textId="77777777" w:rsidR="00BF0545" w:rsidRPr="00390F83" w:rsidRDefault="00BF0545" w:rsidP="00BF0545">
      <w:pPr>
        <w:rPr>
          <w:lang w:val="en-GB"/>
        </w:rPr>
      </w:pPr>
    </w:p>
    <w:p w14:paraId="4493FDF7" w14:textId="77777777" w:rsidR="00BF0545" w:rsidRPr="00390F83" w:rsidRDefault="00BF0545" w:rsidP="00BF0545">
      <w:pPr>
        <w:rPr>
          <w:lang w:val="en-GB"/>
        </w:rPr>
      </w:pPr>
      <w:r w:rsidRPr="007554DE">
        <w:rPr>
          <w:lang w:val="en-GB"/>
        </w:rPr>
        <w:t>Convention on Wetlands. (</w:t>
      </w:r>
      <w:r w:rsidRPr="00390F83">
        <w:rPr>
          <w:lang w:val="en-GB"/>
        </w:rPr>
        <w:t>2018). Global Wetland Outlook: State of the World’s Wetlands and their Services to People. Gland, Switzerland: Convention on Wetlands Secretariat.</w:t>
      </w:r>
    </w:p>
    <w:p w14:paraId="7C82C657" w14:textId="77777777" w:rsidR="00BF0545" w:rsidRPr="00390F83" w:rsidRDefault="00BF0545" w:rsidP="00BF0545">
      <w:pPr>
        <w:rPr>
          <w:lang w:val="en-GB"/>
        </w:rPr>
      </w:pPr>
    </w:p>
    <w:p w14:paraId="40000119" w14:textId="77777777" w:rsidR="00BF0545" w:rsidRPr="00390F83" w:rsidRDefault="00BF0545" w:rsidP="00BF0545">
      <w:pPr>
        <w:rPr>
          <w:lang w:val="en-GB"/>
        </w:rPr>
      </w:pPr>
      <w:r w:rsidRPr="00390F83">
        <w:rPr>
          <w:lang w:val="en-GB"/>
        </w:rPr>
        <w:t>Convention on Wetlands. (2021). Global Wetland Outlook: Special Edition 2021. Gland, Switzerland: Secretariat of the Convention on Wetlands.</w:t>
      </w:r>
    </w:p>
    <w:p w14:paraId="5B3701E9" w14:textId="77777777" w:rsidR="00BF0545" w:rsidRPr="00390F83" w:rsidRDefault="00BF0545" w:rsidP="00BF0545">
      <w:pPr>
        <w:rPr>
          <w:lang w:val="en-GB"/>
        </w:rPr>
      </w:pPr>
    </w:p>
    <w:p w14:paraId="68511BB6" w14:textId="77777777" w:rsidR="00BF0545" w:rsidRPr="00390F83" w:rsidRDefault="00BF0545" w:rsidP="00BF0545">
      <w:pPr>
        <w:rPr>
          <w:lang w:val="en-GB"/>
        </w:rPr>
      </w:pPr>
      <w:r w:rsidRPr="00390F83">
        <w:rPr>
          <w:lang w:val="en-GB"/>
        </w:rPr>
        <w:t xml:space="preserve">Gardner, R.C. (2008). </w:t>
      </w:r>
      <w:r w:rsidRPr="00390F83">
        <w:rPr>
          <w:i/>
          <w:iCs/>
          <w:lang w:val="en-GB"/>
        </w:rPr>
        <w:t>Rehabilitating Nature: A Comparative Review of Legal Mechanisms that Encourage Wetland Restoration Efforts</w:t>
      </w:r>
      <w:r w:rsidRPr="00390F83">
        <w:rPr>
          <w:lang w:val="en-GB"/>
        </w:rPr>
        <w:t xml:space="preserve">, Catholic University Law Review 52(3): 573-620, available at </w:t>
      </w:r>
      <w:hyperlink r:id="rId31" w:history="1">
        <w:r w:rsidRPr="00390F83">
          <w:rPr>
            <w:rStyle w:val="Hyperlink"/>
            <w:lang w:val="en-GB"/>
          </w:rPr>
          <w:t>https://papers.ssrn.com/sol3/papers.cfm?abstract_id=1129993</w:t>
        </w:r>
      </w:hyperlink>
      <w:r w:rsidRPr="00390F83">
        <w:rPr>
          <w:lang w:val="en-GB"/>
        </w:rPr>
        <w:t>.</w:t>
      </w:r>
    </w:p>
    <w:p w14:paraId="0AA10DAE" w14:textId="77777777" w:rsidR="00BF0545" w:rsidRPr="00390F83" w:rsidRDefault="00BF0545" w:rsidP="00BF0545">
      <w:pPr>
        <w:rPr>
          <w:lang w:val="en-GB"/>
        </w:rPr>
      </w:pPr>
    </w:p>
    <w:p w14:paraId="5F9689A7" w14:textId="77777777" w:rsidR="00BF0545" w:rsidRPr="00390F83" w:rsidRDefault="00BF0545" w:rsidP="00BF0545">
      <w:pPr>
        <w:rPr>
          <w:lang w:val="en-GB"/>
        </w:rPr>
      </w:pPr>
      <w:r w:rsidRPr="00390F83">
        <w:rPr>
          <w:lang w:val="sv-SE"/>
        </w:rPr>
        <w:t xml:space="preserve">Gardner, R.C., Bonells, M., Okuno, E., Zarama, J.M. (2012). </w:t>
      </w:r>
      <w:r w:rsidRPr="00390F83">
        <w:rPr>
          <w:i/>
          <w:iCs/>
          <w:lang w:val="en-GB"/>
        </w:rPr>
        <w:t>Avoiding, miti</w:t>
      </w:r>
      <w:r w:rsidRPr="00390F83">
        <w:rPr>
          <w:i/>
          <w:iCs/>
          <w:lang w:val="en-GB"/>
        </w:rPr>
        <w:softHyphen/>
        <w:t xml:space="preserve">gating, and compensating for loss and degradation of wetlands in national laws and policies. </w:t>
      </w:r>
      <w:r w:rsidRPr="00390F83">
        <w:rPr>
          <w:lang w:val="en-GB"/>
        </w:rPr>
        <w:t>Convention on Wetlands Scientific and Technical Briefing Note no. 3. Gland, Switzerland: Convention on Wetlands Secretariat.</w:t>
      </w:r>
    </w:p>
    <w:p w14:paraId="2D2BA369" w14:textId="77777777" w:rsidR="00BF0545" w:rsidRPr="00390F83" w:rsidRDefault="00BF0545" w:rsidP="00BF0545">
      <w:pPr>
        <w:rPr>
          <w:lang w:val="en-GB"/>
        </w:rPr>
      </w:pPr>
    </w:p>
    <w:p w14:paraId="7E28C184" w14:textId="77777777" w:rsidR="00BF0545" w:rsidRPr="00390F83" w:rsidRDefault="00BF0545" w:rsidP="00BF0545">
      <w:pPr>
        <w:rPr>
          <w:lang w:val="en-GB"/>
        </w:rPr>
      </w:pPr>
      <w:r w:rsidRPr="00390F83">
        <w:rPr>
          <w:lang w:val="en-GB"/>
        </w:rPr>
        <w:t xml:space="preserve">IUCN World Commission on Environmental Law (2023), </w:t>
      </w:r>
      <w:r w:rsidRPr="00390F83">
        <w:rPr>
          <w:i/>
          <w:lang w:val="en-GB"/>
        </w:rPr>
        <w:t>Measuring the effectiveness of environmental law through legal indicators and quality analyses</w:t>
      </w:r>
      <w:r w:rsidRPr="00390F83">
        <w:rPr>
          <w:lang w:val="en-GB"/>
        </w:rPr>
        <w:t>. IUCN Environmental Policy and Law Paper, No. 91. Gland, Switzerland, IUCN.</w:t>
      </w:r>
    </w:p>
    <w:p w14:paraId="7C94E501" w14:textId="77777777" w:rsidR="00BF0545" w:rsidRPr="00390F83" w:rsidRDefault="00BF0545" w:rsidP="00BF0545">
      <w:pPr>
        <w:rPr>
          <w:lang w:val="en-GB"/>
        </w:rPr>
      </w:pPr>
    </w:p>
    <w:p w14:paraId="77224189" w14:textId="77777777" w:rsidR="00BF0545" w:rsidRPr="00390F83" w:rsidRDefault="00BF0545" w:rsidP="00BF0545">
      <w:pPr>
        <w:rPr>
          <w:lang w:val="en-GB"/>
        </w:rPr>
      </w:pPr>
      <w:r w:rsidRPr="00355D00">
        <w:rPr>
          <w:lang w:val="en-GB"/>
        </w:rPr>
        <w:t>Convention on Wetlands (2010). Laws and institutions: Reviewing laws and institutions to promote the conservation and wise use of wetlands. Convention on Wetlands handbooks for the wise use of wetlands, 4th edition, vol. 3. Convention on Wetlands, Gland, Switzerland.</w:t>
      </w:r>
    </w:p>
    <w:p w14:paraId="78390D71" w14:textId="77777777" w:rsidR="00BF0545" w:rsidRPr="00390F83" w:rsidRDefault="00BF0545" w:rsidP="00BF0545">
      <w:pPr>
        <w:rPr>
          <w:lang w:val="en-GB"/>
        </w:rPr>
      </w:pPr>
    </w:p>
    <w:p w14:paraId="3FC59ED0" w14:textId="3F087A07" w:rsidR="00BF0545" w:rsidRPr="00390F83" w:rsidRDefault="00BF0545" w:rsidP="00BF0545">
      <w:pPr>
        <w:rPr>
          <w:lang w:val="en-GB"/>
        </w:rPr>
      </w:pPr>
      <w:r w:rsidRPr="00390F83">
        <w:t xml:space="preserve">Convention on Wetlands, 2010, </w:t>
      </w:r>
      <w:r w:rsidRPr="00390F83">
        <w:rPr>
          <w:i/>
        </w:rPr>
        <w:t>Designating Ramsar Sites: Strategic Framework and guidelines for the future development of the List of Wetlands of International Importance</w:t>
      </w:r>
      <w:r w:rsidRPr="00390F83">
        <w:t xml:space="preserve">, Convention on Wetlands Handbooks for the wise use of wetlands, 4th edition, vol. 17, Convention on Wetlands, Gland, </w:t>
      </w:r>
      <w:r w:rsidRPr="00355D00">
        <w:t>Switzerland</w:t>
      </w:r>
      <w:r w:rsidRPr="00390F83">
        <w:t>, pages 80-82.</w:t>
      </w:r>
    </w:p>
    <w:p w14:paraId="1B6A67A8" w14:textId="77777777" w:rsidR="00BF0545" w:rsidRPr="00390F83" w:rsidRDefault="00BF0545" w:rsidP="00BF0545">
      <w:pPr>
        <w:rPr>
          <w:lang w:val="en-GB"/>
        </w:rPr>
      </w:pPr>
    </w:p>
    <w:p w14:paraId="5C17668E" w14:textId="77777777" w:rsidR="00BF0545" w:rsidRPr="00390F83" w:rsidRDefault="00BF0545" w:rsidP="00BF0545">
      <w:pPr>
        <w:rPr>
          <w:lang w:val="en-GB"/>
        </w:rPr>
      </w:pPr>
      <w:r w:rsidRPr="00390F83">
        <w:rPr>
          <w:lang w:val="en-GB"/>
        </w:rPr>
        <w:t>Resolution XIV. 16 on integrating wetland protection, conservation, restoration, sustainable use and management into national sustainable development strategies.</w:t>
      </w:r>
    </w:p>
    <w:p w14:paraId="08C63D37" w14:textId="77777777" w:rsidR="00BF0545" w:rsidRPr="00390F83" w:rsidRDefault="00BF0545" w:rsidP="00BF0545">
      <w:pPr>
        <w:rPr>
          <w:lang w:val="en-GB"/>
        </w:rPr>
      </w:pPr>
    </w:p>
    <w:p w14:paraId="38272279" w14:textId="77777777" w:rsidR="00BF0545" w:rsidRPr="00390F83" w:rsidRDefault="00BF0545" w:rsidP="00BF0545">
      <w:pPr>
        <w:rPr>
          <w:lang w:val="en-GB"/>
        </w:rPr>
      </w:pPr>
      <w:r w:rsidRPr="00390F83">
        <w:rPr>
          <w:lang w:val="en-GB"/>
        </w:rPr>
        <w:t xml:space="preserve">Salzman, J. (2013). </w:t>
      </w:r>
      <w:r w:rsidRPr="00390F83">
        <w:rPr>
          <w:i/>
          <w:iCs/>
          <w:lang w:val="en-GB"/>
        </w:rPr>
        <w:t>Teaching Policy Instrument Choice in Environmental Law: The Five P’s</w:t>
      </w:r>
      <w:r w:rsidRPr="00390F83">
        <w:rPr>
          <w:lang w:val="en-GB"/>
        </w:rPr>
        <w:t>, Duke Environmental Law &amp; Policy Forum 23:363-376.</w:t>
      </w:r>
    </w:p>
    <w:p w14:paraId="6C4C136D" w14:textId="77777777" w:rsidR="00CE4218" w:rsidRDefault="00CE4218">
      <w:pPr>
        <w:spacing w:after="160" w:line="259" w:lineRule="auto"/>
        <w:rPr>
          <w:b/>
          <w:lang w:val="en-GB"/>
        </w:rPr>
      </w:pPr>
      <w:r>
        <w:rPr>
          <w:b/>
          <w:lang w:val="en-GB"/>
        </w:rPr>
        <w:br w:type="page"/>
      </w:r>
    </w:p>
    <w:p w14:paraId="68C9F609" w14:textId="2DBAA4AC" w:rsidR="00BF0545" w:rsidRPr="00390F83" w:rsidRDefault="00BF0545" w:rsidP="00BF0545">
      <w:pPr>
        <w:rPr>
          <w:b/>
          <w:lang w:val="en-GB"/>
        </w:rPr>
      </w:pPr>
      <w:r w:rsidRPr="00390F83">
        <w:rPr>
          <w:b/>
          <w:lang w:val="en-GB"/>
        </w:rPr>
        <w:t xml:space="preserve">Appendix 1. </w:t>
      </w:r>
    </w:p>
    <w:p w14:paraId="26F0AD95" w14:textId="77777777" w:rsidR="00BF0545" w:rsidRPr="00390F83" w:rsidRDefault="00BF0545" w:rsidP="00BF0545">
      <w:pPr>
        <w:rPr>
          <w:b/>
          <w:lang w:val="en-GB"/>
        </w:rPr>
      </w:pPr>
      <w:r w:rsidRPr="00390F83">
        <w:rPr>
          <w:b/>
          <w:lang w:val="en-GB"/>
        </w:rPr>
        <w:t>Legal responses to the drivers of adverse change in wetlands</w:t>
      </w:r>
    </w:p>
    <w:p w14:paraId="7A3FFFB2" w14:textId="77777777" w:rsidR="00BF0545" w:rsidRPr="00390F83" w:rsidRDefault="00BF0545" w:rsidP="00BF0545">
      <w:pPr>
        <w:rPr>
          <w:lang w:val="en-GB"/>
        </w:rPr>
      </w:pPr>
    </w:p>
    <w:p w14:paraId="04415650" w14:textId="77777777" w:rsidR="00BF0545" w:rsidRPr="00390F83" w:rsidRDefault="00BF0545" w:rsidP="00BF0545">
      <w:pPr>
        <w:rPr>
          <w:lang w:val="en-GB"/>
        </w:rPr>
      </w:pPr>
      <w:r w:rsidRPr="00390F83">
        <w:rPr>
          <w:lang w:val="en-GB"/>
        </w:rPr>
        <w:t>1.</w:t>
      </w:r>
      <w:r w:rsidRPr="00390F83">
        <w:rPr>
          <w:lang w:val="en-GB"/>
        </w:rPr>
        <w:tab/>
        <w:t xml:space="preserve">This appendix outlines examples of wetland laws and policies according to the type of tools. Examples are </w:t>
      </w:r>
      <w:r w:rsidRPr="00390F83">
        <w:rPr>
          <w:iCs/>
          <w:lang w:val="en-GB"/>
        </w:rPr>
        <w:t>identified</w:t>
      </w:r>
      <w:r w:rsidRPr="00390F83">
        <w:rPr>
          <w:lang w:val="en-GB"/>
        </w:rPr>
        <w:t xml:space="preserve"> from various jurisdictions and many others could be added to this list. For ease of categorisation, the policy instruments can be classified under 7P’s allowing a better understanding of choices, hoping to assist in the challenge of identifying the advantages and disadvantages of each instrument (Salzman 2013). </w:t>
      </w:r>
    </w:p>
    <w:p w14:paraId="5998FE46" w14:textId="77777777" w:rsidR="00BF0545" w:rsidRPr="00390F83" w:rsidRDefault="00BF0545" w:rsidP="00BF0545">
      <w:pPr>
        <w:rPr>
          <w:lang w:val="en-GB"/>
        </w:rPr>
      </w:pPr>
    </w:p>
    <w:p w14:paraId="5D5F9AA5" w14:textId="77777777" w:rsidR="00BF0545" w:rsidRPr="00390F83" w:rsidRDefault="00BF0545" w:rsidP="00BF0545">
      <w:pPr>
        <w:rPr>
          <w:b/>
          <w:lang w:val="en-GB"/>
        </w:rPr>
      </w:pPr>
      <w:r w:rsidRPr="00390F83">
        <w:rPr>
          <w:b/>
          <w:lang w:val="en-GB"/>
        </w:rPr>
        <w:t>Protected Areas</w:t>
      </w:r>
    </w:p>
    <w:p w14:paraId="37BC9644" w14:textId="77777777" w:rsidR="00BF0545" w:rsidRPr="00390F83" w:rsidRDefault="00BF0545" w:rsidP="00BF0545">
      <w:pPr>
        <w:numPr>
          <w:ilvl w:val="0"/>
          <w:numId w:val="36"/>
        </w:numPr>
        <w:rPr>
          <w:lang w:val="en-GB"/>
        </w:rPr>
      </w:pPr>
      <w:r w:rsidRPr="00390F83">
        <w:rPr>
          <w:lang w:val="en-CA"/>
        </w:rPr>
        <w:t>Ramsar</w:t>
      </w:r>
      <w:r w:rsidRPr="00390F83">
        <w:rPr>
          <w:lang w:val="en-GB"/>
        </w:rPr>
        <w:t xml:space="preserve"> resolutions as a source of protection</w:t>
      </w:r>
    </w:p>
    <w:p w14:paraId="58DD7EE0" w14:textId="77777777" w:rsidR="00BF0545" w:rsidRPr="00390F83" w:rsidRDefault="00BF0545" w:rsidP="00BF0545">
      <w:pPr>
        <w:numPr>
          <w:ilvl w:val="1"/>
          <w:numId w:val="36"/>
        </w:numPr>
        <w:rPr>
          <w:lang w:val="en-GB"/>
        </w:rPr>
      </w:pPr>
      <w:r w:rsidRPr="00390F83">
        <w:rPr>
          <w:lang w:val="en-GB"/>
        </w:rPr>
        <w:t>Lac Baai (formerly Het Lac), Bonaire (NL)</w:t>
      </w:r>
    </w:p>
    <w:p w14:paraId="44593EDA" w14:textId="77777777" w:rsidR="00BF0545" w:rsidRPr="00390F83" w:rsidRDefault="00BF0545" w:rsidP="00BF0545">
      <w:pPr>
        <w:numPr>
          <w:ilvl w:val="0"/>
          <w:numId w:val="36"/>
        </w:numPr>
        <w:rPr>
          <w:lang w:val="en-GB"/>
        </w:rPr>
      </w:pPr>
      <w:r w:rsidRPr="00390F83">
        <w:rPr>
          <w:lang w:val="en-CA"/>
        </w:rPr>
        <w:t>National</w:t>
      </w:r>
      <w:r w:rsidRPr="00390F83">
        <w:rPr>
          <w:lang w:val="en-GB"/>
        </w:rPr>
        <w:t xml:space="preserve"> Protected Areas Legislation</w:t>
      </w:r>
    </w:p>
    <w:p w14:paraId="2ECD051E" w14:textId="77777777" w:rsidR="00BF0545" w:rsidRPr="00390F83" w:rsidRDefault="00BF0545" w:rsidP="00BF0545">
      <w:pPr>
        <w:numPr>
          <w:ilvl w:val="1"/>
          <w:numId w:val="36"/>
        </w:numPr>
        <w:rPr>
          <w:lang w:val="en-GB"/>
        </w:rPr>
      </w:pPr>
      <w:r w:rsidRPr="00390F83">
        <w:rPr>
          <w:lang w:val="en-GB"/>
        </w:rPr>
        <w:t>Protected Areas System Act (Belize, Côte d’Ivoire)</w:t>
      </w:r>
    </w:p>
    <w:p w14:paraId="0A4A1429" w14:textId="77777777" w:rsidR="00BF0545" w:rsidRPr="00390F83" w:rsidRDefault="00BF0545" w:rsidP="00BF0545">
      <w:pPr>
        <w:numPr>
          <w:ilvl w:val="1"/>
          <w:numId w:val="36"/>
        </w:numPr>
        <w:rPr>
          <w:lang w:val="es-ES"/>
        </w:rPr>
      </w:pPr>
      <w:r w:rsidRPr="00390F83">
        <w:rPr>
          <w:lang w:val="es-ES"/>
        </w:rPr>
        <w:t>Decreto Ley del Sistema Nacional de Áreas Protegidas (Cuba)</w:t>
      </w:r>
    </w:p>
    <w:p w14:paraId="56F42E94" w14:textId="77777777" w:rsidR="00BF0545" w:rsidRPr="00390F83" w:rsidRDefault="00BF0545" w:rsidP="00BF0545">
      <w:pPr>
        <w:numPr>
          <w:ilvl w:val="1"/>
          <w:numId w:val="36"/>
        </w:numPr>
        <w:rPr>
          <w:lang w:val="en-GB"/>
        </w:rPr>
      </w:pPr>
      <w:r w:rsidRPr="00390F83">
        <w:rPr>
          <w:lang w:val="en-GB"/>
        </w:rPr>
        <w:t>Law dealing with the National System of Nature Conservation Units (Brazil)</w:t>
      </w:r>
    </w:p>
    <w:p w14:paraId="70ABBAC1" w14:textId="77777777" w:rsidR="00BF0545" w:rsidRPr="00390F83" w:rsidRDefault="00BF0545" w:rsidP="00BF0545">
      <w:pPr>
        <w:numPr>
          <w:ilvl w:val="1"/>
          <w:numId w:val="36"/>
        </w:numPr>
        <w:rPr>
          <w:lang w:val="en-GB"/>
        </w:rPr>
      </w:pPr>
      <w:r w:rsidRPr="00390F83">
        <w:rPr>
          <w:lang w:val="en-GB"/>
        </w:rPr>
        <w:t>Natura 2000 Directive in European Union</w:t>
      </w:r>
    </w:p>
    <w:p w14:paraId="072879E6" w14:textId="77777777" w:rsidR="00BF0545" w:rsidRPr="00390F83" w:rsidRDefault="00BF0545" w:rsidP="00BF0545">
      <w:pPr>
        <w:numPr>
          <w:ilvl w:val="1"/>
          <w:numId w:val="36"/>
        </w:numPr>
        <w:rPr>
          <w:lang w:val="en-GB"/>
        </w:rPr>
      </w:pPr>
      <w:r w:rsidRPr="00390F83">
        <w:rPr>
          <w:lang w:val="en-GB"/>
        </w:rPr>
        <w:t xml:space="preserve">Nature Restoration Law – specific clauses for wetland and rewetting (Côte d’Ivoire) </w:t>
      </w:r>
    </w:p>
    <w:p w14:paraId="36D922BB" w14:textId="77777777" w:rsidR="00BF0545" w:rsidRPr="00390F83" w:rsidRDefault="00BF0545" w:rsidP="00BF0545">
      <w:pPr>
        <w:numPr>
          <w:ilvl w:val="1"/>
          <w:numId w:val="36"/>
        </w:numPr>
        <w:rPr>
          <w:lang w:val="fr-FR"/>
        </w:rPr>
      </w:pPr>
      <w:r w:rsidRPr="00390F83">
        <w:rPr>
          <w:lang w:val="fr-FR"/>
        </w:rPr>
        <w:t>Loi sur la conservation du patrimoine naturel (Québec, Canada)</w:t>
      </w:r>
    </w:p>
    <w:p w14:paraId="43161FEC" w14:textId="77777777" w:rsidR="00BF0545" w:rsidRPr="00390F83" w:rsidRDefault="00BF0545" w:rsidP="00BF0545">
      <w:pPr>
        <w:numPr>
          <w:ilvl w:val="0"/>
          <w:numId w:val="36"/>
        </w:numPr>
        <w:rPr>
          <w:lang w:val="fr-FR"/>
        </w:rPr>
      </w:pPr>
      <w:r w:rsidRPr="00390F83">
        <w:rPr>
          <w:lang w:val="en-CA"/>
        </w:rPr>
        <w:t>Indigenous</w:t>
      </w:r>
      <w:r w:rsidRPr="00390F83">
        <w:rPr>
          <w:lang w:val="fr-FR"/>
        </w:rPr>
        <w:t xml:space="preserve"> Protected Areas</w:t>
      </w:r>
    </w:p>
    <w:p w14:paraId="42D37F38" w14:textId="77777777" w:rsidR="00BF0545" w:rsidRPr="00390F83" w:rsidRDefault="00BF0545" w:rsidP="00BF0545">
      <w:pPr>
        <w:numPr>
          <w:ilvl w:val="1"/>
          <w:numId w:val="36"/>
        </w:numPr>
        <w:rPr>
          <w:lang w:val="fr-FR"/>
        </w:rPr>
      </w:pPr>
      <w:r w:rsidRPr="00390F83">
        <w:rPr>
          <w:lang w:val="fr-FR"/>
        </w:rPr>
        <w:t>Québec, Canada: aire protégée d’initiative autochtone</w:t>
      </w:r>
    </w:p>
    <w:p w14:paraId="46C4630E" w14:textId="77777777" w:rsidR="00BF0545" w:rsidRPr="00390F83" w:rsidRDefault="00BF0545" w:rsidP="00BF0545">
      <w:pPr>
        <w:numPr>
          <w:ilvl w:val="1"/>
          <w:numId w:val="36"/>
        </w:numPr>
      </w:pPr>
      <w:r w:rsidRPr="00390F83">
        <w:rPr>
          <w:lang w:val="en-GB"/>
        </w:rPr>
        <w:t>New Ze</w:t>
      </w:r>
      <w:r w:rsidRPr="00390F83">
        <w:t>aland: Ngā Whenua Rāhui Kawenata</w:t>
      </w:r>
    </w:p>
    <w:p w14:paraId="7718F683" w14:textId="77777777" w:rsidR="00BF0545" w:rsidRPr="00390F83" w:rsidRDefault="00BF0545" w:rsidP="00BF0545">
      <w:pPr>
        <w:numPr>
          <w:ilvl w:val="0"/>
          <w:numId w:val="36"/>
        </w:numPr>
        <w:rPr>
          <w:lang w:val="fr-FR"/>
        </w:rPr>
      </w:pPr>
      <w:r w:rsidRPr="00390F83">
        <w:rPr>
          <w:lang w:val="en-CA"/>
        </w:rPr>
        <w:t>Private</w:t>
      </w:r>
      <w:r w:rsidRPr="00390F83">
        <w:rPr>
          <w:lang w:val="fr-FR"/>
        </w:rPr>
        <w:t xml:space="preserve"> Nature Reserves</w:t>
      </w:r>
    </w:p>
    <w:p w14:paraId="13B5E50C" w14:textId="77777777" w:rsidR="00BF0545" w:rsidRPr="00390F83" w:rsidRDefault="00BF0545" w:rsidP="00BF0545">
      <w:pPr>
        <w:rPr>
          <w:lang w:val="fr-FR"/>
        </w:rPr>
      </w:pPr>
    </w:p>
    <w:p w14:paraId="4420AEBD" w14:textId="77777777" w:rsidR="00BF0545" w:rsidRPr="00390F83" w:rsidRDefault="00BF0545" w:rsidP="00BF0545">
      <w:pPr>
        <w:rPr>
          <w:b/>
          <w:lang w:val="fr-FR"/>
        </w:rPr>
      </w:pPr>
      <w:r w:rsidRPr="00390F83">
        <w:rPr>
          <w:b/>
          <w:lang w:val="fr-FR"/>
        </w:rPr>
        <w:t>Prescriptive Regulation</w:t>
      </w:r>
    </w:p>
    <w:p w14:paraId="34DC5709" w14:textId="77777777" w:rsidR="00BF0545" w:rsidRPr="00390F83" w:rsidRDefault="00BF0545" w:rsidP="00BF0545">
      <w:pPr>
        <w:numPr>
          <w:ilvl w:val="0"/>
          <w:numId w:val="36"/>
        </w:numPr>
        <w:rPr>
          <w:lang w:val="en-GB"/>
        </w:rPr>
      </w:pPr>
      <w:r w:rsidRPr="00390F83">
        <w:rPr>
          <w:lang w:val="en-CA"/>
        </w:rPr>
        <w:t>Permit</w:t>
      </w:r>
      <w:r w:rsidRPr="00390F83">
        <w:rPr>
          <w:lang w:val="en-GB"/>
        </w:rPr>
        <w:t xml:space="preserve"> regimes </w:t>
      </w:r>
    </w:p>
    <w:p w14:paraId="0403CDF6" w14:textId="77777777" w:rsidR="00BF0545" w:rsidRPr="00390F83" w:rsidRDefault="00BF0545" w:rsidP="00BF0545">
      <w:pPr>
        <w:numPr>
          <w:ilvl w:val="1"/>
          <w:numId w:val="36"/>
        </w:numPr>
        <w:rPr>
          <w:lang w:val="en-GB"/>
        </w:rPr>
      </w:pPr>
      <w:r w:rsidRPr="00390F83">
        <w:rPr>
          <w:lang w:val="en-GB"/>
        </w:rPr>
        <w:t>“No net loss” (in &gt; 80 countries) / Biodiversity offsets</w:t>
      </w:r>
    </w:p>
    <w:p w14:paraId="21011A1B" w14:textId="77777777" w:rsidR="00BF0545" w:rsidRPr="00390F83" w:rsidRDefault="00BF0545" w:rsidP="00BF0545">
      <w:pPr>
        <w:numPr>
          <w:ilvl w:val="1"/>
          <w:numId w:val="36"/>
        </w:numPr>
        <w:rPr>
          <w:lang w:val="en-GB"/>
        </w:rPr>
      </w:pPr>
      <w:r w:rsidRPr="00390F83">
        <w:rPr>
          <w:lang w:val="en-GB"/>
        </w:rPr>
        <w:t>“No loss” of provincially important wetlands with the Provincial Policy Statement (Ontario, Canada)</w:t>
      </w:r>
    </w:p>
    <w:p w14:paraId="42533914" w14:textId="77777777" w:rsidR="00BF0545" w:rsidRPr="00390F83" w:rsidRDefault="00BF0545" w:rsidP="00BF0545">
      <w:pPr>
        <w:numPr>
          <w:ilvl w:val="1"/>
          <w:numId w:val="36"/>
        </w:numPr>
        <w:rPr>
          <w:lang w:val="en-GB"/>
        </w:rPr>
      </w:pPr>
      <w:r w:rsidRPr="00390F83">
        <w:rPr>
          <w:lang w:val="en-GB"/>
        </w:rPr>
        <w:t>Town and Country Planning (e.g., Barbados, Jamaica)</w:t>
      </w:r>
    </w:p>
    <w:p w14:paraId="0DC181BF" w14:textId="77777777" w:rsidR="00BF0545" w:rsidRPr="00390F83" w:rsidRDefault="00BF0545" w:rsidP="00BF0545">
      <w:pPr>
        <w:numPr>
          <w:ilvl w:val="1"/>
          <w:numId w:val="36"/>
        </w:numPr>
        <w:rPr>
          <w:lang w:val="en-GB"/>
        </w:rPr>
      </w:pPr>
      <w:r w:rsidRPr="00390F83">
        <w:rPr>
          <w:lang w:val="en-GB"/>
        </w:rPr>
        <w:t>Water Act (Alberta, Canada)</w:t>
      </w:r>
    </w:p>
    <w:p w14:paraId="539B28D1" w14:textId="77777777" w:rsidR="00BF0545" w:rsidRPr="00390F83" w:rsidRDefault="00BF0545" w:rsidP="00BF0545">
      <w:pPr>
        <w:numPr>
          <w:ilvl w:val="1"/>
          <w:numId w:val="36"/>
        </w:numPr>
        <w:rPr>
          <w:lang w:val="en-GB"/>
        </w:rPr>
      </w:pPr>
      <w:r w:rsidRPr="00390F83">
        <w:rPr>
          <w:lang w:val="en-GB"/>
        </w:rPr>
        <w:t xml:space="preserve">Net gain (UK) </w:t>
      </w:r>
    </w:p>
    <w:p w14:paraId="0279CF1E" w14:textId="77777777" w:rsidR="00BF0545" w:rsidRPr="00390F83" w:rsidRDefault="00BF0545" w:rsidP="00BF0545">
      <w:pPr>
        <w:numPr>
          <w:ilvl w:val="0"/>
          <w:numId w:val="36"/>
        </w:numPr>
        <w:rPr>
          <w:lang w:val="en-GB"/>
        </w:rPr>
      </w:pPr>
      <w:r w:rsidRPr="00390F83">
        <w:rPr>
          <w:lang w:val="en-CA"/>
        </w:rPr>
        <w:t>Prohibitions</w:t>
      </w:r>
    </w:p>
    <w:p w14:paraId="160B68AD" w14:textId="77777777" w:rsidR="00BF0545" w:rsidRPr="00390F83" w:rsidRDefault="00BF0545" w:rsidP="00BF0545">
      <w:pPr>
        <w:numPr>
          <w:ilvl w:val="1"/>
          <w:numId w:val="36"/>
        </w:numPr>
        <w:rPr>
          <w:lang w:val="en-GB"/>
        </w:rPr>
      </w:pPr>
      <w:r w:rsidRPr="00390F83">
        <w:rPr>
          <w:lang w:val="en-GB"/>
        </w:rPr>
        <w:t>Bans on single-use plastics (12 Caribbean countries)</w:t>
      </w:r>
    </w:p>
    <w:p w14:paraId="4EBB5FDC" w14:textId="77777777" w:rsidR="00BF0545" w:rsidRPr="00390F83" w:rsidRDefault="00BF0545" w:rsidP="00BF0545">
      <w:pPr>
        <w:numPr>
          <w:ilvl w:val="1"/>
          <w:numId w:val="36"/>
        </w:numPr>
        <w:rPr>
          <w:lang w:val="en-GB"/>
        </w:rPr>
      </w:pPr>
      <w:r w:rsidRPr="00390F83">
        <w:rPr>
          <w:lang w:val="en-GB"/>
        </w:rPr>
        <w:t>Sunscreen ban (Hawaii)</w:t>
      </w:r>
    </w:p>
    <w:p w14:paraId="05594F72" w14:textId="77777777" w:rsidR="00BF0545" w:rsidRPr="00390F83" w:rsidRDefault="00BF0545" w:rsidP="00BF0545">
      <w:pPr>
        <w:numPr>
          <w:ilvl w:val="1"/>
          <w:numId w:val="36"/>
        </w:numPr>
        <w:rPr>
          <w:lang w:val="en-GB"/>
        </w:rPr>
      </w:pPr>
      <w:r w:rsidRPr="00390F83">
        <w:rPr>
          <w:lang w:val="en-GB"/>
        </w:rPr>
        <w:t>Peat exit plan (Switzerland)</w:t>
      </w:r>
    </w:p>
    <w:p w14:paraId="4E4977B1" w14:textId="77777777" w:rsidR="00BF0545" w:rsidRPr="00390F83" w:rsidRDefault="00BF0545" w:rsidP="00BF0545">
      <w:pPr>
        <w:numPr>
          <w:ilvl w:val="1"/>
          <w:numId w:val="36"/>
        </w:numPr>
        <w:rPr>
          <w:lang w:val="en-GB"/>
        </w:rPr>
      </w:pPr>
      <w:r w:rsidRPr="00390F83">
        <w:rPr>
          <w:lang w:val="en-GB"/>
        </w:rPr>
        <w:t>Greenbelt Act (Ontario)</w:t>
      </w:r>
    </w:p>
    <w:p w14:paraId="7381B2BD" w14:textId="77777777" w:rsidR="00BF0545" w:rsidRPr="00390F83" w:rsidRDefault="00BF0545" w:rsidP="00BF0545">
      <w:pPr>
        <w:numPr>
          <w:ilvl w:val="0"/>
          <w:numId w:val="36"/>
        </w:numPr>
        <w:rPr>
          <w:lang w:val="en-GB"/>
        </w:rPr>
      </w:pPr>
      <w:r w:rsidRPr="00390F83">
        <w:rPr>
          <w:lang w:val="en-CA"/>
        </w:rPr>
        <w:t>Water</w:t>
      </w:r>
      <w:r w:rsidRPr="00390F83">
        <w:rPr>
          <w:lang w:val="en-GB"/>
        </w:rPr>
        <w:t xml:space="preserve"> quality limits</w:t>
      </w:r>
    </w:p>
    <w:p w14:paraId="51B2FD03" w14:textId="77777777" w:rsidR="00BF0545" w:rsidRPr="00390F83" w:rsidRDefault="00BF0545" w:rsidP="00BF0545">
      <w:pPr>
        <w:numPr>
          <w:ilvl w:val="1"/>
          <w:numId w:val="36"/>
        </w:numPr>
        <w:rPr>
          <w:lang w:val="en-GB"/>
        </w:rPr>
      </w:pPr>
      <w:r w:rsidRPr="00390F83">
        <w:rPr>
          <w:lang w:val="en-GB"/>
        </w:rPr>
        <w:t xml:space="preserve">E.g. Surface water quality standards/plans </w:t>
      </w:r>
    </w:p>
    <w:p w14:paraId="5AA13BC6" w14:textId="77777777" w:rsidR="00BF0545" w:rsidRPr="00390F83" w:rsidRDefault="00BF0545" w:rsidP="00BF0545">
      <w:pPr>
        <w:numPr>
          <w:ilvl w:val="0"/>
          <w:numId w:val="36"/>
        </w:numPr>
        <w:rPr>
          <w:lang w:val="en-GB"/>
        </w:rPr>
      </w:pPr>
      <w:r w:rsidRPr="00390F83">
        <w:rPr>
          <w:lang w:val="en-GB"/>
        </w:rPr>
        <w:t>Minimum environmental flows</w:t>
      </w:r>
    </w:p>
    <w:p w14:paraId="767EF30B" w14:textId="77777777" w:rsidR="00BF0545" w:rsidRPr="00390F83" w:rsidRDefault="00BF0545" w:rsidP="00BF0545">
      <w:pPr>
        <w:numPr>
          <w:ilvl w:val="1"/>
          <w:numId w:val="36"/>
        </w:numPr>
        <w:rPr>
          <w:lang w:val="es-ES"/>
        </w:rPr>
      </w:pPr>
      <w:r w:rsidRPr="00390F83">
        <w:rPr>
          <w:lang w:val="es-ES"/>
        </w:rPr>
        <w:t>Mexico: Environmental Flow Standard (Res. XII.12)</w:t>
      </w:r>
    </w:p>
    <w:p w14:paraId="7F3EDE36" w14:textId="77777777" w:rsidR="00BF0545" w:rsidRPr="00390F83" w:rsidRDefault="00BF0545" w:rsidP="00BF0545">
      <w:pPr>
        <w:numPr>
          <w:ilvl w:val="1"/>
          <w:numId w:val="36"/>
        </w:numPr>
        <w:rPr>
          <w:lang w:val="en-GB"/>
        </w:rPr>
      </w:pPr>
      <w:r w:rsidRPr="00390F83">
        <w:rPr>
          <w:lang w:val="en-GB"/>
        </w:rPr>
        <w:t>Australia: Water sharing plans</w:t>
      </w:r>
    </w:p>
    <w:p w14:paraId="29DFA924" w14:textId="77777777" w:rsidR="00BF0545" w:rsidRPr="00390F83" w:rsidRDefault="00BF0545" w:rsidP="00BF0545">
      <w:pPr>
        <w:rPr>
          <w:lang w:val="en-GB"/>
        </w:rPr>
      </w:pPr>
    </w:p>
    <w:p w14:paraId="046896BC" w14:textId="77777777" w:rsidR="00BF0545" w:rsidRPr="00390F83" w:rsidRDefault="00BF0545" w:rsidP="00BF0545">
      <w:pPr>
        <w:rPr>
          <w:b/>
          <w:lang w:val="en-GB"/>
        </w:rPr>
      </w:pPr>
      <w:r w:rsidRPr="00390F83">
        <w:rPr>
          <w:b/>
          <w:lang w:val="en-GB"/>
        </w:rPr>
        <w:t>Penalties &amp; Payments</w:t>
      </w:r>
    </w:p>
    <w:p w14:paraId="3B6B56CE" w14:textId="77777777" w:rsidR="00BF0545" w:rsidRPr="00390F83" w:rsidRDefault="00BF0545" w:rsidP="00BF0545">
      <w:pPr>
        <w:numPr>
          <w:ilvl w:val="0"/>
          <w:numId w:val="36"/>
        </w:numPr>
        <w:rPr>
          <w:lang w:val="en-GB"/>
        </w:rPr>
      </w:pPr>
      <w:r w:rsidRPr="00390F83">
        <w:rPr>
          <w:lang w:val="en-GB"/>
        </w:rPr>
        <w:t xml:space="preserve">Penalties: </w:t>
      </w:r>
    </w:p>
    <w:p w14:paraId="1FEDF2A2" w14:textId="77777777" w:rsidR="00BF0545" w:rsidRPr="00390F83" w:rsidRDefault="00BF0545" w:rsidP="00BF0545">
      <w:pPr>
        <w:numPr>
          <w:ilvl w:val="1"/>
          <w:numId w:val="36"/>
        </w:numPr>
        <w:rPr>
          <w:lang w:val="en-GB"/>
        </w:rPr>
      </w:pPr>
      <w:r w:rsidRPr="00390F83">
        <w:rPr>
          <w:lang w:val="en-GB"/>
        </w:rPr>
        <w:t>Loss of agricultural subsidies</w:t>
      </w:r>
    </w:p>
    <w:p w14:paraId="0681E382" w14:textId="77777777" w:rsidR="00BF0545" w:rsidRPr="00390F83" w:rsidRDefault="00BF0545" w:rsidP="00BF0545">
      <w:pPr>
        <w:numPr>
          <w:ilvl w:val="0"/>
          <w:numId w:val="36"/>
        </w:numPr>
        <w:rPr>
          <w:lang w:val="en-GB"/>
        </w:rPr>
      </w:pPr>
      <w:r w:rsidRPr="00390F83">
        <w:rPr>
          <w:lang w:val="en-GB"/>
        </w:rPr>
        <w:t xml:space="preserve">Payments : </w:t>
      </w:r>
    </w:p>
    <w:p w14:paraId="40019D9C" w14:textId="4F49EDD5" w:rsidR="00BF0545" w:rsidRPr="00390F83" w:rsidRDefault="00BF0545" w:rsidP="00BF0545">
      <w:pPr>
        <w:numPr>
          <w:ilvl w:val="1"/>
          <w:numId w:val="36"/>
        </w:numPr>
        <w:rPr>
          <w:lang w:val="en-GB"/>
        </w:rPr>
      </w:pPr>
      <w:r w:rsidRPr="007554DE">
        <w:rPr>
          <w:lang w:val="en-GB"/>
        </w:rPr>
        <w:t xml:space="preserve">Swampbuster </w:t>
      </w:r>
      <w:r w:rsidRPr="00390F83">
        <w:rPr>
          <w:lang w:val="en-GB"/>
        </w:rPr>
        <w:t>(USA)</w:t>
      </w:r>
    </w:p>
    <w:p w14:paraId="19084A08" w14:textId="6235DC0B" w:rsidR="00BF0545" w:rsidRPr="00390F83" w:rsidRDefault="00BF0545" w:rsidP="00BF0545">
      <w:pPr>
        <w:numPr>
          <w:ilvl w:val="1"/>
          <w:numId w:val="36"/>
        </w:numPr>
        <w:rPr>
          <w:lang w:val="en-GB"/>
        </w:rPr>
      </w:pPr>
      <w:r w:rsidRPr="00390F83">
        <w:rPr>
          <w:lang w:val="en-GB"/>
        </w:rPr>
        <w:t>Cost-sharing restoration projects</w:t>
      </w:r>
    </w:p>
    <w:p w14:paraId="6E0CDF02" w14:textId="77777777" w:rsidR="00BF0545" w:rsidRPr="00390F83" w:rsidRDefault="00BF0545" w:rsidP="00BF0545">
      <w:pPr>
        <w:numPr>
          <w:ilvl w:val="2"/>
          <w:numId w:val="36"/>
        </w:numPr>
        <w:rPr>
          <w:lang w:val="en-GB"/>
        </w:rPr>
      </w:pPr>
      <w:r w:rsidRPr="00390F83">
        <w:rPr>
          <w:lang w:val="en-GB"/>
        </w:rPr>
        <w:t>Wetlands Reserve Program (USA)</w:t>
      </w:r>
    </w:p>
    <w:p w14:paraId="7ED44237" w14:textId="77777777" w:rsidR="00BF0545" w:rsidRPr="00390F83" w:rsidRDefault="00BF0545" w:rsidP="00BF0545">
      <w:pPr>
        <w:numPr>
          <w:ilvl w:val="2"/>
          <w:numId w:val="36"/>
        </w:numPr>
        <w:rPr>
          <w:lang w:val="en-GB"/>
        </w:rPr>
      </w:pPr>
      <w:r w:rsidRPr="00390F83">
        <w:rPr>
          <w:lang w:val="en-GB"/>
        </w:rPr>
        <w:t>LIFE, Common Agricultural Policy 2023-27 (EU)</w:t>
      </w:r>
    </w:p>
    <w:p w14:paraId="2FFD26CD" w14:textId="1B28193B" w:rsidR="00BF0545" w:rsidRPr="00390F83" w:rsidRDefault="00BF0545" w:rsidP="00BF0545">
      <w:pPr>
        <w:numPr>
          <w:ilvl w:val="1"/>
          <w:numId w:val="36"/>
        </w:numPr>
        <w:rPr>
          <w:lang w:val="en-GB"/>
        </w:rPr>
      </w:pPr>
      <w:r w:rsidRPr="00390F83">
        <w:rPr>
          <w:lang w:val="en-GB"/>
        </w:rPr>
        <w:t>Tax deductions or credits</w:t>
      </w:r>
    </w:p>
    <w:p w14:paraId="1DC652D4" w14:textId="77777777" w:rsidR="00BF0545" w:rsidRPr="00390F83" w:rsidRDefault="00BF0545" w:rsidP="00BF0545">
      <w:pPr>
        <w:numPr>
          <w:ilvl w:val="2"/>
          <w:numId w:val="36"/>
        </w:numPr>
        <w:rPr>
          <w:lang w:val="en-GB"/>
        </w:rPr>
      </w:pPr>
      <w:r w:rsidRPr="00390F83">
        <w:rPr>
          <w:lang w:val="en-GB"/>
        </w:rPr>
        <w:t>South Africa</w:t>
      </w:r>
    </w:p>
    <w:p w14:paraId="5C644603" w14:textId="77777777" w:rsidR="00BF0545" w:rsidRPr="00390F83" w:rsidRDefault="00BF0545" w:rsidP="00BF0545">
      <w:pPr>
        <w:numPr>
          <w:ilvl w:val="2"/>
          <w:numId w:val="36"/>
        </w:numPr>
        <w:rPr>
          <w:lang w:val="en-GB"/>
        </w:rPr>
      </w:pPr>
      <w:r w:rsidRPr="00390F83">
        <w:rPr>
          <w:lang w:val="en-GB"/>
        </w:rPr>
        <w:t>Australia</w:t>
      </w:r>
    </w:p>
    <w:p w14:paraId="0DDEC75F" w14:textId="77777777" w:rsidR="00BF0545" w:rsidRPr="00390F83" w:rsidRDefault="00BF0545" w:rsidP="00BF0545">
      <w:pPr>
        <w:numPr>
          <w:ilvl w:val="1"/>
          <w:numId w:val="36"/>
        </w:numPr>
        <w:rPr>
          <w:lang w:val="en-GB"/>
        </w:rPr>
      </w:pPr>
      <w:r w:rsidRPr="00390F83">
        <w:rPr>
          <w:lang w:val="en-GB"/>
        </w:rPr>
        <w:t>International carbon markets/Verified Carbon Standard (VCS)</w:t>
      </w:r>
    </w:p>
    <w:p w14:paraId="369338AA" w14:textId="77777777" w:rsidR="00BF0545" w:rsidRPr="00390F83" w:rsidRDefault="00BF0545" w:rsidP="00BF0545">
      <w:pPr>
        <w:numPr>
          <w:ilvl w:val="1"/>
          <w:numId w:val="36"/>
        </w:numPr>
        <w:rPr>
          <w:lang w:val="en-GB"/>
        </w:rPr>
      </w:pPr>
      <w:r w:rsidRPr="00390F83">
        <w:rPr>
          <w:lang w:val="en-GB"/>
        </w:rPr>
        <w:t>US National Wetland Mitigation Banking Program</w:t>
      </w:r>
    </w:p>
    <w:p w14:paraId="48F1B197" w14:textId="77777777" w:rsidR="00BF0545" w:rsidRPr="00390F83" w:rsidRDefault="00BF0545" w:rsidP="00BF0545">
      <w:pPr>
        <w:rPr>
          <w:lang w:val="en-GB"/>
        </w:rPr>
      </w:pPr>
    </w:p>
    <w:p w14:paraId="7B36D3E8" w14:textId="77777777" w:rsidR="00BF0545" w:rsidRPr="00390F83" w:rsidRDefault="00BF0545" w:rsidP="00BF0545">
      <w:pPr>
        <w:rPr>
          <w:b/>
          <w:lang w:val="en-GB"/>
        </w:rPr>
      </w:pPr>
      <w:r w:rsidRPr="00390F83">
        <w:rPr>
          <w:b/>
          <w:lang w:val="en-GB"/>
        </w:rPr>
        <w:t>Persuasion</w:t>
      </w:r>
    </w:p>
    <w:p w14:paraId="016C5443" w14:textId="77777777" w:rsidR="00BF0545" w:rsidRPr="00390F83" w:rsidRDefault="00BF0545" w:rsidP="00BF0545">
      <w:pPr>
        <w:numPr>
          <w:ilvl w:val="0"/>
          <w:numId w:val="36"/>
        </w:numPr>
        <w:rPr>
          <w:lang w:val="en-GB"/>
        </w:rPr>
      </w:pPr>
      <w:r w:rsidRPr="00390F83">
        <w:rPr>
          <w:lang w:val="en-GB"/>
        </w:rPr>
        <w:t>EIA Legislation</w:t>
      </w:r>
    </w:p>
    <w:p w14:paraId="33E92DE3" w14:textId="77777777" w:rsidR="00BF0545" w:rsidRPr="00390F83" w:rsidRDefault="00BF0545" w:rsidP="00BF0545">
      <w:pPr>
        <w:numPr>
          <w:ilvl w:val="0"/>
          <w:numId w:val="36"/>
        </w:numPr>
        <w:rPr>
          <w:lang w:val="en-GB"/>
        </w:rPr>
      </w:pPr>
      <w:r w:rsidRPr="00390F83">
        <w:rPr>
          <w:lang w:val="en-GB"/>
        </w:rPr>
        <w:t>Public “Right to Know” Laws</w:t>
      </w:r>
    </w:p>
    <w:p w14:paraId="13922301" w14:textId="77777777" w:rsidR="00BF0545" w:rsidRPr="00390F83" w:rsidRDefault="00BF0545" w:rsidP="00BF0545">
      <w:pPr>
        <w:numPr>
          <w:ilvl w:val="1"/>
          <w:numId w:val="36"/>
        </w:numPr>
        <w:rPr>
          <w:lang w:val="es-ES"/>
        </w:rPr>
      </w:pPr>
      <w:r w:rsidRPr="00390F83">
        <w:rPr>
          <w:lang w:val="es-ES"/>
        </w:rPr>
        <w:t xml:space="preserve">Toxics </w:t>
      </w:r>
      <w:r w:rsidRPr="00390F83">
        <w:rPr>
          <w:lang w:val="en-GB"/>
        </w:rPr>
        <w:t>Release</w:t>
      </w:r>
      <w:r w:rsidRPr="00390F83">
        <w:rPr>
          <w:lang w:val="es-ES"/>
        </w:rPr>
        <w:t xml:space="preserve"> Inventory (USA)</w:t>
      </w:r>
    </w:p>
    <w:p w14:paraId="68558B8E" w14:textId="77777777" w:rsidR="00BF0545" w:rsidRPr="00390F83" w:rsidRDefault="00BF0545" w:rsidP="00BF0545">
      <w:pPr>
        <w:numPr>
          <w:ilvl w:val="0"/>
          <w:numId w:val="36"/>
        </w:numPr>
        <w:rPr>
          <w:lang w:val="en-GB"/>
        </w:rPr>
      </w:pPr>
      <w:r w:rsidRPr="00390F83">
        <w:rPr>
          <w:lang w:val="en-GB"/>
        </w:rPr>
        <w:t>Eco-labeling or Certifications</w:t>
      </w:r>
    </w:p>
    <w:p w14:paraId="34D7B2E5" w14:textId="77777777" w:rsidR="00BF0545" w:rsidRPr="00390F83" w:rsidRDefault="00BF0545" w:rsidP="00BF0545">
      <w:pPr>
        <w:numPr>
          <w:ilvl w:val="1"/>
          <w:numId w:val="36"/>
        </w:numPr>
        <w:rPr>
          <w:lang w:val="en-GB"/>
        </w:rPr>
      </w:pPr>
      <w:r w:rsidRPr="00390F83">
        <w:rPr>
          <w:lang w:val="en-GB"/>
        </w:rPr>
        <w:t>Australia</w:t>
      </w:r>
    </w:p>
    <w:p w14:paraId="51F6D75A" w14:textId="77777777" w:rsidR="00BF0545" w:rsidRPr="00390F83" w:rsidRDefault="00BF0545" w:rsidP="00BF0545">
      <w:pPr>
        <w:numPr>
          <w:ilvl w:val="1"/>
          <w:numId w:val="36"/>
        </w:numPr>
        <w:rPr>
          <w:lang w:val="en-GB"/>
        </w:rPr>
      </w:pPr>
      <w:r w:rsidRPr="00390F83">
        <w:rPr>
          <w:lang w:val="en-GB"/>
        </w:rPr>
        <w:t>EU sustainable investment regulation</w:t>
      </w:r>
    </w:p>
    <w:p w14:paraId="05B08193" w14:textId="77777777" w:rsidR="00BF0545" w:rsidRPr="00390F83" w:rsidRDefault="00BF0545" w:rsidP="00BF0545">
      <w:pPr>
        <w:rPr>
          <w:lang w:val="en-GB"/>
        </w:rPr>
      </w:pPr>
    </w:p>
    <w:p w14:paraId="5F678AC4" w14:textId="77777777" w:rsidR="00BF0545" w:rsidRPr="00390F83" w:rsidRDefault="00BF0545" w:rsidP="00BF0545">
      <w:pPr>
        <w:rPr>
          <w:b/>
          <w:lang w:val="en-GB"/>
        </w:rPr>
      </w:pPr>
      <w:r w:rsidRPr="00390F83">
        <w:rPr>
          <w:b/>
          <w:lang w:val="en-GB"/>
        </w:rPr>
        <w:t>Property Rights</w:t>
      </w:r>
    </w:p>
    <w:p w14:paraId="22435B0B" w14:textId="77777777" w:rsidR="00BF0545" w:rsidRPr="00390F83" w:rsidRDefault="00BF0545" w:rsidP="00BF0545">
      <w:pPr>
        <w:numPr>
          <w:ilvl w:val="0"/>
          <w:numId w:val="36"/>
        </w:numPr>
        <w:rPr>
          <w:lang w:val="en-GB"/>
        </w:rPr>
      </w:pPr>
      <w:r w:rsidRPr="00390F83">
        <w:rPr>
          <w:lang w:val="en-GB"/>
        </w:rPr>
        <w:t xml:space="preserve">Exclusive use by local communities </w:t>
      </w:r>
    </w:p>
    <w:p w14:paraId="0D0886AC" w14:textId="77777777" w:rsidR="00BF0545" w:rsidRPr="00390F83" w:rsidRDefault="00BF0545" w:rsidP="00BF0545">
      <w:pPr>
        <w:numPr>
          <w:ilvl w:val="1"/>
          <w:numId w:val="36"/>
        </w:numPr>
        <w:rPr>
          <w:lang w:val="en-GB"/>
        </w:rPr>
      </w:pPr>
      <w:r w:rsidRPr="00390F83">
        <w:rPr>
          <w:lang w:val="en-GB"/>
        </w:rPr>
        <w:t>Philippines</w:t>
      </w:r>
    </w:p>
    <w:p w14:paraId="1B232783" w14:textId="77777777" w:rsidR="00BF0545" w:rsidRPr="00390F83" w:rsidRDefault="00BF0545" w:rsidP="00BF0545">
      <w:pPr>
        <w:numPr>
          <w:ilvl w:val="1"/>
          <w:numId w:val="36"/>
        </w:numPr>
        <w:rPr>
          <w:lang w:val="en-GB"/>
        </w:rPr>
      </w:pPr>
      <w:r w:rsidRPr="00390F83">
        <w:rPr>
          <w:lang w:val="en-GB"/>
        </w:rPr>
        <w:t>Vietnam</w:t>
      </w:r>
    </w:p>
    <w:p w14:paraId="2EAF9AD1" w14:textId="77777777" w:rsidR="00BF0545" w:rsidRPr="00390F83" w:rsidRDefault="00BF0545" w:rsidP="00BF0545">
      <w:pPr>
        <w:numPr>
          <w:ilvl w:val="0"/>
          <w:numId w:val="36"/>
        </w:numPr>
        <w:rPr>
          <w:lang w:val="en-GB"/>
        </w:rPr>
      </w:pPr>
      <w:r w:rsidRPr="00390F83">
        <w:rPr>
          <w:lang w:val="en-GB"/>
        </w:rPr>
        <w:t>Safe Harbor provisions</w:t>
      </w:r>
    </w:p>
    <w:p w14:paraId="21D30FAE" w14:textId="77777777" w:rsidR="00BF0545" w:rsidRPr="00390F83" w:rsidRDefault="00BF0545" w:rsidP="00BF0545">
      <w:pPr>
        <w:numPr>
          <w:ilvl w:val="0"/>
          <w:numId w:val="36"/>
        </w:numPr>
        <w:rPr>
          <w:lang w:val="en-GB"/>
        </w:rPr>
      </w:pPr>
      <w:r w:rsidRPr="00390F83">
        <w:rPr>
          <w:lang w:val="en-GB"/>
        </w:rPr>
        <w:t>Wetland mitigation or biodiversity banking</w:t>
      </w:r>
    </w:p>
    <w:p w14:paraId="390D5230" w14:textId="77777777" w:rsidR="00BF0545" w:rsidRPr="00390F83" w:rsidRDefault="00BF0545" w:rsidP="00BF0545">
      <w:pPr>
        <w:numPr>
          <w:ilvl w:val="0"/>
          <w:numId w:val="36"/>
        </w:numPr>
        <w:rPr>
          <w:lang w:val="en-GB"/>
        </w:rPr>
      </w:pPr>
      <w:r w:rsidRPr="00390F83">
        <w:rPr>
          <w:lang w:val="en-GB"/>
        </w:rPr>
        <w:t>Conservation easements (USA, Canada)</w:t>
      </w:r>
    </w:p>
    <w:p w14:paraId="4F16DC52" w14:textId="77777777" w:rsidR="00BF0545" w:rsidRPr="00390F83" w:rsidRDefault="00BF0545" w:rsidP="00BF0545">
      <w:pPr>
        <w:rPr>
          <w:lang w:val="en-GB"/>
        </w:rPr>
      </w:pPr>
    </w:p>
    <w:p w14:paraId="3B0F0A4F" w14:textId="77777777" w:rsidR="00BF0545" w:rsidRPr="00390F83" w:rsidRDefault="00BF0545" w:rsidP="00BF0545">
      <w:pPr>
        <w:rPr>
          <w:lang w:val="en-GB"/>
        </w:rPr>
      </w:pPr>
      <w:r w:rsidRPr="00390F83">
        <w:rPr>
          <w:b/>
          <w:lang w:val="en-GB"/>
        </w:rPr>
        <w:t>Proxy</w:t>
      </w:r>
    </w:p>
    <w:p w14:paraId="4B0B4E58" w14:textId="77777777" w:rsidR="00BF0545" w:rsidRPr="00390F83" w:rsidRDefault="00BF0545" w:rsidP="00BF0545">
      <w:pPr>
        <w:numPr>
          <w:ilvl w:val="0"/>
          <w:numId w:val="36"/>
        </w:numPr>
        <w:rPr>
          <w:lang w:val="en-GB"/>
        </w:rPr>
      </w:pPr>
      <w:r w:rsidRPr="00390F83">
        <w:rPr>
          <w:lang w:val="en-GB"/>
        </w:rPr>
        <w:t>Wildlife or species-based laws or regulations (Species at Risk Act, Canada, Côte d’Ivoire, Bénin)</w:t>
      </w:r>
    </w:p>
    <w:p w14:paraId="0BC9510D" w14:textId="77777777" w:rsidR="00BF0545" w:rsidRPr="00390F83" w:rsidRDefault="00BF0545" w:rsidP="00BF0545">
      <w:pPr>
        <w:numPr>
          <w:ilvl w:val="0"/>
          <w:numId w:val="36"/>
        </w:numPr>
        <w:rPr>
          <w:lang w:val="en-GB"/>
        </w:rPr>
      </w:pPr>
      <w:r w:rsidRPr="00390F83">
        <w:rPr>
          <w:lang w:val="en-GB"/>
        </w:rPr>
        <w:t>Greenbelt Act (Ontario)</w:t>
      </w:r>
    </w:p>
    <w:p w14:paraId="45371359" w14:textId="77777777" w:rsidR="00BF0545" w:rsidRPr="00390F83" w:rsidRDefault="00BF0545" w:rsidP="00BF0545">
      <w:pPr>
        <w:rPr>
          <w:lang w:val="en-GB"/>
        </w:rPr>
      </w:pPr>
    </w:p>
    <w:p w14:paraId="6CEE1CF0" w14:textId="77777777" w:rsidR="00BF0545" w:rsidRPr="00390F83" w:rsidRDefault="00BF0545" w:rsidP="00BF0545">
      <w:pPr>
        <w:rPr>
          <w:b/>
          <w:lang w:val="en-GB"/>
        </w:rPr>
      </w:pPr>
      <w:r w:rsidRPr="00390F83">
        <w:rPr>
          <w:b/>
          <w:lang w:val="en-GB"/>
        </w:rPr>
        <w:t>Planning</w:t>
      </w:r>
    </w:p>
    <w:p w14:paraId="05D91AB4" w14:textId="327E4A61" w:rsidR="00BF0545" w:rsidRPr="00390F83" w:rsidRDefault="00BF0545" w:rsidP="00BF0545">
      <w:pPr>
        <w:numPr>
          <w:ilvl w:val="0"/>
          <w:numId w:val="36"/>
        </w:numPr>
        <w:rPr>
          <w:lang w:val="en-GB"/>
        </w:rPr>
      </w:pPr>
      <w:r w:rsidRPr="00390F83">
        <w:rPr>
          <w:lang w:val="en-GB"/>
        </w:rPr>
        <w:t xml:space="preserve">Alberta Land </w:t>
      </w:r>
      <w:r w:rsidRPr="007554DE">
        <w:rPr>
          <w:lang w:val="en-GB"/>
        </w:rPr>
        <w:t>Stewar</w:t>
      </w:r>
      <w:r w:rsidR="00355D00" w:rsidRPr="007554DE">
        <w:rPr>
          <w:lang w:val="en-GB"/>
        </w:rPr>
        <w:t>ds</w:t>
      </w:r>
      <w:r w:rsidRPr="007554DE">
        <w:rPr>
          <w:lang w:val="en-GB"/>
        </w:rPr>
        <w:t xml:space="preserve">hip </w:t>
      </w:r>
      <w:r w:rsidRPr="00390F83">
        <w:rPr>
          <w:lang w:val="en-GB"/>
        </w:rPr>
        <w:t>Act Regional Plans (Alberta, Canada)</w:t>
      </w:r>
    </w:p>
    <w:p w14:paraId="74E21413" w14:textId="77777777" w:rsidR="00BF0545" w:rsidRPr="00390F83" w:rsidRDefault="00BF0545" w:rsidP="00BF0545">
      <w:pPr>
        <w:numPr>
          <w:ilvl w:val="0"/>
          <w:numId w:val="36"/>
        </w:numPr>
        <w:rPr>
          <w:lang w:val="fr-FR"/>
        </w:rPr>
      </w:pPr>
      <w:r w:rsidRPr="00390F83">
        <w:rPr>
          <w:lang w:val="fr-FR"/>
        </w:rPr>
        <w:t>Plans régionaux des milieux humides et hydriques (Québec, Canada)</w:t>
      </w:r>
    </w:p>
    <w:p w14:paraId="20290EF2" w14:textId="77777777" w:rsidR="00BF0545" w:rsidRPr="00390F83" w:rsidRDefault="00BF0545" w:rsidP="00BF0545">
      <w:pPr>
        <w:numPr>
          <w:ilvl w:val="0"/>
          <w:numId w:val="36"/>
        </w:numPr>
        <w:rPr>
          <w:lang w:val="fr-FR"/>
        </w:rPr>
      </w:pPr>
      <w:r w:rsidRPr="00390F83">
        <w:rPr>
          <w:lang w:val="fr-FR"/>
        </w:rPr>
        <w:t>Schéma directeur d’aménagement et de gestion des eaux (France)</w:t>
      </w:r>
    </w:p>
    <w:p w14:paraId="0DFE54C7" w14:textId="77777777" w:rsidR="00BF48E5" w:rsidRPr="00390F83" w:rsidRDefault="00BF48E5" w:rsidP="00BF48E5">
      <w:pPr>
        <w:rPr>
          <w:lang w:val="fr-FR"/>
        </w:rPr>
      </w:pPr>
    </w:p>
    <w:p w14:paraId="28D93255" w14:textId="77777777" w:rsidR="004224D3" w:rsidRPr="00390F83" w:rsidRDefault="00F319AD" w:rsidP="0059046B">
      <w:pPr>
        <w:rPr>
          <w:lang w:val="fr-FR"/>
        </w:rPr>
      </w:pPr>
      <w:r w:rsidRPr="00390F83">
        <w:rPr>
          <w:lang w:val="fr-FR"/>
        </w:rPr>
        <w:br w:type="page"/>
      </w:r>
    </w:p>
    <w:p w14:paraId="4D569911" w14:textId="77777777" w:rsidR="001F10D2" w:rsidRPr="00CE4218" w:rsidRDefault="001F10D2" w:rsidP="001F10D2">
      <w:pPr>
        <w:rPr>
          <w:b/>
          <w:sz w:val="24"/>
          <w:szCs w:val="24"/>
        </w:rPr>
      </w:pPr>
      <w:r w:rsidRPr="00CE4218">
        <w:rPr>
          <w:b/>
          <w:sz w:val="24"/>
          <w:szCs w:val="24"/>
        </w:rPr>
        <w:t xml:space="preserve">Annex 4 </w:t>
      </w:r>
    </w:p>
    <w:p w14:paraId="0E3AF506" w14:textId="5F06FE5B" w:rsidR="001F10D2" w:rsidRPr="00CE4218" w:rsidRDefault="001F10D2" w:rsidP="001F10D2">
      <w:pPr>
        <w:rPr>
          <w:b/>
          <w:sz w:val="24"/>
          <w:szCs w:val="24"/>
        </w:rPr>
      </w:pPr>
      <w:r w:rsidRPr="00CE4218">
        <w:rPr>
          <w:b/>
          <w:sz w:val="24"/>
          <w:szCs w:val="24"/>
          <w:lang w:eastAsia="zh-CN"/>
        </w:rPr>
        <w:t xml:space="preserve">Proposed approach to deliver future </w:t>
      </w:r>
      <w:r w:rsidRPr="00CE4218">
        <w:rPr>
          <w:b/>
          <w:sz w:val="24"/>
          <w:szCs w:val="24"/>
        </w:rPr>
        <w:t>Global Wetland Outlooks</w:t>
      </w:r>
    </w:p>
    <w:p w14:paraId="06D6A47A" w14:textId="77777777" w:rsidR="001F10D2" w:rsidRPr="00390F83" w:rsidRDefault="001F10D2" w:rsidP="001F10D2"/>
    <w:p w14:paraId="73707FC2" w14:textId="77777777" w:rsidR="001F10D2" w:rsidRPr="00390F83" w:rsidRDefault="001F10D2" w:rsidP="001F10D2">
      <w:pPr>
        <w:ind w:left="432" w:hanging="432"/>
      </w:pPr>
      <w:r w:rsidRPr="00390F83">
        <w:t>1.</w:t>
      </w:r>
      <w:r w:rsidRPr="00390F83">
        <w:tab/>
        <w:t>The Global Wetland Outlook (GWO) is a flagship publication of the Scientific and Technical Review Panel (STRP) under the Convention on Wetlands. As part of the 2023-2025 STRP work plan (Task 5.3), the STRP was tasked with preparing a report for the Standing Committee outlining a conceptual framework and a detailed plan for future editions of the GWO. The scope of this work includes:</w:t>
      </w:r>
    </w:p>
    <w:p w14:paraId="3DE23275" w14:textId="2DBDEA8E" w:rsidR="001F10D2" w:rsidRPr="00390F83" w:rsidRDefault="001F10D2" w:rsidP="001F10D2">
      <w:pPr>
        <w:pStyle w:val="ListParagraph"/>
        <w:numPr>
          <w:ilvl w:val="0"/>
          <w:numId w:val="32"/>
        </w:numPr>
        <w:ind w:left="810"/>
      </w:pPr>
      <w:r w:rsidRPr="00390F83">
        <w:rPr>
          <w:rFonts w:eastAsia="Calibri"/>
        </w:rPr>
        <w:t>Defining</w:t>
      </w:r>
      <w:r w:rsidRPr="00390F83">
        <w:t xml:space="preserve"> the purpose of the GWO as a flagship product under the Convention, aligned with the goals of the Strategic Plan, </w:t>
      </w:r>
      <w:r w:rsidR="004842DB" w:rsidRPr="00390F83">
        <w:t xml:space="preserve">and </w:t>
      </w:r>
      <w:r w:rsidRPr="00390F83">
        <w:t>other Multilateral Environmental Agreements (MEAs);</w:t>
      </w:r>
    </w:p>
    <w:p w14:paraId="29B68B72" w14:textId="77777777" w:rsidR="001F10D2" w:rsidRPr="00390F83" w:rsidRDefault="001F10D2" w:rsidP="001F10D2">
      <w:pPr>
        <w:pStyle w:val="ListParagraph"/>
        <w:numPr>
          <w:ilvl w:val="0"/>
          <w:numId w:val="32"/>
        </w:numPr>
        <w:ind w:left="810"/>
      </w:pPr>
      <w:r w:rsidRPr="00390F83">
        <w:t>Developing a structured approach to facilitate the delivery of future GWOs, considering methodological frameworks, timeframes, resource needs (including financial requirements), communication strategies, and information sources.</w:t>
      </w:r>
    </w:p>
    <w:p w14:paraId="1E20BF48" w14:textId="00429DC7" w:rsidR="001F10D2" w:rsidRPr="00390F83" w:rsidRDefault="001F10D2" w:rsidP="001F10D2">
      <w:pPr>
        <w:ind w:left="432"/>
      </w:pPr>
      <w:r w:rsidRPr="00390F83">
        <w:t>Lessons learned from the 2018 GWO and the Special Edition produced under the 2019-2021 work plan, along with insights from other global assessments, have been incorporated into the current plan.</w:t>
      </w:r>
    </w:p>
    <w:p w14:paraId="6956F6E2" w14:textId="77777777" w:rsidR="001F10D2" w:rsidRPr="00390F83" w:rsidRDefault="001F10D2" w:rsidP="001F10D2"/>
    <w:p w14:paraId="484A321D" w14:textId="77777777" w:rsidR="001F10D2" w:rsidRPr="00390F83" w:rsidRDefault="001F10D2" w:rsidP="001F10D2">
      <w:pPr>
        <w:ind w:left="432" w:hanging="432"/>
      </w:pPr>
      <w:r w:rsidRPr="00390F83">
        <w:t>2.</w:t>
      </w:r>
      <w:r w:rsidRPr="00390F83">
        <w:tab/>
        <w:t xml:space="preserve">The STRP constituted a working group for this task, led by Dr. Hugh Robertson (STRP Chair) and Dr. Ritesh Kumar (Technical Expert). The working group met twice virtually and presented an outline approach for future GWOs during the STRP’s intersessional meeting in September 2024. Feedback from these discussions has been incorporated into this report. </w:t>
      </w:r>
    </w:p>
    <w:p w14:paraId="61715F98" w14:textId="77777777" w:rsidR="001F10D2" w:rsidRPr="00390F83" w:rsidRDefault="001F10D2" w:rsidP="001F10D2">
      <w:pPr>
        <w:ind w:left="432" w:hanging="432"/>
      </w:pPr>
    </w:p>
    <w:p w14:paraId="556D3AFC" w14:textId="77777777" w:rsidR="001F10D2" w:rsidRPr="00390F83" w:rsidRDefault="001F10D2" w:rsidP="001F10D2">
      <w:pPr>
        <w:ind w:left="432" w:hanging="432"/>
        <w:rPr>
          <w:b/>
          <w:bCs w:val="0"/>
        </w:rPr>
      </w:pPr>
      <w:r w:rsidRPr="00390F83">
        <w:rPr>
          <w:b/>
        </w:rPr>
        <w:t>Purpose of Global Wetland Outlook</w:t>
      </w:r>
    </w:p>
    <w:p w14:paraId="5A7CBD8C" w14:textId="77777777" w:rsidR="001F10D2" w:rsidRPr="00390F83" w:rsidRDefault="001F10D2" w:rsidP="001F10D2">
      <w:pPr>
        <w:ind w:left="432" w:hanging="432"/>
      </w:pPr>
    </w:p>
    <w:p w14:paraId="7E808231" w14:textId="77777777" w:rsidR="001F10D2" w:rsidRPr="00390F83" w:rsidRDefault="001F10D2" w:rsidP="001F10D2">
      <w:pPr>
        <w:ind w:left="432" w:hanging="432"/>
      </w:pPr>
      <w:r w:rsidRPr="00390F83">
        <w:t>3.</w:t>
      </w:r>
      <w:r w:rsidRPr="00390F83">
        <w:tab/>
        <w:t>The GWO was first requested by Resolution XII.5, which called upon the STRP to update and expand Briefing Note 7: State of the World’s Wetlands and Their Services to People. The resolution encouraged the STRP and the Secretary-General, subject to resource availability, to explore ways to improve and update the GWO as a periodic flagship report of the Convention, contributing to the Global Biodiversity Outlook of the Convention on Biological Diversity (CBD). The primary purpose of the GWO</w:t>
      </w:r>
      <w:r w:rsidRPr="00390F83">
        <w:rPr>
          <w:rStyle w:val="FootnoteReference"/>
        </w:rPr>
        <w:footnoteReference w:id="11"/>
      </w:r>
      <w:r w:rsidRPr="00390F83">
        <w:t xml:space="preserve"> is to increase understanding of the value of wetlands, offering recommendations to ensure their conservation, wise use, and recognition of their benefits by all.</w:t>
      </w:r>
      <w:r w:rsidRPr="00390F83">
        <w:rPr>
          <w:rStyle w:val="FootnoteReference"/>
        </w:rPr>
        <w:footnoteReference w:id="12"/>
      </w:r>
    </w:p>
    <w:p w14:paraId="230F85F1" w14:textId="77777777" w:rsidR="001F10D2" w:rsidRPr="00390F83" w:rsidRDefault="001F10D2" w:rsidP="001F10D2">
      <w:pPr>
        <w:ind w:left="432" w:hanging="432"/>
      </w:pPr>
    </w:p>
    <w:p w14:paraId="25923702" w14:textId="77777777" w:rsidR="001F10D2" w:rsidRPr="00390F83" w:rsidRDefault="001F10D2" w:rsidP="001F10D2">
      <w:pPr>
        <w:ind w:left="432" w:hanging="432"/>
      </w:pPr>
      <w:r w:rsidRPr="00390F83">
        <w:t>4.</w:t>
      </w:r>
      <w:r w:rsidRPr="00390F83">
        <w:tab/>
        <w:t>In line with practices adopted by other Conventions and MEAs that feature similar flagship publications, it is recommended that the purpose of the GWO be broadened to fully realize the intent of Resolution XII.5. It is proposed that:</w:t>
      </w:r>
    </w:p>
    <w:p w14:paraId="75551400" w14:textId="77777777" w:rsidR="001F10D2" w:rsidRPr="00390F83" w:rsidRDefault="001F10D2" w:rsidP="001F10D2">
      <w:pPr>
        <w:ind w:left="432" w:hanging="432"/>
      </w:pPr>
    </w:p>
    <w:p w14:paraId="5BED40C1" w14:textId="77777777" w:rsidR="001F10D2" w:rsidRPr="00390F83" w:rsidRDefault="001F10D2" w:rsidP="001F10D2">
      <w:pPr>
        <w:ind w:left="432"/>
      </w:pPr>
      <w:r w:rsidRPr="00390F83">
        <w:t>“the GWO as a flagship publication of the Convention on Wetlands:</w:t>
      </w:r>
    </w:p>
    <w:p w14:paraId="37DA1696" w14:textId="77777777" w:rsidR="001F10D2" w:rsidRPr="00390F83" w:rsidRDefault="001F10D2" w:rsidP="001F10D2">
      <w:pPr>
        <w:pStyle w:val="ListParagraph"/>
        <w:numPr>
          <w:ilvl w:val="0"/>
          <w:numId w:val="26"/>
        </w:numPr>
        <w:ind w:left="810"/>
      </w:pPr>
      <w:r w:rsidRPr="00390F83">
        <w:t>Provide an evidence-based summary of the [global] status of wetlands and the drivers and pressures of adverse change in these ecosystems.</w:t>
      </w:r>
    </w:p>
    <w:p w14:paraId="44A1569A" w14:textId="77777777" w:rsidR="001F10D2" w:rsidRPr="00390F83" w:rsidRDefault="001F10D2" w:rsidP="001F10D2">
      <w:pPr>
        <w:pStyle w:val="ListParagraph"/>
        <w:numPr>
          <w:ilvl w:val="0"/>
          <w:numId w:val="26"/>
        </w:numPr>
        <w:ind w:left="810"/>
      </w:pPr>
      <w:r w:rsidRPr="00390F83">
        <w:t>Examine the different ways wetlands are being conserved and managed in various regions of the world and the challenges experienced.</w:t>
      </w:r>
    </w:p>
    <w:p w14:paraId="7C84312D" w14:textId="77777777" w:rsidR="001F10D2" w:rsidRPr="00390F83" w:rsidRDefault="001F10D2" w:rsidP="001F10D2">
      <w:pPr>
        <w:pStyle w:val="ListParagraph"/>
        <w:numPr>
          <w:ilvl w:val="0"/>
          <w:numId w:val="26"/>
        </w:numPr>
        <w:ind w:left="810"/>
      </w:pPr>
      <w:r w:rsidRPr="00390F83">
        <w:t>Periodically tracks progress on achieving various indicators outlined in the Strategic Plan.</w:t>
      </w:r>
    </w:p>
    <w:p w14:paraId="765F8660" w14:textId="77777777" w:rsidR="001F10D2" w:rsidRPr="00390F83" w:rsidRDefault="001F10D2" w:rsidP="001F10D2">
      <w:pPr>
        <w:pStyle w:val="ListParagraph"/>
        <w:numPr>
          <w:ilvl w:val="0"/>
          <w:numId w:val="26"/>
        </w:numPr>
        <w:ind w:left="810"/>
      </w:pPr>
      <w:r w:rsidRPr="00390F83">
        <w:t xml:space="preserve">Offer policymakers recommendations from the STRP for effective wetland conservation and wise use.” </w:t>
      </w:r>
    </w:p>
    <w:p w14:paraId="58134119" w14:textId="77777777" w:rsidR="00890FE5" w:rsidRPr="00390F83" w:rsidRDefault="00890FE5" w:rsidP="001F10D2">
      <w:pPr>
        <w:rPr>
          <w:b/>
        </w:rPr>
      </w:pPr>
    </w:p>
    <w:p w14:paraId="49B31AF8" w14:textId="02A6E7B2" w:rsidR="001F10D2" w:rsidRPr="00390F83" w:rsidRDefault="001F10D2" w:rsidP="00CE4218">
      <w:pPr>
        <w:keepNext/>
      </w:pPr>
      <w:r w:rsidRPr="00390F83">
        <w:rPr>
          <w:b/>
        </w:rPr>
        <w:t>Scope of the Global Wetland Outlook</w:t>
      </w:r>
      <w:r w:rsidRPr="00390F83">
        <w:t xml:space="preserve"> </w:t>
      </w:r>
    </w:p>
    <w:p w14:paraId="771E6CF0" w14:textId="77777777" w:rsidR="001F10D2" w:rsidRPr="00390F83" w:rsidRDefault="001F10D2" w:rsidP="001F10D2">
      <w:pPr>
        <w:ind w:left="432" w:hanging="432"/>
      </w:pPr>
    </w:p>
    <w:p w14:paraId="65463303" w14:textId="77777777" w:rsidR="001F10D2" w:rsidRPr="00390F83" w:rsidRDefault="001F10D2" w:rsidP="001F10D2">
      <w:pPr>
        <w:ind w:left="432" w:hanging="432"/>
      </w:pPr>
      <w:r w:rsidRPr="00390F83">
        <w:t>5.</w:t>
      </w:r>
      <w:r w:rsidRPr="00390F83">
        <w:tab/>
        <w:t xml:space="preserve">The 2018 and 2021 editions of the GWO have adopted a global scope of analysis, with the 2018 edition consisting of chapters on status and trends in wetlands, drivers of change, and response options. However, the GWO provides limited insights into the implementation status of the Convention, including the ecological character of Wetlands of International Importance and the condition of wetlands reported by Contracting Parties. The 2021 edition also highlighted the percentage of Wetlands of International Importance affected by agriculture-based practices. </w:t>
      </w:r>
    </w:p>
    <w:p w14:paraId="511FF5CC" w14:textId="77777777" w:rsidR="001F10D2" w:rsidRPr="00390F83" w:rsidRDefault="001F10D2" w:rsidP="001F10D2">
      <w:pPr>
        <w:ind w:left="720"/>
      </w:pPr>
    </w:p>
    <w:p w14:paraId="522568AD" w14:textId="30330AAF" w:rsidR="001F10D2" w:rsidRPr="00390F83" w:rsidRDefault="001F10D2" w:rsidP="001F10D2">
      <w:pPr>
        <w:ind w:left="432" w:hanging="432"/>
      </w:pPr>
      <w:r w:rsidRPr="00390F83">
        <w:t>6.</w:t>
      </w:r>
      <w:r w:rsidRPr="00390F83">
        <w:tab/>
      </w:r>
      <w:r w:rsidRPr="00390F83">
        <w:rPr>
          <w:rFonts w:eastAsia="Geneva"/>
        </w:rPr>
        <w:t>Historically</w:t>
      </w:r>
      <w:r w:rsidRPr="00390F83">
        <w:t xml:space="preserve">, there have been </w:t>
      </w:r>
      <w:r w:rsidRPr="00390F83">
        <w:rPr>
          <w:rFonts w:eastAsia="Geneva"/>
        </w:rPr>
        <w:t>efforts</w:t>
      </w:r>
      <w:r w:rsidRPr="00390F83">
        <w:t xml:space="preserve"> to provide wetlands-specific assessments derived from global </w:t>
      </w:r>
      <w:r w:rsidR="008D33B7" w:rsidRPr="00390F83">
        <w:rPr>
          <w:rFonts w:eastAsia="Geneva"/>
        </w:rPr>
        <w:t>assessments</w:t>
      </w:r>
      <w:r w:rsidR="008D33B7" w:rsidRPr="00390F83">
        <w:t>. In 1999, a review of wetland resources and priorities for wetlands inventory was published by the Convention on Wetlands</w:t>
      </w:r>
      <w:r w:rsidR="008D33B7" w:rsidRPr="00390F83">
        <w:rPr>
          <w:rStyle w:val="FootnoteReference"/>
        </w:rPr>
        <w:footnoteReference w:id="13"/>
      </w:r>
      <w:r w:rsidR="008D33B7" w:rsidRPr="00390F83">
        <w:t xml:space="preserve">. </w:t>
      </w:r>
      <w:r w:rsidRPr="00390F83">
        <w:t>The Millenium Ecosystem Assessment: Wetlands and Water Synthesis</w:t>
      </w:r>
      <w:r w:rsidRPr="00390F83">
        <w:rPr>
          <w:rStyle w:val="FootnoteReference"/>
        </w:rPr>
        <w:footnoteReference w:id="14"/>
      </w:r>
      <w:r w:rsidRPr="00390F83">
        <w:t xml:space="preserve"> was published in 2005, </w:t>
      </w:r>
      <w:r w:rsidRPr="00390F83">
        <w:rPr>
          <w:rFonts w:eastAsia="Geneva"/>
        </w:rPr>
        <w:t xml:space="preserve">focusing </w:t>
      </w:r>
      <w:r w:rsidRPr="00390F83">
        <w:t xml:space="preserve">on the future sustainability of wetlands and water </w:t>
      </w:r>
      <w:r w:rsidRPr="00390F83">
        <w:rPr>
          <w:rFonts w:eastAsia="Geneva"/>
        </w:rPr>
        <w:t>resources</w:t>
      </w:r>
      <w:r w:rsidR="00653EB7" w:rsidRPr="00390F83">
        <w:rPr>
          <w:rFonts w:eastAsia="Geneva"/>
        </w:rPr>
        <w:t>.</w:t>
      </w:r>
      <w:r w:rsidRPr="00390F83">
        <w:t xml:space="preserve"> </w:t>
      </w:r>
      <w:r w:rsidR="00A24154" w:rsidRPr="00390F83">
        <w:t>Further, i</w:t>
      </w:r>
      <w:r w:rsidR="00A24154" w:rsidRPr="00390F83">
        <w:rPr>
          <w:rFonts w:eastAsia="Geneva"/>
        </w:rPr>
        <w:t xml:space="preserve">n response to Resolution </w:t>
      </w:r>
      <w:r w:rsidR="00A24154" w:rsidRPr="00390F83">
        <w:rPr>
          <w:rFonts w:eastAsia="Geneva"/>
          <w:lang w:val="en-GB"/>
        </w:rPr>
        <w:t>VIII.34, the STRP participated in the Comprehensive Assessment of Water Management in Agriculture, as carried out by the International Water Management Institute.</w:t>
      </w:r>
      <w:r w:rsidR="00A24154" w:rsidRPr="00390F83">
        <w:rPr>
          <w:rStyle w:val="FootnoteReference"/>
          <w:rFonts w:eastAsia="Geneva"/>
          <w:lang w:val="en-GB"/>
        </w:rPr>
        <w:footnoteReference w:id="15"/>
      </w:r>
      <w:r w:rsidR="00A24154" w:rsidRPr="00390F83">
        <w:rPr>
          <w:rFonts w:eastAsia="Geneva"/>
          <w:lang w:val="en-GB"/>
        </w:rPr>
        <w:t xml:space="preserve"> </w:t>
      </w:r>
      <w:r w:rsidR="00A24154" w:rsidRPr="00390F83">
        <w:rPr>
          <w:rFonts w:eastAsia="Geneva"/>
        </w:rPr>
        <w:t>The TEEB-Wetlands and Water</w:t>
      </w:r>
      <w:r w:rsidRPr="00390F83">
        <w:rPr>
          <w:rStyle w:val="FootnoteReference"/>
        </w:rPr>
        <w:footnoteReference w:id="16"/>
      </w:r>
      <w:r w:rsidRPr="00390F83">
        <w:t xml:space="preserve"> built on the TEEB (The Economics of Ecosystems and Biodiversity) </w:t>
      </w:r>
      <w:r w:rsidRPr="00390F83">
        <w:rPr>
          <w:rFonts w:eastAsia="Geneva"/>
        </w:rPr>
        <w:t xml:space="preserve">framework to enhance </w:t>
      </w:r>
      <w:r w:rsidRPr="00390F83">
        <w:t xml:space="preserve">understanding of the ecosystem service values of water and wetlands, encouraging improved decision-making and greater business commitment to their conservation, investment and wise use. </w:t>
      </w:r>
    </w:p>
    <w:p w14:paraId="002D9F53" w14:textId="77777777" w:rsidR="001F10D2" w:rsidRPr="00390F83" w:rsidRDefault="001F10D2" w:rsidP="001F10D2">
      <w:pPr>
        <w:ind w:left="720"/>
      </w:pPr>
    </w:p>
    <w:p w14:paraId="7145EAE5" w14:textId="77777777" w:rsidR="001F10D2" w:rsidRPr="00390F83" w:rsidRDefault="001F10D2" w:rsidP="001F10D2">
      <w:pPr>
        <w:ind w:left="432" w:hanging="432"/>
      </w:pPr>
      <w:r w:rsidRPr="00390F83">
        <w:t>7.</w:t>
      </w:r>
      <w:r w:rsidRPr="00390F83">
        <w:tab/>
        <w:t>To fulfil the purpose of the GWO, it is proposed that future editions encompass:</w:t>
      </w:r>
    </w:p>
    <w:p w14:paraId="225158CB" w14:textId="77777777" w:rsidR="001F10D2" w:rsidRPr="00390F83" w:rsidRDefault="001F10D2" w:rsidP="001F10D2">
      <w:pPr>
        <w:pStyle w:val="ListParagraph"/>
        <w:numPr>
          <w:ilvl w:val="0"/>
          <w:numId w:val="27"/>
        </w:numPr>
        <w:ind w:left="810"/>
      </w:pPr>
      <w:r w:rsidRPr="00390F83">
        <w:rPr>
          <w:b/>
        </w:rPr>
        <w:t>Global assessments</w:t>
      </w:r>
      <w:r w:rsidRPr="00390F83">
        <w:t>: Evaluating the status, trends, biodiversity, ecosystem services, and human well-being connections of wetlands at a global scale. Regional assessments would provide key components of the global evaluation.</w:t>
      </w:r>
    </w:p>
    <w:p w14:paraId="25C82084" w14:textId="77777777" w:rsidR="001F10D2" w:rsidRPr="00390F83" w:rsidRDefault="001F10D2" w:rsidP="001F10D2">
      <w:pPr>
        <w:pStyle w:val="ListParagraph"/>
        <w:numPr>
          <w:ilvl w:val="0"/>
          <w:numId w:val="27"/>
        </w:numPr>
        <w:ind w:left="810"/>
      </w:pPr>
      <w:r w:rsidRPr="00390F83">
        <w:rPr>
          <w:b/>
        </w:rPr>
        <w:t>Thematic assessments</w:t>
      </w:r>
      <w:r w:rsidRPr="00390F83">
        <w:t>: Focusing on contemporary issues such as wetlands as nature-based solutions).</w:t>
      </w:r>
    </w:p>
    <w:p w14:paraId="09942759" w14:textId="697670C1" w:rsidR="001F10D2" w:rsidRPr="00390F83" w:rsidRDefault="001F10D2" w:rsidP="001F10D2">
      <w:pPr>
        <w:pStyle w:val="ListParagraph"/>
        <w:numPr>
          <w:ilvl w:val="0"/>
          <w:numId w:val="27"/>
        </w:numPr>
        <w:ind w:left="810"/>
      </w:pPr>
      <w:r w:rsidRPr="00390F83">
        <w:rPr>
          <w:b/>
        </w:rPr>
        <w:t xml:space="preserve">Methodological assessments: </w:t>
      </w:r>
      <w:r w:rsidRPr="00390F83">
        <w:t xml:space="preserve">Examining the availability and application of methods such as </w:t>
      </w:r>
      <w:r w:rsidR="00F35B28" w:rsidRPr="00390F83">
        <w:t>Earth</w:t>
      </w:r>
      <w:r w:rsidRPr="00390F83">
        <w:t xml:space="preserve"> observation for wetland monitoring.</w:t>
      </w:r>
      <w:r w:rsidRPr="00390F83">
        <w:rPr>
          <w:rStyle w:val="FootnoteReference"/>
        </w:rPr>
        <w:footnoteReference w:id="17"/>
      </w:r>
      <w:r w:rsidRPr="00390F83">
        <w:t xml:space="preserve"> </w:t>
      </w:r>
    </w:p>
    <w:p w14:paraId="13B62813" w14:textId="77777777" w:rsidR="001F10D2" w:rsidRPr="00390F83" w:rsidRDefault="001F10D2" w:rsidP="001F10D2">
      <w:pPr>
        <w:pStyle w:val="ListParagraph"/>
      </w:pPr>
    </w:p>
    <w:p w14:paraId="4E2C10DB" w14:textId="5FC25886" w:rsidR="001F10D2" w:rsidRPr="00390F83" w:rsidRDefault="001F10D2" w:rsidP="001F10D2">
      <w:pPr>
        <w:ind w:left="432" w:hanging="432"/>
      </w:pPr>
      <w:r w:rsidRPr="00390F83">
        <w:t>8.</w:t>
      </w:r>
      <w:r w:rsidRPr="00390F83">
        <w:tab/>
        <w:t>The global assessment should also track the implementation of the Convention’s Strategic Plan goals, targets and indicators, supplementing information from national reports with additional scientific evidence.</w:t>
      </w:r>
      <w:r w:rsidR="009D46C3" w:rsidRPr="00390F83">
        <w:t xml:space="preserve"> </w:t>
      </w:r>
    </w:p>
    <w:p w14:paraId="0B8F84FE" w14:textId="77777777" w:rsidR="001F10D2" w:rsidRPr="00390F83" w:rsidRDefault="001F10D2" w:rsidP="001F10D2"/>
    <w:p w14:paraId="1BEDB92D" w14:textId="77777777" w:rsidR="001F10D2" w:rsidRPr="00390F83" w:rsidRDefault="001F10D2" w:rsidP="00CE4218">
      <w:pPr>
        <w:keepNext/>
      </w:pPr>
      <w:r w:rsidRPr="00390F83">
        <w:rPr>
          <w:b/>
        </w:rPr>
        <w:t>Approaches of other Conventions</w:t>
      </w:r>
      <w:r w:rsidRPr="00390F83">
        <w:t> </w:t>
      </w:r>
      <w:r w:rsidRPr="00390F83">
        <w:rPr>
          <w:b/>
        </w:rPr>
        <w:t>and MEAs</w:t>
      </w:r>
    </w:p>
    <w:p w14:paraId="4B9C6E8C" w14:textId="30666DE6" w:rsidR="001F10D2" w:rsidRPr="00390F83" w:rsidRDefault="001F10D2" w:rsidP="001F10D2">
      <w:pPr>
        <w:ind w:left="432" w:hanging="432"/>
        <w:rPr>
          <w:rFonts w:eastAsia="Geneva"/>
        </w:rPr>
      </w:pPr>
      <w:r w:rsidRPr="00390F83">
        <w:t>9.</w:t>
      </w:r>
      <w:r w:rsidRPr="00390F83">
        <w:tab/>
      </w:r>
      <w:r w:rsidRPr="00390F83">
        <w:rPr>
          <w:rFonts w:eastAsia="Geneva"/>
        </w:rPr>
        <w:t>Various MEAs</w:t>
      </w:r>
      <w:r w:rsidR="00AB3ED7" w:rsidRPr="00390F83">
        <w:rPr>
          <w:rFonts w:eastAsia="Geneva"/>
        </w:rPr>
        <w:t xml:space="preserve"> and science-policy platforms</w:t>
      </w:r>
      <w:r w:rsidRPr="00390F83">
        <w:rPr>
          <w:rFonts w:eastAsia="Geneva"/>
        </w:rPr>
        <w:t xml:space="preserve">, such as the </w:t>
      </w:r>
      <w:r w:rsidRPr="00390F83">
        <w:rPr>
          <w:color w:val="000000"/>
        </w:rPr>
        <w:t>Intergovernmental Science-Policy Platform on Biodiversity and Ecosystem Services (IPBES)</w:t>
      </w:r>
      <w:r w:rsidRPr="00390F83">
        <w:rPr>
          <w:rStyle w:val="FootnoteReference"/>
          <w:color w:val="000000"/>
        </w:rPr>
        <w:footnoteReference w:id="18"/>
      </w:r>
      <w:r w:rsidRPr="00390F83">
        <w:rPr>
          <w:color w:val="000000"/>
        </w:rPr>
        <w:t xml:space="preserve"> </w:t>
      </w:r>
      <w:r w:rsidRPr="00390F83">
        <w:rPr>
          <w:rFonts w:eastAsia="Geneva"/>
        </w:rPr>
        <w:t xml:space="preserve">and the </w:t>
      </w:r>
      <w:r w:rsidRPr="00390F83">
        <w:rPr>
          <w:color w:val="000000"/>
        </w:rPr>
        <w:t>Intergovernmental Panel on Climate Change (IPCC),</w:t>
      </w:r>
      <w:r w:rsidRPr="00390F83">
        <w:rPr>
          <w:rStyle w:val="FootnoteReference"/>
          <w:color w:val="000000"/>
        </w:rPr>
        <w:footnoteReference w:id="19"/>
      </w:r>
      <w:r w:rsidRPr="00390F83">
        <w:rPr>
          <w:rFonts w:eastAsia="Geneva"/>
        </w:rPr>
        <w:t xml:space="preserve"> have established structured assessment processes. Appendix 1 provides an overview of the approaches adopted by other Conventions. It is proposed that the GWO adopt key elements from these approaches, including a clear assessment purpose, a detailed scoping phase, a broad team of experts, an explicit review process, and a communications strategy for the uptake of findings.</w:t>
      </w:r>
    </w:p>
    <w:p w14:paraId="4B49C634" w14:textId="77777777" w:rsidR="001F10D2" w:rsidRPr="00390F83" w:rsidRDefault="001F10D2" w:rsidP="001F10D2">
      <w:pPr>
        <w:spacing w:line="259" w:lineRule="auto"/>
        <w:rPr>
          <w:rFonts w:eastAsia="Geneva"/>
        </w:rPr>
      </w:pPr>
    </w:p>
    <w:p w14:paraId="68458E75" w14:textId="77777777" w:rsidR="001F10D2" w:rsidRPr="00390F83" w:rsidRDefault="001F10D2" w:rsidP="001F10D2">
      <w:pPr>
        <w:ind w:left="432" w:hanging="432"/>
      </w:pPr>
      <w:r w:rsidRPr="00390F83">
        <w:t>10.</w:t>
      </w:r>
      <w:r w:rsidRPr="00390F83">
        <w:tab/>
        <w:t>The review further suggests that the GWO follow an assessment process that includes:</w:t>
      </w:r>
    </w:p>
    <w:p w14:paraId="4F7708FA" w14:textId="77777777" w:rsidR="001F10D2" w:rsidRPr="00390F83" w:rsidRDefault="001F10D2" w:rsidP="001F10D2">
      <w:pPr>
        <w:pStyle w:val="ListParagraph"/>
        <w:numPr>
          <w:ilvl w:val="0"/>
          <w:numId w:val="32"/>
        </w:numPr>
        <w:ind w:left="810"/>
        <w:rPr>
          <w:rFonts w:eastAsia="Calibri"/>
        </w:rPr>
      </w:pPr>
      <w:r w:rsidRPr="00390F83">
        <w:t xml:space="preserve">A </w:t>
      </w:r>
      <w:r w:rsidRPr="00390F83">
        <w:rPr>
          <w:rFonts w:eastAsia="Calibri"/>
        </w:rPr>
        <w:t>clear assessment purpose, including evaluation of the Convention’s implementation;</w:t>
      </w:r>
    </w:p>
    <w:p w14:paraId="24A03CEF" w14:textId="77777777" w:rsidR="001F10D2" w:rsidRPr="00390F83" w:rsidRDefault="001F10D2" w:rsidP="001F10D2">
      <w:pPr>
        <w:pStyle w:val="ListParagraph"/>
        <w:numPr>
          <w:ilvl w:val="0"/>
          <w:numId w:val="32"/>
        </w:numPr>
        <w:ind w:left="810"/>
        <w:rPr>
          <w:rFonts w:eastAsia="Calibri"/>
        </w:rPr>
      </w:pPr>
      <w:r w:rsidRPr="00390F83">
        <w:rPr>
          <w:rFonts w:eastAsia="Calibri"/>
        </w:rPr>
        <w:t>A detailed scoping phase, approved by relevant decision-making bodies;</w:t>
      </w:r>
    </w:p>
    <w:p w14:paraId="324E55B2" w14:textId="77777777" w:rsidR="001F10D2" w:rsidRPr="00390F83" w:rsidRDefault="001F10D2" w:rsidP="001F10D2">
      <w:pPr>
        <w:pStyle w:val="ListParagraph"/>
        <w:numPr>
          <w:ilvl w:val="0"/>
          <w:numId w:val="32"/>
        </w:numPr>
        <w:ind w:left="810"/>
        <w:rPr>
          <w:rFonts w:eastAsia="Calibri"/>
        </w:rPr>
      </w:pPr>
      <w:r w:rsidRPr="00390F83">
        <w:rPr>
          <w:rFonts w:eastAsia="Calibri"/>
        </w:rPr>
        <w:t>A broad team of experts to undertake the assessment;</w:t>
      </w:r>
    </w:p>
    <w:p w14:paraId="023A6256" w14:textId="77777777" w:rsidR="001F10D2" w:rsidRPr="00390F83" w:rsidRDefault="001F10D2" w:rsidP="001F10D2">
      <w:pPr>
        <w:pStyle w:val="ListParagraph"/>
        <w:numPr>
          <w:ilvl w:val="0"/>
          <w:numId w:val="32"/>
        </w:numPr>
        <w:ind w:left="810"/>
        <w:rPr>
          <w:rFonts w:eastAsia="Calibri"/>
        </w:rPr>
      </w:pPr>
      <w:r w:rsidRPr="00390F83">
        <w:rPr>
          <w:rFonts w:eastAsia="Calibri"/>
        </w:rPr>
        <w:t>An explicit and transparent review process;</w:t>
      </w:r>
    </w:p>
    <w:p w14:paraId="14DB3A76" w14:textId="77777777" w:rsidR="001F10D2" w:rsidRPr="00390F83" w:rsidRDefault="001F10D2" w:rsidP="001F10D2">
      <w:pPr>
        <w:pStyle w:val="ListParagraph"/>
        <w:numPr>
          <w:ilvl w:val="0"/>
          <w:numId w:val="32"/>
        </w:numPr>
        <w:ind w:left="810"/>
        <w:rPr>
          <w:rFonts w:eastAsia="Calibri"/>
        </w:rPr>
      </w:pPr>
      <w:r w:rsidRPr="00390F83">
        <w:rPr>
          <w:rFonts w:eastAsia="Calibri"/>
        </w:rPr>
        <w:t>The development of a Summary for Policymakers in consultation with Contracting Parties;</w:t>
      </w:r>
    </w:p>
    <w:p w14:paraId="395E83B5" w14:textId="77777777" w:rsidR="001F10D2" w:rsidRPr="00390F83" w:rsidRDefault="001F10D2" w:rsidP="001F10D2">
      <w:pPr>
        <w:pStyle w:val="ListParagraph"/>
        <w:numPr>
          <w:ilvl w:val="0"/>
          <w:numId w:val="32"/>
        </w:numPr>
        <w:ind w:left="810"/>
        <w:rPr>
          <w:rFonts w:eastAsia="Geneva"/>
        </w:rPr>
      </w:pPr>
      <w:r w:rsidRPr="00390F83">
        <w:rPr>
          <w:rFonts w:eastAsia="Calibri"/>
        </w:rPr>
        <w:t>A communication</w:t>
      </w:r>
      <w:r w:rsidRPr="00390F83">
        <w:t xml:space="preserve"> strategy to support the uptake and application of the assessment’s findings.</w:t>
      </w:r>
    </w:p>
    <w:p w14:paraId="79EF8221" w14:textId="77777777" w:rsidR="001F10D2" w:rsidRPr="00390F83" w:rsidRDefault="001F10D2" w:rsidP="001F10D2"/>
    <w:p w14:paraId="746021D9" w14:textId="77777777" w:rsidR="001F10D2" w:rsidRPr="00390F83" w:rsidRDefault="001F10D2" w:rsidP="001F10D2">
      <w:pPr>
        <w:rPr>
          <w:b/>
          <w:bCs w:val="0"/>
        </w:rPr>
      </w:pPr>
      <w:r w:rsidRPr="00390F83">
        <w:rPr>
          <w:b/>
        </w:rPr>
        <w:t xml:space="preserve">Type of product and frequency </w:t>
      </w:r>
    </w:p>
    <w:p w14:paraId="26FF7765" w14:textId="77777777" w:rsidR="001F10D2" w:rsidRPr="00390F83" w:rsidRDefault="001F10D2" w:rsidP="001F10D2"/>
    <w:p w14:paraId="31943762" w14:textId="258F0810" w:rsidR="001F10D2" w:rsidRPr="00390F83" w:rsidRDefault="001F10D2" w:rsidP="001F10D2">
      <w:pPr>
        <w:ind w:left="432" w:hanging="432"/>
      </w:pPr>
      <w:r w:rsidRPr="00390F83">
        <w:t>11.</w:t>
      </w:r>
      <w:r w:rsidRPr="00390F83">
        <w:tab/>
        <w:t>The 2018 GWO was the first global assessment to provide detailed evidence of the state of the world’s wetlands</w:t>
      </w:r>
      <w:r w:rsidR="00C2272E" w:rsidRPr="00390F83">
        <w:t xml:space="preserve">. </w:t>
      </w:r>
      <w:r w:rsidRPr="00390F83">
        <w:t>The scope of the 2018 GWO was similar to that of the Millenium Ecosystem Assessment: Wetlands and Water Synthesis published in 2005. The 2021 Special Edition summarized new information on wetland trends, offering lessons for the wise use and protection of wetlands. A second special issue, focusing on the financial costs of wetland loss and degradation and the investment required for wetland restoration, is expected in 2025.</w:t>
      </w:r>
    </w:p>
    <w:p w14:paraId="1E1D6E57" w14:textId="77777777" w:rsidR="001F10D2" w:rsidRPr="00390F83" w:rsidRDefault="001F10D2" w:rsidP="001F10D2">
      <w:pPr>
        <w:ind w:left="432" w:hanging="432"/>
      </w:pPr>
    </w:p>
    <w:p w14:paraId="6A1EBADF" w14:textId="77777777" w:rsidR="001F10D2" w:rsidRPr="00390F83" w:rsidRDefault="001F10D2" w:rsidP="001F10D2">
      <w:pPr>
        <w:ind w:left="432" w:hanging="432"/>
      </w:pPr>
      <w:r w:rsidRPr="00390F83">
        <w:t>12.</w:t>
      </w:r>
      <w:r w:rsidRPr="00390F83">
        <w:tab/>
        <w:t>Future options for the GWO include:</w:t>
      </w:r>
    </w:p>
    <w:p w14:paraId="37F3F0DA" w14:textId="77777777" w:rsidR="001F10D2" w:rsidRPr="00390F83" w:rsidRDefault="001F10D2" w:rsidP="001F10D2">
      <w:pPr>
        <w:pStyle w:val="ListParagraph"/>
        <w:numPr>
          <w:ilvl w:val="0"/>
          <w:numId w:val="28"/>
        </w:numPr>
        <w:ind w:left="810"/>
      </w:pPr>
      <w:r w:rsidRPr="00390F83">
        <w:rPr>
          <w:b/>
        </w:rPr>
        <w:t>Global Assessments</w:t>
      </w:r>
      <w:r w:rsidRPr="00390F83">
        <w:t xml:space="preserve"> published every nine years, providing a comprehensive review of the status and trends in wetlands, their drivers of degradation, and response options. These assessments would align with the timeline of three Conference of the Parties (COP) meetings and the Strategic Plan cycle;</w:t>
      </w:r>
    </w:p>
    <w:p w14:paraId="246BADFE" w14:textId="77777777" w:rsidR="001F10D2" w:rsidRPr="00390F83" w:rsidRDefault="001F10D2" w:rsidP="001F10D2">
      <w:pPr>
        <w:pStyle w:val="ListParagraph"/>
        <w:numPr>
          <w:ilvl w:val="0"/>
          <w:numId w:val="28"/>
        </w:numPr>
        <w:ind w:left="810"/>
      </w:pPr>
      <w:r w:rsidRPr="00390F83">
        <w:rPr>
          <w:b/>
        </w:rPr>
        <w:t>Thematic or Methodological Assessments</w:t>
      </w:r>
      <w:r w:rsidRPr="00390F83">
        <w:t xml:space="preserve"> published every three years, focusing on contemporary issues or methodologies relevant to wetland conservation, wise use, and monitoring. These topics can be discerned from the assessments published by other Conventions and MEAs, based on a prioritized task of the STRP work plan.</w:t>
      </w:r>
    </w:p>
    <w:p w14:paraId="51FEB819" w14:textId="77777777" w:rsidR="001F10D2" w:rsidRPr="00390F83" w:rsidRDefault="001F10D2" w:rsidP="001F10D2"/>
    <w:p w14:paraId="33E97438" w14:textId="77777777" w:rsidR="001F10D2" w:rsidRPr="00390F83" w:rsidRDefault="001F10D2" w:rsidP="001F10D2">
      <w:pPr>
        <w:rPr>
          <w:b/>
          <w:bCs w:val="0"/>
        </w:rPr>
      </w:pPr>
      <w:r w:rsidRPr="00390F83">
        <w:rPr>
          <w:b/>
        </w:rPr>
        <w:t>Process</w:t>
      </w:r>
    </w:p>
    <w:p w14:paraId="1E1C59B8" w14:textId="77777777" w:rsidR="001F10D2" w:rsidRPr="00390F83" w:rsidRDefault="001F10D2" w:rsidP="001F10D2">
      <w:pPr>
        <w:rPr>
          <w:b/>
          <w:bCs w:val="0"/>
        </w:rPr>
      </w:pPr>
    </w:p>
    <w:p w14:paraId="40AAA55C" w14:textId="77777777" w:rsidR="001F10D2" w:rsidRPr="00390F83" w:rsidRDefault="001F10D2" w:rsidP="001F10D2">
      <w:pPr>
        <w:ind w:left="432" w:hanging="432"/>
      </w:pPr>
      <w:r w:rsidRPr="00390F83">
        <w:t>13.</w:t>
      </w:r>
      <w:r w:rsidRPr="00390F83">
        <w:tab/>
        <w:t>The delivery of the GWO is currently managed as a task within the STRP work plan. As a result, only STRP members and observers have contributed to drafting the report, supported by consultants working under their close guidance. While this approach offers advantages such as cost-efficiency, process control, and adherence to timelines, the GWO would benefit from a more structured assessment process. This would involve strategically assembling a diverse team of experts and incorporating capacity-building and outreach elements to enhance the report’s depth and global relevance.</w:t>
      </w:r>
    </w:p>
    <w:p w14:paraId="6D969921" w14:textId="77777777" w:rsidR="001F10D2" w:rsidRPr="00390F83" w:rsidRDefault="001F10D2" w:rsidP="001F10D2"/>
    <w:p w14:paraId="457D779B" w14:textId="77777777" w:rsidR="001F10D2" w:rsidRPr="00390F83" w:rsidRDefault="001F10D2" w:rsidP="001F10D2">
      <w:pPr>
        <w:rPr>
          <w:b/>
          <w:bCs w:val="0"/>
        </w:rPr>
      </w:pPr>
      <w:r w:rsidRPr="00390F83">
        <w:rPr>
          <w:b/>
        </w:rPr>
        <w:t>Composition of the assessment team</w:t>
      </w:r>
    </w:p>
    <w:p w14:paraId="79624F72" w14:textId="77777777" w:rsidR="001F10D2" w:rsidRPr="00390F83" w:rsidRDefault="001F10D2" w:rsidP="001F10D2">
      <w:pPr>
        <w:ind w:left="432" w:hanging="432"/>
      </w:pPr>
    </w:p>
    <w:p w14:paraId="4B8EB5F5" w14:textId="77777777" w:rsidR="001F10D2" w:rsidRPr="00390F83" w:rsidRDefault="001F10D2" w:rsidP="001F10D2">
      <w:pPr>
        <w:ind w:left="432" w:hanging="432"/>
      </w:pPr>
      <w:r w:rsidRPr="00390F83">
        <w:t>14.</w:t>
      </w:r>
      <w:r w:rsidRPr="00390F83">
        <w:tab/>
        <w:t>In previous editions, the GWO assessment teams have been composed primarily of STRP members, with two acting as Coordinating Lead Authors. While this arrangement has ensured timely delivery and process control, the assessment could benefit from a broader pool of experts. For example, processes like IPBES have included capacity-building by incorporating young and early-career researchers as research fellows. This approach would expand the GWO’s depth and offer a more diverse set of perspectives.</w:t>
      </w:r>
    </w:p>
    <w:p w14:paraId="3CE7676C" w14:textId="43A31A08" w:rsidR="001F10D2" w:rsidRPr="00390F83" w:rsidRDefault="001F10D2" w:rsidP="001F10D2">
      <w:pPr>
        <w:ind w:left="432" w:hanging="432"/>
      </w:pPr>
    </w:p>
    <w:p w14:paraId="147777E6" w14:textId="77777777" w:rsidR="001F10D2" w:rsidRPr="00390F83" w:rsidRDefault="001F10D2" w:rsidP="001F10D2">
      <w:pPr>
        <w:ind w:left="432" w:hanging="432"/>
      </w:pPr>
      <w:r w:rsidRPr="00390F83">
        <w:t>15.</w:t>
      </w:r>
      <w:r w:rsidRPr="00390F83">
        <w:tab/>
        <w:t>It is recommended that future GWO assessment teams be composed as follows:</w:t>
      </w:r>
      <w:r w:rsidRPr="00390F83">
        <w:rPr>
          <w:rStyle w:val="FootnoteReference"/>
        </w:rPr>
        <w:footnoteReference w:id="20"/>
      </w:r>
    </w:p>
    <w:p w14:paraId="463F67FA" w14:textId="77777777" w:rsidR="001F10D2" w:rsidRPr="00390F83" w:rsidRDefault="001F10D2" w:rsidP="001F10D2">
      <w:pPr>
        <w:pStyle w:val="ListParagraph"/>
        <w:numPr>
          <w:ilvl w:val="0"/>
          <w:numId w:val="33"/>
        </w:numPr>
        <w:ind w:left="810"/>
      </w:pPr>
      <w:r w:rsidRPr="00390F83">
        <w:t>Coordinating Lead Authors (CLA): Responsible for delivering the overall assessment, managing timelines, and producing the Summary for Policymakers.</w:t>
      </w:r>
    </w:p>
    <w:p w14:paraId="0984CF38" w14:textId="77777777" w:rsidR="001F10D2" w:rsidRPr="00390F83" w:rsidRDefault="001F10D2" w:rsidP="001F10D2">
      <w:pPr>
        <w:pStyle w:val="ListParagraph"/>
        <w:numPr>
          <w:ilvl w:val="0"/>
          <w:numId w:val="33"/>
        </w:numPr>
        <w:ind w:left="810"/>
      </w:pPr>
      <w:r w:rsidRPr="00390F83">
        <w:t>Lead Authors (LA): Tasked with carrying out the assessment per the established framework, selected from an open call and including STRP members.</w:t>
      </w:r>
    </w:p>
    <w:p w14:paraId="470E5250" w14:textId="77777777" w:rsidR="001F10D2" w:rsidRPr="00390F83" w:rsidRDefault="001F10D2" w:rsidP="001F10D2">
      <w:pPr>
        <w:pStyle w:val="ListParagraph"/>
        <w:numPr>
          <w:ilvl w:val="0"/>
          <w:numId w:val="33"/>
        </w:numPr>
        <w:ind w:left="810"/>
      </w:pPr>
      <w:r w:rsidRPr="00390F83">
        <w:t>Contributing Authors (CA): Experts invited to provide technical inputs or graphics on specific subjects covered in the assessment.</w:t>
      </w:r>
    </w:p>
    <w:p w14:paraId="0B789F08" w14:textId="77777777" w:rsidR="001F10D2" w:rsidRPr="00390F83" w:rsidRDefault="001F10D2" w:rsidP="001F10D2">
      <w:pPr>
        <w:pStyle w:val="ListParagraph"/>
        <w:numPr>
          <w:ilvl w:val="0"/>
          <w:numId w:val="33"/>
        </w:numPr>
        <w:ind w:left="810"/>
      </w:pPr>
      <w:r w:rsidRPr="00390F83">
        <w:t>Review Editors (RE): Ensuring that all substantive review comments are considered and that controversial issues are adequately addressed.</w:t>
      </w:r>
    </w:p>
    <w:p w14:paraId="2D79B2D3" w14:textId="77777777" w:rsidR="001F10D2" w:rsidRPr="00390F83" w:rsidRDefault="001F10D2" w:rsidP="001F10D2">
      <w:pPr>
        <w:pStyle w:val="ListParagraph"/>
        <w:numPr>
          <w:ilvl w:val="0"/>
          <w:numId w:val="33"/>
        </w:numPr>
        <w:ind w:left="810"/>
      </w:pPr>
      <w:r w:rsidRPr="00390F83">
        <w:t xml:space="preserve">Fellows: Early-career researchers or professionals assisting the Lead Authors, appointed through an open call to promote capacity-building. </w:t>
      </w:r>
    </w:p>
    <w:p w14:paraId="30CE15FB" w14:textId="77777777" w:rsidR="001F10D2" w:rsidRPr="00390F83" w:rsidRDefault="001F10D2" w:rsidP="001F10D2">
      <w:pPr>
        <w:rPr>
          <w:b/>
          <w:bCs w:val="0"/>
        </w:rPr>
      </w:pPr>
    </w:p>
    <w:p w14:paraId="6D2E030A" w14:textId="74B43AFC" w:rsidR="001F10D2" w:rsidRPr="00390F83" w:rsidRDefault="001F10D2" w:rsidP="001F10D2">
      <w:pPr>
        <w:rPr>
          <w:b/>
          <w:bCs w:val="0"/>
        </w:rPr>
      </w:pPr>
      <w:r w:rsidRPr="00390F83">
        <w:rPr>
          <w:b/>
        </w:rPr>
        <w:t>Phasing of the assessment</w:t>
      </w:r>
    </w:p>
    <w:p w14:paraId="19379411" w14:textId="77777777" w:rsidR="001F10D2" w:rsidRPr="00390F83" w:rsidRDefault="001F10D2" w:rsidP="001F10D2"/>
    <w:p w14:paraId="0438065A" w14:textId="77777777" w:rsidR="001F10D2" w:rsidRPr="00390F83" w:rsidRDefault="001F10D2" w:rsidP="001F10D2">
      <w:pPr>
        <w:ind w:left="432" w:hanging="432"/>
      </w:pPr>
      <w:r w:rsidRPr="00390F83">
        <w:t>16.</w:t>
      </w:r>
      <w:r w:rsidRPr="00390F83">
        <w:tab/>
        <w:t xml:space="preserve">Currently, the GWO assessment is launched based on a task description approved as part of the STRP work plan. The STRP develops the detailed table of contents in the first meeting, which then guides the development of the report. To enhance the development process, it is recommended to adopt a phased assessment approach, as used in other global assessments, to ensure structured steps and adequate review mechanisms. </w:t>
      </w:r>
    </w:p>
    <w:p w14:paraId="74586AAE" w14:textId="77777777" w:rsidR="001F10D2" w:rsidRPr="00390F83" w:rsidRDefault="001F10D2" w:rsidP="001F10D2"/>
    <w:p w14:paraId="7F019A0E" w14:textId="77777777" w:rsidR="001F10D2" w:rsidRPr="00390F83" w:rsidRDefault="001F10D2" w:rsidP="001F10D2">
      <w:pPr>
        <w:ind w:left="432" w:hanging="432"/>
      </w:pPr>
      <w:r w:rsidRPr="00390F83">
        <w:rPr>
          <w:rFonts w:eastAsia="Geneva"/>
        </w:rPr>
        <w:t>17.</w:t>
      </w:r>
      <w:r w:rsidRPr="00390F83">
        <w:rPr>
          <w:rFonts w:eastAsia="Geneva"/>
        </w:rPr>
        <w:tab/>
        <w:t>The proposed phased approach includes:</w:t>
      </w:r>
    </w:p>
    <w:p w14:paraId="7B800D3C" w14:textId="77777777" w:rsidR="001F10D2" w:rsidRPr="00390F83" w:rsidRDefault="001F10D2" w:rsidP="001F10D2">
      <w:pPr>
        <w:pStyle w:val="ListParagraph"/>
      </w:pPr>
    </w:p>
    <w:p w14:paraId="7A88A444" w14:textId="77777777" w:rsidR="001F10D2" w:rsidRPr="00390F83" w:rsidRDefault="001F10D2" w:rsidP="001F10D2">
      <w:pPr>
        <w:ind w:left="432"/>
      </w:pPr>
      <w:r w:rsidRPr="00390F83">
        <w:rPr>
          <w:b/>
        </w:rPr>
        <w:t>Phase 1</w:t>
      </w:r>
      <w:r w:rsidRPr="00390F83">
        <w:t>: Scoping – A scoping document will be produced for each GWO production cycle to guide the assessment process. This document should outline:</w:t>
      </w:r>
    </w:p>
    <w:p w14:paraId="6712AD14" w14:textId="77777777" w:rsidR="001F10D2" w:rsidRPr="00390F83" w:rsidRDefault="001F10D2" w:rsidP="001F10D2">
      <w:pPr>
        <w:pStyle w:val="ListParagraph"/>
        <w:numPr>
          <w:ilvl w:val="0"/>
          <w:numId w:val="34"/>
        </w:numPr>
        <w:ind w:left="990" w:hanging="540"/>
      </w:pPr>
      <w:r w:rsidRPr="00390F83">
        <w:t>Policy-relevant questions;</w:t>
      </w:r>
    </w:p>
    <w:p w14:paraId="5286B327" w14:textId="77777777" w:rsidR="001F10D2" w:rsidRPr="00390F83" w:rsidRDefault="001F10D2" w:rsidP="001F10D2">
      <w:pPr>
        <w:pStyle w:val="ListParagraph"/>
        <w:numPr>
          <w:ilvl w:val="0"/>
          <w:numId w:val="34"/>
        </w:numPr>
        <w:ind w:left="990" w:hanging="540"/>
      </w:pPr>
      <w:r w:rsidRPr="00390F83">
        <w:t>Geographic boundaries of the assessment, if applicable;</w:t>
      </w:r>
    </w:p>
    <w:p w14:paraId="1493C5AC" w14:textId="77777777" w:rsidR="001F10D2" w:rsidRPr="00390F83" w:rsidRDefault="001F10D2" w:rsidP="001F10D2">
      <w:pPr>
        <w:pStyle w:val="ListParagraph"/>
        <w:numPr>
          <w:ilvl w:val="0"/>
          <w:numId w:val="34"/>
        </w:numPr>
        <w:ind w:left="990" w:hanging="540"/>
      </w:pPr>
      <w:r w:rsidRPr="00390F83">
        <w:t>Rationale for the assessment, including its potential impact;</w:t>
      </w:r>
    </w:p>
    <w:p w14:paraId="04131D8C" w14:textId="77777777" w:rsidR="001F10D2" w:rsidRPr="00390F83" w:rsidRDefault="001F10D2" w:rsidP="001F10D2">
      <w:pPr>
        <w:pStyle w:val="ListParagraph"/>
        <w:numPr>
          <w:ilvl w:val="0"/>
          <w:numId w:val="34"/>
        </w:numPr>
        <w:ind w:left="990" w:hanging="540"/>
      </w:pPr>
      <w:r w:rsidRPr="00390F83">
        <w:t>Utility of the assessment, including the intended end-users;</w:t>
      </w:r>
    </w:p>
    <w:p w14:paraId="6C6130F7" w14:textId="77777777" w:rsidR="001F10D2" w:rsidRPr="00390F83" w:rsidRDefault="001F10D2" w:rsidP="001F10D2">
      <w:pPr>
        <w:pStyle w:val="ListParagraph"/>
        <w:numPr>
          <w:ilvl w:val="0"/>
          <w:numId w:val="34"/>
        </w:numPr>
        <w:ind w:left="990" w:hanging="540"/>
      </w:pPr>
      <w:r w:rsidRPr="00390F83">
        <w:t>Methodological framework and assessment approach;</w:t>
      </w:r>
    </w:p>
    <w:p w14:paraId="67A05AE8" w14:textId="77777777" w:rsidR="001F10D2" w:rsidRPr="00390F83" w:rsidRDefault="001F10D2" w:rsidP="001F10D2">
      <w:pPr>
        <w:pStyle w:val="ListParagraph"/>
        <w:numPr>
          <w:ilvl w:val="0"/>
          <w:numId w:val="34"/>
        </w:numPr>
        <w:ind w:left="990" w:hanging="540"/>
      </w:pPr>
      <w:r w:rsidRPr="00390F83">
        <w:t>Chapter outline, with a brief explanation of each chapter;</w:t>
      </w:r>
    </w:p>
    <w:p w14:paraId="0DCC54C5" w14:textId="77777777" w:rsidR="001F10D2" w:rsidRPr="00390F83" w:rsidRDefault="001F10D2" w:rsidP="001F10D2">
      <w:pPr>
        <w:pStyle w:val="ListParagraph"/>
        <w:numPr>
          <w:ilvl w:val="0"/>
          <w:numId w:val="34"/>
        </w:numPr>
        <w:ind w:left="990" w:hanging="540"/>
      </w:pPr>
      <w:r w:rsidRPr="00390F83">
        <w:t>Key datasets to be utilized;</w:t>
      </w:r>
    </w:p>
    <w:p w14:paraId="72DCBEEA" w14:textId="77777777" w:rsidR="001F10D2" w:rsidRPr="00390F83" w:rsidRDefault="001F10D2" w:rsidP="001F10D2">
      <w:pPr>
        <w:pStyle w:val="ListParagraph"/>
        <w:numPr>
          <w:ilvl w:val="0"/>
          <w:numId w:val="34"/>
        </w:numPr>
        <w:ind w:left="990" w:hanging="540"/>
      </w:pPr>
      <w:r w:rsidRPr="00390F83">
        <w:t>Partnerships essential for delivering the assessment;</w:t>
      </w:r>
    </w:p>
    <w:p w14:paraId="1994FD70" w14:textId="77777777" w:rsidR="001F10D2" w:rsidRPr="00390F83" w:rsidRDefault="001F10D2" w:rsidP="001F10D2">
      <w:pPr>
        <w:pStyle w:val="ListParagraph"/>
        <w:numPr>
          <w:ilvl w:val="0"/>
          <w:numId w:val="34"/>
        </w:numPr>
        <w:ind w:left="990" w:hanging="540"/>
      </w:pPr>
      <w:r w:rsidRPr="00390F83">
        <w:t>Process and timetable;</w:t>
      </w:r>
    </w:p>
    <w:p w14:paraId="03CB70DB" w14:textId="77777777" w:rsidR="001F10D2" w:rsidRPr="00390F83" w:rsidRDefault="001F10D2" w:rsidP="001F10D2">
      <w:pPr>
        <w:pStyle w:val="ListParagraph"/>
        <w:numPr>
          <w:ilvl w:val="0"/>
          <w:numId w:val="34"/>
        </w:numPr>
        <w:ind w:left="990" w:hanging="540"/>
      </w:pPr>
      <w:r w:rsidRPr="00390F83">
        <w:t>Communication and outreach strategies;</w:t>
      </w:r>
    </w:p>
    <w:p w14:paraId="2EB539C2" w14:textId="77777777" w:rsidR="001F10D2" w:rsidRPr="00390F83" w:rsidRDefault="001F10D2" w:rsidP="001F10D2">
      <w:pPr>
        <w:pStyle w:val="ListParagraph"/>
        <w:numPr>
          <w:ilvl w:val="0"/>
          <w:numId w:val="34"/>
        </w:numPr>
        <w:ind w:left="990" w:hanging="540"/>
      </w:pPr>
      <w:r w:rsidRPr="00390F83">
        <w:t>Capacity development, detailing the skills and expertise needed to complete the assessment; and</w:t>
      </w:r>
    </w:p>
    <w:p w14:paraId="797583CA" w14:textId="77777777" w:rsidR="001F10D2" w:rsidRPr="00390F83" w:rsidRDefault="001F10D2" w:rsidP="001F10D2">
      <w:pPr>
        <w:pStyle w:val="ListParagraph"/>
        <w:numPr>
          <w:ilvl w:val="0"/>
          <w:numId w:val="34"/>
        </w:numPr>
        <w:ind w:left="990" w:hanging="540"/>
      </w:pPr>
      <w:r w:rsidRPr="00390F83">
        <w:t>Budgetary requirements.</w:t>
      </w:r>
    </w:p>
    <w:p w14:paraId="2C4DE50E" w14:textId="77777777" w:rsidR="001F10D2" w:rsidRPr="00390F83" w:rsidRDefault="001F10D2" w:rsidP="001F10D2">
      <w:pPr>
        <w:ind w:left="432"/>
      </w:pPr>
    </w:p>
    <w:p w14:paraId="4359098D" w14:textId="77777777" w:rsidR="001F10D2" w:rsidRPr="00390F83" w:rsidRDefault="001F10D2" w:rsidP="001F10D2">
      <w:pPr>
        <w:ind w:left="432"/>
      </w:pPr>
      <w:r w:rsidRPr="00390F83">
        <w:t>It is recommended that the scoping document be developed by the STRP as part of its work plan for the next triennium and submitted to the Standing Committee for approval.</w:t>
      </w:r>
    </w:p>
    <w:p w14:paraId="49D03A4B" w14:textId="77777777" w:rsidR="001F10D2" w:rsidRPr="00390F83" w:rsidRDefault="001F10D2" w:rsidP="001F10D2">
      <w:pPr>
        <w:pStyle w:val="ListParagraph"/>
        <w:ind w:left="1440"/>
      </w:pPr>
      <w:r w:rsidRPr="00390F83">
        <w:t xml:space="preserve"> </w:t>
      </w:r>
    </w:p>
    <w:p w14:paraId="54592171" w14:textId="65E34D30" w:rsidR="001F10D2" w:rsidRPr="00390F83" w:rsidRDefault="001F10D2" w:rsidP="001F10D2">
      <w:pPr>
        <w:ind w:left="432"/>
      </w:pPr>
      <w:r w:rsidRPr="00390F83">
        <w:rPr>
          <w:b/>
        </w:rPr>
        <w:t>Phase 2</w:t>
      </w:r>
      <w:r w:rsidRPr="00390F83">
        <w:t>: Assessment – The assessment team, comprising the CLA, LA, and Fellows, will evaluate the state of knowledge. It is recommended that the Chair and Vice-Chair, in consultation with the Secretariat, appoint the CLA. The LA may be constituted through an open call by the Secretariat and include both STRP members and external subject-matter experts</w:t>
      </w:r>
      <w:r w:rsidR="00B84075" w:rsidRPr="00390F83">
        <w:t xml:space="preserve"> (through specific invitations)</w:t>
      </w:r>
      <w:r w:rsidRPr="00390F83">
        <w:t xml:space="preserve">. In forming the assessment team, it is important to ensure gender, regional, and disciplinary diversity. Similarly, Fellows should be selected through an open call to assist the LA in conducting the assessment and to contribute to capacity-building. </w:t>
      </w:r>
    </w:p>
    <w:p w14:paraId="7A64CFDA" w14:textId="77777777" w:rsidR="001F10D2" w:rsidRPr="00390F83" w:rsidRDefault="001F10D2" w:rsidP="001F10D2"/>
    <w:p w14:paraId="0886DC4E" w14:textId="6D2C2192" w:rsidR="001F10D2" w:rsidRPr="00390F83" w:rsidRDefault="001F10D2" w:rsidP="001F10D2">
      <w:pPr>
        <w:ind w:left="432"/>
      </w:pPr>
      <w:r w:rsidRPr="00390F83">
        <w:t xml:space="preserve">A key aspect of the assessment will be effectively communicating the confidence experts have in the findings. Established practices, such as those used by IPBES and IPCC, for conveying confidence in qualitative terms (see </w:t>
      </w:r>
      <w:r w:rsidR="00B4099D">
        <w:t>Appendix 2</w:t>
      </w:r>
      <w:r w:rsidRPr="00390F83">
        <w:t xml:space="preserve"> for an illustrative example from IPBES) could be adopted, particularly for chapter summaries and the Summary for Policymakers (SPM). It is also good practice to maintain traceability of assessment findings and confidence statements by providing references to relevant sections and evidence within the assessment. The development of the assessment should include the preparation of an SPM, which provides a high-level synthesis in non-technical language for decision-makers.</w:t>
      </w:r>
    </w:p>
    <w:p w14:paraId="38BE446C" w14:textId="77777777" w:rsidR="001F10D2" w:rsidRPr="00390F83" w:rsidRDefault="001F10D2" w:rsidP="001F10D2">
      <w:pPr>
        <w:ind w:left="432"/>
      </w:pPr>
    </w:p>
    <w:p w14:paraId="7653C3E4" w14:textId="77777777" w:rsidR="001F10D2" w:rsidRPr="00390F83" w:rsidRDefault="001F10D2" w:rsidP="001F10D2">
      <w:pPr>
        <w:ind w:left="432"/>
      </w:pPr>
      <w:r w:rsidRPr="00390F83">
        <w:t>Suggested steps for finalizing the assessment:</w:t>
      </w:r>
    </w:p>
    <w:p w14:paraId="068EE7CF" w14:textId="77777777" w:rsidR="001F10D2" w:rsidRPr="00390F83" w:rsidRDefault="001F10D2" w:rsidP="001F10D2">
      <w:pPr>
        <w:pStyle w:val="ListParagraph"/>
        <w:numPr>
          <w:ilvl w:val="0"/>
          <w:numId w:val="35"/>
        </w:numPr>
        <w:ind w:left="990" w:hanging="540"/>
      </w:pPr>
      <w:r w:rsidRPr="00390F83">
        <w:rPr>
          <w:b/>
        </w:rPr>
        <w:t>Zero-Order Draft (ZOD)</w:t>
      </w:r>
      <w:r w:rsidRPr="00390F83">
        <w:t>: The ZOD will include an annotated outline based on the scoping document. At this stage, Contributing Authors will be identified, and key datasets, analyses, and examples needed for the assessment will be determined. Timelines for the assessment will be agreed upon with the LA. This draft should be developed within the first six months of the triennium.</w:t>
      </w:r>
    </w:p>
    <w:p w14:paraId="335FABEB" w14:textId="77777777" w:rsidR="001F10D2" w:rsidRPr="00390F83" w:rsidRDefault="001F10D2" w:rsidP="001F10D2">
      <w:pPr>
        <w:pStyle w:val="ListParagraph"/>
        <w:numPr>
          <w:ilvl w:val="0"/>
          <w:numId w:val="35"/>
        </w:numPr>
        <w:ind w:left="990" w:hanging="540"/>
      </w:pPr>
      <w:r w:rsidRPr="00390F83">
        <w:rPr>
          <w:b/>
        </w:rPr>
        <w:t>First-Order Draft (FOD)</w:t>
      </w:r>
      <w:r w:rsidRPr="00390F83">
        <w:t>: The FOD will have approximately 70% of the assessment completed, along with initial drafts of chapter executive summaries. Necessary graphics will also be identified at this stage. Review Editors (RE) will propose a list of experts to review this draft. The FOD should be completed by the end of the first year of the triennium.</w:t>
      </w:r>
    </w:p>
    <w:p w14:paraId="7853274A" w14:textId="77777777" w:rsidR="001F10D2" w:rsidRPr="00390F83" w:rsidRDefault="001F10D2" w:rsidP="001F10D2">
      <w:pPr>
        <w:pStyle w:val="ListParagraph"/>
        <w:numPr>
          <w:ilvl w:val="0"/>
          <w:numId w:val="35"/>
        </w:numPr>
        <w:ind w:left="990" w:hanging="540"/>
      </w:pPr>
      <w:r w:rsidRPr="00390F83">
        <w:rPr>
          <w:b/>
        </w:rPr>
        <w:t>Second-Order Draft (SOD)</w:t>
      </w:r>
      <w:r w:rsidRPr="00390F83">
        <w:t>: The SOD will include the full text and graphics and incorporate feedback from the FOD review. The draft SPM will also be developed at this stage. The SOD should be circulated for external review by governments and observers. This draft should be completed by the end of the second year of the triennium.</w:t>
      </w:r>
    </w:p>
    <w:p w14:paraId="291748AE" w14:textId="3EF7B350" w:rsidR="001F10D2" w:rsidRPr="00390F83" w:rsidRDefault="001F10D2" w:rsidP="001F10D2">
      <w:pPr>
        <w:pStyle w:val="ListParagraph"/>
        <w:numPr>
          <w:ilvl w:val="0"/>
          <w:numId w:val="35"/>
        </w:numPr>
        <w:ind w:left="990" w:hanging="540"/>
      </w:pPr>
      <w:r w:rsidRPr="00390F83">
        <w:rPr>
          <w:b/>
        </w:rPr>
        <w:t>Third-Order Draft (TOD)</w:t>
      </w:r>
      <w:r w:rsidRPr="00390F83">
        <w:t xml:space="preserve">: The TOD will contain the final text and graphics and address comments from governments and observers on the SOD and SPM. The finalized SPM should be presented at the next Standing Committee meeting, and a decision made on whether to submit a resolution based on the assessment findings to the next Conference of the Contracting Parties (COP). The TOD should be finalized within six months of the completion of the SOD. </w:t>
      </w:r>
    </w:p>
    <w:p w14:paraId="7D4C0C5B" w14:textId="77777777" w:rsidR="001F10D2" w:rsidRPr="00390F83" w:rsidRDefault="001F10D2" w:rsidP="001F10D2">
      <w:pPr>
        <w:ind w:left="432"/>
        <w:rPr>
          <w:rFonts w:eastAsiaTheme="minorHAnsi"/>
          <w:kern w:val="2"/>
          <w14:ligatures w14:val="standardContextual"/>
        </w:rPr>
      </w:pPr>
    </w:p>
    <w:p w14:paraId="6982F465" w14:textId="77777777" w:rsidR="001F10D2" w:rsidRPr="00390F83" w:rsidRDefault="001F10D2" w:rsidP="001F10D2">
      <w:pPr>
        <w:ind w:left="432"/>
      </w:pPr>
      <w:r w:rsidRPr="00390F83">
        <w:rPr>
          <w:rFonts w:eastAsiaTheme="minorHAnsi"/>
          <w:b/>
          <w:kern w:val="2"/>
          <w14:ligatures w14:val="standardContextual"/>
        </w:rPr>
        <w:t>Phase 3</w:t>
      </w:r>
      <w:r w:rsidRPr="00390F83">
        <w:rPr>
          <w:rFonts w:eastAsiaTheme="minorHAnsi"/>
          <w:kern w:val="2"/>
          <w14:ligatures w14:val="standardContextual"/>
        </w:rPr>
        <w:t>: Review and Editing – Concurrent with the assessment, it is recommended that the GWO undergo independent review and editing. The ZOD and FOD should be reviewed internally by the STRP and observer organizations. The SOD and SPM should be sent to Contracting Parties for review and feedback, with a clear mechanism for incorporating comments. The RE will ensure that all comments are adequately addressed throughout the review process.</w:t>
      </w:r>
    </w:p>
    <w:p w14:paraId="5FE6B1EA" w14:textId="77777777" w:rsidR="001F10D2" w:rsidRPr="00390F83" w:rsidRDefault="001F10D2" w:rsidP="001F10D2">
      <w:pPr>
        <w:pStyle w:val="ListParagraph"/>
        <w:ind w:left="1440"/>
      </w:pPr>
    </w:p>
    <w:p w14:paraId="30443513" w14:textId="3013B347" w:rsidR="001F10D2" w:rsidRPr="00390F83" w:rsidRDefault="001F10D2" w:rsidP="001F10D2">
      <w:pPr>
        <w:ind w:left="432"/>
      </w:pPr>
      <w:r w:rsidRPr="00390F83">
        <w:rPr>
          <w:b/>
        </w:rPr>
        <w:t>Phase 4</w:t>
      </w:r>
      <w:r w:rsidRPr="00390F83">
        <w:t xml:space="preserve">: Communications and Outreach – In this phase, the GWO and SPM will be disseminated according to a communications </w:t>
      </w:r>
      <w:r w:rsidRPr="00355D00">
        <w:t xml:space="preserve">strategy developed in consultation with the Communication, </w:t>
      </w:r>
      <w:r w:rsidR="00355D00" w:rsidRPr="00355D00">
        <w:t xml:space="preserve">Capacity Building, </w:t>
      </w:r>
      <w:r w:rsidRPr="00355D00">
        <w:t>Education, Participation, and Awareness (CEPA) Oversight Panel. The impact of the GWO can be amplified through</w:t>
      </w:r>
      <w:r w:rsidRPr="00390F83">
        <w:t xml:space="preserve"> the following mechanisms: </w:t>
      </w:r>
    </w:p>
    <w:p w14:paraId="43B4F64A" w14:textId="77777777" w:rsidR="001F10D2" w:rsidRPr="00390F83" w:rsidRDefault="001F10D2" w:rsidP="001F10D2">
      <w:pPr>
        <w:pStyle w:val="ListParagraph"/>
        <w:numPr>
          <w:ilvl w:val="0"/>
          <w:numId w:val="32"/>
        </w:numPr>
        <w:ind w:left="810"/>
        <w:rPr>
          <w:rFonts w:eastAsia="Calibri"/>
        </w:rPr>
      </w:pPr>
      <w:r w:rsidRPr="00390F83">
        <w:rPr>
          <w:rFonts w:eastAsia="Calibri"/>
        </w:rPr>
        <w:t>Collaborating with other Conventions, MEAs, International Organization Partners (IOPs), and Regional Centers to promote the use of GWO findings;</w:t>
      </w:r>
    </w:p>
    <w:p w14:paraId="10594D4D" w14:textId="77777777" w:rsidR="001F10D2" w:rsidRPr="00390F83" w:rsidRDefault="001F10D2" w:rsidP="001F10D2">
      <w:pPr>
        <w:pStyle w:val="ListParagraph"/>
        <w:numPr>
          <w:ilvl w:val="0"/>
          <w:numId w:val="32"/>
        </w:numPr>
        <w:ind w:left="810"/>
        <w:rPr>
          <w:rFonts w:eastAsia="Calibri"/>
        </w:rPr>
      </w:pPr>
      <w:r w:rsidRPr="00390F83">
        <w:rPr>
          <w:rFonts w:eastAsia="Calibri"/>
        </w:rPr>
        <w:t>Sharing identified knowledge and data gaps with the scientific community and research funding agencies to encourage further research and monitoring;</w:t>
      </w:r>
    </w:p>
    <w:p w14:paraId="4CF74356" w14:textId="77777777" w:rsidR="001F10D2" w:rsidRPr="00390F83" w:rsidRDefault="001F10D2" w:rsidP="001F10D2">
      <w:pPr>
        <w:pStyle w:val="ListParagraph"/>
        <w:numPr>
          <w:ilvl w:val="0"/>
          <w:numId w:val="32"/>
        </w:numPr>
        <w:ind w:left="810"/>
        <w:rPr>
          <w:rFonts w:eastAsia="Calibri"/>
        </w:rPr>
      </w:pPr>
      <w:r w:rsidRPr="00390F83">
        <w:rPr>
          <w:rFonts w:eastAsia="Calibri"/>
        </w:rPr>
        <w:t>Partnering with universities and research institutions to integrate GWO findings into academic curricula and engage students in wetland research;</w:t>
      </w:r>
    </w:p>
    <w:p w14:paraId="44DF1535" w14:textId="77777777" w:rsidR="001F10D2" w:rsidRPr="00390F83" w:rsidRDefault="001F10D2" w:rsidP="001F10D2">
      <w:pPr>
        <w:pStyle w:val="ListParagraph"/>
        <w:numPr>
          <w:ilvl w:val="0"/>
          <w:numId w:val="32"/>
        </w:numPr>
        <w:ind w:left="810"/>
        <w:rPr>
          <w:rFonts w:eastAsia="Calibri"/>
        </w:rPr>
      </w:pPr>
      <w:r w:rsidRPr="00390F83">
        <w:rPr>
          <w:rFonts w:eastAsia="Calibri"/>
        </w:rPr>
        <w:t>Working with Contracting Parties through CEPA and capacity-building activities to promote regional and national wetland assessments based on GWO findings;</w:t>
      </w:r>
    </w:p>
    <w:p w14:paraId="3D3D595D" w14:textId="77777777" w:rsidR="001F10D2" w:rsidRPr="00390F83" w:rsidRDefault="001F10D2" w:rsidP="001F10D2">
      <w:pPr>
        <w:pStyle w:val="ListParagraph"/>
        <w:numPr>
          <w:ilvl w:val="0"/>
          <w:numId w:val="32"/>
        </w:numPr>
        <w:ind w:left="810"/>
        <w:rPr>
          <w:rFonts w:eastAsia="Calibri"/>
        </w:rPr>
      </w:pPr>
      <w:r w:rsidRPr="00390F83">
        <w:rPr>
          <w:rFonts w:eastAsia="Calibri"/>
        </w:rPr>
        <w:t>Producing scientific publications on key aspects of the GWO, authored by experts involved in the assessment, and making these available via the Convention’s website;</w:t>
      </w:r>
    </w:p>
    <w:p w14:paraId="759A06B8" w14:textId="77777777" w:rsidR="001F10D2" w:rsidRPr="00390F83" w:rsidRDefault="001F10D2" w:rsidP="001F10D2">
      <w:pPr>
        <w:pStyle w:val="ListParagraph"/>
        <w:numPr>
          <w:ilvl w:val="0"/>
          <w:numId w:val="32"/>
        </w:numPr>
        <w:ind w:left="810"/>
        <w:rPr>
          <w:rFonts w:eastAsia="Calibri"/>
        </w:rPr>
      </w:pPr>
      <w:r w:rsidRPr="00390F83">
        <w:rPr>
          <w:rFonts w:eastAsia="Calibri"/>
        </w:rPr>
        <w:t>Highlighting successful wetland conservation projects and initiatives as case studies to demonstrate the practical application of GWO recommendations;</w:t>
      </w:r>
    </w:p>
    <w:p w14:paraId="3100BB0E" w14:textId="77777777" w:rsidR="001F10D2" w:rsidRPr="00390F83" w:rsidRDefault="001F10D2" w:rsidP="001F10D2">
      <w:pPr>
        <w:pStyle w:val="ListParagraph"/>
        <w:numPr>
          <w:ilvl w:val="0"/>
          <w:numId w:val="32"/>
        </w:numPr>
        <w:ind w:left="810"/>
        <w:rPr>
          <w:rFonts w:eastAsia="Calibri"/>
        </w:rPr>
      </w:pPr>
      <w:r w:rsidRPr="00390F83">
        <w:rPr>
          <w:rFonts w:eastAsia="Calibri"/>
        </w:rPr>
        <w:t>Organizing interactive webinars and workshops to disseminate the GWO findings and foster dialogue among policymakers, scientists, and practitioners;</w:t>
      </w:r>
    </w:p>
    <w:p w14:paraId="0414C575" w14:textId="77777777" w:rsidR="001F10D2" w:rsidRPr="00390F83" w:rsidRDefault="001F10D2" w:rsidP="001F10D2">
      <w:pPr>
        <w:pStyle w:val="ListParagraph"/>
        <w:numPr>
          <w:ilvl w:val="0"/>
          <w:numId w:val="32"/>
        </w:numPr>
        <w:ind w:left="810"/>
        <w:rPr>
          <w:rFonts w:eastAsia="Calibri"/>
        </w:rPr>
      </w:pPr>
      <w:r w:rsidRPr="00390F83">
        <w:rPr>
          <w:rFonts w:eastAsia="Calibri"/>
        </w:rPr>
        <w:t>Using social media campaigns to raise awareness of the GWO findings, engaging a wider audience and promoting wetland conservation; and</w:t>
      </w:r>
    </w:p>
    <w:p w14:paraId="2BE7C3EA" w14:textId="77777777" w:rsidR="001F10D2" w:rsidRPr="00390F83" w:rsidRDefault="001F10D2" w:rsidP="001F10D2">
      <w:pPr>
        <w:pStyle w:val="ListParagraph"/>
        <w:numPr>
          <w:ilvl w:val="0"/>
          <w:numId w:val="32"/>
        </w:numPr>
        <w:ind w:left="810"/>
        <w:rPr>
          <w:rFonts w:eastAsia="Calibri"/>
        </w:rPr>
      </w:pPr>
      <w:r w:rsidRPr="00390F83">
        <w:rPr>
          <w:rFonts w:eastAsia="Calibri"/>
        </w:rPr>
        <w:t>Ensuring that the GWO report and summaries are available in multiple languages to increase accessibility and reach.</w:t>
      </w:r>
    </w:p>
    <w:p w14:paraId="7553BA80" w14:textId="77777777" w:rsidR="001F10D2" w:rsidRPr="00390F83" w:rsidRDefault="001F10D2" w:rsidP="001F10D2"/>
    <w:p w14:paraId="2826C02E" w14:textId="77777777" w:rsidR="001F10D2" w:rsidRPr="00390F83" w:rsidRDefault="001F10D2" w:rsidP="001F10D2">
      <w:pPr>
        <w:rPr>
          <w:b/>
          <w:bCs w:val="0"/>
        </w:rPr>
      </w:pPr>
      <w:r w:rsidRPr="00390F83">
        <w:rPr>
          <w:b/>
        </w:rPr>
        <w:t xml:space="preserve">Summary of Policy Makers </w:t>
      </w:r>
    </w:p>
    <w:p w14:paraId="71A76BF7" w14:textId="77777777" w:rsidR="001F10D2" w:rsidRPr="00390F83" w:rsidRDefault="001F10D2" w:rsidP="001F10D2"/>
    <w:p w14:paraId="3EE5D8F8" w14:textId="4952B414" w:rsidR="001F10D2" w:rsidRPr="00390F83" w:rsidRDefault="001F10D2" w:rsidP="001F10D2">
      <w:pPr>
        <w:ind w:left="432" w:hanging="432"/>
      </w:pPr>
      <w:r w:rsidRPr="00390F83">
        <w:t>18.</w:t>
      </w:r>
      <w:r w:rsidRPr="00390F83">
        <w:tab/>
        <w:t>It is recommended that each GWO include a Summary for Policymakers (SPM) that distills the key insights and recommendations of the report into clear, actionable messages for decision-makers. The Coordinating Lead Authors would draft the SPM, which would then be presented to the Standing Committee</w:t>
      </w:r>
      <w:r w:rsidR="00466195" w:rsidRPr="00390F83">
        <w:t xml:space="preserve"> for approval</w:t>
      </w:r>
      <w:r w:rsidRPr="00390F83">
        <w:t>. If necessary, a resolution based on the GWO’s findings could be presented at the Conference of the Parties.</w:t>
      </w:r>
    </w:p>
    <w:p w14:paraId="12C16DD9" w14:textId="77777777" w:rsidR="001F10D2" w:rsidRPr="00390F83" w:rsidRDefault="001F10D2" w:rsidP="001F10D2">
      <w:pPr>
        <w:ind w:left="432" w:hanging="432"/>
      </w:pPr>
    </w:p>
    <w:p w14:paraId="219FE9D0" w14:textId="77777777" w:rsidR="001F10D2" w:rsidRPr="00390F83" w:rsidRDefault="001F10D2" w:rsidP="001F10D2">
      <w:r w:rsidRPr="00390F83">
        <w:rPr>
          <w:b/>
        </w:rPr>
        <w:t>Proposed topics for future GWOs</w:t>
      </w:r>
      <w:r w:rsidRPr="00390F83">
        <w:t> </w:t>
      </w:r>
    </w:p>
    <w:p w14:paraId="0ED98B16" w14:textId="77777777" w:rsidR="001F10D2" w:rsidRPr="00390F83" w:rsidRDefault="001F10D2" w:rsidP="001F10D2"/>
    <w:p w14:paraId="4AB97926" w14:textId="6E137644" w:rsidR="001F10D2" w:rsidRPr="00390F83" w:rsidRDefault="001F10D2" w:rsidP="001F10D2">
      <w:pPr>
        <w:ind w:left="432" w:hanging="432"/>
      </w:pPr>
      <w:r w:rsidRPr="00390F83">
        <w:t>20.</w:t>
      </w:r>
      <w:r w:rsidRPr="00390F83">
        <w:tab/>
        <w:t>The next issue of the GWO is recommended to be a Global Assessment similar to the 2018 Assessment. The assessment should comprehensively review the status and trends in wetland conditions, the direct and indirect drivers of degradation, and response options. It should be built on regional assessments. For methodological consistency, the framework used in the 2018 assessment may also be used as a basis for this assessment</w:t>
      </w:r>
      <w:r w:rsidR="004D4A55" w:rsidRPr="00390F83">
        <w:t xml:space="preserve"> (including relevant </w:t>
      </w:r>
      <w:r w:rsidR="00EA6C52" w:rsidRPr="00390F83">
        <w:t xml:space="preserve">future </w:t>
      </w:r>
      <w:r w:rsidR="004D4A55" w:rsidRPr="00390F83">
        <w:t xml:space="preserve">updates, such as </w:t>
      </w:r>
      <w:r w:rsidR="00EA6C52" w:rsidRPr="00390F83">
        <w:t>revisions to the Wetlands Trend Index and Ecological Character Status Index)</w:t>
      </w:r>
      <w:r w:rsidRPr="00390F83">
        <w:t>. Additionally, the assessment should include an evaluation of the Fourth Strategic Plan 2016-2024 and establi</w:t>
      </w:r>
      <w:r w:rsidRPr="00390F83">
        <w:rPr>
          <w:rFonts w:eastAsia="Geneva"/>
        </w:rPr>
        <w:t xml:space="preserve">sh </w:t>
      </w:r>
      <w:r w:rsidRPr="00390F83">
        <w:t>baselines for targets set in the forthcoming Fifth Strategic Plan.</w:t>
      </w:r>
      <w:r w:rsidRPr="00390F83">
        <w:rPr>
          <w:rStyle w:val="FootnoteReference"/>
        </w:rPr>
        <w:footnoteReference w:id="21"/>
      </w:r>
      <w:r w:rsidRPr="00390F83">
        <w:t xml:space="preserve"> </w:t>
      </w:r>
    </w:p>
    <w:p w14:paraId="48697C73" w14:textId="77777777" w:rsidR="001F10D2" w:rsidRPr="00390F83" w:rsidRDefault="001F10D2" w:rsidP="001F10D2">
      <w:pPr>
        <w:ind w:left="720"/>
      </w:pPr>
    </w:p>
    <w:p w14:paraId="11D812DC" w14:textId="77777777" w:rsidR="001F10D2" w:rsidRPr="00390F83" w:rsidRDefault="001F10D2" w:rsidP="001F10D2">
      <w:pPr>
        <w:ind w:left="432" w:hanging="432"/>
      </w:pPr>
      <w:r w:rsidRPr="00390F83">
        <w:t>21.</w:t>
      </w:r>
      <w:r w:rsidRPr="00390F83">
        <w:tab/>
        <w:t>Future GWO assessments should focus on comprehensive global reviews, similar to the 2018 edition, evaluating the status and trends of wetland conditions, drivers of degradation, and response options. This may include:</w:t>
      </w:r>
    </w:p>
    <w:p w14:paraId="2958358D" w14:textId="77777777" w:rsidR="001F10D2" w:rsidRPr="00390F83" w:rsidRDefault="001F10D2" w:rsidP="001F10D2">
      <w:pPr>
        <w:pStyle w:val="ListParagraph"/>
        <w:numPr>
          <w:ilvl w:val="0"/>
          <w:numId w:val="29"/>
        </w:numPr>
        <w:ind w:left="810"/>
      </w:pPr>
      <w:r w:rsidRPr="00390F83">
        <w:t>Wetlands as Nature-based Solutions.</w:t>
      </w:r>
    </w:p>
    <w:p w14:paraId="380B1B78" w14:textId="77777777" w:rsidR="001F10D2" w:rsidRPr="00390F83" w:rsidRDefault="001F10D2" w:rsidP="001F10D2">
      <w:pPr>
        <w:pStyle w:val="ListParagraph"/>
        <w:numPr>
          <w:ilvl w:val="0"/>
          <w:numId w:val="29"/>
        </w:numPr>
        <w:ind w:left="810"/>
      </w:pPr>
      <w:r w:rsidRPr="00390F83">
        <w:t>Transformational change for Wetlands wise use.</w:t>
      </w:r>
    </w:p>
    <w:p w14:paraId="1D299BBE" w14:textId="77777777" w:rsidR="001F10D2" w:rsidRPr="00390F83" w:rsidRDefault="001F10D2" w:rsidP="001F10D2">
      <w:pPr>
        <w:pStyle w:val="ListParagraph"/>
        <w:numPr>
          <w:ilvl w:val="0"/>
          <w:numId w:val="29"/>
        </w:numPr>
        <w:ind w:left="810"/>
      </w:pPr>
      <w:r w:rsidRPr="00390F83">
        <w:t>Wetlands and Culture.</w:t>
      </w:r>
    </w:p>
    <w:p w14:paraId="604896FF" w14:textId="77777777" w:rsidR="001F10D2" w:rsidRPr="00390F83" w:rsidRDefault="001F10D2" w:rsidP="001F10D2">
      <w:pPr>
        <w:pStyle w:val="ListParagraph"/>
        <w:numPr>
          <w:ilvl w:val="0"/>
          <w:numId w:val="29"/>
        </w:numPr>
        <w:ind w:left="810"/>
      </w:pPr>
      <w:r w:rsidRPr="00390F83">
        <w:t xml:space="preserve">Climate Change and </w:t>
      </w:r>
      <w:r w:rsidRPr="00527D53">
        <w:t>Wetland Resilience</w:t>
      </w:r>
      <w:r w:rsidRPr="00390F83">
        <w:t>.</w:t>
      </w:r>
    </w:p>
    <w:p w14:paraId="5BD59FB5" w14:textId="77777777" w:rsidR="001F10D2" w:rsidRPr="00390F83" w:rsidRDefault="001F10D2" w:rsidP="001F10D2">
      <w:pPr>
        <w:pStyle w:val="ListParagraph"/>
        <w:numPr>
          <w:ilvl w:val="0"/>
          <w:numId w:val="29"/>
        </w:numPr>
        <w:ind w:left="810"/>
      </w:pPr>
      <w:r w:rsidRPr="00390F83">
        <w:t>Invasive Species and their effects on Wetlands.</w:t>
      </w:r>
    </w:p>
    <w:p w14:paraId="6428D7AF" w14:textId="75724A38" w:rsidR="00BA3B2D" w:rsidRPr="00390F83" w:rsidRDefault="00BA3B2D" w:rsidP="00BA3B2D">
      <w:pPr>
        <w:pStyle w:val="ListParagraph"/>
        <w:numPr>
          <w:ilvl w:val="0"/>
          <w:numId w:val="29"/>
        </w:numPr>
        <w:ind w:left="810"/>
      </w:pPr>
      <w:r w:rsidRPr="00390F83">
        <w:t>Wetlands and Disease (within the One-Health framework).</w:t>
      </w:r>
    </w:p>
    <w:p w14:paraId="5CFA9F84" w14:textId="77777777" w:rsidR="001F10D2" w:rsidRPr="00390F83" w:rsidRDefault="001F10D2" w:rsidP="001F10D2"/>
    <w:p w14:paraId="15C6629F" w14:textId="3FA6DE94" w:rsidR="001F10D2" w:rsidRPr="00390F83" w:rsidRDefault="001F10D2" w:rsidP="001F10D2">
      <w:r w:rsidRPr="00390F83">
        <w:rPr>
          <w:b/>
        </w:rPr>
        <w:t>Collaboration with other MEAs</w:t>
      </w:r>
      <w:r w:rsidRPr="00390F83">
        <w:t> </w:t>
      </w:r>
    </w:p>
    <w:p w14:paraId="76C2352A" w14:textId="77777777" w:rsidR="001F10D2" w:rsidRPr="00390F83" w:rsidRDefault="001F10D2" w:rsidP="001F10D2"/>
    <w:p w14:paraId="137E906F" w14:textId="77777777" w:rsidR="001F10D2" w:rsidRPr="00390F83" w:rsidRDefault="001F10D2" w:rsidP="001F10D2">
      <w:pPr>
        <w:ind w:left="432" w:hanging="432"/>
      </w:pPr>
      <w:r w:rsidRPr="00390F83">
        <w:t>22.</w:t>
      </w:r>
      <w:r w:rsidRPr="00390F83">
        <w:tab/>
        <w:t xml:space="preserve">It is recommended that the Convention on Wetlands Secretariat collaborate with other MEAs and international platforms to produce assessments similar to the GWO. The collaboration could aim to improve efficiency in data and knowledge generation collection, share expertise, including technical support-related processes, and share best practices in assessment production and communication. </w:t>
      </w:r>
    </w:p>
    <w:p w14:paraId="7977B5AE" w14:textId="77777777" w:rsidR="001F10D2" w:rsidRPr="00390F83" w:rsidRDefault="001F10D2" w:rsidP="001F10D2">
      <w:pPr>
        <w:rPr>
          <w:b/>
          <w:bCs w:val="0"/>
        </w:rPr>
      </w:pPr>
    </w:p>
    <w:p w14:paraId="0081DFBB" w14:textId="77777777" w:rsidR="001F10D2" w:rsidRPr="00390F83" w:rsidRDefault="001F10D2" w:rsidP="001F10D2">
      <w:r w:rsidRPr="00390F83">
        <w:rPr>
          <w:b/>
        </w:rPr>
        <w:t>STRP 2026-2028 work plan</w:t>
      </w:r>
    </w:p>
    <w:p w14:paraId="1170C4CE" w14:textId="77777777" w:rsidR="001F10D2" w:rsidRPr="00390F83" w:rsidRDefault="001F10D2" w:rsidP="001F10D2"/>
    <w:p w14:paraId="2E3ACB56" w14:textId="77777777" w:rsidR="001F10D2" w:rsidRPr="00390F83" w:rsidRDefault="001F10D2" w:rsidP="001F10D2">
      <w:pPr>
        <w:ind w:left="432" w:hanging="432"/>
      </w:pPr>
      <w:r w:rsidRPr="00390F83">
        <w:t>23.</w:t>
      </w:r>
      <w:r w:rsidRPr="00390F83">
        <w:tab/>
        <w:t>The proposed future priorities for the STRP have been outlined in the draft resolution submitted to the Standing Committee. These include the publication of a Global Wetland Outlook (2028), which will deliver a global assessment following the proposed scope and timeline.</w:t>
      </w:r>
    </w:p>
    <w:p w14:paraId="20975F93" w14:textId="77777777" w:rsidR="001F10D2" w:rsidRPr="00390F83" w:rsidRDefault="001F10D2" w:rsidP="001F10D2"/>
    <w:p w14:paraId="6A3A4482" w14:textId="77777777" w:rsidR="001F10D2" w:rsidRPr="00390F83" w:rsidRDefault="001F10D2" w:rsidP="001F10D2">
      <w:r w:rsidRPr="00390F83">
        <w:rPr>
          <w:b/>
        </w:rPr>
        <w:t>Data collation and technical support</w:t>
      </w:r>
    </w:p>
    <w:p w14:paraId="586316F7" w14:textId="77777777" w:rsidR="001F10D2" w:rsidRPr="00390F83" w:rsidRDefault="001F10D2" w:rsidP="001F10D2"/>
    <w:p w14:paraId="6C74DAE5" w14:textId="77777777" w:rsidR="001F10D2" w:rsidRPr="00390F83" w:rsidRDefault="001F10D2" w:rsidP="001F10D2">
      <w:pPr>
        <w:ind w:left="432" w:hanging="432"/>
      </w:pPr>
      <w:r w:rsidRPr="00390F83">
        <w:t>24.</w:t>
      </w:r>
      <w:r w:rsidRPr="00390F83">
        <w:tab/>
        <w:t>The GWO should be produced following a comprehensive data collection, collation, and synthesis system to ensure the robustness of the assessment. It is recommended that the Secretariat provide a dedicated Technical Support Unit (TSU) to provide technical support to the GWO. The purpose of the technical support unit would be to:</w:t>
      </w:r>
    </w:p>
    <w:p w14:paraId="59FE62E0" w14:textId="77777777" w:rsidR="001F10D2" w:rsidRPr="00390F83" w:rsidRDefault="001F10D2" w:rsidP="001F10D2">
      <w:pPr>
        <w:pStyle w:val="ListParagraph"/>
        <w:numPr>
          <w:ilvl w:val="0"/>
          <w:numId w:val="30"/>
        </w:numPr>
        <w:ind w:left="810"/>
      </w:pPr>
      <w:r w:rsidRPr="00390F83">
        <w:t>Facilitate the work: The TSU will provide logistical support, such as organizing workshops and consultations.</w:t>
      </w:r>
    </w:p>
    <w:p w14:paraId="0F240392" w14:textId="77777777" w:rsidR="001F10D2" w:rsidRPr="00390F83" w:rsidRDefault="001F10D2" w:rsidP="001F10D2">
      <w:pPr>
        <w:pStyle w:val="ListParagraph"/>
        <w:numPr>
          <w:ilvl w:val="0"/>
          <w:numId w:val="30"/>
        </w:numPr>
        <w:ind w:left="810"/>
      </w:pPr>
      <w:r w:rsidRPr="00390F83">
        <w:t>Provide scientific input: The TSU will add scientific input to the assessment work as needed.</w:t>
      </w:r>
    </w:p>
    <w:p w14:paraId="73A9A37F" w14:textId="77777777" w:rsidR="001F10D2" w:rsidRPr="00390F83" w:rsidRDefault="001F10D2" w:rsidP="001F10D2">
      <w:pPr>
        <w:pStyle w:val="ListParagraph"/>
        <w:numPr>
          <w:ilvl w:val="0"/>
          <w:numId w:val="30"/>
        </w:numPr>
        <w:ind w:left="810"/>
      </w:pPr>
      <w:r w:rsidRPr="00390F83">
        <w:t>Ensure transparency: The TSU will ensure that the work is implemented transparently and inclusively and that it follows any rules and procedures laid down by the Standing Committee.</w:t>
      </w:r>
    </w:p>
    <w:p w14:paraId="4DF22676" w14:textId="77777777" w:rsidR="001F10D2" w:rsidRPr="00390F83" w:rsidRDefault="001F10D2" w:rsidP="001F10D2">
      <w:pPr>
        <w:pStyle w:val="ListParagraph"/>
        <w:numPr>
          <w:ilvl w:val="0"/>
          <w:numId w:val="30"/>
        </w:numPr>
        <w:ind w:left="810"/>
      </w:pPr>
      <w:r w:rsidRPr="00390F83">
        <w:t>Provide feedback: Establish feedback mechanisms to gather insights and recommendations from stakeholders on the effectiveness of the data collection process and the assessment outcomes.</w:t>
      </w:r>
    </w:p>
    <w:p w14:paraId="5DBA6949" w14:textId="77777777" w:rsidR="001F10D2" w:rsidRPr="00390F83" w:rsidRDefault="001F10D2" w:rsidP="001F10D2"/>
    <w:p w14:paraId="53660F5A" w14:textId="53413D58" w:rsidR="001F10D2" w:rsidRPr="00390F83" w:rsidRDefault="001F10D2" w:rsidP="001F10D2">
      <w:pPr>
        <w:ind w:left="432" w:hanging="432"/>
      </w:pPr>
      <w:r w:rsidRPr="00390F83">
        <w:t>25.</w:t>
      </w:r>
      <w:r w:rsidRPr="00390F83">
        <w:tab/>
        <w:t>Hosting the TSU with an external organization may be considered, but in the interim, it is recommended that the Secretariat appoint a Programme Officer dedicated to supporting the GWO process. This officer would be responsible for logistical support, data analysis, maintaining the assessment’s database, and assisting with the final publication and outreach.</w:t>
      </w:r>
    </w:p>
    <w:p w14:paraId="0D67D6E0" w14:textId="77777777" w:rsidR="001F10D2" w:rsidRPr="00390F83" w:rsidRDefault="001F10D2" w:rsidP="001F10D2"/>
    <w:p w14:paraId="63AB076B" w14:textId="77777777" w:rsidR="001F10D2" w:rsidRPr="00390F83" w:rsidRDefault="001F10D2" w:rsidP="001F10D2">
      <w:r w:rsidRPr="00390F83">
        <w:rPr>
          <w:b/>
        </w:rPr>
        <w:t>Resources</w:t>
      </w:r>
    </w:p>
    <w:p w14:paraId="33488EFB" w14:textId="77777777" w:rsidR="001F10D2" w:rsidRPr="00390F83" w:rsidRDefault="001F10D2" w:rsidP="001F10D2"/>
    <w:p w14:paraId="01A1F75F" w14:textId="77777777" w:rsidR="001F10D2" w:rsidRPr="00390F83" w:rsidRDefault="001F10D2" w:rsidP="001F10D2">
      <w:pPr>
        <w:ind w:left="432" w:hanging="432"/>
      </w:pPr>
      <w:r w:rsidRPr="00390F83">
        <w:t>26.</w:t>
      </w:r>
      <w:r w:rsidRPr="00390F83">
        <w:tab/>
        <w:t>Adequate resources should be allocated to ensure the successful delivery of the GWO in the next triennium. This includes funding for the Programme Officer, at least one in-person author meeting, and the costs associated with the production and publication of the GWO and SPM.</w:t>
      </w:r>
    </w:p>
    <w:p w14:paraId="3D9BB63A" w14:textId="77777777" w:rsidR="001F10D2" w:rsidRPr="00390F83" w:rsidRDefault="001F10D2" w:rsidP="001F10D2">
      <w:pPr>
        <w:ind w:left="432" w:hanging="432"/>
      </w:pPr>
    </w:p>
    <w:p w14:paraId="19AAAA30" w14:textId="77777777" w:rsidR="001F10D2" w:rsidRPr="00390F83" w:rsidRDefault="001F10D2" w:rsidP="001F10D2">
      <w:pPr>
        <w:ind w:left="432" w:hanging="432"/>
      </w:pPr>
      <w:r w:rsidRPr="00390F83">
        <w:t>27.</w:t>
      </w:r>
      <w:r w:rsidRPr="00390F83">
        <w:tab/>
        <w:t>Additional resources should also be allocated to support the communications and outreach efforts associated with the GWO. These activities are critical to ensuring the GWO’s findings are effectively communicated to a wide audience and have the desired impact on wetland conservation efforts globally.</w:t>
      </w:r>
    </w:p>
    <w:p w14:paraId="434FAD95" w14:textId="77777777" w:rsidR="001F10D2" w:rsidRPr="00390F83" w:rsidRDefault="001F10D2" w:rsidP="001F10D2">
      <w:pPr>
        <w:ind w:left="432" w:hanging="432"/>
      </w:pPr>
    </w:p>
    <w:p w14:paraId="739F5A53" w14:textId="7DFDA29C" w:rsidR="00CC3F64" w:rsidRPr="00390F83" w:rsidRDefault="001F10D2" w:rsidP="00CC3F64">
      <w:pPr>
        <w:ind w:left="432" w:hanging="432"/>
      </w:pPr>
      <w:r w:rsidRPr="00390F83">
        <w:t>28.</w:t>
      </w:r>
      <w:r w:rsidRPr="00390F83">
        <w:tab/>
        <w:t>The budget allocated for the GWO in the next triennium should cover all essential costs, including personnel, author meetings, publication, and outreach activities. Sufficient funding will be critical to ensure the successful delivery and impact of the GWO.</w:t>
      </w:r>
    </w:p>
    <w:p w14:paraId="4314A2DB" w14:textId="77777777" w:rsidR="00CE4218" w:rsidRDefault="00CE4218" w:rsidP="00CC3F64">
      <w:pPr>
        <w:sectPr w:rsidR="00CE4218" w:rsidSect="00CE4218">
          <w:pgSz w:w="11906" w:h="16838" w:code="9"/>
          <w:pgMar w:top="1440" w:right="1440" w:bottom="1440" w:left="1440" w:header="720" w:footer="720" w:gutter="0"/>
          <w:cols w:space="720"/>
          <w:docGrid w:linePitch="360"/>
        </w:sectPr>
      </w:pPr>
    </w:p>
    <w:p w14:paraId="4D28F326" w14:textId="77777777" w:rsidR="00CC3F64" w:rsidRPr="00390F83" w:rsidRDefault="00CC3F64" w:rsidP="00CC3F64">
      <w:pPr>
        <w:rPr>
          <w:b/>
          <w:bCs w:val="0"/>
        </w:rPr>
      </w:pPr>
      <w:r w:rsidRPr="00390F83">
        <w:rPr>
          <w:b/>
        </w:rPr>
        <w:t>Appendix 1</w:t>
      </w:r>
    </w:p>
    <w:p w14:paraId="3704CEAC" w14:textId="77777777" w:rsidR="00CC3F64" w:rsidRPr="00390F83" w:rsidRDefault="00CC3F64" w:rsidP="00CC3F64">
      <w:pPr>
        <w:rPr>
          <w:b/>
          <w:bCs w:val="0"/>
        </w:rPr>
      </w:pPr>
      <w:r w:rsidRPr="00390F83">
        <w:rPr>
          <w:b/>
        </w:rPr>
        <w:t>An overview of assessment products published by different Conventions and MEAs</w:t>
      </w:r>
    </w:p>
    <w:p w14:paraId="4E797C78" w14:textId="77777777" w:rsidR="00CC3F64" w:rsidRPr="00390F83" w:rsidRDefault="00CC3F64" w:rsidP="00CC3F64"/>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2122"/>
        <w:gridCol w:w="2126"/>
        <w:gridCol w:w="3354"/>
        <w:gridCol w:w="3355"/>
        <w:gridCol w:w="3355"/>
      </w:tblGrid>
      <w:tr w:rsidR="00CC3F64" w:rsidRPr="00390F83" w14:paraId="0F979305" w14:textId="77777777" w:rsidTr="00F141E1">
        <w:trPr>
          <w:cantSplit/>
          <w:tblHeader/>
        </w:trPr>
        <w:tc>
          <w:tcPr>
            <w:tcW w:w="2122" w:type="dxa"/>
            <w:shd w:val="clear" w:color="auto" w:fill="E8E8E8" w:themeFill="background2"/>
            <w:hideMark/>
          </w:tcPr>
          <w:p w14:paraId="25A8D539" w14:textId="77777777" w:rsidR="00CC3F64" w:rsidRPr="00390F83" w:rsidRDefault="00CC3F64" w:rsidP="00AE60E7">
            <w:pPr>
              <w:spacing w:line="259" w:lineRule="auto"/>
              <w:rPr>
                <w:b/>
                <w:bCs w:val="0"/>
                <w:color w:val="000000" w:themeColor="text1"/>
                <w:sz w:val="20"/>
                <w:szCs w:val="20"/>
              </w:rPr>
            </w:pPr>
            <w:r w:rsidRPr="00390F83">
              <w:rPr>
                <w:b/>
                <w:color w:val="000000" w:themeColor="text1"/>
                <w:sz w:val="20"/>
                <w:szCs w:val="20"/>
              </w:rPr>
              <w:t>Name of Convention / MEA</w:t>
            </w:r>
          </w:p>
        </w:tc>
        <w:tc>
          <w:tcPr>
            <w:tcW w:w="2126" w:type="dxa"/>
            <w:shd w:val="clear" w:color="auto" w:fill="E8E8E8" w:themeFill="background2"/>
            <w:hideMark/>
          </w:tcPr>
          <w:p w14:paraId="5908A613" w14:textId="77777777" w:rsidR="00CC3F64" w:rsidRPr="00390F83" w:rsidRDefault="00CC3F64" w:rsidP="00AE60E7">
            <w:pPr>
              <w:rPr>
                <w:b/>
                <w:bCs w:val="0"/>
                <w:color w:val="000000"/>
                <w:sz w:val="20"/>
                <w:szCs w:val="20"/>
              </w:rPr>
            </w:pPr>
            <w:r w:rsidRPr="00390F83">
              <w:rPr>
                <w:b/>
                <w:color w:val="000000"/>
                <w:sz w:val="20"/>
                <w:szCs w:val="20"/>
              </w:rPr>
              <w:t>Name of assessment report</w:t>
            </w:r>
          </w:p>
        </w:tc>
        <w:tc>
          <w:tcPr>
            <w:tcW w:w="3354" w:type="dxa"/>
            <w:shd w:val="clear" w:color="auto" w:fill="E8E8E8" w:themeFill="background2"/>
            <w:hideMark/>
          </w:tcPr>
          <w:p w14:paraId="3BD813D9" w14:textId="77777777" w:rsidR="00CC3F64" w:rsidRPr="00390F83" w:rsidRDefault="00CC3F64" w:rsidP="00AE60E7">
            <w:pPr>
              <w:rPr>
                <w:b/>
                <w:bCs w:val="0"/>
                <w:color w:val="000000"/>
                <w:sz w:val="20"/>
                <w:szCs w:val="20"/>
              </w:rPr>
            </w:pPr>
            <w:r w:rsidRPr="00390F83">
              <w:rPr>
                <w:b/>
                <w:color w:val="000000"/>
                <w:sz w:val="20"/>
                <w:szCs w:val="20"/>
              </w:rPr>
              <w:t>Purpose</w:t>
            </w:r>
          </w:p>
        </w:tc>
        <w:tc>
          <w:tcPr>
            <w:tcW w:w="3355" w:type="dxa"/>
            <w:shd w:val="clear" w:color="auto" w:fill="E8E8E8" w:themeFill="background2"/>
            <w:hideMark/>
          </w:tcPr>
          <w:p w14:paraId="6B7E49B7" w14:textId="77777777" w:rsidR="00CC3F64" w:rsidRPr="00390F83" w:rsidRDefault="00CC3F64" w:rsidP="00AE60E7">
            <w:pPr>
              <w:rPr>
                <w:b/>
                <w:bCs w:val="0"/>
                <w:color w:val="000000"/>
                <w:sz w:val="20"/>
                <w:szCs w:val="20"/>
              </w:rPr>
            </w:pPr>
            <w:r w:rsidRPr="00390F83">
              <w:rPr>
                <w:b/>
                <w:color w:val="000000"/>
                <w:sz w:val="20"/>
                <w:szCs w:val="20"/>
              </w:rPr>
              <w:t>Publication frequency</w:t>
            </w:r>
          </w:p>
        </w:tc>
        <w:tc>
          <w:tcPr>
            <w:tcW w:w="3355" w:type="dxa"/>
            <w:shd w:val="clear" w:color="auto" w:fill="E8E8E8" w:themeFill="background2"/>
            <w:hideMark/>
          </w:tcPr>
          <w:p w14:paraId="66DEE22C" w14:textId="77777777" w:rsidR="00CC3F64" w:rsidRPr="00390F83" w:rsidRDefault="00CC3F64" w:rsidP="00AE60E7">
            <w:pPr>
              <w:rPr>
                <w:b/>
                <w:bCs w:val="0"/>
                <w:color w:val="000000"/>
                <w:sz w:val="20"/>
                <w:szCs w:val="20"/>
              </w:rPr>
            </w:pPr>
            <w:r w:rsidRPr="00390F83">
              <w:rPr>
                <w:b/>
                <w:color w:val="000000"/>
                <w:sz w:val="20"/>
                <w:szCs w:val="20"/>
              </w:rPr>
              <w:t>Assessment process</w:t>
            </w:r>
          </w:p>
        </w:tc>
      </w:tr>
      <w:tr w:rsidR="00CC3F64" w:rsidRPr="00390F83" w14:paraId="43A22ED4" w14:textId="77777777" w:rsidTr="00F141E1">
        <w:trPr>
          <w:cantSplit/>
        </w:trPr>
        <w:tc>
          <w:tcPr>
            <w:tcW w:w="2122" w:type="dxa"/>
            <w:shd w:val="clear" w:color="auto" w:fill="auto"/>
            <w:hideMark/>
          </w:tcPr>
          <w:p w14:paraId="44EFE2E9" w14:textId="77777777" w:rsidR="00CC3F64" w:rsidRPr="00390F83" w:rsidRDefault="00CC3F64" w:rsidP="00AE60E7">
            <w:pPr>
              <w:rPr>
                <w:color w:val="000000"/>
                <w:sz w:val="20"/>
                <w:szCs w:val="20"/>
              </w:rPr>
            </w:pPr>
            <w:r w:rsidRPr="00390F83">
              <w:rPr>
                <w:color w:val="000000"/>
                <w:sz w:val="20"/>
                <w:szCs w:val="20"/>
              </w:rPr>
              <w:t>Convention on Biological Diversity (CBD)</w:t>
            </w:r>
          </w:p>
        </w:tc>
        <w:tc>
          <w:tcPr>
            <w:tcW w:w="2126" w:type="dxa"/>
            <w:shd w:val="clear" w:color="auto" w:fill="auto"/>
            <w:hideMark/>
          </w:tcPr>
          <w:p w14:paraId="41E0D20C" w14:textId="77777777" w:rsidR="00CC3F64" w:rsidRPr="00390F83" w:rsidRDefault="00CC3F64" w:rsidP="00AE60E7">
            <w:pPr>
              <w:rPr>
                <w:color w:val="000000"/>
                <w:sz w:val="20"/>
                <w:szCs w:val="20"/>
              </w:rPr>
            </w:pPr>
            <w:r w:rsidRPr="00390F83">
              <w:rPr>
                <w:color w:val="000000"/>
                <w:sz w:val="20"/>
                <w:szCs w:val="20"/>
              </w:rPr>
              <w:t>Global Biodiversity Outlook (GBO)</w:t>
            </w:r>
          </w:p>
        </w:tc>
        <w:tc>
          <w:tcPr>
            <w:tcW w:w="3354" w:type="dxa"/>
            <w:shd w:val="clear" w:color="auto" w:fill="auto"/>
            <w:hideMark/>
          </w:tcPr>
          <w:p w14:paraId="68E6E22F" w14:textId="77777777" w:rsidR="00CC3F64" w:rsidRPr="00390F83" w:rsidRDefault="00CC3F64" w:rsidP="00AE60E7">
            <w:pPr>
              <w:rPr>
                <w:color w:val="000000"/>
                <w:sz w:val="20"/>
                <w:szCs w:val="20"/>
              </w:rPr>
            </w:pPr>
            <w:r w:rsidRPr="00390F83">
              <w:rPr>
                <w:color w:val="000000"/>
                <w:sz w:val="20"/>
                <w:szCs w:val="20"/>
              </w:rPr>
              <w:t>Provide a summary of the status of biological diversity and an analysis of the steps the global community takes to ensure that biodiversity is conserved and used sustainably and that benefits arising from using genetic resources are shared equitably.</w:t>
            </w:r>
          </w:p>
        </w:tc>
        <w:tc>
          <w:tcPr>
            <w:tcW w:w="3355" w:type="dxa"/>
            <w:shd w:val="clear" w:color="auto" w:fill="auto"/>
            <w:hideMark/>
          </w:tcPr>
          <w:p w14:paraId="7C801E61" w14:textId="77777777" w:rsidR="00CC3F64" w:rsidRPr="00390F83" w:rsidRDefault="00CC3F64" w:rsidP="00AE60E7">
            <w:pPr>
              <w:rPr>
                <w:color w:val="000000"/>
                <w:sz w:val="20"/>
                <w:szCs w:val="20"/>
              </w:rPr>
            </w:pPr>
            <w:r w:rsidRPr="00390F83">
              <w:rPr>
                <w:color w:val="000000"/>
                <w:sz w:val="20"/>
                <w:szCs w:val="20"/>
              </w:rPr>
              <w:t>Five years, first published in 2001</w:t>
            </w:r>
          </w:p>
        </w:tc>
        <w:tc>
          <w:tcPr>
            <w:tcW w:w="3355" w:type="dxa"/>
            <w:shd w:val="clear" w:color="auto" w:fill="auto"/>
            <w:hideMark/>
          </w:tcPr>
          <w:p w14:paraId="5A1A725D" w14:textId="77777777" w:rsidR="00CC3F64" w:rsidRPr="00390F83" w:rsidRDefault="00CC3F64" w:rsidP="00AE60E7">
            <w:pPr>
              <w:rPr>
                <w:color w:val="000000"/>
                <w:sz w:val="20"/>
                <w:szCs w:val="20"/>
              </w:rPr>
            </w:pPr>
            <w:r w:rsidRPr="00390F83">
              <w:rPr>
                <w:color w:val="000000"/>
                <w:sz w:val="20"/>
                <w:szCs w:val="20"/>
              </w:rPr>
              <w:t xml:space="preserve">Guided by an advisory group. Assessment by authors selected through an open call. </w:t>
            </w:r>
          </w:p>
        </w:tc>
      </w:tr>
      <w:tr w:rsidR="00CC3F64" w:rsidRPr="00390F83" w14:paraId="1D8C08FD" w14:textId="77777777" w:rsidTr="00F141E1">
        <w:trPr>
          <w:cantSplit/>
        </w:trPr>
        <w:tc>
          <w:tcPr>
            <w:tcW w:w="2122" w:type="dxa"/>
            <w:shd w:val="clear" w:color="auto" w:fill="auto"/>
            <w:hideMark/>
          </w:tcPr>
          <w:p w14:paraId="3FEB5B13" w14:textId="77777777" w:rsidR="00CC3F64" w:rsidRPr="00390F83" w:rsidRDefault="00CC3F64" w:rsidP="00AE60E7">
            <w:pPr>
              <w:rPr>
                <w:color w:val="000000"/>
                <w:sz w:val="20"/>
                <w:szCs w:val="20"/>
              </w:rPr>
            </w:pPr>
            <w:r w:rsidRPr="00390F83">
              <w:rPr>
                <w:color w:val="000000"/>
                <w:sz w:val="20"/>
                <w:szCs w:val="20"/>
              </w:rPr>
              <w:t>United Nations Educational, Scientific and Cultural Organization (UNESCO)</w:t>
            </w:r>
          </w:p>
        </w:tc>
        <w:tc>
          <w:tcPr>
            <w:tcW w:w="2126" w:type="dxa"/>
            <w:shd w:val="clear" w:color="auto" w:fill="auto"/>
            <w:hideMark/>
          </w:tcPr>
          <w:p w14:paraId="4311BC7F" w14:textId="77777777" w:rsidR="00CC3F64" w:rsidRPr="00390F83" w:rsidRDefault="00CC3F64" w:rsidP="00AE60E7">
            <w:pPr>
              <w:rPr>
                <w:color w:val="000000"/>
                <w:sz w:val="20"/>
                <w:szCs w:val="20"/>
              </w:rPr>
            </w:pPr>
            <w:r w:rsidRPr="00390F83">
              <w:rPr>
                <w:color w:val="000000"/>
                <w:sz w:val="20"/>
                <w:szCs w:val="20"/>
              </w:rPr>
              <w:t>World Water Development Report</w:t>
            </w:r>
          </w:p>
        </w:tc>
        <w:tc>
          <w:tcPr>
            <w:tcW w:w="3354" w:type="dxa"/>
            <w:shd w:val="clear" w:color="auto" w:fill="auto"/>
            <w:hideMark/>
          </w:tcPr>
          <w:p w14:paraId="1A7930C0" w14:textId="7E747ED7" w:rsidR="00CC3F64" w:rsidRPr="00390F83" w:rsidRDefault="00CC3F64" w:rsidP="00AE60E7">
            <w:pPr>
              <w:rPr>
                <w:color w:val="000000"/>
                <w:sz w:val="20"/>
                <w:szCs w:val="20"/>
              </w:rPr>
            </w:pPr>
            <w:r w:rsidRPr="00390F83">
              <w:rPr>
                <w:color w:val="000000"/>
                <w:sz w:val="20"/>
                <w:szCs w:val="20"/>
              </w:rPr>
              <w:t>Offer an authoritative and comprehensive assessment of the world</w:t>
            </w:r>
            <w:r w:rsidR="00F35B28" w:rsidRPr="00390F83">
              <w:rPr>
                <w:color w:val="000000"/>
                <w:sz w:val="20"/>
                <w:szCs w:val="20"/>
              </w:rPr>
              <w:t>’</w:t>
            </w:r>
            <w:r w:rsidRPr="00390F83">
              <w:rPr>
                <w:color w:val="000000"/>
                <w:sz w:val="20"/>
                <w:szCs w:val="20"/>
              </w:rPr>
              <w:t>s freshwater resources</w:t>
            </w:r>
            <w:r w:rsidR="00F35B28" w:rsidRPr="00390F83">
              <w:rPr>
                <w:color w:val="000000"/>
                <w:sz w:val="20"/>
                <w:szCs w:val="20"/>
              </w:rPr>
              <w:t>’</w:t>
            </w:r>
            <w:r w:rsidRPr="00390F83">
              <w:rPr>
                <w:color w:val="000000"/>
                <w:sz w:val="20"/>
                <w:szCs w:val="20"/>
              </w:rPr>
              <w:t xml:space="preserve"> overall state, use, and management. It aims to provide decision-makers with tools to formulate and implement sustainable water policies.</w:t>
            </w:r>
          </w:p>
        </w:tc>
        <w:tc>
          <w:tcPr>
            <w:tcW w:w="3355" w:type="dxa"/>
            <w:shd w:val="clear" w:color="auto" w:fill="auto"/>
            <w:hideMark/>
          </w:tcPr>
          <w:p w14:paraId="364FFCB5" w14:textId="77777777" w:rsidR="00CC3F64" w:rsidRPr="00390F83" w:rsidRDefault="00CC3F64" w:rsidP="00AE60E7">
            <w:pPr>
              <w:rPr>
                <w:color w:val="000000"/>
                <w:sz w:val="20"/>
                <w:szCs w:val="20"/>
              </w:rPr>
            </w:pPr>
            <w:r w:rsidRPr="00390F83">
              <w:rPr>
                <w:color w:val="000000"/>
                <w:sz w:val="20"/>
                <w:szCs w:val="20"/>
              </w:rPr>
              <w:t>From 2003 through 2012, the UN WWDR was produced and released every three years. As of 2014, it transformed into an annual thematic report focused on a different strategic water issue each year. The theme of each annual UN WWDR is harmonized with that of World Water Day (22 March) and provides the knowledge base for related celebrations, events, and discussions throughout the year.</w:t>
            </w:r>
          </w:p>
        </w:tc>
        <w:tc>
          <w:tcPr>
            <w:tcW w:w="3355" w:type="dxa"/>
            <w:shd w:val="clear" w:color="auto" w:fill="auto"/>
            <w:hideMark/>
          </w:tcPr>
          <w:p w14:paraId="359E861E" w14:textId="77777777" w:rsidR="00CC3F64" w:rsidRPr="00390F83" w:rsidRDefault="00CC3F64" w:rsidP="00AE60E7">
            <w:pPr>
              <w:rPr>
                <w:color w:val="000000"/>
                <w:sz w:val="20"/>
                <w:szCs w:val="20"/>
              </w:rPr>
            </w:pPr>
            <w:r w:rsidRPr="00390F83">
              <w:rPr>
                <w:color w:val="000000"/>
                <w:sz w:val="20"/>
                <w:szCs w:val="20"/>
              </w:rPr>
              <w:t>Coordinated by UNESCO World Water Assessment Programme on behalf of the UN Water family.</w:t>
            </w:r>
          </w:p>
        </w:tc>
      </w:tr>
      <w:tr w:rsidR="00CC3F64" w:rsidRPr="00390F83" w14:paraId="5C98C556" w14:textId="77777777" w:rsidTr="00F141E1">
        <w:trPr>
          <w:cantSplit/>
        </w:trPr>
        <w:tc>
          <w:tcPr>
            <w:tcW w:w="2122" w:type="dxa"/>
            <w:shd w:val="clear" w:color="auto" w:fill="auto"/>
            <w:hideMark/>
          </w:tcPr>
          <w:p w14:paraId="20418E74" w14:textId="77777777" w:rsidR="00CC3F64" w:rsidRPr="00390F83" w:rsidRDefault="00CC3F64" w:rsidP="00AE60E7">
            <w:pPr>
              <w:rPr>
                <w:color w:val="000000"/>
                <w:sz w:val="20"/>
                <w:szCs w:val="20"/>
              </w:rPr>
            </w:pPr>
            <w:r w:rsidRPr="00390F83">
              <w:rPr>
                <w:color w:val="000000"/>
                <w:sz w:val="20"/>
                <w:szCs w:val="20"/>
              </w:rPr>
              <w:t>UN Environment (UNEP)</w:t>
            </w:r>
          </w:p>
        </w:tc>
        <w:tc>
          <w:tcPr>
            <w:tcW w:w="2126" w:type="dxa"/>
            <w:shd w:val="clear" w:color="auto" w:fill="auto"/>
            <w:hideMark/>
          </w:tcPr>
          <w:p w14:paraId="0E02C8FE" w14:textId="77777777" w:rsidR="00CC3F64" w:rsidRPr="00390F83" w:rsidRDefault="00CC3F64" w:rsidP="00AE60E7">
            <w:pPr>
              <w:rPr>
                <w:color w:val="000000"/>
                <w:sz w:val="20"/>
                <w:szCs w:val="20"/>
              </w:rPr>
            </w:pPr>
            <w:r w:rsidRPr="00390F83">
              <w:rPr>
                <w:color w:val="000000" w:themeColor="text1"/>
                <w:sz w:val="20"/>
                <w:szCs w:val="20"/>
              </w:rPr>
              <w:t>Global Environment Outlook (GEO)</w:t>
            </w:r>
          </w:p>
        </w:tc>
        <w:tc>
          <w:tcPr>
            <w:tcW w:w="3354" w:type="dxa"/>
            <w:shd w:val="clear" w:color="auto" w:fill="auto"/>
            <w:hideMark/>
          </w:tcPr>
          <w:p w14:paraId="1BE56B61" w14:textId="77777777" w:rsidR="00CC3F64" w:rsidRPr="00390F83" w:rsidRDefault="00CC3F64" w:rsidP="00AE60E7">
            <w:pPr>
              <w:rPr>
                <w:color w:val="000000"/>
                <w:sz w:val="20"/>
                <w:szCs w:val="20"/>
              </w:rPr>
            </w:pPr>
            <w:r w:rsidRPr="00390F83">
              <w:rPr>
                <w:color w:val="000000"/>
                <w:sz w:val="20"/>
                <w:szCs w:val="20"/>
              </w:rPr>
              <w:t>To keep the world environmental situation under review to periodically inform and support collective and individual action by Member States and stakeholders while strengthening the science-policy interface of the United Nations Environment Programme;</w:t>
            </w:r>
          </w:p>
        </w:tc>
        <w:tc>
          <w:tcPr>
            <w:tcW w:w="3355" w:type="dxa"/>
            <w:shd w:val="clear" w:color="auto" w:fill="auto"/>
            <w:hideMark/>
          </w:tcPr>
          <w:p w14:paraId="4B551711" w14:textId="77777777" w:rsidR="00CC3F64" w:rsidRPr="00390F83" w:rsidRDefault="00CC3F64" w:rsidP="00AE60E7">
            <w:pPr>
              <w:rPr>
                <w:color w:val="000000"/>
                <w:sz w:val="20"/>
                <w:szCs w:val="20"/>
              </w:rPr>
            </w:pPr>
            <w:r w:rsidRPr="00390F83">
              <w:rPr>
                <w:color w:val="000000"/>
                <w:sz w:val="20"/>
                <w:szCs w:val="20"/>
              </w:rPr>
              <w:t>Launched in 1995, published every four years</w:t>
            </w:r>
          </w:p>
        </w:tc>
        <w:tc>
          <w:tcPr>
            <w:tcW w:w="3355" w:type="dxa"/>
            <w:shd w:val="clear" w:color="auto" w:fill="auto"/>
            <w:hideMark/>
          </w:tcPr>
          <w:p w14:paraId="1A62D52C" w14:textId="77777777" w:rsidR="00CC3F64" w:rsidRPr="00390F83" w:rsidRDefault="00CC3F64" w:rsidP="00AE60E7">
            <w:pPr>
              <w:rPr>
                <w:color w:val="000000"/>
                <w:sz w:val="20"/>
                <w:szCs w:val="20"/>
              </w:rPr>
            </w:pPr>
            <w:r w:rsidRPr="00390F83">
              <w:rPr>
                <w:color w:val="000000" w:themeColor="text1"/>
                <w:sz w:val="20"/>
                <w:szCs w:val="20"/>
              </w:rPr>
              <w:t>The assessment process is presided over by a Multidisciplinary Expert Scientific Advisory Group. Assessment done by lead and coordinating lead authors selected through an open call. Scoping document and a summary for policymakers are reviewed and endorsed by representatives of Member States at ad hoc open-ended meetings</w:t>
            </w:r>
          </w:p>
        </w:tc>
      </w:tr>
      <w:tr w:rsidR="00CC3F64" w:rsidRPr="00390F83" w14:paraId="065F4341" w14:textId="77777777" w:rsidTr="00F141E1">
        <w:trPr>
          <w:cantSplit/>
        </w:trPr>
        <w:tc>
          <w:tcPr>
            <w:tcW w:w="2122" w:type="dxa"/>
            <w:shd w:val="clear" w:color="auto" w:fill="auto"/>
            <w:hideMark/>
          </w:tcPr>
          <w:p w14:paraId="6BD7519A" w14:textId="77777777" w:rsidR="00CC3F64" w:rsidRPr="00390F83" w:rsidRDefault="00CC3F64" w:rsidP="00AE60E7">
            <w:pPr>
              <w:rPr>
                <w:color w:val="000000"/>
                <w:sz w:val="20"/>
                <w:szCs w:val="20"/>
              </w:rPr>
            </w:pPr>
            <w:r w:rsidRPr="00390F83">
              <w:rPr>
                <w:color w:val="000000"/>
                <w:sz w:val="20"/>
                <w:szCs w:val="20"/>
              </w:rPr>
              <w:t>Intergovernmental Science-Policy Platform on Biodiversity and Ecosystem Services (IPBES)</w:t>
            </w:r>
          </w:p>
        </w:tc>
        <w:tc>
          <w:tcPr>
            <w:tcW w:w="2126" w:type="dxa"/>
            <w:shd w:val="clear" w:color="auto" w:fill="auto"/>
            <w:hideMark/>
          </w:tcPr>
          <w:p w14:paraId="3E626739" w14:textId="77777777" w:rsidR="00CC3F64" w:rsidRPr="00390F83" w:rsidRDefault="00CC3F64" w:rsidP="00AE60E7">
            <w:pPr>
              <w:rPr>
                <w:color w:val="000000"/>
                <w:sz w:val="20"/>
                <w:szCs w:val="20"/>
              </w:rPr>
            </w:pPr>
            <w:r w:rsidRPr="00390F83">
              <w:rPr>
                <w:color w:val="000000"/>
                <w:sz w:val="20"/>
                <w:szCs w:val="20"/>
              </w:rPr>
              <w:t>Several assessments</w:t>
            </w:r>
          </w:p>
        </w:tc>
        <w:tc>
          <w:tcPr>
            <w:tcW w:w="3354" w:type="dxa"/>
            <w:shd w:val="clear" w:color="auto" w:fill="auto"/>
            <w:hideMark/>
          </w:tcPr>
          <w:p w14:paraId="601ECD4C" w14:textId="77777777" w:rsidR="00CC3F64" w:rsidRPr="00390F83" w:rsidRDefault="00CC3F64" w:rsidP="00AE60E7">
            <w:pPr>
              <w:rPr>
                <w:color w:val="000000"/>
                <w:sz w:val="20"/>
                <w:szCs w:val="20"/>
              </w:rPr>
            </w:pPr>
            <w:r w:rsidRPr="00390F83">
              <w:rPr>
                <w:color w:val="000000"/>
                <w:sz w:val="20"/>
                <w:szCs w:val="20"/>
              </w:rPr>
              <w:t>To perform regular and timely assessments of knowledge on biodiversity and ecosystem services and their interlinkages, which include comprehensive thematic, global and regional assessments</w:t>
            </w:r>
          </w:p>
        </w:tc>
        <w:tc>
          <w:tcPr>
            <w:tcW w:w="3355" w:type="dxa"/>
            <w:shd w:val="clear" w:color="auto" w:fill="auto"/>
            <w:hideMark/>
          </w:tcPr>
          <w:p w14:paraId="18B6C36A" w14:textId="77777777" w:rsidR="00CC3F64" w:rsidRPr="00390F83" w:rsidRDefault="00CC3F64" w:rsidP="00AE60E7">
            <w:pPr>
              <w:rPr>
                <w:color w:val="000000"/>
                <w:sz w:val="20"/>
                <w:szCs w:val="20"/>
              </w:rPr>
            </w:pPr>
            <w:r w:rsidRPr="00390F83">
              <w:rPr>
                <w:color w:val="000000" w:themeColor="text1"/>
                <w:sz w:val="20"/>
                <w:szCs w:val="20"/>
              </w:rPr>
              <w:t>11 completed assessments, each assessment takes up to four years, with the first year for scoping and subsequently 2-3 years for assessment</w:t>
            </w:r>
          </w:p>
        </w:tc>
        <w:tc>
          <w:tcPr>
            <w:tcW w:w="3355" w:type="dxa"/>
            <w:shd w:val="clear" w:color="auto" w:fill="auto"/>
            <w:hideMark/>
          </w:tcPr>
          <w:p w14:paraId="36737514" w14:textId="77777777" w:rsidR="00CC3F64" w:rsidRPr="00390F83" w:rsidRDefault="00CC3F64" w:rsidP="00AE60E7">
            <w:pPr>
              <w:rPr>
                <w:color w:val="000000"/>
                <w:sz w:val="20"/>
                <w:szCs w:val="20"/>
              </w:rPr>
            </w:pPr>
            <w:r w:rsidRPr="00390F83">
              <w:rPr>
                <w:color w:val="000000" w:themeColor="text1"/>
                <w:sz w:val="20"/>
                <w:szCs w:val="20"/>
              </w:rPr>
              <w:t>Four stages: a) Request and scope, b) Expert evaluation, c) Approval and acceptance of final assessment report, and d) Use of final assessment findings. Assessment is guided by a Multidisciplinary Expert Panel and coordinated by Assessment Chairs. For each assessment section/ chapter, Coordinating Lead Authors and Lead Authors are selected/nominated. Research Fellows are also appointed to support capacity development.</w:t>
            </w:r>
          </w:p>
        </w:tc>
      </w:tr>
      <w:tr w:rsidR="00CC3F64" w:rsidRPr="00390F83" w14:paraId="74A6D5C5" w14:textId="77777777" w:rsidTr="00F141E1">
        <w:trPr>
          <w:cantSplit/>
        </w:trPr>
        <w:tc>
          <w:tcPr>
            <w:tcW w:w="2122" w:type="dxa"/>
            <w:shd w:val="clear" w:color="auto" w:fill="auto"/>
            <w:hideMark/>
          </w:tcPr>
          <w:p w14:paraId="0FA3D6EE" w14:textId="77777777" w:rsidR="00CC3F64" w:rsidRPr="00390F83" w:rsidRDefault="00CC3F64" w:rsidP="00AE60E7">
            <w:pPr>
              <w:rPr>
                <w:color w:val="000000"/>
                <w:sz w:val="20"/>
                <w:szCs w:val="20"/>
              </w:rPr>
            </w:pPr>
            <w:r w:rsidRPr="00390F83">
              <w:rPr>
                <w:color w:val="000000"/>
                <w:sz w:val="20"/>
                <w:szCs w:val="20"/>
              </w:rPr>
              <w:t>United Nations Convention to Combat Desertification (UNCCD)</w:t>
            </w:r>
          </w:p>
        </w:tc>
        <w:tc>
          <w:tcPr>
            <w:tcW w:w="2126" w:type="dxa"/>
            <w:shd w:val="clear" w:color="auto" w:fill="auto"/>
            <w:hideMark/>
          </w:tcPr>
          <w:p w14:paraId="1B79126C" w14:textId="77777777" w:rsidR="00CC3F64" w:rsidRPr="00390F83" w:rsidRDefault="00CC3F64" w:rsidP="00AE60E7">
            <w:pPr>
              <w:rPr>
                <w:color w:val="000000"/>
                <w:sz w:val="20"/>
                <w:szCs w:val="20"/>
              </w:rPr>
            </w:pPr>
            <w:r w:rsidRPr="00390F83">
              <w:rPr>
                <w:color w:val="000000"/>
                <w:sz w:val="20"/>
                <w:szCs w:val="20"/>
              </w:rPr>
              <w:t>Global Land Outlook (GLO)</w:t>
            </w:r>
          </w:p>
        </w:tc>
        <w:tc>
          <w:tcPr>
            <w:tcW w:w="3354" w:type="dxa"/>
            <w:shd w:val="clear" w:color="auto" w:fill="auto"/>
            <w:hideMark/>
          </w:tcPr>
          <w:p w14:paraId="0EC48849" w14:textId="77777777" w:rsidR="00CC3F64" w:rsidRPr="00390F83" w:rsidRDefault="00CC3F64" w:rsidP="00AE60E7">
            <w:pPr>
              <w:rPr>
                <w:color w:val="000000"/>
                <w:sz w:val="20"/>
                <w:szCs w:val="20"/>
              </w:rPr>
            </w:pPr>
            <w:r w:rsidRPr="00390F83">
              <w:rPr>
                <w:color w:val="000000"/>
                <w:sz w:val="20"/>
                <w:szCs w:val="20"/>
              </w:rPr>
              <w:t>To communicate and raise awareness of evidence-based, policy-relevant information and trends to various stakeholders, including national governments formulating their responses to commitments to better manage and restore land resources, including the SDGs and associated targets, such as Land Degradation Neutrality (LDN). The GLO thematic reports provide a global analysis and offer practical solutions that are relevant and timely to address specific land management challenges and opportunities in selected geographical and socio-economic contexts.</w:t>
            </w:r>
          </w:p>
        </w:tc>
        <w:tc>
          <w:tcPr>
            <w:tcW w:w="3355" w:type="dxa"/>
            <w:shd w:val="clear" w:color="auto" w:fill="auto"/>
            <w:hideMark/>
          </w:tcPr>
          <w:p w14:paraId="24AD2433" w14:textId="77777777" w:rsidR="00CC3F64" w:rsidRPr="00390F83" w:rsidRDefault="00CC3F64" w:rsidP="00AE60E7">
            <w:pPr>
              <w:rPr>
                <w:color w:val="000000"/>
                <w:sz w:val="20"/>
                <w:szCs w:val="20"/>
              </w:rPr>
            </w:pPr>
            <w:r w:rsidRPr="00390F83">
              <w:rPr>
                <w:color w:val="000000"/>
                <w:sz w:val="20"/>
                <w:szCs w:val="20"/>
              </w:rPr>
              <w:t>The first edition in 2017, and the second in 2022 (along with regional reports and thematic reports)</w:t>
            </w:r>
          </w:p>
        </w:tc>
        <w:tc>
          <w:tcPr>
            <w:tcW w:w="3355" w:type="dxa"/>
            <w:shd w:val="clear" w:color="auto" w:fill="auto"/>
            <w:hideMark/>
          </w:tcPr>
          <w:p w14:paraId="21527D8A" w14:textId="77777777" w:rsidR="00CC3F64" w:rsidRPr="00390F83" w:rsidRDefault="00CC3F64" w:rsidP="00AE60E7">
            <w:pPr>
              <w:rPr>
                <w:color w:val="000000"/>
                <w:sz w:val="20"/>
                <w:szCs w:val="20"/>
              </w:rPr>
            </w:pPr>
            <w:r w:rsidRPr="00390F83">
              <w:rPr>
                <w:color w:val="000000" w:themeColor="text1"/>
                <w:sz w:val="20"/>
                <w:szCs w:val="20"/>
              </w:rPr>
              <w:t>Drafted by a team of lead authors and contributors; overall assessment produced by GLO team of coordinators, co-authors and research assistants, working under a GLO Steering Committee</w:t>
            </w:r>
          </w:p>
        </w:tc>
      </w:tr>
      <w:tr w:rsidR="00CC3F64" w:rsidRPr="00390F83" w14:paraId="2E0913A5" w14:textId="77777777" w:rsidTr="00F141E1">
        <w:trPr>
          <w:cantSplit/>
        </w:trPr>
        <w:tc>
          <w:tcPr>
            <w:tcW w:w="2122" w:type="dxa"/>
            <w:shd w:val="clear" w:color="auto" w:fill="auto"/>
            <w:hideMark/>
          </w:tcPr>
          <w:p w14:paraId="3F63E113" w14:textId="77777777" w:rsidR="00CC3F64" w:rsidRPr="00390F83" w:rsidRDefault="00CC3F64" w:rsidP="00AE60E7">
            <w:pPr>
              <w:rPr>
                <w:color w:val="000000"/>
                <w:sz w:val="20"/>
                <w:szCs w:val="20"/>
              </w:rPr>
            </w:pPr>
            <w:r w:rsidRPr="00390F83">
              <w:rPr>
                <w:color w:val="000000"/>
                <w:sz w:val="20"/>
                <w:szCs w:val="20"/>
              </w:rPr>
              <w:t>The Intergovernmental Panel on Climate Change (IPCC)</w:t>
            </w:r>
          </w:p>
        </w:tc>
        <w:tc>
          <w:tcPr>
            <w:tcW w:w="2126" w:type="dxa"/>
            <w:shd w:val="clear" w:color="auto" w:fill="auto"/>
            <w:hideMark/>
          </w:tcPr>
          <w:p w14:paraId="75BE6F24" w14:textId="77777777" w:rsidR="00CC3F64" w:rsidRPr="00390F83" w:rsidRDefault="00CC3F64" w:rsidP="00AE60E7">
            <w:pPr>
              <w:rPr>
                <w:color w:val="000000"/>
                <w:sz w:val="20"/>
                <w:szCs w:val="20"/>
              </w:rPr>
            </w:pPr>
            <w:r w:rsidRPr="00390F83">
              <w:rPr>
                <w:color w:val="000000"/>
                <w:sz w:val="20"/>
                <w:szCs w:val="20"/>
              </w:rPr>
              <w:t>Assessment Report</w:t>
            </w:r>
          </w:p>
        </w:tc>
        <w:tc>
          <w:tcPr>
            <w:tcW w:w="3354" w:type="dxa"/>
            <w:shd w:val="clear" w:color="auto" w:fill="auto"/>
            <w:hideMark/>
          </w:tcPr>
          <w:p w14:paraId="25BA9EBB" w14:textId="77777777" w:rsidR="00CC3F64" w:rsidRPr="00390F83" w:rsidRDefault="00CC3F64" w:rsidP="00AE60E7">
            <w:pPr>
              <w:rPr>
                <w:color w:val="000000"/>
                <w:sz w:val="20"/>
                <w:szCs w:val="20"/>
              </w:rPr>
            </w:pPr>
            <w:r w:rsidRPr="00390F83">
              <w:rPr>
                <w:color w:val="000000"/>
                <w:sz w:val="20"/>
                <w:szCs w:val="20"/>
              </w:rPr>
              <w:t>Prepare comprehensive Assessment Reports about knowledge on climate change, its causes, potential impacts, and response options. The IPCC also produces Special Reports, which assess a specific issue, and Methodology Reports, which provide practical guidelines for preparing greenhouse gas inventories.</w:t>
            </w:r>
          </w:p>
        </w:tc>
        <w:tc>
          <w:tcPr>
            <w:tcW w:w="3355" w:type="dxa"/>
            <w:shd w:val="clear" w:color="auto" w:fill="auto"/>
            <w:hideMark/>
          </w:tcPr>
          <w:p w14:paraId="03684015" w14:textId="77777777" w:rsidR="00CC3F64" w:rsidRPr="00390F83" w:rsidRDefault="00CC3F64" w:rsidP="00AE60E7">
            <w:pPr>
              <w:rPr>
                <w:color w:val="000000"/>
                <w:sz w:val="20"/>
                <w:szCs w:val="20"/>
              </w:rPr>
            </w:pPr>
            <w:r w:rsidRPr="00390F83">
              <w:rPr>
                <w:color w:val="000000"/>
                <w:sz w:val="20"/>
                <w:szCs w:val="20"/>
              </w:rPr>
              <w:t>Every 5 - 7 years. The first comprehensive assessment report was published in 1990.</w:t>
            </w:r>
          </w:p>
        </w:tc>
        <w:tc>
          <w:tcPr>
            <w:tcW w:w="3355" w:type="dxa"/>
            <w:shd w:val="clear" w:color="auto" w:fill="auto"/>
            <w:hideMark/>
          </w:tcPr>
          <w:p w14:paraId="516F186E" w14:textId="2A4BEC59" w:rsidR="00CC3F64" w:rsidRPr="00390F83" w:rsidRDefault="00CC3F64" w:rsidP="00AE60E7">
            <w:pPr>
              <w:rPr>
                <w:color w:val="000000"/>
                <w:sz w:val="20"/>
                <w:szCs w:val="20"/>
              </w:rPr>
            </w:pPr>
            <w:r w:rsidRPr="00390F83">
              <w:rPr>
                <w:color w:val="000000" w:themeColor="text1"/>
                <w:sz w:val="20"/>
                <w:szCs w:val="20"/>
              </w:rPr>
              <w:t xml:space="preserve">Each report starts with a scoping meeting to develop a draft outline. Experts nominated by member governments, Observer Organizations, and the Bureau, as well as those selected by the relevant Bureau, prepare a draft outline of the report for the </w:t>
            </w:r>
            <w:r w:rsidR="007602B2">
              <w:rPr>
                <w:color w:val="000000" w:themeColor="text1"/>
                <w:sz w:val="20"/>
                <w:szCs w:val="20"/>
              </w:rPr>
              <w:t>üanel</w:t>
            </w:r>
            <w:r w:rsidRPr="00390F83">
              <w:rPr>
                <w:color w:val="000000" w:themeColor="text1"/>
                <w:sz w:val="20"/>
                <w:szCs w:val="20"/>
              </w:rPr>
              <w:t xml:space="preserve">. Based on the report of the scoping meeting, the </w:t>
            </w:r>
            <w:r w:rsidR="007602B2">
              <w:rPr>
                <w:color w:val="000000" w:themeColor="text1"/>
                <w:sz w:val="20"/>
                <w:szCs w:val="20"/>
              </w:rPr>
              <w:t>Panel</w:t>
            </w:r>
            <w:r w:rsidRPr="00390F83">
              <w:rPr>
                <w:color w:val="000000" w:themeColor="text1"/>
                <w:sz w:val="20"/>
                <w:szCs w:val="20"/>
              </w:rPr>
              <w:t xml:space="preserve"> decides whether work should continue on preparing the report and agrees on its scope, outline and work plan, including schedule and budget. Member governments, Observer Organizations, and the Bureau (Co-Chairs and Vice-Chairs) of the Working Group or Task Force producing the report then draw up lists of experts from which the relevant Bureau or Bureaux select the report</w:t>
            </w:r>
            <w:r w:rsidR="00F35B28" w:rsidRPr="00390F83">
              <w:rPr>
                <w:color w:val="000000" w:themeColor="text1"/>
                <w:sz w:val="20"/>
                <w:szCs w:val="20"/>
              </w:rPr>
              <w:t>’</w:t>
            </w:r>
            <w:r w:rsidRPr="00390F83">
              <w:rPr>
                <w:color w:val="000000" w:themeColor="text1"/>
                <w:sz w:val="20"/>
                <w:szCs w:val="20"/>
              </w:rPr>
              <w:t>s authors. The Bureau may consider other experts known through their publications and work. Scientists who are nominated but not selected as authors are invited to register as expert reviewers for the report.</w:t>
            </w:r>
          </w:p>
        </w:tc>
      </w:tr>
    </w:tbl>
    <w:p w14:paraId="560BB3E0" w14:textId="77777777" w:rsidR="00CE4218" w:rsidRDefault="00CE4218" w:rsidP="00CC3F64">
      <w:pPr>
        <w:sectPr w:rsidR="00CE4218" w:rsidSect="00CE4218">
          <w:pgSz w:w="16838" w:h="11906" w:orient="landscape" w:code="9"/>
          <w:pgMar w:top="1440" w:right="1440" w:bottom="1440" w:left="1440" w:header="720" w:footer="720" w:gutter="0"/>
          <w:cols w:space="720"/>
          <w:docGrid w:linePitch="360"/>
        </w:sectPr>
      </w:pPr>
    </w:p>
    <w:p w14:paraId="1087FF4E" w14:textId="77777777" w:rsidR="00CC3F64" w:rsidRPr="00390F83" w:rsidRDefault="00CC3F64" w:rsidP="00CC3F64">
      <w:pPr>
        <w:rPr>
          <w:b/>
          <w:bCs w:val="0"/>
        </w:rPr>
      </w:pPr>
      <w:r w:rsidRPr="00390F83">
        <w:rPr>
          <w:b/>
        </w:rPr>
        <w:t>Appendix 2</w:t>
      </w:r>
    </w:p>
    <w:p w14:paraId="4C5A186B" w14:textId="77777777" w:rsidR="00CC3F64" w:rsidRPr="00390F83" w:rsidRDefault="00CC3F64" w:rsidP="00CC3F64">
      <w:r w:rsidRPr="00390F83">
        <w:rPr>
          <w:b/>
        </w:rPr>
        <w:t>Using a confidence assessment process</w:t>
      </w:r>
    </w:p>
    <w:p w14:paraId="3767ACD8" w14:textId="77777777" w:rsidR="00CC3F64" w:rsidRPr="00390F83" w:rsidRDefault="00CC3F64" w:rsidP="00CC3F64">
      <w:pPr>
        <w:rPr>
          <w:b/>
          <w:bCs w:val="0"/>
        </w:rPr>
      </w:pPr>
    </w:p>
    <w:p w14:paraId="1F5EAA7F" w14:textId="77777777" w:rsidR="00CC3F64" w:rsidRPr="00390F83" w:rsidRDefault="00CC3F64" w:rsidP="00CC3F64">
      <w:pPr>
        <w:ind w:left="432" w:hanging="432"/>
      </w:pPr>
      <w:r w:rsidRPr="00390F83">
        <w:t>1.</w:t>
      </w:r>
      <w:r w:rsidRPr="00390F83">
        <w:tab/>
        <w:t>To ensure that the GWO is based on a rigorous evaluation of evidence, i</w:t>
      </w:r>
      <w:r w:rsidRPr="00390F83">
        <w:rPr>
          <w:rFonts w:eastAsia="Geneva"/>
        </w:rPr>
        <w:t xml:space="preserve">t is recommended to utilize </w:t>
      </w:r>
      <w:r w:rsidRPr="00390F83">
        <w:t>assessment confidence frameworks</w:t>
      </w:r>
      <w:r w:rsidRPr="00390F83">
        <w:rPr>
          <w:rStyle w:val="FootnoteReference"/>
        </w:rPr>
        <w:footnoteReference w:id="22"/>
      </w:r>
      <w:r w:rsidRPr="00390F83">
        <w:t xml:space="preserve">, wherein all conclusions have a confidence term attached. These terms are derived based on examination of the quality and quantity of evidence and level of agreement within the evidence. Based on these factors, four levels of confidence are attached, namely: </w:t>
      </w:r>
    </w:p>
    <w:p w14:paraId="0DBF7D51" w14:textId="77777777" w:rsidR="00CC3F64" w:rsidRPr="00390F83" w:rsidRDefault="00CC3F64" w:rsidP="00CC3F64">
      <w:pPr>
        <w:ind w:left="432" w:hanging="432"/>
      </w:pPr>
    </w:p>
    <w:p w14:paraId="0637423A" w14:textId="77777777" w:rsidR="00CC3F64" w:rsidRPr="00390F83" w:rsidRDefault="00CC3F64" w:rsidP="00CC3F64">
      <w:pPr>
        <w:pStyle w:val="ListParagraph"/>
        <w:numPr>
          <w:ilvl w:val="0"/>
          <w:numId w:val="31"/>
        </w:numPr>
        <w:ind w:left="810"/>
      </w:pPr>
      <w:r w:rsidRPr="00390F83">
        <w:t xml:space="preserve">Well established: a comprehensive meta-analysis, other syntheses, or multiple independent studies that agree. </w:t>
      </w:r>
    </w:p>
    <w:p w14:paraId="10F46E95" w14:textId="77777777" w:rsidR="00CC3F64" w:rsidRPr="00390F83" w:rsidRDefault="00CC3F64" w:rsidP="00CC3F64">
      <w:pPr>
        <w:pStyle w:val="ListParagraph"/>
        <w:numPr>
          <w:ilvl w:val="0"/>
          <w:numId w:val="31"/>
        </w:numPr>
        <w:ind w:left="810"/>
      </w:pPr>
      <w:r w:rsidRPr="00390F83">
        <w:t xml:space="preserve">Established but incomplete: general agreement, although only a limited number of studies exist; no comprehensive synthesis and/or existing studies that address the question imprecisely. </w:t>
      </w:r>
    </w:p>
    <w:p w14:paraId="0C4316DC" w14:textId="77777777" w:rsidR="00CC3F64" w:rsidRPr="00390F83" w:rsidRDefault="00CC3F64" w:rsidP="00CC3F64">
      <w:pPr>
        <w:pStyle w:val="ListParagraph"/>
        <w:numPr>
          <w:ilvl w:val="0"/>
          <w:numId w:val="31"/>
        </w:numPr>
        <w:ind w:left="810"/>
      </w:pPr>
      <w:r w:rsidRPr="00390F83">
        <w:t xml:space="preserve">Unresolved: multiple independent studies exist, but conclusions do not agree. </w:t>
      </w:r>
    </w:p>
    <w:p w14:paraId="04D0A967" w14:textId="77777777" w:rsidR="00CC3F64" w:rsidRPr="00390F83" w:rsidRDefault="00CC3F64" w:rsidP="00CC3F64">
      <w:pPr>
        <w:pStyle w:val="ListParagraph"/>
        <w:numPr>
          <w:ilvl w:val="0"/>
          <w:numId w:val="31"/>
        </w:numPr>
        <w:ind w:left="810"/>
      </w:pPr>
      <w:r w:rsidRPr="009F6410">
        <w:t>Inconclusive</w:t>
      </w:r>
      <w:r w:rsidRPr="00390F83">
        <w:t>: limited evidence, recognizing major knowledge gaps.</w:t>
      </w:r>
    </w:p>
    <w:p w14:paraId="53FF7FBA" w14:textId="77777777" w:rsidR="00CC3F64" w:rsidRPr="00390F83" w:rsidRDefault="00CC3F64" w:rsidP="00CC3F64"/>
    <w:p w14:paraId="0BD3DBF7" w14:textId="77777777" w:rsidR="00CC3F64" w:rsidRPr="00390F83" w:rsidRDefault="00CC3F64" w:rsidP="00CC3F64">
      <w:pPr>
        <w:rPr>
          <w:b/>
          <w:bCs w:val="0"/>
        </w:rPr>
      </w:pPr>
      <w:r w:rsidRPr="00390F83">
        <w:rPr>
          <w:b/>
          <w:bCs w:val="0"/>
          <w:noProof/>
          <w:lang w:val="en-CA" w:eastAsia="en-CA"/>
        </w:rPr>
        <w:drawing>
          <wp:inline distT="0" distB="0" distL="0" distR="0" wp14:anchorId="59AA3A97" wp14:editId="0658DE02">
            <wp:extent cx="4601852" cy="4465122"/>
            <wp:effectExtent l="0" t="0" r="8255" b="0"/>
            <wp:docPr id="67093902" name="Picture 1" descr="A diagram of a well-built mode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93902" name="Picture 1" descr="A diagram of a well-built model&#10;&#10;Description automatically generated with medium confidence"/>
                    <pic:cNvPicPr/>
                  </pic:nvPicPr>
                  <pic:blipFill>
                    <a:blip r:embed="rId32"/>
                    <a:stretch>
                      <a:fillRect/>
                    </a:stretch>
                  </pic:blipFill>
                  <pic:spPr>
                    <a:xfrm>
                      <a:off x="0" y="0"/>
                      <a:ext cx="4634645" cy="4496941"/>
                    </a:xfrm>
                    <a:prstGeom prst="rect">
                      <a:avLst/>
                    </a:prstGeom>
                  </pic:spPr>
                </pic:pic>
              </a:graphicData>
            </a:graphic>
          </wp:inline>
        </w:drawing>
      </w:r>
    </w:p>
    <w:p w14:paraId="65DB880F" w14:textId="77777777" w:rsidR="004224D3" w:rsidRPr="00390F83" w:rsidRDefault="004224D3" w:rsidP="004224D3"/>
    <w:p w14:paraId="31FF9224" w14:textId="77777777" w:rsidR="00B0146B" w:rsidRPr="00390F83" w:rsidRDefault="00F319AD" w:rsidP="004224D3">
      <w:r w:rsidRPr="00390F83">
        <w:br w:type="page"/>
      </w:r>
    </w:p>
    <w:p w14:paraId="34964EFD" w14:textId="77777777" w:rsidR="00B0146B" w:rsidRPr="00F141E1" w:rsidRDefault="00F319AD" w:rsidP="004224D3">
      <w:pPr>
        <w:rPr>
          <w:b/>
          <w:bCs w:val="0"/>
          <w:sz w:val="24"/>
          <w:szCs w:val="24"/>
        </w:rPr>
      </w:pPr>
      <w:r w:rsidRPr="00F141E1">
        <w:rPr>
          <w:b/>
          <w:bCs w:val="0"/>
          <w:sz w:val="24"/>
          <w:szCs w:val="24"/>
        </w:rPr>
        <w:t xml:space="preserve">Annex </w:t>
      </w:r>
      <w:r w:rsidR="008E77E1" w:rsidRPr="00F141E1">
        <w:rPr>
          <w:b/>
          <w:bCs w:val="0"/>
          <w:sz w:val="24"/>
          <w:szCs w:val="24"/>
        </w:rPr>
        <w:t>5</w:t>
      </w:r>
    </w:p>
    <w:p w14:paraId="05610692" w14:textId="77777777" w:rsidR="00B0146B" w:rsidRPr="00F141E1" w:rsidRDefault="00F319AD" w:rsidP="004224D3">
      <w:pPr>
        <w:rPr>
          <w:b/>
          <w:bCs w:val="0"/>
          <w:sz w:val="24"/>
          <w:szCs w:val="24"/>
        </w:rPr>
      </w:pPr>
      <w:r w:rsidRPr="00F141E1">
        <w:rPr>
          <w:b/>
          <w:bCs w:val="0"/>
          <w:sz w:val="24"/>
          <w:szCs w:val="24"/>
        </w:rPr>
        <w:t>Financing the establishment of the Waterbirds Estimates Partnership and delivery of the 2027 edition of Waterbird Population Estimates (WPE2027)</w:t>
      </w:r>
    </w:p>
    <w:p w14:paraId="7645CD87" w14:textId="77777777" w:rsidR="00B06066" w:rsidRPr="00390F83" w:rsidRDefault="00B06066" w:rsidP="00B06066"/>
    <w:p w14:paraId="6EEAA09D" w14:textId="440A4F30" w:rsidR="00536155" w:rsidRPr="00390F83" w:rsidRDefault="00F319AD" w:rsidP="00B67A74">
      <w:pPr>
        <w:ind w:left="432" w:hanging="432"/>
      </w:pPr>
      <w:r w:rsidRPr="00390F83">
        <w:t>1.</w:t>
      </w:r>
      <w:r w:rsidRPr="00390F83">
        <w:tab/>
      </w:r>
      <w:r w:rsidR="00EA4431" w:rsidRPr="00390F83">
        <w:t xml:space="preserve">Pursuant to Decision SC63-31, the STRP, in collaboration with relevant partners, has submitted a draft resolution on the establishment of the Waterbird Estimates Partnership (WEP) and the delivery of the 2027 edition of Waterbird Population Estimates (WPE2027). This </w:t>
      </w:r>
      <w:r w:rsidR="001749AF" w:rsidRPr="00390F83">
        <w:t>annex</w:t>
      </w:r>
      <w:r w:rsidR="00EA4431" w:rsidRPr="00390F83">
        <w:t xml:space="preserve"> outlines recommendations for financing the WEP and WPE2027</w:t>
      </w:r>
      <w:r w:rsidR="001E2D07" w:rsidRPr="00390F83">
        <w:t xml:space="preserve"> before a</w:t>
      </w:r>
      <w:r w:rsidR="00EA4431" w:rsidRPr="00390F83">
        <w:t xml:space="preserve"> consultation with the Subgroup on Finance in December 2024.</w:t>
      </w:r>
    </w:p>
    <w:p w14:paraId="3A208884" w14:textId="77777777" w:rsidR="00536155" w:rsidRPr="00390F83" w:rsidRDefault="00536155" w:rsidP="00B06066"/>
    <w:p w14:paraId="0D2215EF" w14:textId="626712BE" w:rsidR="00C560E4" w:rsidRPr="00390F83" w:rsidRDefault="00F319AD" w:rsidP="000730F7">
      <w:pPr>
        <w:ind w:left="432" w:hanging="432"/>
      </w:pPr>
      <w:r w:rsidRPr="00390F83">
        <w:t>2.</w:t>
      </w:r>
      <w:r w:rsidRPr="00390F83">
        <w:tab/>
      </w:r>
      <w:r w:rsidR="001E2D07" w:rsidRPr="00390F83">
        <w:t xml:space="preserve">This </w:t>
      </w:r>
      <w:r w:rsidR="001749AF" w:rsidRPr="00390F83">
        <w:t>annex</w:t>
      </w:r>
      <w:r w:rsidR="001E2D07" w:rsidRPr="00390F83">
        <w:t xml:space="preserve"> provides detailed information regarding the financial requirements for addressing the lack of up-to-date data for priority waterbird populations through the production of WPE2027 and the establishment of the Waterbird Estimates Partnership. The WEP will oversee, coordinate, and secure resources for future updates of waterbird population estimates.</w:t>
      </w:r>
    </w:p>
    <w:p w14:paraId="6FB02D77" w14:textId="77777777" w:rsidR="00FF51C3" w:rsidRPr="00390F83" w:rsidRDefault="00FF51C3" w:rsidP="0059046B"/>
    <w:p w14:paraId="54CD1E8C" w14:textId="77777777" w:rsidR="003749C1" w:rsidRPr="00390F83" w:rsidRDefault="00F319AD" w:rsidP="003749C1">
      <w:pPr>
        <w:rPr>
          <w:b/>
          <w:bCs w:val="0"/>
        </w:rPr>
      </w:pPr>
      <w:r w:rsidRPr="00390F83">
        <w:rPr>
          <w:b/>
        </w:rPr>
        <w:t>Resource implications</w:t>
      </w:r>
      <w:r w:rsidR="000730F7" w:rsidRPr="00390F83">
        <w:rPr>
          <w:b/>
        </w:rPr>
        <w:t xml:space="preserve"> for delivering </w:t>
      </w:r>
      <w:r w:rsidR="00B67A74" w:rsidRPr="00390F83">
        <w:rPr>
          <w:b/>
        </w:rPr>
        <w:t>WPE2027 and the WEP</w:t>
      </w:r>
    </w:p>
    <w:p w14:paraId="5C19C57D" w14:textId="77777777" w:rsidR="003749C1" w:rsidRPr="00390F83" w:rsidRDefault="003749C1" w:rsidP="003749C1"/>
    <w:p w14:paraId="63BA2413" w14:textId="77777777" w:rsidR="003749C1" w:rsidRPr="00390F83" w:rsidRDefault="00F319AD" w:rsidP="000730F7">
      <w:pPr>
        <w:ind w:left="432" w:hanging="432"/>
      </w:pPr>
      <w:r w:rsidRPr="00390F83">
        <w:rPr>
          <w:rFonts w:eastAsia="Calibri"/>
        </w:rPr>
        <w:t>3</w:t>
      </w:r>
      <w:r w:rsidR="000730F7" w:rsidRPr="00390F83">
        <w:rPr>
          <w:rFonts w:eastAsia="Calibri"/>
        </w:rPr>
        <w:t>.</w:t>
      </w:r>
      <w:r w:rsidR="000730F7" w:rsidRPr="00390F83">
        <w:rPr>
          <w:rFonts w:eastAsia="Calibri"/>
        </w:rPr>
        <w:tab/>
      </w:r>
      <w:r w:rsidRPr="00390F83">
        <w:rPr>
          <w:rFonts w:eastAsia="Calibri"/>
        </w:rPr>
        <w:t>The</w:t>
      </w:r>
      <w:r w:rsidRPr="00390F83">
        <w:t xml:space="preserve"> anticipated resource implications for the establishment of the Waterbird Estimates Partnership and the delivery of WPE2027 are as follows:</w:t>
      </w:r>
    </w:p>
    <w:p w14:paraId="7706DAAB" w14:textId="77777777" w:rsidR="003749C1" w:rsidRPr="00390F83" w:rsidRDefault="00F319AD" w:rsidP="005F4FC3">
      <w:pPr>
        <w:pStyle w:val="ListParagraph"/>
        <w:numPr>
          <w:ilvl w:val="0"/>
          <w:numId w:val="9"/>
        </w:numPr>
        <w:ind w:left="810"/>
      </w:pPr>
      <w:r w:rsidRPr="00390F83">
        <w:rPr>
          <w:b/>
        </w:rPr>
        <w:t>Establishment of the Partnership</w:t>
      </w:r>
      <w:r w:rsidRPr="00390F83">
        <w:t>: Costs associated with consultations, partner engagement, and documentation are estimated at CHF 38,0</w:t>
      </w:r>
      <w:r w:rsidR="00E51B8A" w:rsidRPr="00390F83">
        <w:t>47</w:t>
      </w:r>
      <w:r w:rsidRPr="00390F83">
        <w:t>.</w:t>
      </w:r>
    </w:p>
    <w:p w14:paraId="5CFFD64B" w14:textId="77777777" w:rsidR="003749C1" w:rsidRPr="00390F83" w:rsidRDefault="00F319AD" w:rsidP="005F4FC3">
      <w:pPr>
        <w:pStyle w:val="ListParagraph"/>
        <w:numPr>
          <w:ilvl w:val="0"/>
          <w:numId w:val="9"/>
        </w:numPr>
        <w:ind w:left="810"/>
      </w:pPr>
      <w:r w:rsidRPr="00390F83">
        <w:rPr>
          <w:b/>
        </w:rPr>
        <w:t>WPE2027 Updates</w:t>
      </w:r>
      <w:r w:rsidRPr="00390F83">
        <w:t>: The estimated cost of updating 1,600 waterbird populations across multiple regions is CHF 366,0</w:t>
      </w:r>
      <w:r w:rsidR="00E51B8A" w:rsidRPr="00390F83">
        <w:t>76</w:t>
      </w:r>
      <w:r w:rsidRPr="00390F83">
        <w:t>. This includes data collation, analysis, and expert consultation.</w:t>
      </w:r>
    </w:p>
    <w:p w14:paraId="5DCCE4F8" w14:textId="7B92829E" w:rsidR="003749C1" w:rsidRPr="00390F83" w:rsidRDefault="00F319AD" w:rsidP="005F4FC3">
      <w:pPr>
        <w:pStyle w:val="ListParagraph"/>
        <w:numPr>
          <w:ilvl w:val="0"/>
          <w:numId w:val="9"/>
        </w:numPr>
        <w:ind w:left="810"/>
      </w:pPr>
      <w:r w:rsidRPr="00390F83">
        <w:rPr>
          <w:b/>
        </w:rPr>
        <w:t>Waterbird Populations Portal Maintenance</w:t>
      </w:r>
      <w:r w:rsidRPr="00390F83">
        <w:t>: CHF 61,234 is estimated for enhancements and bug fixes to improve the Portal</w:t>
      </w:r>
      <w:r w:rsidR="00F35B28" w:rsidRPr="00390F83">
        <w:t>’</w:t>
      </w:r>
      <w:r w:rsidRPr="00390F83">
        <w:t>s usability for Contracting Parties.</w:t>
      </w:r>
    </w:p>
    <w:p w14:paraId="1878E340" w14:textId="77777777" w:rsidR="003749C1" w:rsidRPr="00390F83" w:rsidRDefault="003749C1" w:rsidP="003749C1"/>
    <w:p w14:paraId="70B2C9F7" w14:textId="77777777" w:rsidR="00E51B8A" w:rsidRPr="00390F83" w:rsidRDefault="00F319AD" w:rsidP="00F36C90">
      <w:pPr>
        <w:ind w:left="432" w:hanging="432"/>
      </w:pPr>
      <w:r w:rsidRPr="00390F83">
        <w:t>4.</w:t>
      </w:r>
      <w:r w:rsidRPr="00390F83">
        <w:tab/>
      </w:r>
      <w:r w:rsidR="00D4296B" w:rsidRPr="00390F83">
        <w:t>These cost estimates are based on prior experiences, including AEWA Conservation Status Reviews and similar efforts undertaken in the East Asian-Australasian Flyway. The costs reflect the comprehensive scope of the Waterbird Population Estimates updates and the long-term maintenance required for the Waterbird Populations Portal</w:t>
      </w:r>
      <w:r w:rsidRPr="00390F83">
        <w:t>.</w:t>
      </w:r>
    </w:p>
    <w:p w14:paraId="15FB0005" w14:textId="77777777" w:rsidR="003749C1" w:rsidRPr="00390F83" w:rsidRDefault="003749C1" w:rsidP="00E51B8A"/>
    <w:p w14:paraId="593C79E2" w14:textId="4E7C7805" w:rsidR="003749C1" w:rsidRDefault="00F319AD" w:rsidP="003749C1">
      <w:r w:rsidRPr="00390F83">
        <w:t xml:space="preserve">Table </w:t>
      </w:r>
      <w:r w:rsidR="00E51B8A" w:rsidRPr="00390F83">
        <w:t>1.</w:t>
      </w:r>
      <w:r w:rsidRPr="00390F83">
        <w:t xml:space="preserve"> </w:t>
      </w:r>
      <w:r w:rsidR="00F72951" w:rsidRPr="00390F83">
        <w:t>The</w:t>
      </w:r>
      <w:r w:rsidRPr="00390F83">
        <w:t xml:space="preserve"> overall costs </w:t>
      </w:r>
      <w:r w:rsidR="009F65EE" w:rsidRPr="00390F83">
        <w:t>for delivering WPE2027 and the WEP</w:t>
      </w:r>
      <w:r w:rsidR="009F65EE" w:rsidRPr="00390F83" w:rsidDel="009F65EE">
        <w:t xml:space="preserve"> </w:t>
      </w:r>
      <w:r w:rsidRPr="00390F83">
        <w:t>in Euro and in CHF</w:t>
      </w:r>
      <w:r w:rsidR="00E51B8A" w:rsidRPr="00390F83">
        <w:t>.</w:t>
      </w:r>
    </w:p>
    <w:tbl>
      <w:tblPr>
        <w:tblStyle w:val="TableGrid"/>
        <w:tblW w:w="8926" w:type="dxa"/>
        <w:tblLook w:val="04A0" w:firstRow="1" w:lastRow="0" w:firstColumn="1" w:lastColumn="0" w:noHBand="0" w:noVBand="1"/>
      </w:tblPr>
      <w:tblGrid>
        <w:gridCol w:w="5524"/>
        <w:gridCol w:w="1701"/>
        <w:gridCol w:w="1701"/>
      </w:tblGrid>
      <w:tr w:rsidR="00583A72" w:rsidRPr="00583A72" w14:paraId="35A3BC13" w14:textId="77777777" w:rsidTr="00583A72">
        <w:tc>
          <w:tcPr>
            <w:tcW w:w="5524" w:type="dxa"/>
          </w:tcPr>
          <w:p w14:paraId="2684A562" w14:textId="5646BE1E" w:rsidR="00583A72" w:rsidRPr="00583A72" w:rsidRDefault="00583A72" w:rsidP="00984F89">
            <w:pPr>
              <w:suppressLineNumbers/>
              <w:suppressAutoHyphens/>
              <w:contextualSpacing/>
              <w:rPr>
                <w:rFonts w:cs="Arial"/>
                <w:b/>
                <w:bCs w:val="0"/>
                <w:sz w:val="20"/>
                <w:szCs w:val="20"/>
              </w:rPr>
            </w:pPr>
            <w:r w:rsidRPr="00583A72">
              <w:rPr>
                <w:rFonts w:cs="Arial"/>
                <w:b/>
                <w:bCs w:val="0"/>
                <w:sz w:val="20"/>
                <w:szCs w:val="20"/>
              </w:rPr>
              <w:t xml:space="preserve">Priority actions </w:t>
            </w:r>
          </w:p>
        </w:tc>
        <w:tc>
          <w:tcPr>
            <w:tcW w:w="3402" w:type="dxa"/>
            <w:gridSpan w:val="2"/>
          </w:tcPr>
          <w:p w14:paraId="4ECD50DB" w14:textId="7BAD96BF" w:rsidR="00583A72" w:rsidRPr="00583A72" w:rsidRDefault="00583A72" w:rsidP="00984F89">
            <w:pPr>
              <w:suppressLineNumbers/>
              <w:suppressAutoHyphens/>
              <w:contextualSpacing/>
              <w:rPr>
                <w:rFonts w:cs="Arial"/>
                <w:b/>
                <w:bCs w:val="0"/>
                <w:sz w:val="20"/>
                <w:szCs w:val="20"/>
              </w:rPr>
            </w:pPr>
            <w:r w:rsidRPr="00583A72">
              <w:rPr>
                <w:rFonts w:cs="Arial"/>
                <w:b/>
                <w:bCs w:val="0"/>
                <w:sz w:val="20"/>
                <w:szCs w:val="20"/>
              </w:rPr>
              <w:t>All populations 1600</w:t>
            </w:r>
          </w:p>
        </w:tc>
      </w:tr>
      <w:tr w:rsidR="00583A72" w:rsidRPr="00583A72" w14:paraId="677592C6" w14:textId="77777777" w:rsidTr="00583A72">
        <w:tc>
          <w:tcPr>
            <w:tcW w:w="5524" w:type="dxa"/>
          </w:tcPr>
          <w:p w14:paraId="7966FECF" w14:textId="77777777" w:rsidR="00583A72" w:rsidRPr="00583A72" w:rsidRDefault="00583A72" w:rsidP="00583A72">
            <w:pPr>
              <w:suppressLineNumbers/>
              <w:suppressAutoHyphens/>
              <w:contextualSpacing/>
              <w:rPr>
                <w:rFonts w:cs="Arial"/>
                <w:b/>
                <w:bCs w:val="0"/>
                <w:sz w:val="20"/>
                <w:szCs w:val="20"/>
              </w:rPr>
            </w:pPr>
          </w:p>
        </w:tc>
        <w:tc>
          <w:tcPr>
            <w:tcW w:w="1701" w:type="dxa"/>
          </w:tcPr>
          <w:p w14:paraId="7F4A52F7" w14:textId="64B59EBA" w:rsidR="00583A72" w:rsidRPr="00583A72" w:rsidRDefault="00583A72" w:rsidP="00583A72">
            <w:pPr>
              <w:suppressLineNumbers/>
              <w:suppressAutoHyphens/>
              <w:contextualSpacing/>
              <w:rPr>
                <w:rFonts w:cs="Arial"/>
                <w:b/>
                <w:bCs w:val="0"/>
                <w:sz w:val="20"/>
                <w:szCs w:val="20"/>
              </w:rPr>
            </w:pPr>
            <w:r w:rsidRPr="00583A72">
              <w:rPr>
                <w:rFonts w:cs="Arial"/>
                <w:b/>
                <w:bCs w:val="0"/>
                <w:sz w:val="20"/>
                <w:szCs w:val="20"/>
              </w:rPr>
              <w:t>Cost in Euros</w:t>
            </w:r>
          </w:p>
        </w:tc>
        <w:tc>
          <w:tcPr>
            <w:tcW w:w="1701" w:type="dxa"/>
          </w:tcPr>
          <w:p w14:paraId="615DD307" w14:textId="26972E52" w:rsidR="00583A72" w:rsidRPr="00583A72" w:rsidRDefault="00583A72" w:rsidP="00583A72">
            <w:pPr>
              <w:suppressLineNumbers/>
              <w:suppressAutoHyphens/>
              <w:contextualSpacing/>
              <w:rPr>
                <w:rFonts w:cs="Arial"/>
                <w:b/>
                <w:bCs w:val="0"/>
                <w:sz w:val="20"/>
                <w:szCs w:val="20"/>
              </w:rPr>
            </w:pPr>
            <w:r w:rsidRPr="00583A72">
              <w:rPr>
                <w:rFonts w:cs="Arial"/>
                <w:b/>
                <w:bCs w:val="0"/>
                <w:sz w:val="20"/>
                <w:szCs w:val="20"/>
              </w:rPr>
              <w:t>Cost in CHF</w:t>
            </w:r>
          </w:p>
        </w:tc>
      </w:tr>
      <w:tr w:rsidR="00583A72" w:rsidRPr="003F7858" w14:paraId="147BB498" w14:textId="77777777" w:rsidTr="00583A72">
        <w:tc>
          <w:tcPr>
            <w:tcW w:w="5524" w:type="dxa"/>
          </w:tcPr>
          <w:p w14:paraId="0450B6FB" w14:textId="1BAC3023" w:rsidR="00583A72" w:rsidRPr="00064EB1" w:rsidRDefault="00583A72" w:rsidP="00984F89">
            <w:pPr>
              <w:suppressLineNumbers/>
              <w:suppressAutoHyphens/>
              <w:contextualSpacing/>
              <w:rPr>
                <w:rFonts w:cs="Arial"/>
                <w:sz w:val="20"/>
                <w:szCs w:val="20"/>
              </w:rPr>
            </w:pPr>
            <w:r>
              <w:rPr>
                <w:rFonts w:cs="Arial"/>
                <w:sz w:val="20"/>
                <w:szCs w:val="20"/>
              </w:rPr>
              <w:t xml:space="preserve">a. </w:t>
            </w:r>
            <w:r w:rsidRPr="00064EB1">
              <w:rPr>
                <w:rFonts w:cs="Arial"/>
                <w:sz w:val="20"/>
                <w:szCs w:val="20"/>
              </w:rPr>
              <w:t>Establishment of a long-term global Waterbird Estimates Partnership based on consultations with potential partners (2025-2026)</w:t>
            </w:r>
          </w:p>
        </w:tc>
        <w:tc>
          <w:tcPr>
            <w:tcW w:w="1701" w:type="dxa"/>
          </w:tcPr>
          <w:p w14:paraId="2788666B" w14:textId="16814182" w:rsidR="00583A72" w:rsidRPr="00064EB1" w:rsidRDefault="00583A72" w:rsidP="00583A72">
            <w:pPr>
              <w:suppressLineNumbers/>
              <w:suppressAutoHyphens/>
              <w:contextualSpacing/>
              <w:jc w:val="right"/>
              <w:rPr>
                <w:rFonts w:cs="Arial"/>
                <w:sz w:val="20"/>
                <w:szCs w:val="20"/>
              </w:rPr>
            </w:pPr>
            <w:r>
              <w:rPr>
                <w:rFonts w:cs="Arial"/>
                <w:sz w:val="20"/>
                <w:szCs w:val="20"/>
              </w:rPr>
              <w:t>40,050.00</w:t>
            </w:r>
          </w:p>
        </w:tc>
        <w:tc>
          <w:tcPr>
            <w:tcW w:w="1701" w:type="dxa"/>
          </w:tcPr>
          <w:p w14:paraId="36CDE94B" w14:textId="009E963D" w:rsidR="00583A72" w:rsidRPr="00064EB1" w:rsidRDefault="00583A72" w:rsidP="00583A72">
            <w:pPr>
              <w:suppressLineNumbers/>
              <w:suppressAutoHyphens/>
              <w:contextualSpacing/>
              <w:jc w:val="right"/>
              <w:rPr>
                <w:rFonts w:cs="Arial"/>
                <w:sz w:val="20"/>
                <w:szCs w:val="20"/>
              </w:rPr>
            </w:pPr>
            <w:r w:rsidRPr="00064EB1">
              <w:rPr>
                <w:rFonts w:cs="Arial"/>
                <w:sz w:val="20"/>
                <w:szCs w:val="20"/>
              </w:rPr>
              <w:t>38,0</w:t>
            </w:r>
            <w:r>
              <w:rPr>
                <w:rFonts w:cs="Arial"/>
                <w:sz w:val="20"/>
                <w:szCs w:val="20"/>
              </w:rPr>
              <w:t>47.50</w:t>
            </w:r>
          </w:p>
        </w:tc>
      </w:tr>
      <w:tr w:rsidR="00583A72" w:rsidRPr="003F7858" w14:paraId="570B1ABA" w14:textId="77777777" w:rsidTr="00583A72">
        <w:tc>
          <w:tcPr>
            <w:tcW w:w="5524" w:type="dxa"/>
          </w:tcPr>
          <w:p w14:paraId="73C01B14" w14:textId="4BDA0CA0" w:rsidR="00583A72" w:rsidRPr="00064EB1" w:rsidRDefault="00583A72" w:rsidP="00984F89">
            <w:pPr>
              <w:suppressLineNumbers/>
              <w:suppressAutoHyphens/>
              <w:contextualSpacing/>
              <w:rPr>
                <w:rFonts w:cs="Arial"/>
                <w:sz w:val="20"/>
                <w:szCs w:val="20"/>
              </w:rPr>
            </w:pPr>
            <w:r>
              <w:rPr>
                <w:rFonts w:cs="Arial"/>
                <w:sz w:val="20"/>
                <w:szCs w:val="20"/>
              </w:rPr>
              <w:t xml:space="preserve">b. </w:t>
            </w:r>
            <w:r w:rsidRPr="00064EB1">
              <w:rPr>
                <w:rFonts w:cs="Arial"/>
                <w:sz w:val="20"/>
                <w:szCs w:val="20"/>
              </w:rPr>
              <w:t>Development of WPE27 through a review and update of 1,600 selected priority populations</w:t>
            </w:r>
            <w:r>
              <w:rPr>
                <w:rFonts w:cs="Arial"/>
                <w:sz w:val="20"/>
                <w:szCs w:val="20"/>
              </w:rPr>
              <w:t xml:space="preserve">, </w:t>
            </w:r>
            <w:r w:rsidRPr="00064EB1">
              <w:rPr>
                <w:rFonts w:cs="Arial"/>
                <w:sz w:val="20"/>
                <w:szCs w:val="20"/>
              </w:rPr>
              <w:t xml:space="preserve">not covered </w:t>
            </w:r>
            <w:r>
              <w:rPr>
                <w:rFonts w:cs="Arial"/>
                <w:sz w:val="20"/>
                <w:szCs w:val="20"/>
              </w:rPr>
              <w:t>on</w:t>
            </w:r>
            <w:r w:rsidRPr="00064EB1">
              <w:rPr>
                <w:rFonts w:cs="Arial"/>
                <w:sz w:val="20"/>
                <w:szCs w:val="20"/>
              </w:rPr>
              <w:t xml:space="preserve"> latest AEWA and EAAFP </w:t>
            </w:r>
            <w:r>
              <w:rPr>
                <w:rFonts w:cs="Arial"/>
                <w:sz w:val="20"/>
                <w:szCs w:val="20"/>
              </w:rPr>
              <w:t>CSRs</w:t>
            </w:r>
          </w:p>
        </w:tc>
        <w:tc>
          <w:tcPr>
            <w:tcW w:w="1701" w:type="dxa"/>
          </w:tcPr>
          <w:p w14:paraId="2BDBC3C1" w14:textId="76E88F07" w:rsidR="00583A72" w:rsidRPr="00064EB1" w:rsidRDefault="00583A72" w:rsidP="00583A72">
            <w:pPr>
              <w:suppressLineNumbers/>
              <w:suppressAutoHyphens/>
              <w:contextualSpacing/>
              <w:jc w:val="right"/>
              <w:rPr>
                <w:rFonts w:cs="Arial"/>
                <w:sz w:val="20"/>
                <w:szCs w:val="20"/>
              </w:rPr>
            </w:pPr>
            <w:r>
              <w:rPr>
                <w:rFonts w:cs="Arial"/>
                <w:sz w:val="20"/>
                <w:szCs w:val="20"/>
              </w:rPr>
              <w:t>385,343.83</w:t>
            </w:r>
          </w:p>
        </w:tc>
        <w:tc>
          <w:tcPr>
            <w:tcW w:w="1701" w:type="dxa"/>
          </w:tcPr>
          <w:p w14:paraId="28F195C3" w14:textId="77C79C81" w:rsidR="00583A72" w:rsidRPr="00064EB1" w:rsidRDefault="00583A72" w:rsidP="00583A72">
            <w:pPr>
              <w:suppressLineNumbers/>
              <w:suppressAutoHyphens/>
              <w:contextualSpacing/>
              <w:jc w:val="right"/>
              <w:rPr>
                <w:rFonts w:cs="Arial"/>
                <w:sz w:val="20"/>
                <w:szCs w:val="20"/>
              </w:rPr>
            </w:pPr>
            <w:r w:rsidRPr="00064EB1">
              <w:rPr>
                <w:rFonts w:cs="Arial"/>
                <w:sz w:val="20"/>
                <w:szCs w:val="20"/>
              </w:rPr>
              <w:t>366,0</w:t>
            </w:r>
            <w:r>
              <w:rPr>
                <w:rFonts w:cs="Arial"/>
                <w:sz w:val="20"/>
                <w:szCs w:val="20"/>
              </w:rPr>
              <w:t>76.64</w:t>
            </w:r>
          </w:p>
        </w:tc>
      </w:tr>
      <w:tr w:rsidR="00583A72" w:rsidRPr="003F7858" w14:paraId="4DF06D1E" w14:textId="77777777" w:rsidTr="00583A72">
        <w:tc>
          <w:tcPr>
            <w:tcW w:w="5524" w:type="dxa"/>
          </w:tcPr>
          <w:p w14:paraId="7601D8E6" w14:textId="74430C9B" w:rsidR="00583A72" w:rsidRPr="00064EB1" w:rsidRDefault="00583A72" w:rsidP="00984F89">
            <w:pPr>
              <w:suppressLineNumbers/>
              <w:suppressAutoHyphens/>
              <w:contextualSpacing/>
              <w:rPr>
                <w:rFonts w:cs="Arial"/>
                <w:sz w:val="20"/>
                <w:szCs w:val="20"/>
              </w:rPr>
            </w:pPr>
            <w:r>
              <w:rPr>
                <w:rFonts w:cs="Arial"/>
                <w:sz w:val="20"/>
                <w:szCs w:val="20"/>
              </w:rPr>
              <w:t xml:space="preserve">c. </w:t>
            </w:r>
            <w:r w:rsidRPr="00064EB1">
              <w:rPr>
                <w:rFonts w:cs="Arial"/>
                <w:sz w:val="20"/>
                <w:szCs w:val="20"/>
              </w:rPr>
              <w:t>Waterbird Populations Portal maintenance</w:t>
            </w:r>
            <w:r>
              <w:rPr>
                <w:rFonts w:cs="Arial"/>
                <w:sz w:val="20"/>
                <w:szCs w:val="20"/>
              </w:rPr>
              <w:t>/</w:t>
            </w:r>
            <w:r w:rsidRPr="00064EB1">
              <w:rPr>
                <w:rFonts w:cs="Arial"/>
                <w:sz w:val="20"/>
                <w:szCs w:val="20"/>
              </w:rPr>
              <w:t>enhancement (including ensuring additional functionality of the WPP for enhanced ease of use by Parties)</w:t>
            </w:r>
          </w:p>
        </w:tc>
        <w:tc>
          <w:tcPr>
            <w:tcW w:w="1701" w:type="dxa"/>
          </w:tcPr>
          <w:p w14:paraId="3FEADA7A" w14:textId="2B176EDD" w:rsidR="00583A72" w:rsidRPr="00064EB1" w:rsidRDefault="00583A72" w:rsidP="00583A72">
            <w:pPr>
              <w:suppressLineNumbers/>
              <w:suppressAutoHyphens/>
              <w:contextualSpacing/>
              <w:jc w:val="right"/>
              <w:rPr>
                <w:rFonts w:cs="Arial"/>
                <w:sz w:val="20"/>
                <w:szCs w:val="20"/>
              </w:rPr>
            </w:pPr>
            <w:r>
              <w:rPr>
                <w:rFonts w:cs="Arial"/>
                <w:sz w:val="20"/>
                <w:szCs w:val="20"/>
              </w:rPr>
              <w:t>64,457.50</w:t>
            </w:r>
          </w:p>
        </w:tc>
        <w:tc>
          <w:tcPr>
            <w:tcW w:w="1701" w:type="dxa"/>
          </w:tcPr>
          <w:p w14:paraId="2FCC5BF4" w14:textId="1DBC3D3B" w:rsidR="00583A72" w:rsidRPr="00064EB1" w:rsidRDefault="00583A72" w:rsidP="00583A72">
            <w:pPr>
              <w:suppressLineNumbers/>
              <w:suppressAutoHyphens/>
              <w:contextualSpacing/>
              <w:jc w:val="right"/>
              <w:rPr>
                <w:rFonts w:cs="Arial"/>
                <w:sz w:val="20"/>
                <w:szCs w:val="20"/>
              </w:rPr>
            </w:pPr>
            <w:r w:rsidRPr="00064EB1">
              <w:rPr>
                <w:rFonts w:cs="Arial"/>
                <w:sz w:val="20"/>
                <w:szCs w:val="20"/>
              </w:rPr>
              <w:t>61,</w:t>
            </w:r>
            <w:r>
              <w:rPr>
                <w:rFonts w:cs="Arial"/>
                <w:sz w:val="20"/>
                <w:szCs w:val="20"/>
              </w:rPr>
              <w:t>234.63</w:t>
            </w:r>
          </w:p>
        </w:tc>
      </w:tr>
      <w:tr w:rsidR="00583A72" w:rsidRPr="00583A72" w14:paraId="40467610" w14:textId="77777777" w:rsidTr="00583A72">
        <w:tc>
          <w:tcPr>
            <w:tcW w:w="5524" w:type="dxa"/>
          </w:tcPr>
          <w:p w14:paraId="096BB8E2" w14:textId="0FB6B018" w:rsidR="00583A72" w:rsidRPr="00583A72" w:rsidRDefault="00583A72" w:rsidP="00984F89">
            <w:pPr>
              <w:suppressLineNumbers/>
              <w:suppressAutoHyphens/>
              <w:contextualSpacing/>
              <w:rPr>
                <w:rFonts w:cs="Arial"/>
                <w:b/>
                <w:bCs w:val="0"/>
                <w:sz w:val="20"/>
                <w:szCs w:val="20"/>
              </w:rPr>
            </w:pPr>
            <w:r w:rsidRPr="00583A72">
              <w:rPr>
                <w:rFonts w:cs="Arial"/>
                <w:b/>
                <w:bCs w:val="0"/>
                <w:sz w:val="20"/>
                <w:szCs w:val="20"/>
              </w:rPr>
              <w:t>Total</w:t>
            </w:r>
          </w:p>
        </w:tc>
        <w:tc>
          <w:tcPr>
            <w:tcW w:w="1701" w:type="dxa"/>
          </w:tcPr>
          <w:p w14:paraId="04A06DB4" w14:textId="39B76D3E" w:rsidR="00583A72" w:rsidRPr="00583A72" w:rsidRDefault="00583A72" w:rsidP="00583A72">
            <w:pPr>
              <w:suppressLineNumbers/>
              <w:suppressAutoHyphens/>
              <w:contextualSpacing/>
              <w:jc w:val="right"/>
              <w:rPr>
                <w:rFonts w:cs="Arial"/>
                <w:b/>
                <w:bCs w:val="0"/>
                <w:sz w:val="20"/>
                <w:szCs w:val="20"/>
              </w:rPr>
            </w:pPr>
            <w:r w:rsidRPr="00583A72">
              <w:rPr>
                <w:rFonts w:cs="Arial"/>
                <w:b/>
                <w:bCs w:val="0"/>
                <w:sz w:val="20"/>
                <w:szCs w:val="20"/>
              </w:rPr>
              <w:t>489,851.33</w:t>
            </w:r>
          </w:p>
        </w:tc>
        <w:tc>
          <w:tcPr>
            <w:tcW w:w="1701" w:type="dxa"/>
          </w:tcPr>
          <w:p w14:paraId="199D3D54" w14:textId="05016067" w:rsidR="00583A72" w:rsidRPr="00583A72" w:rsidRDefault="00583A72" w:rsidP="00583A72">
            <w:pPr>
              <w:suppressLineNumbers/>
              <w:suppressAutoHyphens/>
              <w:contextualSpacing/>
              <w:jc w:val="right"/>
              <w:rPr>
                <w:rFonts w:cs="Arial"/>
                <w:b/>
                <w:bCs w:val="0"/>
                <w:sz w:val="20"/>
                <w:szCs w:val="20"/>
              </w:rPr>
            </w:pPr>
            <w:r w:rsidRPr="00583A72">
              <w:rPr>
                <w:rFonts w:cs="Arial"/>
                <w:b/>
                <w:bCs w:val="0"/>
                <w:sz w:val="20"/>
                <w:szCs w:val="20"/>
              </w:rPr>
              <w:t>465,358.76</w:t>
            </w:r>
          </w:p>
        </w:tc>
      </w:tr>
    </w:tbl>
    <w:p w14:paraId="16B2536C" w14:textId="77777777" w:rsidR="00583A72" w:rsidRPr="00390F83" w:rsidRDefault="00583A72" w:rsidP="003749C1"/>
    <w:p w14:paraId="001CCA8B" w14:textId="20DBF928" w:rsidR="003749C1" w:rsidRPr="00390F83" w:rsidRDefault="003749C1" w:rsidP="003749C1"/>
    <w:p w14:paraId="6B92D823" w14:textId="77777777" w:rsidR="00FA204E" w:rsidRPr="00390F83" w:rsidRDefault="00F319AD" w:rsidP="003749C1">
      <w:r w:rsidRPr="00390F83">
        <w:br w:type="page"/>
      </w:r>
    </w:p>
    <w:p w14:paraId="7B7AA5E8" w14:textId="77777777" w:rsidR="00F45C8F" w:rsidRPr="00390F83" w:rsidRDefault="00F319AD" w:rsidP="00F45C8F">
      <w:pPr>
        <w:ind w:left="432" w:hanging="432"/>
      </w:pPr>
      <w:r w:rsidRPr="00390F83">
        <w:t>5.</w:t>
      </w:r>
      <w:r w:rsidRPr="00390F83">
        <w:tab/>
      </w:r>
      <w:r w:rsidR="003A3C9E" w:rsidRPr="00390F83">
        <w:t>Table 2 outlines the priority waterbird populations and review mechanisms for WPE2027 updates based on regional assessments</w:t>
      </w:r>
      <w:r w:rsidRPr="00390F83">
        <w:t xml:space="preserve">. </w:t>
      </w:r>
    </w:p>
    <w:p w14:paraId="2B3BB2CA" w14:textId="77777777" w:rsidR="006975BB" w:rsidRPr="00390F83" w:rsidRDefault="006975BB" w:rsidP="006975BB">
      <w:pPr>
        <w:pBdr>
          <w:top w:val="nil"/>
          <w:left w:val="nil"/>
          <w:bottom w:val="nil"/>
          <w:right w:val="nil"/>
          <w:between w:val="nil"/>
        </w:pBdr>
      </w:pPr>
    </w:p>
    <w:p w14:paraId="2C46AC73" w14:textId="77777777" w:rsidR="006975BB" w:rsidRPr="00390F83" w:rsidRDefault="00F319AD" w:rsidP="006975BB">
      <w:r w:rsidRPr="00390F83">
        <w:t>Table 2. Waterbird population priorities and review mechanism for WPE2027.</w:t>
      </w:r>
    </w:p>
    <w:tbl>
      <w:tblPr>
        <w:tblStyle w:val="5"/>
        <w:tblW w:w="8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2122"/>
        <w:gridCol w:w="2551"/>
        <w:gridCol w:w="1559"/>
        <w:gridCol w:w="2693"/>
      </w:tblGrid>
      <w:tr w:rsidR="007B31B2" w:rsidRPr="00390F83" w14:paraId="59B7C3A6" w14:textId="77777777" w:rsidTr="008535D1">
        <w:trPr>
          <w:trHeight w:val="288"/>
          <w:tblHeader/>
        </w:trPr>
        <w:tc>
          <w:tcPr>
            <w:tcW w:w="2122" w:type="dxa"/>
            <w:tcBorders>
              <w:bottom w:val="single" w:sz="4" w:space="0" w:color="000000"/>
            </w:tcBorders>
            <w:shd w:val="clear" w:color="auto" w:fill="E8E8E8" w:themeFill="background2"/>
            <w:vAlign w:val="center"/>
          </w:tcPr>
          <w:p w14:paraId="2E52930B" w14:textId="77777777" w:rsidR="006975BB" w:rsidRPr="00EF7423" w:rsidRDefault="00F319AD" w:rsidP="008535D1">
            <w:pPr>
              <w:ind w:left="82"/>
              <w:rPr>
                <w:rFonts w:eastAsia="Arial"/>
                <w:color w:val="000000"/>
                <w:sz w:val="18"/>
                <w:szCs w:val="18"/>
                <w:lang w:val="en-US"/>
              </w:rPr>
            </w:pPr>
            <w:r w:rsidRPr="00EF7423">
              <w:rPr>
                <w:rFonts w:eastAsia="Arial"/>
                <w:color w:val="000000"/>
                <w:sz w:val="18"/>
                <w:szCs w:val="18"/>
              </w:rPr>
              <w:t>Populations</w:t>
            </w:r>
          </w:p>
          <w:p w14:paraId="30DFC99D" w14:textId="77777777" w:rsidR="006975BB" w:rsidRPr="00EF7423" w:rsidRDefault="00F319AD" w:rsidP="008535D1">
            <w:pPr>
              <w:ind w:left="82"/>
              <w:rPr>
                <w:rFonts w:eastAsia="Arial"/>
                <w:color w:val="000000"/>
                <w:sz w:val="18"/>
                <w:szCs w:val="18"/>
                <w:lang w:val="en-US"/>
              </w:rPr>
            </w:pPr>
            <w:r w:rsidRPr="00EF7423">
              <w:rPr>
                <w:rFonts w:eastAsia="Arial"/>
                <w:color w:val="000000"/>
                <w:sz w:val="18"/>
                <w:szCs w:val="18"/>
              </w:rPr>
              <w:t>(no. of populations as per region/flyway in WPP)</w:t>
            </w:r>
          </w:p>
        </w:tc>
        <w:tc>
          <w:tcPr>
            <w:tcW w:w="2551" w:type="dxa"/>
            <w:tcBorders>
              <w:bottom w:val="single" w:sz="4" w:space="0" w:color="000000"/>
            </w:tcBorders>
            <w:shd w:val="clear" w:color="auto" w:fill="E8E8E8" w:themeFill="background2"/>
            <w:vAlign w:val="center"/>
          </w:tcPr>
          <w:p w14:paraId="144663DB" w14:textId="77777777" w:rsidR="006975BB" w:rsidRPr="00EF7423" w:rsidRDefault="00F319AD" w:rsidP="008535D1">
            <w:pPr>
              <w:ind w:left="82" w:right="-58"/>
              <w:rPr>
                <w:rFonts w:eastAsia="Arial"/>
                <w:color w:val="000000"/>
                <w:sz w:val="18"/>
                <w:szCs w:val="18"/>
                <w:lang w:val="en-US"/>
              </w:rPr>
            </w:pPr>
            <w:r w:rsidRPr="00EF7423">
              <w:rPr>
                <w:rFonts w:eastAsia="Arial"/>
                <w:color w:val="000000"/>
                <w:sz w:val="18"/>
                <w:szCs w:val="18"/>
              </w:rPr>
              <w:t>Current review process/mechanism and resourcing assessment</w:t>
            </w:r>
          </w:p>
        </w:tc>
        <w:tc>
          <w:tcPr>
            <w:tcW w:w="1559" w:type="dxa"/>
            <w:tcBorders>
              <w:bottom w:val="single" w:sz="4" w:space="0" w:color="000000"/>
            </w:tcBorders>
            <w:shd w:val="clear" w:color="auto" w:fill="E8E8E8" w:themeFill="background2"/>
            <w:vAlign w:val="center"/>
          </w:tcPr>
          <w:p w14:paraId="6B717789" w14:textId="77777777" w:rsidR="006975BB" w:rsidRPr="00EF7423" w:rsidRDefault="00F319AD" w:rsidP="008535D1">
            <w:pPr>
              <w:ind w:left="82"/>
              <w:rPr>
                <w:rFonts w:eastAsia="Arial"/>
                <w:color w:val="000000"/>
                <w:sz w:val="18"/>
                <w:szCs w:val="18"/>
                <w:lang w:val="en-US"/>
              </w:rPr>
            </w:pPr>
            <w:r w:rsidRPr="00EF7423">
              <w:rPr>
                <w:rFonts w:eastAsia="Arial"/>
                <w:color w:val="000000"/>
                <w:sz w:val="18"/>
                <w:szCs w:val="18"/>
              </w:rPr>
              <w:t>Priority for a proposed WPE 2027 update</w:t>
            </w:r>
          </w:p>
        </w:tc>
        <w:tc>
          <w:tcPr>
            <w:tcW w:w="2693" w:type="dxa"/>
            <w:tcBorders>
              <w:bottom w:val="single" w:sz="4" w:space="0" w:color="000000"/>
            </w:tcBorders>
            <w:shd w:val="clear" w:color="auto" w:fill="E8E8E8" w:themeFill="background2"/>
            <w:vAlign w:val="center"/>
          </w:tcPr>
          <w:p w14:paraId="7B03BEB3" w14:textId="77777777" w:rsidR="006975BB" w:rsidRPr="00EF7423" w:rsidRDefault="00F319AD" w:rsidP="008535D1">
            <w:pPr>
              <w:ind w:left="82"/>
              <w:rPr>
                <w:rFonts w:eastAsia="Arial"/>
                <w:color w:val="000000"/>
                <w:sz w:val="18"/>
                <w:szCs w:val="18"/>
                <w:lang w:val="en-US"/>
              </w:rPr>
            </w:pPr>
            <w:r w:rsidRPr="00EF7423">
              <w:rPr>
                <w:rFonts w:eastAsia="Arial"/>
                <w:color w:val="000000"/>
                <w:sz w:val="18"/>
                <w:szCs w:val="18"/>
              </w:rPr>
              <w:t>Activities with Resource implications</w:t>
            </w:r>
          </w:p>
        </w:tc>
      </w:tr>
    </w:tbl>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4957"/>
        <w:gridCol w:w="1984"/>
        <w:gridCol w:w="1985"/>
      </w:tblGrid>
      <w:tr w:rsidR="004B2CDD" w:rsidRPr="00390F83" w14:paraId="0153CABA" w14:textId="77777777" w:rsidTr="00984F89">
        <w:trPr>
          <w:trHeight w:val="260"/>
        </w:trPr>
        <w:tc>
          <w:tcPr>
            <w:tcW w:w="4957" w:type="dxa"/>
            <w:tcBorders>
              <w:right w:val="nil"/>
            </w:tcBorders>
            <w:shd w:val="clear" w:color="auto" w:fill="auto"/>
          </w:tcPr>
          <w:p w14:paraId="2D5F6A8F" w14:textId="6B0A67F8" w:rsidR="004B2CDD" w:rsidRPr="00EF7423" w:rsidRDefault="004B2CDD" w:rsidP="004B2CDD">
            <w:pPr>
              <w:ind w:left="80" w:hanging="80"/>
              <w:rPr>
                <w:rFonts w:eastAsia="Arial"/>
                <w:b/>
                <w:color w:val="000000"/>
                <w:sz w:val="18"/>
                <w:szCs w:val="18"/>
              </w:rPr>
            </w:pPr>
            <w:r w:rsidRPr="00EF7423">
              <w:rPr>
                <w:rFonts w:eastAsia="Arial"/>
                <w:b/>
                <w:color w:val="000000"/>
                <w:sz w:val="18"/>
                <w:szCs w:val="18"/>
              </w:rPr>
              <w:t>Resident or locally dispersing</w:t>
            </w:r>
          </w:p>
        </w:tc>
        <w:tc>
          <w:tcPr>
            <w:tcW w:w="1984" w:type="dxa"/>
            <w:tcBorders>
              <w:left w:val="nil"/>
              <w:right w:val="nil"/>
            </w:tcBorders>
            <w:shd w:val="clear" w:color="auto" w:fill="auto"/>
          </w:tcPr>
          <w:p w14:paraId="4087C166" w14:textId="77777777" w:rsidR="004B2CDD" w:rsidRPr="00EF7423" w:rsidRDefault="004B2CDD" w:rsidP="008535D1">
            <w:pPr>
              <w:rPr>
                <w:rFonts w:eastAsia="Arial"/>
                <w:sz w:val="18"/>
                <w:szCs w:val="18"/>
              </w:rPr>
            </w:pPr>
          </w:p>
        </w:tc>
        <w:tc>
          <w:tcPr>
            <w:tcW w:w="1985" w:type="dxa"/>
            <w:tcBorders>
              <w:left w:val="nil"/>
            </w:tcBorders>
            <w:shd w:val="clear" w:color="auto" w:fill="auto"/>
          </w:tcPr>
          <w:p w14:paraId="33132A8A" w14:textId="77777777" w:rsidR="004B2CDD" w:rsidRPr="00EF7423" w:rsidRDefault="004B2CDD" w:rsidP="008535D1">
            <w:pPr>
              <w:rPr>
                <w:rFonts w:eastAsia="Arial"/>
                <w:sz w:val="18"/>
                <w:szCs w:val="18"/>
              </w:rPr>
            </w:pPr>
          </w:p>
        </w:tc>
      </w:tr>
    </w:tbl>
    <w:tbl>
      <w:tblPr>
        <w:tblStyle w:val="5"/>
        <w:tblW w:w="89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2122"/>
        <w:gridCol w:w="2551"/>
        <w:gridCol w:w="1609"/>
        <w:gridCol w:w="2647"/>
      </w:tblGrid>
      <w:tr w:rsidR="007B31B2" w:rsidRPr="00390F83" w14:paraId="0CD1AF2F" w14:textId="77777777" w:rsidTr="008535D1">
        <w:trPr>
          <w:trHeight w:val="576"/>
        </w:trPr>
        <w:tc>
          <w:tcPr>
            <w:tcW w:w="2122" w:type="dxa"/>
            <w:shd w:val="clear" w:color="auto" w:fill="auto"/>
          </w:tcPr>
          <w:p w14:paraId="0694E5D7" w14:textId="77777777" w:rsidR="006975BB" w:rsidRPr="00EF7423" w:rsidRDefault="00F319AD" w:rsidP="008535D1">
            <w:pPr>
              <w:ind w:left="82"/>
              <w:rPr>
                <w:rFonts w:eastAsia="Arial"/>
                <w:color w:val="000000"/>
                <w:sz w:val="18"/>
                <w:szCs w:val="18"/>
                <w:lang w:val="en-US"/>
              </w:rPr>
            </w:pPr>
            <w:r w:rsidRPr="00EF7423">
              <w:rPr>
                <w:rFonts w:eastAsia="Arial"/>
                <w:color w:val="000000"/>
                <w:sz w:val="18"/>
                <w:szCs w:val="18"/>
              </w:rPr>
              <w:t>Africa (226)</w:t>
            </w:r>
          </w:p>
        </w:tc>
        <w:tc>
          <w:tcPr>
            <w:tcW w:w="2551" w:type="dxa"/>
            <w:shd w:val="clear" w:color="auto" w:fill="auto"/>
          </w:tcPr>
          <w:p w14:paraId="1942194A" w14:textId="77777777" w:rsidR="006975BB" w:rsidRPr="00EF7423" w:rsidRDefault="00F319AD" w:rsidP="008535D1">
            <w:pPr>
              <w:rPr>
                <w:rFonts w:eastAsia="Arial"/>
                <w:color w:val="000000"/>
                <w:sz w:val="18"/>
                <w:szCs w:val="18"/>
                <w:lang w:val="en-US"/>
              </w:rPr>
            </w:pPr>
            <w:r w:rsidRPr="00EF7423">
              <w:rPr>
                <w:rFonts w:eastAsia="Arial"/>
                <w:color w:val="000000"/>
                <w:sz w:val="18"/>
                <w:szCs w:val="18"/>
              </w:rPr>
              <w:t>Outdated information with no process in place</w:t>
            </w:r>
          </w:p>
        </w:tc>
        <w:tc>
          <w:tcPr>
            <w:tcW w:w="1609" w:type="dxa"/>
            <w:shd w:val="clear" w:color="auto" w:fill="auto"/>
          </w:tcPr>
          <w:p w14:paraId="17D0E2FE" w14:textId="77777777" w:rsidR="006975BB" w:rsidRPr="00EF7423" w:rsidRDefault="00F319AD" w:rsidP="008535D1">
            <w:pPr>
              <w:rPr>
                <w:rFonts w:eastAsia="Arial"/>
                <w:color w:val="000000"/>
                <w:sz w:val="18"/>
                <w:szCs w:val="18"/>
                <w:lang w:val="en-US"/>
              </w:rPr>
            </w:pPr>
            <w:r w:rsidRPr="00EF7423">
              <w:rPr>
                <w:rFonts w:eastAsia="Arial"/>
                <w:color w:val="000000"/>
                <w:sz w:val="18"/>
                <w:szCs w:val="18"/>
              </w:rPr>
              <w:t xml:space="preserve">High priority </w:t>
            </w:r>
          </w:p>
        </w:tc>
        <w:tc>
          <w:tcPr>
            <w:tcW w:w="2647" w:type="dxa"/>
            <w:shd w:val="clear" w:color="auto" w:fill="auto"/>
          </w:tcPr>
          <w:p w14:paraId="43A0D9D6" w14:textId="77777777" w:rsidR="006975BB" w:rsidRPr="00EF7423" w:rsidRDefault="00F319AD" w:rsidP="008535D1">
            <w:pPr>
              <w:rPr>
                <w:rFonts w:eastAsia="Arial"/>
                <w:color w:val="000000"/>
                <w:sz w:val="18"/>
                <w:szCs w:val="18"/>
                <w:lang w:val="en-US"/>
              </w:rPr>
            </w:pPr>
            <w:r w:rsidRPr="00EF7423">
              <w:rPr>
                <w:rFonts w:eastAsia="Arial"/>
                <w:color w:val="000000"/>
                <w:sz w:val="18"/>
                <w:szCs w:val="18"/>
              </w:rPr>
              <w:t>Collate, review and update to Portal</w:t>
            </w:r>
          </w:p>
        </w:tc>
      </w:tr>
      <w:tr w:rsidR="007B31B2" w:rsidRPr="00390F83" w14:paraId="5220ADC4" w14:textId="77777777" w:rsidTr="008535D1">
        <w:trPr>
          <w:trHeight w:val="864"/>
        </w:trPr>
        <w:tc>
          <w:tcPr>
            <w:tcW w:w="2122" w:type="dxa"/>
            <w:shd w:val="clear" w:color="auto" w:fill="auto"/>
          </w:tcPr>
          <w:p w14:paraId="633A4BDB" w14:textId="77777777" w:rsidR="006975BB" w:rsidRPr="00EF7423" w:rsidRDefault="00F319AD" w:rsidP="008535D1">
            <w:pPr>
              <w:ind w:left="82"/>
              <w:rPr>
                <w:rFonts w:eastAsia="Arial"/>
                <w:color w:val="000000"/>
                <w:sz w:val="18"/>
                <w:szCs w:val="18"/>
                <w:lang w:val="en-US"/>
              </w:rPr>
            </w:pPr>
            <w:r w:rsidRPr="00EF7423">
              <w:rPr>
                <w:rFonts w:eastAsia="Arial"/>
                <w:color w:val="000000"/>
                <w:sz w:val="18"/>
                <w:szCs w:val="18"/>
              </w:rPr>
              <w:t>Nearctic (North America) (91)</w:t>
            </w:r>
          </w:p>
        </w:tc>
        <w:tc>
          <w:tcPr>
            <w:tcW w:w="2551" w:type="dxa"/>
            <w:shd w:val="clear" w:color="auto" w:fill="auto"/>
          </w:tcPr>
          <w:p w14:paraId="4E7CE9B9" w14:textId="77777777" w:rsidR="006975BB" w:rsidRPr="00EF7423" w:rsidRDefault="00F319AD" w:rsidP="008535D1">
            <w:pPr>
              <w:rPr>
                <w:rFonts w:eastAsia="Arial"/>
                <w:color w:val="000000"/>
                <w:sz w:val="18"/>
                <w:szCs w:val="18"/>
                <w:lang w:val="en-US"/>
              </w:rPr>
            </w:pPr>
            <w:r w:rsidRPr="00EF7423">
              <w:rPr>
                <w:rFonts w:eastAsia="Arial"/>
                <w:color w:val="000000"/>
                <w:sz w:val="18"/>
                <w:szCs w:val="18"/>
              </w:rPr>
              <w:t>National processes in North America exist</w:t>
            </w:r>
          </w:p>
        </w:tc>
        <w:tc>
          <w:tcPr>
            <w:tcW w:w="1609" w:type="dxa"/>
            <w:shd w:val="clear" w:color="auto" w:fill="auto"/>
          </w:tcPr>
          <w:p w14:paraId="291F3DE4" w14:textId="77777777" w:rsidR="006975BB" w:rsidRPr="00EF7423" w:rsidRDefault="00F319AD" w:rsidP="008535D1">
            <w:pPr>
              <w:rPr>
                <w:rFonts w:eastAsia="Arial"/>
                <w:color w:val="000000"/>
                <w:sz w:val="18"/>
                <w:szCs w:val="18"/>
                <w:lang w:val="en-US"/>
              </w:rPr>
            </w:pPr>
            <w:r w:rsidRPr="00EF7423">
              <w:rPr>
                <w:rFonts w:eastAsia="Arial"/>
                <w:color w:val="000000"/>
                <w:sz w:val="18"/>
                <w:szCs w:val="18"/>
              </w:rPr>
              <w:t xml:space="preserve">High priority </w:t>
            </w:r>
          </w:p>
        </w:tc>
        <w:tc>
          <w:tcPr>
            <w:tcW w:w="2647" w:type="dxa"/>
            <w:shd w:val="clear" w:color="auto" w:fill="auto"/>
          </w:tcPr>
          <w:p w14:paraId="2E962BF2" w14:textId="77777777" w:rsidR="006975BB" w:rsidRPr="00EF7423" w:rsidRDefault="00F319AD" w:rsidP="008535D1">
            <w:pPr>
              <w:rPr>
                <w:rFonts w:eastAsia="Arial"/>
                <w:color w:val="000000"/>
                <w:sz w:val="18"/>
                <w:szCs w:val="18"/>
                <w:lang w:val="en-US"/>
              </w:rPr>
            </w:pPr>
            <w:r w:rsidRPr="00EF7423">
              <w:rPr>
                <w:rFonts w:eastAsia="Arial"/>
                <w:color w:val="000000"/>
                <w:sz w:val="18"/>
                <w:szCs w:val="18"/>
              </w:rPr>
              <w:t>Assess the compatibility of available information and update the Portal</w:t>
            </w:r>
          </w:p>
        </w:tc>
      </w:tr>
      <w:tr w:rsidR="007B31B2" w:rsidRPr="00390F83" w14:paraId="2C922A65" w14:textId="77777777" w:rsidTr="008535D1">
        <w:trPr>
          <w:trHeight w:val="576"/>
        </w:trPr>
        <w:tc>
          <w:tcPr>
            <w:tcW w:w="2122" w:type="dxa"/>
            <w:shd w:val="clear" w:color="auto" w:fill="auto"/>
          </w:tcPr>
          <w:p w14:paraId="4AB723A6" w14:textId="77777777" w:rsidR="006975BB" w:rsidRPr="00EF7423" w:rsidRDefault="00F319AD" w:rsidP="008535D1">
            <w:pPr>
              <w:ind w:left="82"/>
              <w:rPr>
                <w:rFonts w:eastAsia="Arial"/>
                <w:color w:val="000000"/>
                <w:sz w:val="18"/>
                <w:szCs w:val="18"/>
                <w:lang w:val="en-US"/>
              </w:rPr>
            </w:pPr>
            <w:r w:rsidRPr="00EF7423">
              <w:rPr>
                <w:rFonts w:eastAsia="Arial"/>
                <w:color w:val="000000"/>
                <w:sz w:val="18"/>
                <w:szCs w:val="18"/>
              </w:rPr>
              <w:t xml:space="preserve">Neotropics (Central and South America and Caribbean) (200) </w:t>
            </w:r>
          </w:p>
        </w:tc>
        <w:tc>
          <w:tcPr>
            <w:tcW w:w="2551" w:type="dxa"/>
            <w:shd w:val="clear" w:color="auto" w:fill="auto"/>
          </w:tcPr>
          <w:p w14:paraId="6EDF8346" w14:textId="77777777" w:rsidR="006975BB" w:rsidRPr="00EF7423" w:rsidRDefault="00F319AD" w:rsidP="008535D1">
            <w:pPr>
              <w:rPr>
                <w:rFonts w:eastAsia="Arial"/>
                <w:color w:val="000000"/>
                <w:sz w:val="18"/>
                <w:szCs w:val="18"/>
                <w:lang w:val="en-US"/>
              </w:rPr>
            </w:pPr>
            <w:r w:rsidRPr="00EF7423">
              <w:rPr>
                <w:rFonts w:eastAsia="Arial"/>
                <w:color w:val="000000"/>
                <w:sz w:val="18"/>
                <w:szCs w:val="18"/>
              </w:rPr>
              <w:t>Outdated information with no process in place</w:t>
            </w:r>
          </w:p>
        </w:tc>
        <w:tc>
          <w:tcPr>
            <w:tcW w:w="1609" w:type="dxa"/>
            <w:shd w:val="clear" w:color="auto" w:fill="auto"/>
          </w:tcPr>
          <w:p w14:paraId="0FBC0AD2" w14:textId="77777777" w:rsidR="006975BB" w:rsidRPr="00EF7423" w:rsidRDefault="00F319AD" w:rsidP="008535D1">
            <w:pPr>
              <w:rPr>
                <w:rFonts w:eastAsia="Arial"/>
                <w:color w:val="000000"/>
                <w:sz w:val="18"/>
                <w:szCs w:val="18"/>
                <w:lang w:val="en-US"/>
              </w:rPr>
            </w:pPr>
            <w:r w:rsidRPr="00EF7423">
              <w:rPr>
                <w:rFonts w:eastAsia="Arial"/>
                <w:color w:val="000000"/>
                <w:sz w:val="18"/>
                <w:szCs w:val="18"/>
              </w:rPr>
              <w:t xml:space="preserve">High priority </w:t>
            </w:r>
          </w:p>
        </w:tc>
        <w:tc>
          <w:tcPr>
            <w:tcW w:w="2647" w:type="dxa"/>
            <w:shd w:val="clear" w:color="auto" w:fill="auto"/>
          </w:tcPr>
          <w:p w14:paraId="3BF7CD77" w14:textId="77777777" w:rsidR="006975BB" w:rsidRPr="00EF7423" w:rsidRDefault="00F319AD" w:rsidP="008535D1">
            <w:pPr>
              <w:rPr>
                <w:rFonts w:eastAsia="Arial"/>
                <w:color w:val="000000"/>
                <w:sz w:val="18"/>
                <w:szCs w:val="18"/>
                <w:lang w:val="en-US"/>
              </w:rPr>
            </w:pPr>
            <w:r w:rsidRPr="00EF7423">
              <w:rPr>
                <w:rFonts w:eastAsia="Arial"/>
                <w:color w:val="000000"/>
                <w:sz w:val="18"/>
                <w:szCs w:val="18"/>
              </w:rPr>
              <w:t>Collate, review and update to Portal</w:t>
            </w:r>
          </w:p>
        </w:tc>
      </w:tr>
      <w:tr w:rsidR="007B31B2" w:rsidRPr="00390F83" w14:paraId="08B65FC6" w14:textId="77777777" w:rsidTr="008535D1">
        <w:trPr>
          <w:trHeight w:val="576"/>
        </w:trPr>
        <w:tc>
          <w:tcPr>
            <w:tcW w:w="2122" w:type="dxa"/>
            <w:shd w:val="clear" w:color="auto" w:fill="auto"/>
          </w:tcPr>
          <w:p w14:paraId="7E712833" w14:textId="77777777" w:rsidR="006975BB" w:rsidRPr="00EF7423" w:rsidRDefault="00F319AD" w:rsidP="008535D1">
            <w:pPr>
              <w:ind w:left="82"/>
              <w:rPr>
                <w:rFonts w:eastAsia="Arial"/>
                <w:color w:val="000000"/>
                <w:sz w:val="18"/>
                <w:szCs w:val="18"/>
                <w:lang w:val="en-US"/>
              </w:rPr>
            </w:pPr>
            <w:r w:rsidRPr="00EF7423">
              <w:rPr>
                <w:rFonts w:eastAsia="Arial"/>
                <w:color w:val="000000"/>
                <w:sz w:val="18"/>
                <w:szCs w:val="18"/>
              </w:rPr>
              <w:t>Asia (Indo-Malay &amp; Eastern Palearctic ) (132)</w:t>
            </w:r>
          </w:p>
        </w:tc>
        <w:tc>
          <w:tcPr>
            <w:tcW w:w="2551" w:type="dxa"/>
            <w:shd w:val="clear" w:color="auto" w:fill="auto"/>
          </w:tcPr>
          <w:p w14:paraId="56201F9E" w14:textId="77777777" w:rsidR="006975BB" w:rsidRPr="00EF7423" w:rsidRDefault="00F319AD" w:rsidP="008535D1">
            <w:pPr>
              <w:rPr>
                <w:rFonts w:eastAsia="Arial"/>
                <w:color w:val="000000"/>
                <w:sz w:val="18"/>
                <w:szCs w:val="18"/>
                <w:lang w:val="en-US"/>
              </w:rPr>
            </w:pPr>
            <w:r w:rsidRPr="00EF7423">
              <w:rPr>
                <w:rFonts w:eastAsia="Arial"/>
                <w:color w:val="000000"/>
                <w:sz w:val="18"/>
                <w:szCs w:val="18"/>
              </w:rPr>
              <w:t>Outdated information with no process in place</w:t>
            </w:r>
          </w:p>
        </w:tc>
        <w:tc>
          <w:tcPr>
            <w:tcW w:w="1609" w:type="dxa"/>
            <w:shd w:val="clear" w:color="auto" w:fill="auto"/>
          </w:tcPr>
          <w:p w14:paraId="2969CA3D" w14:textId="77777777" w:rsidR="006975BB" w:rsidRPr="00EF7423" w:rsidRDefault="00F319AD" w:rsidP="008535D1">
            <w:pPr>
              <w:rPr>
                <w:rFonts w:eastAsia="Arial"/>
                <w:color w:val="000000"/>
                <w:sz w:val="18"/>
                <w:szCs w:val="18"/>
                <w:lang w:val="en-US"/>
              </w:rPr>
            </w:pPr>
            <w:r w:rsidRPr="00EF7423">
              <w:rPr>
                <w:rFonts w:eastAsia="Arial"/>
                <w:color w:val="000000"/>
                <w:sz w:val="18"/>
                <w:szCs w:val="18"/>
              </w:rPr>
              <w:t xml:space="preserve">High priority </w:t>
            </w:r>
          </w:p>
        </w:tc>
        <w:tc>
          <w:tcPr>
            <w:tcW w:w="2647" w:type="dxa"/>
            <w:shd w:val="clear" w:color="auto" w:fill="auto"/>
          </w:tcPr>
          <w:p w14:paraId="5A8057D5" w14:textId="77777777" w:rsidR="006975BB" w:rsidRPr="00EF7423" w:rsidRDefault="00F319AD" w:rsidP="008535D1">
            <w:pPr>
              <w:rPr>
                <w:rFonts w:eastAsia="Arial"/>
                <w:color w:val="000000"/>
                <w:sz w:val="18"/>
                <w:szCs w:val="18"/>
                <w:lang w:val="en-US"/>
              </w:rPr>
            </w:pPr>
            <w:r w:rsidRPr="00EF7423">
              <w:rPr>
                <w:rFonts w:eastAsia="Arial"/>
                <w:color w:val="000000"/>
                <w:sz w:val="18"/>
                <w:szCs w:val="18"/>
              </w:rPr>
              <w:t>Collate, review and update to Portal</w:t>
            </w:r>
          </w:p>
        </w:tc>
      </w:tr>
      <w:tr w:rsidR="007B31B2" w:rsidRPr="00390F83" w14:paraId="48869769" w14:textId="77777777" w:rsidTr="008535D1">
        <w:trPr>
          <w:trHeight w:val="864"/>
        </w:trPr>
        <w:tc>
          <w:tcPr>
            <w:tcW w:w="2122" w:type="dxa"/>
            <w:shd w:val="clear" w:color="auto" w:fill="auto"/>
          </w:tcPr>
          <w:p w14:paraId="5784D6CA" w14:textId="77777777" w:rsidR="006975BB" w:rsidRPr="00EF7423" w:rsidRDefault="00F319AD" w:rsidP="008535D1">
            <w:pPr>
              <w:ind w:left="82"/>
              <w:rPr>
                <w:rFonts w:eastAsia="Arial"/>
                <w:color w:val="000000"/>
                <w:sz w:val="18"/>
                <w:szCs w:val="18"/>
                <w:lang w:val="en-US"/>
              </w:rPr>
            </w:pPr>
            <w:r w:rsidRPr="00EF7423">
              <w:rPr>
                <w:rFonts w:eastAsia="Arial"/>
                <w:color w:val="000000"/>
                <w:sz w:val="18"/>
                <w:szCs w:val="18"/>
              </w:rPr>
              <w:t>Oceania (incl. Australasia) (337)</w:t>
            </w:r>
          </w:p>
        </w:tc>
        <w:tc>
          <w:tcPr>
            <w:tcW w:w="2551" w:type="dxa"/>
            <w:shd w:val="clear" w:color="auto" w:fill="auto"/>
          </w:tcPr>
          <w:p w14:paraId="1E30F580" w14:textId="77777777" w:rsidR="006975BB" w:rsidRPr="00EF7423" w:rsidRDefault="00F319AD" w:rsidP="008535D1">
            <w:pPr>
              <w:rPr>
                <w:rFonts w:eastAsia="Arial"/>
                <w:color w:val="000000"/>
                <w:sz w:val="18"/>
                <w:szCs w:val="18"/>
                <w:lang w:val="en-US"/>
              </w:rPr>
            </w:pPr>
            <w:r w:rsidRPr="00EF7423">
              <w:rPr>
                <w:rFonts w:eastAsia="Arial"/>
                <w:color w:val="000000"/>
                <w:sz w:val="18"/>
                <w:szCs w:val="18"/>
              </w:rPr>
              <w:t>National updates in Australia, New Zealand</w:t>
            </w:r>
          </w:p>
        </w:tc>
        <w:tc>
          <w:tcPr>
            <w:tcW w:w="1609" w:type="dxa"/>
            <w:shd w:val="clear" w:color="auto" w:fill="auto"/>
          </w:tcPr>
          <w:p w14:paraId="5746FB7A" w14:textId="77777777" w:rsidR="006975BB" w:rsidRPr="00EF7423" w:rsidRDefault="00F319AD" w:rsidP="008535D1">
            <w:pPr>
              <w:rPr>
                <w:rFonts w:eastAsia="Arial"/>
                <w:color w:val="000000"/>
                <w:sz w:val="18"/>
                <w:szCs w:val="18"/>
                <w:lang w:val="en-US"/>
              </w:rPr>
            </w:pPr>
            <w:r w:rsidRPr="00EF7423">
              <w:rPr>
                <w:rFonts w:eastAsia="Arial"/>
                <w:color w:val="000000"/>
                <w:sz w:val="18"/>
                <w:szCs w:val="18"/>
              </w:rPr>
              <w:t xml:space="preserve">High priority </w:t>
            </w:r>
          </w:p>
        </w:tc>
        <w:tc>
          <w:tcPr>
            <w:tcW w:w="2647" w:type="dxa"/>
            <w:shd w:val="clear" w:color="auto" w:fill="auto"/>
          </w:tcPr>
          <w:p w14:paraId="592A5834" w14:textId="77777777" w:rsidR="006975BB" w:rsidRPr="00EF7423" w:rsidRDefault="00F319AD" w:rsidP="008535D1">
            <w:pPr>
              <w:rPr>
                <w:rFonts w:eastAsia="Arial"/>
                <w:color w:val="000000"/>
                <w:sz w:val="18"/>
                <w:szCs w:val="18"/>
                <w:lang w:val="en-US"/>
              </w:rPr>
            </w:pPr>
            <w:r w:rsidRPr="00EF7423">
              <w:rPr>
                <w:rFonts w:eastAsia="Arial"/>
                <w:color w:val="000000"/>
                <w:sz w:val="18"/>
                <w:szCs w:val="18"/>
              </w:rPr>
              <w:t>Assess the compatibility of available information and update the Portal</w:t>
            </w:r>
          </w:p>
        </w:tc>
      </w:tr>
      <w:tr w:rsidR="007B31B2" w:rsidRPr="00390F83" w14:paraId="275EA7B4" w14:textId="77777777" w:rsidTr="008535D1">
        <w:trPr>
          <w:trHeight w:val="864"/>
        </w:trPr>
        <w:tc>
          <w:tcPr>
            <w:tcW w:w="2122" w:type="dxa"/>
            <w:shd w:val="clear" w:color="auto" w:fill="auto"/>
          </w:tcPr>
          <w:p w14:paraId="6E6B6CC9" w14:textId="77777777" w:rsidR="006975BB" w:rsidRPr="00EF7423" w:rsidRDefault="00F319AD" w:rsidP="008535D1">
            <w:pPr>
              <w:ind w:left="82"/>
              <w:rPr>
                <w:rFonts w:eastAsia="Arial"/>
                <w:color w:val="000000"/>
                <w:sz w:val="18"/>
                <w:szCs w:val="18"/>
                <w:lang w:val="en-US"/>
              </w:rPr>
            </w:pPr>
            <w:r w:rsidRPr="00EF7423">
              <w:rPr>
                <w:rFonts w:eastAsia="Arial"/>
                <w:color w:val="000000"/>
                <w:sz w:val="18"/>
                <w:szCs w:val="18"/>
              </w:rPr>
              <w:t>Europe (35)</w:t>
            </w:r>
          </w:p>
        </w:tc>
        <w:tc>
          <w:tcPr>
            <w:tcW w:w="2551" w:type="dxa"/>
            <w:shd w:val="clear" w:color="auto" w:fill="auto"/>
          </w:tcPr>
          <w:p w14:paraId="2A394C76" w14:textId="77777777" w:rsidR="006975BB" w:rsidRPr="00EF7423" w:rsidRDefault="00F319AD" w:rsidP="008535D1">
            <w:pPr>
              <w:rPr>
                <w:rFonts w:eastAsia="Arial"/>
                <w:color w:val="000000"/>
                <w:sz w:val="18"/>
                <w:szCs w:val="18"/>
                <w:lang w:val="en-US"/>
              </w:rPr>
            </w:pPr>
            <w:r w:rsidRPr="00EF7423">
              <w:rPr>
                <w:rFonts w:eastAsia="Arial"/>
                <w:color w:val="000000"/>
                <w:sz w:val="18"/>
                <w:szCs w:val="18"/>
              </w:rPr>
              <w:t>EU Art 12 process, linked with ERLoB, collation funded by EC/EEA</w:t>
            </w:r>
          </w:p>
        </w:tc>
        <w:tc>
          <w:tcPr>
            <w:tcW w:w="1609" w:type="dxa"/>
            <w:shd w:val="clear" w:color="auto" w:fill="auto"/>
          </w:tcPr>
          <w:p w14:paraId="73372501" w14:textId="77777777" w:rsidR="006975BB" w:rsidRPr="00EF7423" w:rsidRDefault="00F319AD" w:rsidP="008535D1">
            <w:pPr>
              <w:rPr>
                <w:rFonts w:eastAsia="Arial"/>
                <w:color w:val="000000"/>
                <w:sz w:val="18"/>
                <w:szCs w:val="18"/>
                <w:lang w:val="en-US"/>
              </w:rPr>
            </w:pPr>
            <w:r w:rsidRPr="00EF7423">
              <w:rPr>
                <w:rFonts w:eastAsia="Arial"/>
                <w:color w:val="000000"/>
                <w:sz w:val="18"/>
                <w:szCs w:val="18"/>
              </w:rPr>
              <w:t xml:space="preserve">High priority </w:t>
            </w:r>
          </w:p>
        </w:tc>
        <w:tc>
          <w:tcPr>
            <w:tcW w:w="2647" w:type="dxa"/>
            <w:shd w:val="clear" w:color="auto" w:fill="auto"/>
          </w:tcPr>
          <w:p w14:paraId="259384E9" w14:textId="77777777" w:rsidR="006975BB" w:rsidRPr="00EF7423" w:rsidRDefault="00F319AD" w:rsidP="008535D1">
            <w:pPr>
              <w:rPr>
                <w:rFonts w:eastAsia="Arial"/>
                <w:color w:val="000000"/>
                <w:sz w:val="18"/>
                <w:szCs w:val="18"/>
                <w:lang w:val="en-US"/>
              </w:rPr>
            </w:pPr>
            <w:r w:rsidRPr="00EF7423">
              <w:rPr>
                <w:rFonts w:eastAsia="Arial"/>
                <w:color w:val="000000"/>
                <w:sz w:val="18"/>
                <w:szCs w:val="18"/>
              </w:rPr>
              <w:t>Assess the compatibility of available information and update the Portal</w:t>
            </w:r>
          </w:p>
        </w:tc>
      </w:tr>
      <w:tr w:rsidR="007B31B2" w:rsidRPr="00390F83" w14:paraId="549BAEA6" w14:textId="77777777" w:rsidTr="008535D1">
        <w:trPr>
          <w:trHeight w:val="288"/>
        </w:trPr>
        <w:tc>
          <w:tcPr>
            <w:tcW w:w="2122" w:type="dxa"/>
            <w:tcBorders>
              <w:right w:val="nil"/>
            </w:tcBorders>
            <w:shd w:val="clear" w:color="auto" w:fill="auto"/>
          </w:tcPr>
          <w:p w14:paraId="75545BAF" w14:textId="77777777" w:rsidR="006975BB" w:rsidRPr="00EF7423" w:rsidRDefault="00F319AD" w:rsidP="008535D1">
            <w:pPr>
              <w:ind w:left="82"/>
              <w:rPr>
                <w:rFonts w:eastAsia="Arial"/>
                <w:b/>
                <w:color w:val="000000"/>
                <w:sz w:val="18"/>
                <w:szCs w:val="18"/>
                <w:lang w:val="en-US"/>
              </w:rPr>
            </w:pPr>
            <w:r w:rsidRPr="00EF7423">
              <w:rPr>
                <w:rFonts w:eastAsia="Arial"/>
                <w:b/>
                <w:color w:val="000000"/>
                <w:sz w:val="18"/>
                <w:szCs w:val="18"/>
              </w:rPr>
              <w:t xml:space="preserve">Migratory </w:t>
            </w:r>
          </w:p>
        </w:tc>
        <w:tc>
          <w:tcPr>
            <w:tcW w:w="2551" w:type="dxa"/>
            <w:tcBorders>
              <w:left w:val="nil"/>
              <w:right w:val="nil"/>
            </w:tcBorders>
            <w:shd w:val="clear" w:color="auto" w:fill="auto"/>
          </w:tcPr>
          <w:p w14:paraId="404E4ABA" w14:textId="77777777" w:rsidR="006975BB" w:rsidRPr="00EF7423" w:rsidRDefault="006975BB" w:rsidP="008535D1">
            <w:pPr>
              <w:rPr>
                <w:rFonts w:eastAsia="Arial"/>
                <w:color w:val="000000"/>
                <w:sz w:val="18"/>
                <w:szCs w:val="18"/>
                <w:lang w:val="en-US"/>
              </w:rPr>
            </w:pPr>
          </w:p>
        </w:tc>
        <w:tc>
          <w:tcPr>
            <w:tcW w:w="1609" w:type="dxa"/>
            <w:tcBorders>
              <w:left w:val="nil"/>
              <w:right w:val="nil"/>
            </w:tcBorders>
            <w:shd w:val="clear" w:color="auto" w:fill="auto"/>
          </w:tcPr>
          <w:p w14:paraId="169588AE" w14:textId="77777777" w:rsidR="006975BB" w:rsidRPr="00EF7423" w:rsidRDefault="006975BB" w:rsidP="008535D1">
            <w:pPr>
              <w:rPr>
                <w:rFonts w:eastAsia="Arial"/>
                <w:color w:val="000000"/>
                <w:sz w:val="18"/>
                <w:szCs w:val="18"/>
                <w:lang w:val="en-US"/>
              </w:rPr>
            </w:pPr>
          </w:p>
        </w:tc>
        <w:tc>
          <w:tcPr>
            <w:tcW w:w="2647" w:type="dxa"/>
            <w:tcBorders>
              <w:left w:val="nil"/>
            </w:tcBorders>
            <w:shd w:val="clear" w:color="auto" w:fill="auto"/>
          </w:tcPr>
          <w:p w14:paraId="01A93D27" w14:textId="77777777" w:rsidR="006975BB" w:rsidRPr="00EF7423" w:rsidRDefault="006975BB" w:rsidP="008535D1">
            <w:pPr>
              <w:rPr>
                <w:rFonts w:eastAsia="Arial"/>
                <w:color w:val="000000"/>
                <w:sz w:val="18"/>
                <w:szCs w:val="18"/>
                <w:lang w:val="en-US"/>
              </w:rPr>
            </w:pPr>
          </w:p>
        </w:tc>
      </w:tr>
      <w:tr w:rsidR="007B31B2" w:rsidRPr="00390F83" w14:paraId="4DC407DD" w14:textId="77777777" w:rsidTr="008535D1">
        <w:trPr>
          <w:trHeight w:val="864"/>
        </w:trPr>
        <w:tc>
          <w:tcPr>
            <w:tcW w:w="2122" w:type="dxa"/>
            <w:shd w:val="clear" w:color="auto" w:fill="auto"/>
          </w:tcPr>
          <w:p w14:paraId="7387F9F5" w14:textId="77777777" w:rsidR="006975BB" w:rsidRPr="00EF7423" w:rsidRDefault="00F319AD" w:rsidP="008535D1">
            <w:pPr>
              <w:ind w:left="82"/>
              <w:rPr>
                <w:rFonts w:eastAsia="Arial"/>
                <w:color w:val="000000"/>
                <w:sz w:val="18"/>
                <w:szCs w:val="18"/>
                <w:lang w:val="en-US"/>
              </w:rPr>
            </w:pPr>
            <w:r w:rsidRPr="00EF7423">
              <w:rPr>
                <w:rFonts w:eastAsia="Arial"/>
                <w:color w:val="000000"/>
                <w:sz w:val="18"/>
                <w:szCs w:val="18"/>
              </w:rPr>
              <w:t>Central Asian Flyway (264)</w:t>
            </w:r>
          </w:p>
        </w:tc>
        <w:tc>
          <w:tcPr>
            <w:tcW w:w="2551" w:type="dxa"/>
            <w:shd w:val="clear" w:color="auto" w:fill="auto"/>
          </w:tcPr>
          <w:p w14:paraId="428D27A3" w14:textId="77777777" w:rsidR="006975BB" w:rsidRPr="00EF7423" w:rsidRDefault="00F319AD" w:rsidP="008535D1">
            <w:pPr>
              <w:rPr>
                <w:rFonts w:eastAsia="Arial"/>
                <w:color w:val="000000"/>
                <w:sz w:val="18"/>
                <w:szCs w:val="18"/>
                <w:lang w:val="en-US"/>
              </w:rPr>
            </w:pPr>
            <w:r w:rsidRPr="00EF7423">
              <w:rPr>
                <w:rFonts w:eastAsia="Arial"/>
                <w:color w:val="000000"/>
                <w:sz w:val="18"/>
                <w:szCs w:val="18"/>
              </w:rPr>
              <w:t xml:space="preserve">Included in the CAF Waterbird Action </w:t>
            </w:r>
            <w:r w:rsidRPr="007602B2">
              <w:rPr>
                <w:rFonts w:eastAsia="Arial"/>
                <w:color w:val="000000"/>
                <w:sz w:val="18"/>
                <w:szCs w:val="18"/>
              </w:rPr>
              <w:t>Plan</w:t>
            </w:r>
            <w:r w:rsidRPr="007602B2">
              <w:rPr>
                <w:rFonts w:eastAsia="Arial"/>
                <w:color w:val="000000"/>
                <w:sz w:val="18"/>
                <w:szCs w:val="18"/>
                <w:vertAlign w:val="superscript"/>
              </w:rPr>
              <w:footnoteReference w:id="23"/>
            </w:r>
            <w:r w:rsidRPr="007602B2">
              <w:rPr>
                <w:rFonts w:eastAsia="Arial"/>
                <w:color w:val="000000"/>
                <w:sz w:val="18"/>
                <w:szCs w:val="18"/>
                <w:vertAlign w:val="superscript"/>
              </w:rPr>
              <w:t xml:space="preserve"> </w:t>
            </w:r>
            <w:r w:rsidRPr="007602B2">
              <w:rPr>
                <w:rFonts w:eastAsia="Arial"/>
                <w:color w:val="000000"/>
                <w:sz w:val="18"/>
                <w:szCs w:val="18"/>
              </w:rPr>
              <w:t>(264</w:t>
            </w:r>
            <w:r w:rsidRPr="00EF7423">
              <w:rPr>
                <w:rFonts w:eastAsia="Arial"/>
                <w:color w:val="000000"/>
                <w:sz w:val="18"/>
                <w:szCs w:val="18"/>
              </w:rPr>
              <w:t xml:space="preserve"> populations, of which &gt;140 populations are covered by AEWA CSRs) </w:t>
            </w:r>
          </w:p>
          <w:p w14:paraId="3C3666F7" w14:textId="77777777" w:rsidR="006975BB" w:rsidRPr="00EF7423" w:rsidRDefault="00F319AD" w:rsidP="008535D1">
            <w:pPr>
              <w:rPr>
                <w:rFonts w:eastAsia="Arial"/>
                <w:color w:val="000000"/>
                <w:sz w:val="18"/>
                <w:szCs w:val="18"/>
                <w:lang w:val="en-US"/>
              </w:rPr>
            </w:pPr>
            <w:r w:rsidRPr="00EF7423">
              <w:rPr>
                <w:rFonts w:eastAsia="Arial"/>
                <w:color w:val="000000"/>
                <w:sz w:val="18"/>
                <w:szCs w:val="18"/>
              </w:rPr>
              <w:t>Outdated information for &gt;124 populations with no funding or process in place is a priority</w:t>
            </w:r>
          </w:p>
        </w:tc>
        <w:tc>
          <w:tcPr>
            <w:tcW w:w="1609" w:type="dxa"/>
            <w:shd w:val="clear" w:color="auto" w:fill="auto"/>
          </w:tcPr>
          <w:p w14:paraId="0E18E7E7" w14:textId="77777777" w:rsidR="006975BB" w:rsidRPr="00EF7423" w:rsidRDefault="00F319AD" w:rsidP="008535D1">
            <w:pPr>
              <w:rPr>
                <w:rFonts w:eastAsia="Arial"/>
                <w:color w:val="000000"/>
                <w:sz w:val="18"/>
                <w:szCs w:val="18"/>
                <w:lang w:val="en-US"/>
              </w:rPr>
            </w:pPr>
            <w:r w:rsidRPr="00EF7423">
              <w:rPr>
                <w:rFonts w:eastAsia="Arial"/>
                <w:color w:val="000000"/>
                <w:sz w:val="18"/>
                <w:szCs w:val="18"/>
              </w:rPr>
              <w:t>High priority</w:t>
            </w:r>
          </w:p>
        </w:tc>
        <w:tc>
          <w:tcPr>
            <w:tcW w:w="2647" w:type="dxa"/>
            <w:shd w:val="clear" w:color="auto" w:fill="auto"/>
          </w:tcPr>
          <w:p w14:paraId="6C85380C" w14:textId="77777777" w:rsidR="006975BB" w:rsidRPr="00EF7423" w:rsidRDefault="00F319AD" w:rsidP="008535D1">
            <w:pPr>
              <w:rPr>
                <w:rFonts w:eastAsia="Arial"/>
                <w:color w:val="000000"/>
                <w:sz w:val="18"/>
                <w:szCs w:val="18"/>
                <w:lang w:val="en-US"/>
              </w:rPr>
            </w:pPr>
            <w:r w:rsidRPr="00EF7423">
              <w:rPr>
                <w:rFonts w:eastAsia="Arial"/>
                <w:color w:val="000000"/>
                <w:sz w:val="18"/>
                <w:szCs w:val="18"/>
              </w:rPr>
              <w:t>Collate, review and update to Portal</w:t>
            </w:r>
          </w:p>
        </w:tc>
      </w:tr>
      <w:tr w:rsidR="007B31B2" w:rsidRPr="00390F83" w14:paraId="5C3A48EE" w14:textId="77777777" w:rsidTr="008535D1">
        <w:trPr>
          <w:trHeight w:val="576"/>
        </w:trPr>
        <w:tc>
          <w:tcPr>
            <w:tcW w:w="2122" w:type="dxa"/>
            <w:shd w:val="clear" w:color="auto" w:fill="auto"/>
          </w:tcPr>
          <w:p w14:paraId="746E8B83" w14:textId="77777777" w:rsidR="006975BB" w:rsidRPr="00EF7423" w:rsidRDefault="00F319AD" w:rsidP="008535D1">
            <w:pPr>
              <w:ind w:left="82"/>
              <w:rPr>
                <w:rFonts w:eastAsia="Arial"/>
                <w:color w:val="000000"/>
                <w:sz w:val="18"/>
                <w:szCs w:val="18"/>
                <w:lang w:val="en-US"/>
              </w:rPr>
            </w:pPr>
            <w:r w:rsidRPr="00EF7423">
              <w:rPr>
                <w:rFonts w:eastAsia="Arial"/>
                <w:color w:val="000000"/>
                <w:sz w:val="18"/>
                <w:szCs w:val="18"/>
              </w:rPr>
              <w:t>Central Pacific Flyway (&amp; Antarctica)</w:t>
            </w:r>
            <w:r w:rsidRPr="00EF7423">
              <w:rPr>
                <w:rStyle w:val="FootnoteReference"/>
                <w:rFonts w:eastAsia="Arial"/>
                <w:color w:val="000000"/>
                <w:sz w:val="18"/>
                <w:szCs w:val="18"/>
              </w:rPr>
              <w:footnoteReference w:id="24"/>
            </w:r>
            <w:r w:rsidRPr="00EF7423">
              <w:rPr>
                <w:rFonts w:eastAsia="Arial"/>
                <w:color w:val="000000"/>
                <w:sz w:val="18"/>
                <w:szCs w:val="18"/>
              </w:rPr>
              <w:t>, (60)</w:t>
            </w:r>
          </w:p>
        </w:tc>
        <w:tc>
          <w:tcPr>
            <w:tcW w:w="2551" w:type="dxa"/>
            <w:shd w:val="clear" w:color="auto" w:fill="auto"/>
          </w:tcPr>
          <w:p w14:paraId="4FEB25D0" w14:textId="77777777" w:rsidR="006975BB" w:rsidRPr="00EF7423" w:rsidRDefault="00F319AD" w:rsidP="008535D1">
            <w:pPr>
              <w:rPr>
                <w:rFonts w:eastAsia="Arial"/>
                <w:color w:val="000000"/>
                <w:sz w:val="18"/>
                <w:szCs w:val="18"/>
                <w:lang w:val="en-US"/>
              </w:rPr>
            </w:pPr>
            <w:r w:rsidRPr="00EF7423">
              <w:rPr>
                <w:rFonts w:eastAsia="Arial"/>
                <w:color w:val="000000"/>
                <w:sz w:val="18"/>
                <w:szCs w:val="18"/>
              </w:rPr>
              <w:t>Outdated information with no process in place</w:t>
            </w:r>
          </w:p>
        </w:tc>
        <w:tc>
          <w:tcPr>
            <w:tcW w:w="1609" w:type="dxa"/>
            <w:shd w:val="clear" w:color="auto" w:fill="auto"/>
          </w:tcPr>
          <w:p w14:paraId="0B1674E8" w14:textId="77777777" w:rsidR="006975BB" w:rsidRPr="00EF7423" w:rsidRDefault="00F319AD" w:rsidP="008535D1">
            <w:pPr>
              <w:rPr>
                <w:rFonts w:eastAsia="Arial"/>
                <w:color w:val="000000"/>
                <w:sz w:val="18"/>
                <w:szCs w:val="18"/>
                <w:lang w:val="en-US"/>
              </w:rPr>
            </w:pPr>
            <w:r w:rsidRPr="00EF7423">
              <w:rPr>
                <w:rFonts w:eastAsia="Arial"/>
                <w:color w:val="000000"/>
                <w:sz w:val="18"/>
                <w:szCs w:val="18"/>
              </w:rPr>
              <w:t>High priority</w:t>
            </w:r>
          </w:p>
        </w:tc>
        <w:tc>
          <w:tcPr>
            <w:tcW w:w="2647" w:type="dxa"/>
            <w:shd w:val="clear" w:color="auto" w:fill="auto"/>
          </w:tcPr>
          <w:p w14:paraId="778FA1AC" w14:textId="77777777" w:rsidR="006975BB" w:rsidRPr="00EF7423" w:rsidRDefault="00F319AD" w:rsidP="008535D1">
            <w:pPr>
              <w:rPr>
                <w:rFonts w:eastAsia="Arial"/>
                <w:color w:val="000000"/>
                <w:sz w:val="18"/>
                <w:szCs w:val="18"/>
                <w:lang w:val="en-US"/>
              </w:rPr>
            </w:pPr>
            <w:r w:rsidRPr="00EF7423">
              <w:rPr>
                <w:rFonts w:eastAsia="Arial"/>
                <w:color w:val="000000"/>
                <w:sz w:val="18"/>
                <w:szCs w:val="18"/>
              </w:rPr>
              <w:t>Collate, review and update to Portal</w:t>
            </w:r>
          </w:p>
        </w:tc>
      </w:tr>
      <w:tr w:rsidR="007B31B2" w:rsidRPr="00390F83" w14:paraId="0D3901C4" w14:textId="77777777" w:rsidTr="008535D1">
        <w:trPr>
          <w:trHeight w:val="487"/>
        </w:trPr>
        <w:tc>
          <w:tcPr>
            <w:tcW w:w="2122" w:type="dxa"/>
            <w:shd w:val="clear" w:color="auto" w:fill="auto"/>
          </w:tcPr>
          <w:p w14:paraId="430CBFA2" w14:textId="77777777" w:rsidR="006975BB" w:rsidRPr="00EF7423" w:rsidRDefault="00F319AD" w:rsidP="008535D1">
            <w:pPr>
              <w:ind w:left="82"/>
              <w:rPr>
                <w:rFonts w:eastAsia="Arial"/>
                <w:color w:val="000000"/>
                <w:sz w:val="18"/>
                <w:szCs w:val="18"/>
                <w:lang w:val="en-US"/>
              </w:rPr>
            </w:pPr>
            <w:r w:rsidRPr="00EF7423">
              <w:rPr>
                <w:rFonts w:eastAsia="Arial"/>
                <w:color w:val="000000"/>
                <w:sz w:val="18"/>
                <w:szCs w:val="18"/>
              </w:rPr>
              <w:t>Americas Flyways (379)</w:t>
            </w:r>
          </w:p>
        </w:tc>
        <w:tc>
          <w:tcPr>
            <w:tcW w:w="2551" w:type="dxa"/>
            <w:shd w:val="clear" w:color="auto" w:fill="auto"/>
          </w:tcPr>
          <w:p w14:paraId="5B207647" w14:textId="77777777" w:rsidR="006975BB" w:rsidRPr="00EF7423" w:rsidRDefault="00F319AD" w:rsidP="008535D1">
            <w:pPr>
              <w:rPr>
                <w:rFonts w:eastAsia="Arial"/>
                <w:color w:val="000000"/>
                <w:sz w:val="18"/>
                <w:szCs w:val="18"/>
                <w:lang w:val="en-US"/>
              </w:rPr>
            </w:pPr>
            <w:r w:rsidRPr="00EF7423">
              <w:rPr>
                <w:rFonts w:eastAsia="Arial"/>
                <w:color w:val="000000"/>
                <w:sz w:val="18"/>
                <w:szCs w:val="18"/>
              </w:rPr>
              <w:t>Review processes exist for waterbirds in North America (to Central America) and 79 migratory shorebird populations across the Americas</w:t>
            </w:r>
          </w:p>
        </w:tc>
        <w:tc>
          <w:tcPr>
            <w:tcW w:w="1609" w:type="dxa"/>
            <w:shd w:val="clear" w:color="auto" w:fill="auto"/>
          </w:tcPr>
          <w:p w14:paraId="07666620" w14:textId="77777777" w:rsidR="006975BB" w:rsidRPr="00EF7423" w:rsidRDefault="00F319AD" w:rsidP="008535D1">
            <w:pPr>
              <w:rPr>
                <w:rFonts w:eastAsia="Arial"/>
                <w:color w:val="000000"/>
                <w:sz w:val="18"/>
                <w:szCs w:val="18"/>
                <w:lang w:val="en-US"/>
              </w:rPr>
            </w:pPr>
            <w:r w:rsidRPr="00EF7423">
              <w:rPr>
                <w:rFonts w:eastAsia="Arial"/>
                <w:color w:val="000000"/>
                <w:sz w:val="18"/>
                <w:szCs w:val="18"/>
              </w:rPr>
              <w:t xml:space="preserve">High priority </w:t>
            </w:r>
          </w:p>
        </w:tc>
        <w:tc>
          <w:tcPr>
            <w:tcW w:w="2647" w:type="dxa"/>
            <w:shd w:val="clear" w:color="auto" w:fill="auto"/>
          </w:tcPr>
          <w:p w14:paraId="7E68956A" w14:textId="77777777" w:rsidR="006975BB" w:rsidRPr="00EF7423" w:rsidRDefault="00F319AD" w:rsidP="008535D1">
            <w:pPr>
              <w:rPr>
                <w:rFonts w:eastAsia="Arial"/>
                <w:color w:val="000000"/>
                <w:sz w:val="18"/>
                <w:szCs w:val="18"/>
                <w:lang w:val="en-US"/>
              </w:rPr>
            </w:pPr>
            <w:r w:rsidRPr="00EF7423">
              <w:rPr>
                <w:rFonts w:eastAsia="Arial"/>
                <w:color w:val="000000"/>
                <w:sz w:val="18"/>
                <w:szCs w:val="18"/>
              </w:rPr>
              <w:t>Assess the compatibility of available information and update the Portal</w:t>
            </w:r>
          </w:p>
        </w:tc>
      </w:tr>
      <w:tr w:rsidR="007B31B2" w:rsidRPr="00390F83" w14:paraId="61D2F82B" w14:textId="77777777" w:rsidTr="008535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6"/>
        </w:trPr>
        <w:tc>
          <w:tcPr>
            <w:tcW w:w="2122" w:type="dxa"/>
            <w:tcBorders>
              <w:top w:val="single" w:sz="4" w:space="0" w:color="auto"/>
              <w:left w:val="single" w:sz="4" w:space="0" w:color="auto"/>
              <w:bottom w:val="single" w:sz="4" w:space="0" w:color="auto"/>
              <w:right w:val="single" w:sz="4" w:space="0" w:color="auto"/>
            </w:tcBorders>
          </w:tcPr>
          <w:p w14:paraId="5F05723A" w14:textId="77777777" w:rsidR="006975BB" w:rsidRPr="00EF7423" w:rsidRDefault="00F319AD" w:rsidP="008535D1">
            <w:pPr>
              <w:ind w:left="82"/>
              <w:rPr>
                <w:rFonts w:eastAsia="Arial"/>
                <w:color w:val="000000"/>
                <w:sz w:val="18"/>
                <w:szCs w:val="18"/>
                <w:lang w:val="en-US"/>
              </w:rPr>
            </w:pPr>
            <w:r w:rsidRPr="00EF7423">
              <w:rPr>
                <w:rFonts w:eastAsia="Arial"/>
                <w:color w:val="000000"/>
                <w:sz w:val="18"/>
                <w:szCs w:val="18"/>
              </w:rPr>
              <w:t>East Asian - Australasian Flyway (276)</w:t>
            </w:r>
          </w:p>
        </w:tc>
        <w:tc>
          <w:tcPr>
            <w:tcW w:w="2551" w:type="dxa"/>
            <w:tcBorders>
              <w:top w:val="single" w:sz="4" w:space="0" w:color="auto"/>
              <w:left w:val="single" w:sz="4" w:space="0" w:color="auto"/>
              <w:bottom w:val="single" w:sz="4" w:space="0" w:color="auto"/>
              <w:right w:val="single" w:sz="4" w:space="0" w:color="auto"/>
            </w:tcBorders>
          </w:tcPr>
          <w:p w14:paraId="6EFBF37C" w14:textId="77777777" w:rsidR="006975BB" w:rsidRPr="00EF7423" w:rsidRDefault="00F319AD" w:rsidP="008535D1">
            <w:pPr>
              <w:rPr>
                <w:rFonts w:eastAsia="Arial"/>
                <w:color w:val="000000"/>
                <w:sz w:val="18"/>
                <w:szCs w:val="18"/>
                <w:lang w:val="en-US"/>
              </w:rPr>
            </w:pPr>
            <w:r w:rsidRPr="00EF7423">
              <w:rPr>
                <w:rFonts w:eastAsia="Arial"/>
                <w:color w:val="000000"/>
                <w:sz w:val="18"/>
                <w:szCs w:val="18"/>
              </w:rPr>
              <w:t>EAAFP CSRs process funded by EAAFP (276 populations)</w:t>
            </w:r>
          </w:p>
        </w:tc>
        <w:tc>
          <w:tcPr>
            <w:tcW w:w="1609" w:type="dxa"/>
            <w:tcBorders>
              <w:top w:val="single" w:sz="4" w:space="0" w:color="auto"/>
              <w:left w:val="single" w:sz="4" w:space="0" w:color="auto"/>
              <w:bottom w:val="single" w:sz="4" w:space="0" w:color="auto"/>
              <w:right w:val="single" w:sz="4" w:space="0" w:color="auto"/>
            </w:tcBorders>
          </w:tcPr>
          <w:p w14:paraId="52B8C2C6" w14:textId="77777777" w:rsidR="006975BB" w:rsidRPr="00EF7423" w:rsidRDefault="00F319AD" w:rsidP="008535D1">
            <w:pPr>
              <w:rPr>
                <w:rFonts w:eastAsia="Arial"/>
                <w:color w:val="000000"/>
                <w:sz w:val="18"/>
                <w:szCs w:val="18"/>
                <w:lang w:val="en-US"/>
              </w:rPr>
            </w:pPr>
            <w:r w:rsidRPr="00EF7423">
              <w:rPr>
                <w:rFonts w:eastAsia="Arial"/>
                <w:color w:val="000000"/>
                <w:sz w:val="18"/>
                <w:szCs w:val="18"/>
              </w:rPr>
              <w:t>Medium priority, to address pop gaps for many families and species not included in CSR1</w:t>
            </w:r>
          </w:p>
        </w:tc>
        <w:tc>
          <w:tcPr>
            <w:tcW w:w="2647" w:type="dxa"/>
            <w:tcBorders>
              <w:top w:val="single" w:sz="4" w:space="0" w:color="auto"/>
              <w:left w:val="single" w:sz="4" w:space="0" w:color="auto"/>
              <w:bottom w:val="single" w:sz="4" w:space="0" w:color="auto"/>
              <w:right w:val="single" w:sz="4" w:space="0" w:color="auto"/>
            </w:tcBorders>
          </w:tcPr>
          <w:p w14:paraId="151500F8" w14:textId="77777777" w:rsidR="006975BB" w:rsidRPr="00EF7423" w:rsidRDefault="00F319AD" w:rsidP="008535D1">
            <w:pPr>
              <w:rPr>
                <w:rFonts w:eastAsia="Arial"/>
                <w:color w:val="000000"/>
                <w:sz w:val="18"/>
                <w:szCs w:val="18"/>
                <w:lang w:val="en-US"/>
              </w:rPr>
            </w:pPr>
            <w:r w:rsidRPr="00EF7423">
              <w:rPr>
                <w:rFonts w:eastAsia="Arial"/>
                <w:color w:val="000000"/>
                <w:sz w:val="18"/>
                <w:szCs w:val="18"/>
              </w:rPr>
              <w:t>None</w:t>
            </w:r>
          </w:p>
        </w:tc>
      </w:tr>
      <w:tr w:rsidR="007B31B2" w:rsidRPr="00390F83" w14:paraId="595514F4" w14:textId="77777777" w:rsidTr="008535D1">
        <w:trPr>
          <w:trHeight w:val="288"/>
        </w:trPr>
        <w:tc>
          <w:tcPr>
            <w:tcW w:w="2122" w:type="dxa"/>
            <w:tcBorders>
              <w:top w:val="single" w:sz="4" w:space="0" w:color="auto"/>
              <w:left w:val="single" w:sz="4" w:space="0" w:color="auto"/>
              <w:bottom w:val="single" w:sz="4" w:space="0" w:color="auto"/>
              <w:right w:val="single" w:sz="4" w:space="0" w:color="auto"/>
            </w:tcBorders>
          </w:tcPr>
          <w:p w14:paraId="75876DCC" w14:textId="77777777" w:rsidR="006975BB" w:rsidRPr="00EF7423" w:rsidRDefault="00F319AD" w:rsidP="008535D1">
            <w:pPr>
              <w:ind w:left="82"/>
              <w:rPr>
                <w:rFonts w:eastAsia="Arial"/>
                <w:color w:val="000000"/>
                <w:sz w:val="18"/>
                <w:szCs w:val="18"/>
                <w:lang w:val="en-US"/>
              </w:rPr>
            </w:pPr>
            <w:r w:rsidRPr="00EF7423">
              <w:rPr>
                <w:rFonts w:eastAsia="Arial"/>
                <w:color w:val="000000"/>
                <w:sz w:val="18"/>
                <w:szCs w:val="18"/>
              </w:rPr>
              <w:t>African-Eurasian Flyways (532)</w:t>
            </w:r>
          </w:p>
        </w:tc>
        <w:tc>
          <w:tcPr>
            <w:tcW w:w="2551" w:type="dxa"/>
            <w:tcBorders>
              <w:top w:val="single" w:sz="4" w:space="0" w:color="auto"/>
              <w:left w:val="single" w:sz="4" w:space="0" w:color="auto"/>
              <w:bottom w:val="single" w:sz="4" w:space="0" w:color="auto"/>
              <w:right w:val="single" w:sz="4" w:space="0" w:color="auto"/>
            </w:tcBorders>
          </w:tcPr>
          <w:p w14:paraId="678C25B1" w14:textId="77777777" w:rsidR="006975BB" w:rsidRPr="00EF7423" w:rsidRDefault="00F319AD" w:rsidP="008535D1">
            <w:pPr>
              <w:rPr>
                <w:rFonts w:eastAsia="Arial"/>
                <w:color w:val="000000"/>
                <w:sz w:val="18"/>
                <w:szCs w:val="18"/>
                <w:lang w:val="en-US"/>
              </w:rPr>
            </w:pPr>
            <w:r w:rsidRPr="00EF7423">
              <w:rPr>
                <w:rFonts w:eastAsia="Arial"/>
                <w:color w:val="000000"/>
                <w:sz w:val="18"/>
                <w:szCs w:val="18"/>
              </w:rPr>
              <w:t>AEWA CSRs process funded by AEWA (CSR8 - 560 waterbird and seabird populations)</w:t>
            </w:r>
          </w:p>
        </w:tc>
        <w:tc>
          <w:tcPr>
            <w:tcW w:w="1609" w:type="dxa"/>
            <w:tcBorders>
              <w:top w:val="single" w:sz="4" w:space="0" w:color="auto"/>
              <w:left w:val="single" w:sz="4" w:space="0" w:color="auto"/>
              <w:bottom w:val="single" w:sz="4" w:space="0" w:color="auto"/>
              <w:right w:val="single" w:sz="4" w:space="0" w:color="auto"/>
            </w:tcBorders>
          </w:tcPr>
          <w:p w14:paraId="068ED770" w14:textId="77777777" w:rsidR="006975BB" w:rsidRPr="00EF7423" w:rsidRDefault="00F319AD" w:rsidP="008535D1">
            <w:pPr>
              <w:rPr>
                <w:rFonts w:eastAsia="Arial"/>
                <w:color w:val="000000"/>
                <w:sz w:val="18"/>
                <w:szCs w:val="18"/>
                <w:lang w:val="en-US"/>
              </w:rPr>
            </w:pPr>
            <w:r w:rsidRPr="00EF7423">
              <w:rPr>
                <w:rFonts w:eastAsia="Arial"/>
                <w:color w:val="000000"/>
                <w:sz w:val="18"/>
                <w:szCs w:val="18"/>
              </w:rPr>
              <w:t>Low priority, plan in place for 2029 update</w:t>
            </w:r>
          </w:p>
        </w:tc>
        <w:tc>
          <w:tcPr>
            <w:tcW w:w="2647" w:type="dxa"/>
            <w:tcBorders>
              <w:top w:val="single" w:sz="4" w:space="0" w:color="auto"/>
              <w:left w:val="single" w:sz="4" w:space="0" w:color="auto"/>
              <w:bottom w:val="single" w:sz="4" w:space="0" w:color="auto"/>
              <w:right w:val="single" w:sz="4" w:space="0" w:color="auto"/>
            </w:tcBorders>
          </w:tcPr>
          <w:p w14:paraId="30EB98E3" w14:textId="77777777" w:rsidR="006975BB" w:rsidRPr="00EF7423" w:rsidRDefault="00F319AD" w:rsidP="008535D1">
            <w:pPr>
              <w:rPr>
                <w:rFonts w:eastAsia="Arial"/>
                <w:color w:val="000000"/>
                <w:sz w:val="18"/>
                <w:szCs w:val="18"/>
                <w:lang w:val="en-US"/>
              </w:rPr>
            </w:pPr>
            <w:r w:rsidRPr="00EF7423">
              <w:rPr>
                <w:rFonts w:eastAsia="Arial"/>
                <w:color w:val="000000"/>
                <w:sz w:val="18"/>
                <w:szCs w:val="18"/>
              </w:rPr>
              <w:t>None</w:t>
            </w:r>
          </w:p>
        </w:tc>
      </w:tr>
      <w:tr w:rsidR="007B31B2" w:rsidRPr="00390F83" w14:paraId="6D562EE6" w14:textId="77777777" w:rsidTr="008535D1">
        <w:trPr>
          <w:trHeight w:val="288"/>
        </w:trPr>
        <w:tc>
          <w:tcPr>
            <w:tcW w:w="2122" w:type="dxa"/>
            <w:tcBorders>
              <w:top w:val="single" w:sz="4" w:space="0" w:color="auto"/>
              <w:left w:val="single" w:sz="4" w:space="0" w:color="auto"/>
              <w:bottom w:val="single" w:sz="4" w:space="0" w:color="auto"/>
              <w:right w:val="single" w:sz="4" w:space="0" w:color="auto"/>
            </w:tcBorders>
          </w:tcPr>
          <w:p w14:paraId="3011C256" w14:textId="77777777" w:rsidR="006975BB" w:rsidRPr="00EF7423" w:rsidRDefault="00F319AD" w:rsidP="008535D1">
            <w:pPr>
              <w:rPr>
                <w:rFonts w:eastAsia="Arial"/>
                <w:b/>
                <w:bCs w:val="0"/>
                <w:color w:val="000000"/>
                <w:sz w:val="20"/>
                <w:szCs w:val="20"/>
                <w:lang w:val="en-US"/>
              </w:rPr>
            </w:pPr>
            <w:r w:rsidRPr="00390F83">
              <w:rPr>
                <w:rFonts w:eastAsia="Times New Roman"/>
                <w:b/>
                <w:color w:val="000000" w:themeColor="text1"/>
                <w:sz w:val="20"/>
                <w:szCs w:val="20"/>
                <w:lang w:val="en-US"/>
              </w:rPr>
              <w:t>Total indicative costs:</w:t>
            </w:r>
          </w:p>
        </w:tc>
        <w:tc>
          <w:tcPr>
            <w:tcW w:w="2551" w:type="dxa"/>
            <w:tcBorders>
              <w:top w:val="single" w:sz="4" w:space="0" w:color="auto"/>
              <w:left w:val="single" w:sz="4" w:space="0" w:color="auto"/>
              <w:bottom w:val="single" w:sz="4" w:space="0" w:color="auto"/>
              <w:right w:val="single" w:sz="4" w:space="0" w:color="auto"/>
            </w:tcBorders>
          </w:tcPr>
          <w:p w14:paraId="34593416" w14:textId="77777777" w:rsidR="006975BB" w:rsidRPr="00EF7423" w:rsidRDefault="006975BB" w:rsidP="008535D1">
            <w:pPr>
              <w:rPr>
                <w:rFonts w:eastAsia="Arial"/>
                <w:color w:val="000000"/>
                <w:sz w:val="20"/>
                <w:szCs w:val="20"/>
                <w:lang w:val="en-US"/>
              </w:rPr>
            </w:pPr>
          </w:p>
        </w:tc>
        <w:tc>
          <w:tcPr>
            <w:tcW w:w="1609" w:type="dxa"/>
            <w:tcBorders>
              <w:top w:val="single" w:sz="4" w:space="0" w:color="auto"/>
              <w:left w:val="single" w:sz="4" w:space="0" w:color="auto"/>
              <w:bottom w:val="single" w:sz="4" w:space="0" w:color="auto"/>
              <w:right w:val="single" w:sz="4" w:space="0" w:color="auto"/>
            </w:tcBorders>
          </w:tcPr>
          <w:p w14:paraId="5D2FF779" w14:textId="77777777" w:rsidR="006975BB" w:rsidRPr="00EF7423" w:rsidRDefault="006975BB" w:rsidP="008535D1">
            <w:pPr>
              <w:rPr>
                <w:rFonts w:eastAsia="Arial"/>
                <w:color w:val="000000"/>
                <w:sz w:val="20"/>
                <w:szCs w:val="20"/>
                <w:lang w:val="en-US"/>
              </w:rPr>
            </w:pPr>
          </w:p>
        </w:tc>
        <w:tc>
          <w:tcPr>
            <w:tcW w:w="2647" w:type="dxa"/>
            <w:tcBorders>
              <w:top w:val="single" w:sz="4" w:space="0" w:color="auto"/>
              <w:left w:val="single" w:sz="4" w:space="0" w:color="auto"/>
              <w:bottom w:val="single" w:sz="4" w:space="0" w:color="auto"/>
              <w:right w:val="single" w:sz="4" w:space="0" w:color="auto"/>
            </w:tcBorders>
          </w:tcPr>
          <w:p w14:paraId="1435C1BD" w14:textId="77777777" w:rsidR="006975BB" w:rsidRPr="00EF7423" w:rsidRDefault="00F319AD" w:rsidP="008535D1">
            <w:pPr>
              <w:jc w:val="right"/>
              <w:rPr>
                <w:rFonts w:eastAsia="Arial"/>
                <w:color w:val="000000"/>
                <w:sz w:val="20"/>
                <w:szCs w:val="20"/>
                <w:lang w:val="en-US"/>
              </w:rPr>
            </w:pPr>
            <w:r w:rsidRPr="00390F83">
              <w:rPr>
                <w:b/>
                <w:sz w:val="20"/>
                <w:szCs w:val="20"/>
                <w:lang w:val="en-US"/>
              </w:rPr>
              <w:t>366,000 CHF</w:t>
            </w:r>
            <w:r w:rsidRPr="00EF7423">
              <w:rPr>
                <w:rStyle w:val="FootnoteReference"/>
                <w:sz w:val="20"/>
                <w:szCs w:val="20"/>
              </w:rPr>
              <w:footnoteReference w:id="25"/>
            </w:r>
          </w:p>
        </w:tc>
      </w:tr>
    </w:tbl>
    <w:p w14:paraId="4DB2EB43" w14:textId="77777777" w:rsidR="00654ECF" w:rsidRPr="00390F83" w:rsidRDefault="00F319AD" w:rsidP="00F45C8F">
      <w:pPr>
        <w:pBdr>
          <w:top w:val="nil"/>
          <w:left w:val="nil"/>
          <w:bottom w:val="nil"/>
          <w:right w:val="nil"/>
          <w:between w:val="nil"/>
        </w:pBdr>
        <w:rPr>
          <w:b/>
          <w:bCs w:val="0"/>
        </w:rPr>
      </w:pPr>
      <w:r w:rsidRPr="00390F83">
        <w:rPr>
          <w:b/>
          <w:bCs w:val="0"/>
        </w:rPr>
        <w:t>Timing and implementation priorities</w:t>
      </w:r>
    </w:p>
    <w:p w14:paraId="63F852FD" w14:textId="77777777" w:rsidR="00654ECF" w:rsidRPr="00390F83" w:rsidRDefault="00654ECF" w:rsidP="00F45C8F">
      <w:pPr>
        <w:pBdr>
          <w:top w:val="nil"/>
          <w:left w:val="nil"/>
          <w:bottom w:val="nil"/>
          <w:right w:val="nil"/>
          <w:between w:val="nil"/>
        </w:pBdr>
      </w:pPr>
    </w:p>
    <w:p w14:paraId="48949218" w14:textId="08F7A830" w:rsidR="00F45C8F" w:rsidRPr="00390F83" w:rsidRDefault="00F319AD" w:rsidP="00F45C8F">
      <w:pPr>
        <w:ind w:left="432" w:hanging="432"/>
      </w:pPr>
      <w:r w:rsidRPr="00390F83">
        <w:t>6.</w:t>
      </w:r>
      <w:r w:rsidRPr="00390F83">
        <w:tab/>
      </w:r>
      <w:r w:rsidR="008D7999" w:rsidRPr="00390F83">
        <w:t xml:space="preserve">The timeline for setting up the Waterbird Estimates Partnership (by COP15) and producing WPE2027 by 2027 is ambitious. To meet this timeline, work on the WEP needs to commence by early January 2025, while preparations for WPE2027 should begin by mid-2025. </w:t>
      </w:r>
      <w:r w:rsidR="000771D4" w:rsidRPr="00390F83">
        <w:t>F</w:t>
      </w:r>
      <w:r w:rsidR="008D7999" w:rsidRPr="00390F83">
        <w:t>inancial resources for initiating these key tasks</w:t>
      </w:r>
      <w:r w:rsidR="000771D4" w:rsidRPr="00390F83">
        <w:t xml:space="preserve"> is </w:t>
      </w:r>
      <w:r w:rsidR="008D7999" w:rsidRPr="00390F83">
        <w:t>detailed in Table 1</w:t>
      </w:r>
      <w:r w:rsidRPr="00390F83">
        <w:t>.</w:t>
      </w:r>
    </w:p>
    <w:p w14:paraId="06B588ED" w14:textId="77777777" w:rsidR="00F45C8F" w:rsidRPr="00390F83" w:rsidRDefault="00F45C8F" w:rsidP="00F45C8F">
      <w:pPr>
        <w:pBdr>
          <w:top w:val="nil"/>
          <w:left w:val="nil"/>
          <w:bottom w:val="nil"/>
          <w:right w:val="nil"/>
          <w:between w:val="nil"/>
        </w:pBdr>
      </w:pPr>
    </w:p>
    <w:p w14:paraId="7D529647" w14:textId="77777777" w:rsidR="008D7999" w:rsidRPr="00390F83" w:rsidRDefault="00F319AD" w:rsidP="00F45C8F">
      <w:pPr>
        <w:pBdr>
          <w:top w:val="nil"/>
          <w:left w:val="nil"/>
          <w:bottom w:val="nil"/>
          <w:right w:val="nil"/>
          <w:between w:val="nil"/>
        </w:pBdr>
        <w:rPr>
          <w:b/>
          <w:bCs w:val="0"/>
        </w:rPr>
      </w:pPr>
      <w:r w:rsidRPr="00390F83">
        <w:rPr>
          <w:b/>
          <w:bCs w:val="0"/>
        </w:rPr>
        <w:t>Resourcing options</w:t>
      </w:r>
    </w:p>
    <w:p w14:paraId="645C2C1C" w14:textId="77777777" w:rsidR="008D7999" w:rsidRPr="00390F83" w:rsidRDefault="008D7999" w:rsidP="00F45C8F">
      <w:pPr>
        <w:pBdr>
          <w:top w:val="nil"/>
          <w:left w:val="nil"/>
          <w:bottom w:val="nil"/>
          <w:right w:val="nil"/>
          <w:between w:val="nil"/>
        </w:pBdr>
      </w:pPr>
    </w:p>
    <w:p w14:paraId="3F151400" w14:textId="77777777" w:rsidR="00042C71" w:rsidRPr="00390F83" w:rsidRDefault="00F319AD" w:rsidP="00042C71">
      <w:pPr>
        <w:ind w:left="432" w:hanging="432"/>
      </w:pPr>
      <w:r w:rsidRPr="00390F83">
        <w:t>7.</w:t>
      </w:r>
      <w:r w:rsidR="00F45C8F" w:rsidRPr="00390F83">
        <w:tab/>
      </w:r>
      <w:r w:rsidRPr="00390F83">
        <w:t>Three primary resourcing options are proposed:</w:t>
      </w:r>
    </w:p>
    <w:p w14:paraId="26AD1812" w14:textId="77777777" w:rsidR="00042C71" w:rsidRPr="00390F83" w:rsidRDefault="00F319AD" w:rsidP="00042C71">
      <w:pPr>
        <w:pStyle w:val="ListParagraph"/>
        <w:numPr>
          <w:ilvl w:val="0"/>
          <w:numId w:val="9"/>
        </w:numPr>
        <w:ind w:left="810"/>
      </w:pPr>
      <w:r w:rsidRPr="00390F83">
        <w:t>Comprehensive funding (100% allocation): Full funding from the Convention on Wetlands, potentially through surplus funds.</w:t>
      </w:r>
    </w:p>
    <w:p w14:paraId="59813CBC" w14:textId="00BF3594" w:rsidR="00042C71" w:rsidRPr="00390F83" w:rsidRDefault="00F319AD" w:rsidP="00042C71">
      <w:pPr>
        <w:pStyle w:val="ListParagraph"/>
        <w:numPr>
          <w:ilvl w:val="0"/>
          <w:numId w:val="9"/>
        </w:numPr>
        <w:ind w:left="810"/>
      </w:pPr>
      <w:r w:rsidRPr="00390F83">
        <w:t xml:space="preserve">Intermediate funding (75% allocation): Partial funding from the Convention, supplemented by additional resource </w:t>
      </w:r>
      <w:r w:rsidR="001749AF" w:rsidRPr="00390F83">
        <w:t>mobilization</w:t>
      </w:r>
      <w:r w:rsidRPr="00390F83">
        <w:t>.</w:t>
      </w:r>
    </w:p>
    <w:p w14:paraId="4E03DC1A" w14:textId="724A6BFB" w:rsidR="00F45C8F" w:rsidRPr="00390F83" w:rsidRDefault="00F319AD" w:rsidP="00042C71">
      <w:pPr>
        <w:pStyle w:val="ListParagraph"/>
        <w:numPr>
          <w:ilvl w:val="0"/>
          <w:numId w:val="9"/>
        </w:numPr>
        <w:ind w:left="810"/>
      </w:pPr>
      <w:r w:rsidRPr="00390F83">
        <w:t xml:space="preserve">Minimum funding (50% allocation): Basic funding from the Convention, with additional resources sought from Contracting Parties and other </w:t>
      </w:r>
      <w:r w:rsidR="001749AF" w:rsidRPr="00390F83">
        <w:t>organizations</w:t>
      </w:r>
      <w:r w:rsidRPr="00390F83">
        <w:t>.</w:t>
      </w:r>
    </w:p>
    <w:p w14:paraId="051FA931" w14:textId="77777777" w:rsidR="00F45C8F" w:rsidRPr="00390F83" w:rsidRDefault="00F45C8F" w:rsidP="00F45C8F">
      <w:pPr>
        <w:pBdr>
          <w:top w:val="nil"/>
          <w:left w:val="nil"/>
          <w:bottom w:val="nil"/>
          <w:right w:val="nil"/>
          <w:between w:val="nil"/>
        </w:pBdr>
      </w:pPr>
    </w:p>
    <w:p w14:paraId="2AAA64D0" w14:textId="0B1B4BD3" w:rsidR="003F0345" w:rsidRPr="00390F83" w:rsidRDefault="00F319AD" w:rsidP="00F45C8F">
      <w:pPr>
        <w:ind w:left="432" w:hanging="432"/>
      </w:pPr>
      <w:r w:rsidRPr="00390F83">
        <w:t>8</w:t>
      </w:r>
      <w:r w:rsidR="00F45C8F" w:rsidRPr="00390F83">
        <w:t>.</w:t>
      </w:r>
      <w:r w:rsidR="00F45C8F" w:rsidRPr="00390F83">
        <w:tab/>
      </w:r>
      <w:r w:rsidR="00A3275A" w:rsidRPr="00390F83">
        <w:t>E</w:t>
      </w:r>
      <w:r w:rsidR="009C424C" w:rsidRPr="00390F83">
        <w:t xml:space="preserve">ngaging in additional resource </w:t>
      </w:r>
      <w:r w:rsidR="001749AF" w:rsidRPr="00390F83">
        <w:t>mobilization</w:t>
      </w:r>
      <w:r w:rsidR="009C424C" w:rsidRPr="00390F83">
        <w:t xml:space="preserve"> activities </w:t>
      </w:r>
      <w:r w:rsidR="00A3275A" w:rsidRPr="00390F83">
        <w:t>will be critical if</w:t>
      </w:r>
      <w:r w:rsidR="009C424C" w:rsidRPr="00390F83">
        <w:t xml:space="preserve"> partial funding is available. Full delivery of results is contingent upon securing these additional resources. Table 3 outlines the costs and possible reductions in deliverables under the Intermediate and Minimum funding options</w:t>
      </w:r>
      <w:r w:rsidR="00F45C8F" w:rsidRPr="00390F83">
        <w:t>.</w:t>
      </w:r>
    </w:p>
    <w:p w14:paraId="65EA5940" w14:textId="77777777" w:rsidR="006975BB" w:rsidRPr="00390F83" w:rsidRDefault="006975BB" w:rsidP="00F45C8F">
      <w:pPr>
        <w:ind w:left="432" w:hanging="432"/>
      </w:pPr>
    </w:p>
    <w:p w14:paraId="6A6ED659" w14:textId="77777777" w:rsidR="006975BB" w:rsidRPr="00390F83" w:rsidRDefault="00F319AD" w:rsidP="006975BB">
      <w:r w:rsidRPr="00390F83">
        <w:t>Table 3. Alternative cost options (in CHF).</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030"/>
        <w:gridCol w:w="1927"/>
        <w:gridCol w:w="1968"/>
        <w:gridCol w:w="1980"/>
      </w:tblGrid>
      <w:tr w:rsidR="007B31B2" w:rsidRPr="00390F83" w14:paraId="1EF11A9C" w14:textId="77777777" w:rsidTr="00CD1377">
        <w:trPr>
          <w:tblHeader/>
        </w:trPr>
        <w:tc>
          <w:tcPr>
            <w:tcW w:w="3030" w:type="dxa"/>
            <w:shd w:val="clear" w:color="auto" w:fill="E8E8E8" w:themeFill="background2"/>
            <w:noWrap/>
            <w:vAlign w:val="center"/>
            <w:hideMark/>
          </w:tcPr>
          <w:p w14:paraId="3921F5F7" w14:textId="77777777" w:rsidR="006975BB" w:rsidRPr="00EF7423" w:rsidRDefault="00F319AD" w:rsidP="00CD1377">
            <w:pPr>
              <w:rPr>
                <w:rFonts w:eastAsia="Arial"/>
                <w:b/>
                <w:color w:val="000000"/>
                <w:sz w:val="20"/>
                <w:szCs w:val="20"/>
              </w:rPr>
            </w:pPr>
            <w:r w:rsidRPr="00EF7423">
              <w:rPr>
                <w:rFonts w:eastAsia="Arial"/>
                <w:b/>
                <w:color w:val="000000"/>
                <w:sz w:val="20"/>
                <w:szCs w:val="20"/>
              </w:rPr>
              <w:t>Priority actions</w:t>
            </w:r>
          </w:p>
        </w:tc>
        <w:tc>
          <w:tcPr>
            <w:tcW w:w="1927" w:type="dxa"/>
            <w:shd w:val="clear" w:color="auto" w:fill="E8E8E8" w:themeFill="background2"/>
            <w:vAlign w:val="center"/>
          </w:tcPr>
          <w:p w14:paraId="66E5D234" w14:textId="77777777" w:rsidR="006975BB" w:rsidRPr="00EF7423" w:rsidRDefault="00F319AD" w:rsidP="00CD1377">
            <w:pPr>
              <w:jc w:val="center"/>
              <w:rPr>
                <w:rFonts w:eastAsia="Arial"/>
                <w:b/>
                <w:color w:val="000000"/>
                <w:sz w:val="20"/>
                <w:szCs w:val="20"/>
              </w:rPr>
            </w:pPr>
            <w:r w:rsidRPr="00EF7423">
              <w:rPr>
                <w:rFonts w:eastAsia="Arial"/>
                <w:b/>
                <w:color w:val="000000"/>
                <w:sz w:val="20"/>
                <w:szCs w:val="20"/>
              </w:rPr>
              <w:t>Comprehensive (all actions)</w:t>
            </w:r>
          </w:p>
        </w:tc>
        <w:tc>
          <w:tcPr>
            <w:tcW w:w="1968" w:type="dxa"/>
            <w:shd w:val="clear" w:color="auto" w:fill="E8E8E8" w:themeFill="background2"/>
          </w:tcPr>
          <w:p w14:paraId="19BE0E0D" w14:textId="77777777" w:rsidR="006975BB" w:rsidRPr="00EF7423" w:rsidRDefault="00F319AD" w:rsidP="00CD1377">
            <w:pPr>
              <w:jc w:val="center"/>
              <w:rPr>
                <w:rFonts w:eastAsia="Arial"/>
                <w:b/>
                <w:color w:val="000000"/>
                <w:sz w:val="20"/>
                <w:szCs w:val="20"/>
              </w:rPr>
            </w:pPr>
            <w:r w:rsidRPr="00EF7423">
              <w:rPr>
                <w:rFonts w:eastAsia="Arial"/>
                <w:b/>
                <w:color w:val="000000"/>
                <w:sz w:val="20"/>
                <w:szCs w:val="20"/>
              </w:rPr>
              <w:t>Intermediate*</w:t>
            </w:r>
          </w:p>
          <w:p w14:paraId="2B2DD78C" w14:textId="77777777" w:rsidR="006975BB" w:rsidRPr="00EF7423" w:rsidRDefault="00F319AD" w:rsidP="00CD1377">
            <w:pPr>
              <w:jc w:val="center"/>
              <w:rPr>
                <w:rFonts w:eastAsia="Arial"/>
                <w:b/>
                <w:color w:val="000000"/>
                <w:sz w:val="20"/>
                <w:szCs w:val="20"/>
              </w:rPr>
            </w:pPr>
            <w:r w:rsidRPr="00EF7423">
              <w:rPr>
                <w:rFonts w:eastAsia="Arial"/>
                <w:b/>
                <w:color w:val="000000"/>
                <w:sz w:val="20"/>
                <w:szCs w:val="20"/>
              </w:rPr>
              <w:t>(75%)</w:t>
            </w:r>
          </w:p>
        </w:tc>
        <w:tc>
          <w:tcPr>
            <w:tcW w:w="1980" w:type="dxa"/>
            <w:shd w:val="clear" w:color="auto" w:fill="E8E8E8" w:themeFill="background2"/>
          </w:tcPr>
          <w:p w14:paraId="18B2F2FF" w14:textId="77777777" w:rsidR="006975BB" w:rsidRPr="00EF7423" w:rsidRDefault="00F319AD" w:rsidP="00CD1377">
            <w:pPr>
              <w:jc w:val="center"/>
              <w:rPr>
                <w:rFonts w:eastAsia="Arial"/>
                <w:b/>
                <w:color w:val="000000"/>
                <w:sz w:val="20"/>
                <w:szCs w:val="20"/>
              </w:rPr>
            </w:pPr>
            <w:r w:rsidRPr="00EF7423">
              <w:rPr>
                <w:rFonts w:eastAsia="Arial"/>
                <w:b/>
                <w:color w:val="000000"/>
                <w:sz w:val="20"/>
                <w:szCs w:val="20"/>
              </w:rPr>
              <w:t>Minimum*</w:t>
            </w:r>
          </w:p>
          <w:p w14:paraId="2420F203" w14:textId="77777777" w:rsidR="006975BB" w:rsidRPr="00EF7423" w:rsidRDefault="00F319AD" w:rsidP="00CD1377">
            <w:pPr>
              <w:jc w:val="center"/>
              <w:rPr>
                <w:rFonts w:eastAsia="Arial"/>
                <w:b/>
                <w:color w:val="000000"/>
                <w:sz w:val="20"/>
                <w:szCs w:val="20"/>
              </w:rPr>
            </w:pPr>
            <w:r w:rsidRPr="00EF7423">
              <w:rPr>
                <w:rFonts w:eastAsia="Arial"/>
                <w:b/>
                <w:color w:val="000000"/>
                <w:sz w:val="20"/>
                <w:szCs w:val="20"/>
              </w:rPr>
              <w:t xml:space="preserve"> (50%)</w:t>
            </w:r>
          </w:p>
        </w:tc>
      </w:tr>
      <w:tr w:rsidR="007B31B2" w:rsidRPr="00390F83" w14:paraId="03C7CCC9" w14:textId="77777777" w:rsidTr="00CD1377">
        <w:tc>
          <w:tcPr>
            <w:tcW w:w="3030" w:type="dxa"/>
            <w:shd w:val="clear" w:color="auto" w:fill="auto"/>
            <w:noWrap/>
          </w:tcPr>
          <w:p w14:paraId="22968B05" w14:textId="77777777" w:rsidR="006975BB" w:rsidRPr="00EF7423" w:rsidRDefault="00F319AD" w:rsidP="00CD1377">
            <w:pPr>
              <w:pStyle w:val="ListParagraph"/>
              <w:numPr>
                <w:ilvl w:val="0"/>
                <w:numId w:val="19"/>
              </w:numPr>
              <w:ind w:left="284" w:hanging="284"/>
              <w:rPr>
                <w:rFonts w:eastAsia="Times New Roman"/>
                <w:color w:val="000000"/>
                <w:sz w:val="20"/>
                <w:szCs w:val="20"/>
              </w:rPr>
            </w:pPr>
            <w:r w:rsidRPr="00EF7423">
              <w:rPr>
                <w:rFonts w:eastAsia="Times New Roman"/>
                <w:color w:val="000000"/>
                <w:sz w:val="20"/>
                <w:szCs w:val="20"/>
              </w:rPr>
              <w:t>Establishment of Waterbird Estimates Partnership</w:t>
            </w:r>
          </w:p>
        </w:tc>
        <w:tc>
          <w:tcPr>
            <w:tcW w:w="1927" w:type="dxa"/>
          </w:tcPr>
          <w:p w14:paraId="04600913" w14:textId="77777777" w:rsidR="006975BB" w:rsidRPr="00EF7423" w:rsidRDefault="00F319AD" w:rsidP="00CD1377">
            <w:pPr>
              <w:jc w:val="right"/>
              <w:rPr>
                <w:rFonts w:eastAsia="Times New Roman"/>
                <w:color w:val="000000"/>
                <w:sz w:val="20"/>
                <w:szCs w:val="20"/>
              </w:rPr>
            </w:pPr>
            <w:r w:rsidRPr="00EF7423">
              <w:rPr>
                <w:sz w:val="20"/>
                <w:szCs w:val="20"/>
              </w:rPr>
              <w:t xml:space="preserve"> 38,000 </w:t>
            </w:r>
          </w:p>
        </w:tc>
        <w:tc>
          <w:tcPr>
            <w:tcW w:w="1968" w:type="dxa"/>
          </w:tcPr>
          <w:p w14:paraId="7348D19A" w14:textId="77777777" w:rsidR="006975BB" w:rsidRPr="00EF7423" w:rsidRDefault="00F319AD" w:rsidP="00CD1377">
            <w:pPr>
              <w:jc w:val="right"/>
              <w:rPr>
                <w:sz w:val="20"/>
                <w:szCs w:val="20"/>
              </w:rPr>
            </w:pPr>
            <w:r w:rsidRPr="00EF7423">
              <w:rPr>
                <w:sz w:val="20"/>
                <w:szCs w:val="20"/>
              </w:rPr>
              <w:t>38,000</w:t>
            </w:r>
          </w:p>
        </w:tc>
        <w:tc>
          <w:tcPr>
            <w:tcW w:w="1980" w:type="dxa"/>
          </w:tcPr>
          <w:p w14:paraId="4B9DE786" w14:textId="77777777" w:rsidR="006975BB" w:rsidRPr="00EF7423" w:rsidRDefault="00F319AD" w:rsidP="00CD1377">
            <w:pPr>
              <w:jc w:val="right"/>
              <w:rPr>
                <w:sz w:val="20"/>
                <w:szCs w:val="20"/>
              </w:rPr>
            </w:pPr>
            <w:r w:rsidRPr="00EF7423">
              <w:rPr>
                <w:sz w:val="20"/>
                <w:szCs w:val="20"/>
              </w:rPr>
              <w:t>38,000</w:t>
            </w:r>
          </w:p>
        </w:tc>
      </w:tr>
      <w:tr w:rsidR="007B31B2" w:rsidRPr="00390F83" w14:paraId="6F535DAF" w14:textId="77777777" w:rsidTr="00CD1377">
        <w:trPr>
          <w:trHeight w:val="716"/>
        </w:trPr>
        <w:tc>
          <w:tcPr>
            <w:tcW w:w="3030" w:type="dxa"/>
            <w:shd w:val="clear" w:color="auto" w:fill="auto"/>
            <w:noWrap/>
          </w:tcPr>
          <w:p w14:paraId="2307EAFA" w14:textId="77777777" w:rsidR="006975BB" w:rsidRPr="00EF7423" w:rsidRDefault="00F319AD" w:rsidP="00CD1377">
            <w:pPr>
              <w:pStyle w:val="ListParagraph"/>
              <w:numPr>
                <w:ilvl w:val="0"/>
                <w:numId w:val="19"/>
              </w:numPr>
              <w:ind w:left="284" w:hanging="284"/>
              <w:rPr>
                <w:color w:val="000000"/>
                <w:sz w:val="20"/>
                <w:szCs w:val="20"/>
              </w:rPr>
            </w:pPr>
            <w:r w:rsidRPr="00EF7423">
              <w:rPr>
                <w:rFonts w:eastAsia="Times New Roman"/>
                <w:color w:val="000000" w:themeColor="text1"/>
                <w:sz w:val="20"/>
                <w:szCs w:val="20"/>
              </w:rPr>
              <w:t xml:space="preserve">Delivery of WPE2027 through review and updates of </w:t>
            </w:r>
            <w:r w:rsidRPr="00EF7423">
              <w:rPr>
                <w:color w:val="000000"/>
                <w:sz w:val="20"/>
                <w:szCs w:val="20"/>
              </w:rPr>
              <w:t xml:space="preserve">priority </w:t>
            </w:r>
            <w:r w:rsidRPr="00EF7423">
              <w:rPr>
                <w:rFonts w:eastAsia="Times New Roman"/>
                <w:color w:val="000000"/>
                <w:sz w:val="20"/>
                <w:szCs w:val="20"/>
              </w:rPr>
              <w:t>populations</w:t>
            </w:r>
          </w:p>
        </w:tc>
        <w:tc>
          <w:tcPr>
            <w:tcW w:w="1927" w:type="dxa"/>
          </w:tcPr>
          <w:p w14:paraId="01CE35E4" w14:textId="77777777" w:rsidR="006975BB" w:rsidRPr="00EF7423" w:rsidRDefault="00F319AD" w:rsidP="00CD1377">
            <w:pPr>
              <w:jc w:val="right"/>
              <w:rPr>
                <w:sz w:val="20"/>
                <w:szCs w:val="20"/>
              </w:rPr>
            </w:pPr>
            <w:r w:rsidRPr="00EF7423">
              <w:rPr>
                <w:sz w:val="20"/>
                <w:szCs w:val="20"/>
              </w:rPr>
              <w:t>366,000</w:t>
            </w:r>
          </w:p>
          <w:p w14:paraId="5EF620BA" w14:textId="77777777" w:rsidR="006975BB" w:rsidRPr="00EF7423" w:rsidRDefault="00F319AD" w:rsidP="00CD1377">
            <w:pPr>
              <w:jc w:val="right"/>
              <w:rPr>
                <w:sz w:val="20"/>
                <w:szCs w:val="20"/>
              </w:rPr>
            </w:pPr>
            <w:r w:rsidRPr="00EF7423">
              <w:rPr>
                <w:color w:val="000000"/>
                <w:sz w:val="20"/>
                <w:szCs w:val="20"/>
              </w:rPr>
              <w:t>(1,600 populations)</w:t>
            </w:r>
          </w:p>
        </w:tc>
        <w:tc>
          <w:tcPr>
            <w:tcW w:w="1968" w:type="dxa"/>
          </w:tcPr>
          <w:p w14:paraId="2352628E" w14:textId="77777777" w:rsidR="006975BB" w:rsidRPr="00EF7423" w:rsidRDefault="00F319AD" w:rsidP="00CD1377">
            <w:pPr>
              <w:jc w:val="right"/>
              <w:rPr>
                <w:sz w:val="20"/>
                <w:szCs w:val="20"/>
              </w:rPr>
            </w:pPr>
            <w:r w:rsidRPr="00EF7423">
              <w:rPr>
                <w:sz w:val="20"/>
                <w:szCs w:val="20"/>
              </w:rPr>
              <w:t>287,000</w:t>
            </w:r>
          </w:p>
          <w:p w14:paraId="2A9BAA0B" w14:textId="77777777" w:rsidR="006975BB" w:rsidRPr="00EF7423" w:rsidRDefault="00F319AD" w:rsidP="00CD1377">
            <w:pPr>
              <w:rPr>
                <w:sz w:val="20"/>
                <w:szCs w:val="20"/>
              </w:rPr>
            </w:pPr>
            <w:r w:rsidRPr="00EF7423">
              <w:rPr>
                <w:sz w:val="20"/>
                <w:szCs w:val="20"/>
              </w:rPr>
              <w:t>(1,255 populations)</w:t>
            </w:r>
          </w:p>
        </w:tc>
        <w:tc>
          <w:tcPr>
            <w:tcW w:w="1980" w:type="dxa"/>
          </w:tcPr>
          <w:p w14:paraId="30D73446" w14:textId="77777777" w:rsidR="006975BB" w:rsidRPr="00EF7423" w:rsidRDefault="00F319AD" w:rsidP="00CD1377">
            <w:pPr>
              <w:jc w:val="right"/>
              <w:rPr>
                <w:sz w:val="20"/>
                <w:szCs w:val="20"/>
              </w:rPr>
            </w:pPr>
            <w:r w:rsidRPr="00EF7423">
              <w:rPr>
                <w:sz w:val="20"/>
                <w:szCs w:val="20"/>
              </w:rPr>
              <w:t>170,000</w:t>
            </w:r>
          </w:p>
          <w:p w14:paraId="4AFD37D2" w14:textId="77777777" w:rsidR="006975BB" w:rsidRPr="00EF7423" w:rsidRDefault="00F319AD" w:rsidP="00CD1377">
            <w:pPr>
              <w:jc w:val="right"/>
              <w:rPr>
                <w:sz w:val="20"/>
                <w:szCs w:val="20"/>
              </w:rPr>
            </w:pPr>
            <w:r w:rsidRPr="00EF7423">
              <w:rPr>
                <w:sz w:val="20"/>
                <w:szCs w:val="20"/>
              </w:rPr>
              <w:t>(743 populations)</w:t>
            </w:r>
          </w:p>
        </w:tc>
      </w:tr>
      <w:tr w:rsidR="007B31B2" w:rsidRPr="00390F83" w14:paraId="596714F9" w14:textId="77777777" w:rsidTr="00CD1377">
        <w:tc>
          <w:tcPr>
            <w:tcW w:w="3030" w:type="dxa"/>
            <w:shd w:val="clear" w:color="auto" w:fill="auto"/>
            <w:noWrap/>
            <w:hideMark/>
          </w:tcPr>
          <w:p w14:paraId="6C3E0014" w14:textId="77777777" w:rsidR="006975BB" w:rsidRPr="00390F83" w:rsidRDefault="00F319AD" w:rsidP="00CD1377">
            <w:pPr>
              <w:pStyle w:val="ListParagraph"/>
              <w:numPr>
                <w:ilvl w:val="0"/>
                <w:numId w:val="19"/>
              </w:numPr>
              <w:ind w:left="284" w:hanging="284"/>
              <w:rPr>
                <w:rFonts w:eastAsia="Arial"/>
              </w:rPr>
            </w:pPr>
            <w:r w:rsidRPr="00EF7423">
              <w:rPr>
                <w:color w:val="000000"/>
                <w:sz w:val="20"/>
                <w:szCs w:val="20"/>
              </w:rPr>
              <w:t>Maintain the Waterbird Populations Portal to deliver WPE information</w:t>
            </w:r>
          </w:p>
        </w:tc>
        <w:tc>
          <w:tcPr>
            <w:tcW w:w="1927" w:type="dxa"/>
          </w:tcPr>
          <w:p w14:paraId="2195E2B3" w14:textId="77777777" w:rsidR="006975BB" w:rsidRPr="00EF7423" w:rsidRDefault="00F319AD" w:rsidP="00CD1377">
            <w:pPr>
              <w:jc w:val="right"/>
              <w:rPr>
                <w:rFonts w:eastAsia="Times New Roman"/>
                <w:color w:val="000000"/>
                <w:sz w:val="20"/>
                <w:szCs w:val="20"/>
              </w:rPr>
            </w:pPr>
            <w:r w:rsidRPr="00EF7423">
              <w:rPr>
                <w:sz w:val="20"/>
                <w:szCs w:val="20"/>
              </w:rPr>
              <w:t>61,000</w:t>
            </w:r>
          </w:p>
        </w:tc>
        <w:tc>
          <w:tcPr>
            <w:tcW w:w="1968" w:type="dxa"/>
          </w:tcPr>
          <w:p w14:paraId="0E26A201" w14:textId="77777777" w:rsidR="006975BB" w:rsidRPr="00EF7423" w:rsidRDefault="00F319AD" w:rsidP="00CD1377">
            <w:pPr>
              <w:jc w:val="right"/>
              <w:rPr>
                <w:sz w:val="20"/>
                <w:szCs w:val="20"/>
              </w:rPr>
            </w:pPr>
            <w:r w:rsidRPr="00EF7423">
              <w:rPr>
                <w:sz w:val="20"/>
                <w:szCs w:val="20"/>
              </w:rPr>
              <w:t>25,000</w:t>
            </w:r>
          </w:p>
        </w:tc>
        <w:tc>
          <w:tcPr>
            <w:tcW w:w="1980" w:type="dxa"/>
          </w:tcPr>
          <w:p w14:paraId="7B21C3F2" w14:textId="77777777" w:rsidR="006975BB" w:rsidRPr="00EF7423" w:rsidRDefault="00F319AD" w:rsidP="00CD1377">
            <w:pPr>
              <w:jc w:val="right"/>
              <w:rPr>
                <w:sz w:val="20"/>
                <w:szCs w:val="20"/>
              </w:rPr>
            </w:pPr>
            <w:r w:rsidRPr="00EF7423">
              <w:rPr>
                <w:sz w:val="20"/>
                <w:szCs w:val="20"/>
              </w:rPr>
              <w:t>25,000</w:t>
            </w:r>
          </w:p>
        </w:tc>
      </w:tr>
      <w:tr w:rsidR="007B31B2" w:rsidRPr="00390F83" w14:paraId="3BFD80D2" w14:textId="77777777" w:rsidTr="00CD1377">
        <w:tc>
          <w:tcPr>
            <w:tcW w:w="3030" w:type="dxa"/>
            <w:shd w:val="clear" w:color="auto" w:fill="auto"/>
            <w:noWrap/>
          </w:tcPr>
          <w:p w14:paraId="629C6A40" w14:textId="77777777" w:rsidR="006975BB" w:rsidRPr="00EF7423" w:rsidRDefault="00F319AD" w:rsidP="00CD1377">
            <w:pPr>
              <w:rPr>
                <w:rFonts w:eastAsia="Times New Roman"/>
                <w:b/>
                <w:bCs w:val="0"/>
                <w:color w:val="000000" w:themeColor="text1"/>
                <w:sz w:val="20"/>
                <w:szCs w:val="20"/>
              </w:rPr>
            </w:pPr>
            <w:r w:rsidRPr="00EF7423">
              <w:rPr>
                <w:rFonts w:eastAsia="Times New Roman"/>
                <w:b/>
                <w:color w:val="000000" w:themeColor="text1"/>
                <w:sz w:val="20"/>
                <w:szCs w:val="20"/>
              </w:rPr>
              <w:t>Total indicative costs (early estimate):</w:t>
            </w:r>
          </w:p>
        </w:tc>
        <w:tc>
          <w:tcPr>
            <w:tcW w:w="1927" w:type="dxa"/>
          </w:tcPr>
          <w:p w14:paraId="25A4F244" w14:textId="77777777" w:rsidR="006975BB" w:rsidRPr="00EF7423" w:rsidRDefault="00F319AD" w:rsidP="00CD1377">
            <w:pPr>
              <w:jc w:val="right"/>
              <w:rPr>
                <w:rFonts w:eastAsia="Times New Roman"/>
                <w:b/>
                <w:bCs w:val="0"/>
                <w:color w:val="000000"/>
                <w:sz w:val="20"/>
                <w:szCs w:val="20"/>
              </w:rPr>
            </w:pPr>
            <w:r w:rsidRPr="00EF7423">
              <w:rPr>
                <w:rFonts w:eastAsia="Times New Roman"/>
                <w:b/>
                <w:color w:val="000000"/>
                <w:sz w:val="20"/>
                <w:szCs w:val="20"/>
              </w:rPr>
              <w:t>465,000</w:t>
            </w:r>
          </w:p>
        </w:tc>
        <w:tc>
          <w:tcPr>
            <w:tcW w:w="1968" w:type="dxa"/>
          </w:tcPr>
          <w:p w14:paraId="43EEEC73" w14:textId="77777777" w:rsidR="006975BB" w:rsidRPr="00EF7423" w:rsidRDefault="00F319AD" w:rsidP="00CD1377">
            <w:pPr>
              <w:jc w:val="right"/>
              <w:rPr>
                <w:rFonts w:eastAsia="Times New Roman"/>
                <w:b/>
                <w:bCs w:val="0"/>
                <w:color w:val="000000"/>
                <w:sz w:val="20"/>
                <w:szCs w:val="20"/>
              </w:rPr>
            </w:pPr>
            <w:r w:rsidRPr="00EF7423">
              <w:rPr>
                <w:b/>
                <w:sz w:val="20"/>
                <w:szCs w:val="20"/>
              </w:rPr>
              <w:t>350,000</w:t>
            </w:r>
          </w:p>
        </w:tc>
        <w:tc>
          <w:tcPr>
            <w:tcW w:w="1980" w:type="dxa"/>
          </w:tcPr>
          <w:p w14:paraId="3FF1D823" w14:textId="77777777" w:rsidR="006975BB" w:rsidRPr="00EF7423" w:rsidRDefault="00F319AD" w:rsidP="00CD1377">
            <w:pPr>
              <w:jc w:val="right"/>
              <w:rPr>
                <w:rFonts w:eastAsia="Times New Roman"/>
                <w:b/>
                <w:bCs w:val="0"/>
                <w:color w:val="000000"/>
                <w:sz w:val="20"/>
                <w:szCs w:val="20"/>
              </w:rPr>
            </w:pPr>
            <w:r w:rsidRPr="00EF7423">
              <w:rPr>
                <w:b/>
                <w:sz w:val="20"/>
                <w:szCs w:val="20"/>
              </w:rPr>
              <w:t>233,000</w:t>
            </w:r>
          </w:p>
        </w:tc>
      </w:tr>
    </w:tbl>
    <w:p w14:paraId="0743C46C" w14:textId="23C8EC65" w:rsidR="006975BB" w:rsidRPr="00390F83" w:rsidRDefault="00F319AD" w:rsidP="006975BB">
      <w:pPr>
        <w:rPr>
          <w:i/>
          <w:iCs/>
          <w:sz w:val="18"/>
          <w:szCs w:val="18"/>
        </w:rPr>
      </w:pPr>
      <w:r w:rsidRPr="00390F83">
        <w:rPr>
          <w:i/>
          <w:iCs/>
          <w:sz w:val="18"/>
          <w:szCs w:val="18"/>
        </w:rPr>
        <w:t>* In instances where partial funding (Intermediate/</w:t>
      </w:r>
      <w:r w:rsidR="00B4099D">
        <w:rPr>
          <w:i/>
          <w:iCs/>
          <w:sz w:val="18"/>
          <w:szCs w:val="18"/>
        </w:rPr>
        <w:t>e</w:t>
      </w:r>
      <w:r w:rsidRPr="00390F83">
        <w:rPr>
          <w:i/>
          <w:iCs/>
          <w:sz w:val="18"/>
          <w:szCs w:val="18"/>
        </w:rPr>
        <w:t xml:space="preserve">stablishment) is provided, additional resource </w:t>
      </w:r>
      <w:r w:rsidR="001749AF" w:rsidRPr="00390F83">
        <w:rPr>
          <w:i/>
          <w:iCs/>
          <w:sz w:val="18"/>
          <w:szCs w:val="18"/>
        </w:rPr>
        <w:t>mobilization</w:t>
      </w:r>
      <w:r w:rsidRPr="00390F83">
        <w:rPr>
          <w:i/>
          <w:iCs/>
          <w:sz w:val="18"/>
          <w:szCs w:val="18"/>
        </w:rPr>
        <w:t xml:space="preserve"> activities will be critical to seek non-core contributions from Contracting Parties and supporting </w:t>
      </w:r>
      <w:r w:rsidR="001749AF" w:rsidRPr="00390F83">
        <w:rPr>
          <w:i/>
          <w:iCs/>
          <w:sz w:val="18"/>
          <w:szCs w:val="18"/>
        </w:rPr>
        <w:t>organizations</w:t>
      </w:r>
      <w:r w:rsidRPr="00390F83">
        <w:rPr>
          <w:i/>
          <w:iCs/>
          <w:sz w:val="18"/>
          <w:szCs w:val="18"/>
        </w:rPr>
        <w:t>; delivery of the full results will be subject to the availability of such additional resources.</w:t>
      </w:r>
    </w:p>
    <w:p w14:paraId="4DD30554" w14:textId="77777777" w:rsidR="006975BB" w:rsidRPr="00390F83" w:rsidRDefault="006975BB" w:rsidP="00F45C8F">
      <w:pPr>
        <w:ind w:left="432" w:hanging="432"/>
      </w:pPr>
    </w:p>
    <w:p w14:paraId="338033CB" w14:textId="77777777" w:rsidR="008166DB" w:rsidRPr="00390F83" w:rsidRDefault="00F319AD" w:rsidP="008166DB">
      <w:pPr>
        <w:ind w:left="432" w:hanging="432"/>
      </w:pPr>
      <w:r w:rsidRPr="00390F83">
        <w:t>9.</w:t>
      </w:r>
      <w:r w:rsidRPr="00390F83">
        <w:tab/>
        <w:t>The Intermediate and Minimum funding options would significantly reduce deliverables, particularly for the WPE2027 updates. Key reductions include:</w:t>
      </w:r>
    </w:p>
    <w:p w14:paraId="584FC923" w14:textId="77777777" w:rsidR="008166DB" w:rsidRPr="00390F83" w:rsidRDefault="00F319AD" w:rsidP="008166DB">
      <w:pPr>
        <w:pStyle w:val="ListParagraph"/>
        <w:numPr>
          <w:ilvl w:val="0"/>
          <w:numId w:val="9"/>
        </w:numPr>
        <w:ind w:left="810"/>
      </w:pPr>
      <w:r w:rsidRPr="00390F83">
        <w:rPr>
          <w:b/>
          <w:bCs w:val="0"/>
        </w:rPr>
        <w:t>Waterbird Populations Portal</w:t>
      </w:r>
      <w:r w:rsidRPr="00390F83">
        <w:t>: Maintenance is limited to bug fixes only.</w:t>
      </w:r>
    </w:p>
    <w:p w14:paraId="07E42E1E" w14:textId="67831351" w:rsidR="00EC7481" w:rsidRPr="00390F83" w:rsidRDefault="00F319AD" w:rsidP="008166DB">
      <w:pPr>
        <w:pStyle w:val="ListParagraph"/>
        <w:numPr>
          <w:ilvl w:val="0"/>
          <w:numId w:val="9"/>
        </w:numPr>
        <w:ind w:left="810"/>
      </w:pPr>
      <w:r w:rsidRPr="00390F83">
        <w:rPr>
          <w:b/>
          <w:bCs w:val="0"/>
        </w:rPr>
        <w:t>WPE2027 Updates</w:t>
      </w:r>
      <w:r w:rsidRPr="00390F83">
        <w:t xml:space="preserve">: Fewer populations updated, with 1,600 populations in the Comprehensive option, 1,255 populations in the Intermediate option, and 743 populations in the Minimum option. </w:t>
      </w:r>
      <w:r w:rsidR="001749AF" w:rsidRPr="00390F83">
        <w:t>Prioritization</w:t>
      </w:r>
      <w:r w:rsidRPr="00390F83">
        <w:t xml:space="preserve"> will be based on factors such as conservation status, data completeness, and regional importance.</w:t>
      </w:r>
    </w:p>
    <w:p w14:paraId="57C9E5AD" w14:textId="77777777" w:rsidR="00EC7481" w:rsidRPr="00390F83" w:rsidRDefault="00EC7481" w:rsidP="006D3083">
      <w:pPr>
        <w:ind w:left="432" w:hanging="432"/>
      </w:pPr>
    </w:p>
    <w:p w14:paraId="777D0133" w14:textId="31389387" w:rsidR="006975BB" w:rsidRPr="00390F83" w:rsidRDefault="00F319AD" w:rsidP="006975BB">
      <w:pPr>
        <w:ind w:left="432" w:hanging="432"/>
      </w:pPr>
      <w:r w:rsidRPr="00390F83">
        <w:t>10.</w:t>
      </w:r>
      <w:r w:rsidRPr="00390F83">
        <w:tab/>
        <w:t xml:space="preserve">Adequate resourcing is essential to the success of the Waterbird Estimates Partnership and the production of WPE2027. The Comprehensive funding option is recommended to ensure the full scope of updates and improvements are achieved. Should partial funding be provided, additional resource </w:t>
      </w:r>
      <w:r w:rsidR="001749AF" w:rsidRPr="00390F83">
        <w:t>mobilization</w:t>
      </w:r>
      <w:r w:rsidRPr="00390F83">
        <w:t xml:space="preserve"> efforts will be necessary.</w:t>
      </w:r>
    </w:p>
    <w:sectPr w:rsidR="006975BB" w:rsidRPr="00390F83" w:rsidSect="00CE421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4858C" w14:textId="77777777" w:rsidR="00E22AB1" w:rsidRDefault="00E22AB1">
      <w:r>
        <w:separator/>
      </w:r>
    </w:p>
  </w:endnote>
  <w:endnote w:type="continuationSeparator" w:id="0">
    <w:p w14:paraId="4B8EAC00" w14:textId="77777777" w:rsidR="00E22AB1" w:rsidRDefault="00E22AB1">
      <w:r>
        <w:continuationSeparator/>
      </w:r>
    </w:p>
  </w:endnote>
  <w:endnote w:type="continuationNotice" w:id="1">
    <w:p w14:paraId="52AA4F4E" w14:textId="77777777" w:rsidR="00E22AB1" w:rsidRDefault="00E22A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eneva">
    <w:charset w:val="00"/>
    <w:family w:val="swiss"/>
    <w:pitch w:val="variable"/>
    <w:sig w:usb0="E00002FF" w:usb1="5200205F" w:usb2="00A0C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45738" w14:textId="199BB0BA" w:rsidR="00984F89" w:rsidRDefault="00984F89" w:rsidP="009F2B73">
    <w:pPr>
      <w:pBdr>
        <w:top w:val="nil"/>
        <w:left w:val="nil"/>
        <w:bottom w:val="nil"/>
        <w:right w:val="nil"/>
        <w:between w:val="nil"/>
      </w:pBdr>
      <w:tabs>
        <w:tab w:val="center" w:pos="4680"/>
        <w:tab w:val="right" w:pos="9360"/>
      </w:tabs>
      <w:rPr>
        <w:rFonts w:eastAsia="Calibri"/>
        <w:color w:val="000000"/>
        <w:sz w:val="20"/>
        <w:szCs w:val="20"/>
      </w:rPr>
    </w:pPr>
    <w:r>
      <w:rPr>
        <w:rFonts w:eastAsia="Calibri"/>
        <w:color w:val="000000"/>
        <w:sz w:val="20"/>
        <w:szCs w:val="20"/>
      </w:rPr>
      <w:t>SC64 Doc.18</w:t>
    </w:r>
    <w:r>
      <w:rPr>
        <w:rFonts w:eastAsia="Calibri"/>
        <w:color w:val="000000"/>
        <w:sz w:val="20"/>
        <w:szCs w:val="20"/>
      </w:rPr>
      <w:tab/>
    </w:r>
    <w:r>
      <w:rPr>
        <w:rFonts w:eastAsia="Calibri"/>
        <w:color w:val="000000"/>
        <w:sz w:val="20"/>
        <w:szCs w:val="20"/>
      </w:rPr>
      <w:tab/>
    </w:r>
    <w:r>
      <w:rPr>
        <w:rFonts w:eastAsia="Calibri"/>
        <w:color w:val="000000"/>
        <w:sz w:val="20"/>
        <w:szCs w:val="20"/>
      </w:rPr>
      <w:fldChar w:fldCharType="begin"/>
    </w:r>
    <w:r>
      <w:rPr>
        <w:rFonts w:eastAsia="Calibri"/>
        <w:color w:val="000000"/>
        <w:sz w:val="20"/>
        <w:szCs w:val="20"/>
      </w:rPr>
      <w:instrText>PAGE</w:instrText>
    </w:r>
    <w:r>
      <w:rPr>
        <w:rFonts w:eastAsia="Calibri"/>
        <w:color w:val="000000"/>
        <w:sz w:val="20"/>
        <w:szCs w:val="20"/>
      </w:rPr>
      <w:fldChar w:fldCharType="separate"/>
    </w:r>
    <w:r w:rsidR="00E22AB1">
      <w:rPr>
        <w:rFonts w:eastAsia="Calibri"/>
        <w:noProof/>
        <w:color w:val="000000"/>
        <w:sz w:val="20"/>
        <w:szCs w:val="20"/>
      </w:rPr>
      <w:t>1</w:t>
    </w:r>
    <w:r>
      <w:rPr>
        <w:rFonts w:eastAsia="Calibri"/>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2341F" w14:textId="5D4C6F93" w:rsidR="00984F89" w:rsidRDefault="00984F89" w:rsidP="00EF7423">
    <w:pPr>
      <w:pBdr>
        <w:top w:val="nil"/>
        <w:left w:val="nil"/>
        <w:bottom w:val="nil"/>
        <w:right w:val="nil"/>
        <w:between w:val="nil"/>
      </w:pBdr>
      <w:tabs>
        <w:tab w:val="center" w:pos="4680"/>
        <w:tab w:val="right" w:pos="14175"/>
      </w:tabs>
      <w:rPr>
        <w:rFonts w:eastAsia="Calibri"/>
        <w:color w:val="000000"/>
        <w:sz w:val="20"/>
        <w:szCs w:val="20"/>
      </w:rPr>
    </w:pPr>
    <w:r>
      <w:rPr>
        <w:rFonts w:eastAsia="Calibri"/>
        <w:color w:val="000000"/>
        <w:sz w:val="20"/>
        <w:szCs w:val="20"/>
      </w:rPr>
      <w:t>SC64 Doc.1</w:t>
    </w:r>
    <w:r w:rsidR="003602B1">
      <w:rPr>
        <w:rFonts w:eastAsia="Calibri"/>
        <w:color w:val="000000"/>
        <w:sz w:val="20"/>
        <w:szCs w:val="20"/>
      </w:rPr>
      <w:t>8</w:t>
    </w:r>
    <w:r>
      <w:rPr>
        <w:rFonts w:eastAsia="Calibri"/>
        <w:color w:val="000000"/>
        <w:sz w:val="20"/>
        <w:szCs w:val="20"/>
      </w:rPr>
      <w:tab/>
    </w:r>
    <w:r>
      <w:rPr>
        <w:rFonts w:eastAsia="Calibri"/>
        <w:color w:val="000000"/>
        <w:sz w:val="20"/>
        <w:szCs w:val="20"/>
      </w:rPr>
      <w:tab/>
    </w:r>
    <w:r>
      <w:rPr>
        <w:rFonts w:eastAsia="Calibri"/>
        <w:color w:val="000000"/>
        <w:sz w:val="20"/>
        <w:szCs w:val="20"/>
      </w:rPr>
      <w:fldChar w:fldCharType="begin"/>
    </w:r>
    <w:r>
      <w:rPr>
        <w:rFonts w:eastAsia="Calibri"/>
        <w:color w:val="000000"/>
        <w:sz w:val="20"/>
        <w:szCs w:val="20"/>
      </w:rPr>
      <w:instrText>PAGE</w:instrText>
    </w:r>
    <w:r>
      <w:rPr>
        <w:rFonts w:eastAsia="Calibri"/>
        <w:color w:val="000000"/>
        <w:sz w:val="20"/>
        <w:szCs w:val="20"/>
      </w:rPr>
      <w:fldChar w:fldCharType="separate"/>
    </w:r>
    <w:r w:rsidR="00AA3A1F">
      <w:rPr>
        <w:rFonts w:eastAsia="Calibri"/>
        <w:noProof/>
        <w:color w:val="000000"/>
        <w:sz w:val="20"/>
        <w:szCs w:val="20"/>
      </w:rPr>
      <w:t>44</w:t>
    </w:r>
    <w:r>
      <w:rPr>
        <w:rFonts w:eastAsia="Calibri"/>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AD94C" w14:textId="77777777" w:rsidR="00E22AB1" w:rsidRDefault="00E22AB1" w:rsidP="006E2DD3">
      <w:r>
        <w:separator/>
      </w:r>
    </w:p>
  </w:footnote>
  <w:footnote w:type="continuationSeparator" w:id="0">
    <w:p w14:paraId="4EB3D7C4" w14:textId="77777777" w:rsidR="00E22AB1" w:rsidRDefault="00E22AB1" w:rsidP="006E2DD3">
      <w:r>
        <w:continuationSeparator/>
      </w:r>
    </w:p>
  </w:footnote>
  <w:footnote w:type="continuationNotice" w:id="1">
    <w:p w14:paraId="35E43186" w14:textId="77777777" w:rsidR="00E22AB1" w:rsidRDefault="00E22AB1"/>
  </w:footnote>
  <w:footnote w:id="2">
    <w:p w14:paraId="378A77AB" w14:textId="66D2D92D" w:rsidR="00984F89" w:rsidRPr="00CE4218" w:rsidRDefault="00984F89" w:rsidP="00CE4218">
      <w:pPr>
        <w:pStyle w:val="FootnoteText"/>
        <w:ind w:left="0" w:firstLine="0"/>
        <w:rPr>
          <w:rFonts w:cs="Calibri"/>
        </w:rPr>
      </w:pPr>
      <w:r w:rsidRPr="00CE4218">
        <w:rPr>
          <w:rStyle w:val="FootnoteReference"/>
          <w:rFonts w:cs="Calibri"/>
        </w:rPr>
        <w:footnoteRef/>
      </w:r>
      <w:r>
        <w:rPr>
          <w:rFonts w:cs="Calibri"/>
        </w:rPr>
        <w:t xml:space="preserve"> </w:t>
      </w:r>
      <w:r w:rsidRPr="00CE4218">
        <w:rPr>
          <w:rFonts w:cs="Calibri"/>
        </w:rPr>
        <w:t xml:space="preserve">See </w:t>
      </w:r>
      <w:hyperlink r:id="rId1" w:history="1">
        <w:r w:rsidRPr="00CE4218">
          <w:rPr>
            <w:rStyle w:val="Hyperlink"/>
            <w:rFonts w:cs="Calibri"/>
          </w:rPr>
          <w:t>https://www.ramsar.org/document/population-estimates-1-thresholds-wetland-dependent-non-avian-animal-species-application</w:t>
        </w:r>
      </w:hyperlink>
      <w:r w:rsidRPr="00CE4218">
        <w:rPr>
          <w:rFonts w:cs="Calibri"/>
        </w:rPr>
        <w:t xml:space="preserve">. </w:t>
      </w:r>
    </w:p>
  </w:footnote>
  <w:footnote w:id="3">
    <w:p w14:paraId="55C9FC31" w14:textId="045C4B78" w:rsidR="00984F89" w:rsidRPr="00CE4218" w:rsidRDefault="00984F89" w:rsidP="00CE4218">
      <w:pPr>
        <w:pStyle w:val="FootnoteText"/>
        <w:ind w:left="0" w:firstLine="0"/>
        <w:rPr>
          <w:rFonts w:cs="Calibri"/>
          <w:lang w:val="en-GB"/>
        </w:rPr>
      </w:pPr>
      <w:r w:rsidRPr="00CE4218">
        <w:rPr>
          <w:rStyle w:val="FootnoteReference"/>
          <w:rFonts w:cs="Calibri"/>
        </w:rPr>
        <w:footnoteRef/>
      </w:r>
      <w:r w:rsidRPr="00CE4218">
        <w:rPr>
          <w:rFonts w:cs="Calibri"/>
        </w:rPr>
        <w:t xml:space="preserve"> </w:t>
      </w:r>
      <w:r w:rsidRPr="00CE4218">
        <w:rPr>
          <w:rFonts w:cs="Calibri"/>
          <w:lang w:val="en-GB"/>
        </w:rPr>
        <w:t xml:space="preserve">See </w:t>
      </w:r>
      <w:hyperlink r:id="rId2" w:history="1">
        <w:r w:rsidRPr="00CE4218">
          <w:rPr>
            <w:rStyle w:val="Hyperlink"/>
            <w:rFonts w:cs="Calibri"/>
            <w:lang w:val="en-GB"/>
          </w:rPr>
          <w:t>https://elearning.fao.org/</w:t>
        </w:r>
      </w:hyperlink>
      <w:r w:rsidRPr="00CE4218">
        <w:rPr>
          <w:rFonts w:cs="Calibri"/>
          <w:lang w:val="en-GB"/>
        </w:rPr>
        <w:t xml:space="preserve">. </w:t>
      </w:r>
    </w:p>
  </w:footnote>
  <w:footnote w:id="4">
    <w:p w14:paraId="4A088D06" w14:textId="41E279C6" w:rsidR="00984F89" w:rsidRPr="00CE4218" w:rsidRDefault="00984F89" w:rsidP="00CE4218">
      <w:pPr>
        <w:pStyle w:val="FootnoteText"/>
        <w:ind w:left="0" w:firstLine="0"/>
        <w:rPr>
          <w:rFonts w:cs="Calibri"/>
        </w:rPr>
      </w:pPr>
      <w:r w:rsidRPr="00CE4218">
        <w:rPr>
          <w:rStyle w:val="FootnoteReference"/>
          <w:rFonts w:cs="Calibri"/>
        </w:rPr>
        <w:footnoteRef/>
      </w:r>
      <w:r>
        <w:rPr>
          <w:rFonts w:cs="Calibri"/>
        </w:rPr>
        <w:t xml:space="preserve"> </w:t>
      </w:r>
      <w:r w:rsidRPr="00CE4218">
        <w:rPr>
          <w:rFonts w:cs="Calibri"/>
        </w:rPr>
        <w:t xml:space="preserve">See </w:t>
      </w:r>
      <w:hyperlink r:id="rId3" w:history="1">
        <w:r w:rsidRPr="00CE4218">
          <w:rPr>
            <w:rStyle w:val="Hyperlink"/>
            <w:rFonts w:cs="Calibri"/>
          </w:rPr>
          <w:t>https://www.ramsar.org/document/sc63-inf3-submission-convention-wetlands-6th-meeting-ad-hoc-technical-expert-group</w:t>
        </w:r>
      </w:hyperlink>
      <w:r w:rsidRPr="00CE4218">
        <w:rPr>
          <w:rFonts w:cs="Calibri"/>
        </w:rPr>
        <w:t xml:space="preserve">. </w:t>
      </w:r>
    </w:p>
  </w:footnote>
  <w:footnote w:id="5">
    <w:p w14:paraId="6AC4197A" w14:textId="28668662" w:rsidR="00984F89" w:rsidRPr="00CE4218" w:rsidRDefault="00984F89" w:rsidP="00CE4218">
      <w:pPr>
        <w:pStyle w:val="FootnoteText"/>
        <w:ind w:left="0" w:firstLine="0"/>
        <w:rPr>
          <w:rFonts w:cs="Calibri"/>
        </w:rPr>
      </w:pPr>
      <w:r w:rsidRPr="00CE4218">
        <w:rPr>
          <w:rStyle w:val="FootnoteReference"/>
          <w:rFonts w:cs="Calibri"/>
        </w:rPr>
        <w:footnoteRef/>
      </w:r>
      <w:r>
        <w:rPr>
          <w:rFonts w:cs="Calibri"/>
        </w:rPr>
        <w:t xml:space="preserve"> </w:t>
      </w:r>
      <w:r w:rsidRPr="00CE4218">
        <w:rPr>
          <w:rFonts w:cs="Calibri"/>
        </w:rPr>
        <w:t xml:space="preserve">See </w:t>
      </w:r>
      <w:hyperlink r:id="rId4" w:history="1">
        <w:r w:rsidRPr="00CE4218">
          <w:rPr>
            <w:rStyle w:val="Hyperlink"/>
            <w:rFonts w:cs="Calibri"/>
          </w:rPr>
          <w:t>https://www.ramsar.org/document/kunming-montreal-global-biodiversity-framework-upscaling-wetland-conservation-restoration</w:t>
        </w:r>
      </w:hyperlink>
      <w:r w:rsidRPr="00CE4218">
        <w:rPr>
          <w:rFonts w:cs="Calibri"/>
        </w:rPr>
        <w:t xml:space="preserve">. </w:t>
      </w:r>
    </w:p>
  </w:footnote>
  <w:footnote w:id="6">
    <w:p w14:paraId="6158DB61" w14:textId="003E3532" w:rsidR="00984F89" w:rsidRPr="00CE4218" w:rsidRDefault="00984F89" w:rsidP="00CE4218">
      <w:pPr>
        <w:pStyle w:val="FootnoteText"/>
        <w:ind w:left="0" w:firstLine="0"/>
        <w:rPr>
          <w:rFonts w:cs="Calibri"/>
        </w:rPr>
      </w:pPr>
      <w:r w:rsidRPr="00CE4218">
        <w:rPr>
          <w:rStyle w:val="FootnoteReference"/>
          <w:rFonts w:cs="Calibri"/>
        </w:rPr>
        <w:footnoteRef/>
      </w:r>
      <w:r>
        <w:rPr>
          <w:rFonts w:cs="Calibri"/>
        </w:rPr>
        <w:t xml:space="preserve"> </w:t>
      </w:r>
      <w:r w:rsidRPr="00CE4218">
        <w:rPr>
          <w:rFonts w:cs="Calibri"/>
        </w:rPr>
        <w:t xml:space="preserve">See </w:t>
      </w:r>
      <w:hyperlink r:id="rId5" w:history="1">
        <w:r w:rsidRPr="00CE4218">
          <w:rPr>
            <w:rStyle w:val="Hyperlink"/>
            <w:rFonts w:cs="Calibri"/>
          </w:rPr>
          <w:t>https://www.ramsar.org/document/scaling-wetland-conservation-restoration-deliver-kunming-montreal-global-biodiversity</w:t>
        </w:r>
      </w:hyperlink>
      <w:r w:rsidRPr="00CE4218">
        <w:rPr>
          <w:rFonts w:cs="Calibri"/>
        </w:rPr>
        <w:t xml:space="preserve">. </w:t>
      </w:r>
    </w:p>
  </w:footnote>
  <w:footnote w:id="7">
    <w:p w14:paraId="622F1F12" w14:textId="6E219709" w:rsidR="00984F89" w:rsidRPr="007554DE" w:rsidRDefault="00984F89" w:rsidP="00CE4218">
      <w:pPr>
        <w:pStyle w:val="FootnoteText"/>
        <w:ind w:left="0" w:firstLine="0"/>
        <w:rPr>
          <w:rFonts w:cs="Calibri"/>
        </w:rPr>
      </w:pPr>
      <w:r w:rsidRPr="007554DE">
        <w:rPr>
          <w:rStyle w:val="FootnoteReference"/>
          <w:rFonts w:cs="Calibri"/>
        </w:rPr>
        <w:footnoteRef/>
      </w:r>
      <w:r w:rsidRPr="007554DE">
        <w:rPr>
          <w:rFonts w:cs="Calibri"/>
        </w:rPr>
        <w:t xml:space="preserve"> Convention on Wetlands, 2010, </w:t>
      </w:r>
      <w:r w:rsidRPr="007554DE">
        <w:rPr>
          <w:rFonts w:cs="Calibri"/>
          <w:i/>
        </w:rPr>
        <w:t>Laws and Institutions: Reviewing Laws and institutions to promote the conservation and wise use of wetlands</w:t>
      </w:r>
      <w:r w:rsidRPr="007554DE">
        <w:rPr>
          <w:rFonts w:cs="Calibri"/>
        </w:rPr>
        <w:t xml:space="preserve">, Convention on Wetlands Handbooks for the wise use of wetlands, 4th edition, vol. 3. Convention on Wetlands, Gland, Switzerland. </w:t>
      </w:r>
    </w:p>
  </w:footnote>
  <w:footnote w:id="8">
    <w:p w14:paraId="44C7E87B" w14:textId="77777777" w:rsidR="00984F89" w:rsidRPr="00CE4218" w:rsidRDefault="00984F89" w:rsidP="00CE4218">
      <w:pPr>
        <w:pStyle w:val="FootnoteText"/>
        <w:ind w:left="0" w:firstLine="0"/>
        <w:rPr>
          <w:rFonts w:cs="Calibri"/>
        </w:rPr>
      </w:pPr>
      <w:r w:rsidRPr="007554DE">
        <w:rPr>
          <w:rStyle w:val="FootnoteReference"/>
          <w:rFonts w:cs="Calibri"/>
        </w:rPr>
        <w:footnoteRef/>
      </w:r>
      <w:r w:rsidRPr="007554DE">
        <w:rPr>
          <w:rFonts w:cs="Calibri"/>
        </w:rPr>
        <w:t xml:space="preserve"> Convention on Wetlands, 2010</w:t>
      </w:r>
      <w:r w:rsidRPr="00CE4218">
        <w:rPr>
          <w:rFonts w:cs="Calibri"/>
        </w:rPr>
        <w:t xml:space="preserve">, </w:t>
      </w:r>
      <w:r w:rsidRPr="00CE4218">
        <w:rPr>
          <w:rFonts w:cs="Calibri"/>
          <w:i/>
        </w:rPr>
        <w:t>Designating Ramsar Sites : Strategic Framework and guidelines for the future development of the List of Wetlands of International Importance</w:t>
      </w:r>
      <w:r w:rsidRPr="00CE4218">
        <w:rPr>
          <w:rFonts w:cs="Calibri"/>
        </w:rPr>
        <w:t>, Convention on Wetlands Handbooks for the wise use of wetlands, 4th edition, vol. 17, Convention on Wetlands, Gland, Switzerland, pages 80-82.</w:t>
      </w:r>
    </w:p>
  </w:footnote>
  <w:footnote w:id="9">
    <w:p w14:paraId="442E8296" w14:textId="77777777" w:rsidR="00984F89" w:rsidRPr="00CE4218" w:rsidRDefault="00984F89" w:rsidP="00CE4218">
      <w:pPr>
        <w:pStyle w:val="FootnoteText"/>
        <w:ind w:left="0" w:firstLine="0"/>
        <w:rPr>
          <w:rFonts w:cs="Calibri"/>
          <w:lang w:val="en-GB"/>
        </w:rPr>
      </w:pPr>
      <w:r w:rsidRPr="00CE4218">
        <w:rPr>
          <w:rStyle w:val="FootnoteReference"/>
          <w:rFonts w:cs="Calibri"/>
        </w:rPr>
        <w:footnoteRef/>
      </w:r>
      <w:r w:rsidRPr="00CE4218">
        <w:rPr>
          <w:rFonts w:cs="Calibri"/>
        </w:rPr>
        <w:t xml:space="preserve"> These categories have been adapted and expanded upon from the categories discussed in </w:t>
      </w:r>
      <w:r w:rsidRPr="00CE4218">
        <w:rPr>
          <w:rFonts w:eastAsia="Times New Roman" w:cs="Calibri"/>
          <w:color w:val="000000"/>
        </w:rPr>
        <w:t xml:space="preserve">James Salzman (2013) </w:t>
      </w:r>
      <w:r w:rsidRPr="00CE4218">
        <w:rPr>
          <w:rFonts w:eastAsia="Times New Roman" w:cs="Calibri"/>
          <w:i/>
          <w:iCs/>
          <w:color w:val="000000"/>
        </w:rPr>
        <w:t>Teaching Policy Instrument Choice in Environmental Law: The Five P’s</w:t>
      </w:r>
      <w:r w:rsidRPr="00CE4218">
        <w:rPr>
          <w:rFonts w:eastAsia="Times New Roman" w:cs="Calibri"/>
          <w:color w:val="000000"/>
        </w:rPr>
        <w:t xml:space="preserve">, Duke Environmental Law &amp; Policy Forum, available at </w:t>
      </w:r>
      <w:hyperlink r:id="rId6" w:history="1">
        <w:r w:rsidRPr="00CE4218">
          <w:rPr>
            <w:rStyle w:val="Hyperlink"/>
            <w:rFonts w:eastAsia="Times New Roman" w:cs="Calibri"/>
          </w:rPr>
          <w:t>https://scholarship.law.duke.edu/cgi/viewcontent.cgi?article=1250&amp;context=delpf</w:t>
        </w:r>
      </w:hyperlink>
      <w:r w:rsidRPr="00CE4218">
        <w:rPr>
          <w:rFonts w:eastAsia="Times New Roman" w:cs="Calibri"/>
          <w:color w:val="000000"/>
        </w:rPr>
        <w:t>.</w:t>
      </w:r>
    </w:p>
  </w:footnote>
  <w:footnote w:id="10">
    <w:p w14:paraId="47548E68" w14:textId="77777777" w:rsidR="00984F89" w:rsidRPr="00CE4218" w:rsidRDefault="00984F89" w:rsidP="00CE4218">
      <w:pPr>
        <w:rPr>
          <w:sz w:val="20"/>
          <w:szCs w:val="20"/>
        </w:rPr>
      </w:pPr>
      <w:r w:rsidRPr="00CE4218">
        <w:rPr>
          <w:rStyle w:val="FootnoteReference"/>
          <w:sz w:val="20"/>
          <w:szCs w:val="20"/>
        </w:rPr>
        <w:footnoteRef/>
      </w:r>
      <w:r w:rsidRPr="00CE4218">
        <w:rPr>
          <w:sz w:val="20"/>
          <w:szCs w:val="20"/>
        </w:rPr>
        <w:t xml:space="preserve"> The sectors and activities relate to poverty eradication; water resource management; coastal and marine resource management; integrated coastal zone management; forestry; agriculture; biodiversity; energy and mining; tourism; urban development; infrastructure; industry; aquaculture and fisheries; pollution control and management; and wastewater management.</w:t>
      </w:r>
    </w:p>
  </w:footnote>
  <w:footnote w:id="11">
    <w:p w14:paraId="6EAA2CDE" w14:textId="425BC138" w:rsidR="00984F89" w:rsidRPr="00CE4218" w:rsidRDefault="00984F89" w:rsidP="00CE4218">
      <w:pPr>
        <w:pStyle w:val="FootnoteText"/>
        <w:ind w:left="0" w:firstLine="0"/>
        <w:rPr>
          <w:rFonts w:cs="Calibri"/>
        </w:rPr>
      </w:pPr>
      <w:r w:rsidRPr="00CE4218">
        <w:rPr>
          <w:rStyle w:val="FootnoteReference"/>
          <w:rFonts w:cs="Calibri"/>
        </w:rPr>
        <w:footnoteRef/>
      </w:r>
      <w:r>
        <w:rPr>
          <w:rFonts w:cs="Calibri"/>
        </w:rPr>
        <w:t xml:space="preserve"> </w:t>
      </w:r>
      <w:r w:rsidRPr="00CE4218">
        <w:rPr>
          <w:rFonts w:cs="Calibri"/>
        </w:rPr>
        <w:t xml:space="preserve">As mentioned on the Global Wetland Outlook page: </w:t>
      </w:r>
      <w:hyperlink r:id="rId7" w:history="1">
        <w:r w:rsidRPr="00CE4218">
          <w:rPr>
            <w:rStyle w:val="Hyperlink"/>
            <w:rFonts w:cs="Calibri"/>
          </w:rPr>
          <w:t>https://www.global-wetland-outlook.ramsar.org/</w:t>
        </w:r>
      </w:hyperlink>
      <w:r w:rsidRPr="007554DE">
        <w:rPr>
          <w:rFonts w:cs="Calibri"/>
        </w:rPr>
        <w:t>.</w:t>
      </w:r>
    </w:p>
  </w:footnote>
  <w:footnote w:id="12">
    <w:p w14:paraId="11883038" w14:textId="1BAB18E1" w:rsidR="00984F89" w:rsidRPr="00CE4218" w:rsidRDefault="00984F89" w:rsidP="00CE4218">
      <w:pPr>
        <w:pStyle w:val="FootnoteText"/>
        <w:ind w:left="0" w:firstLine="0"/>
        <w:rPr>
          <w:rFonts w:cs="Calibri"/>
        </w:rPr>
      </w:pPr>
      <w:r w:rsidRPr="00CE4218">
        <w:rPr>
          <w:rStyle w:val="FootnoteReference"/>
          <w:rFonts w:cs="Calibri"/>
        </w:rPr>
        <w:footnoteRef/>
      </w:r>
      <w:r>
        <w:rPr>
          <w:rFonts w:cs="Calibri"/>
        </w:rPr>
        <w:t xml:space="preserve"> </w:t>
      </w:r>
      <w:r w:rsidRPr="00CE4218">
        <w:rPr>
          <w:rFonts w:cs="Calibri"/>
        </w:rPr>
        <w:t xml:space="preserve">Over the last 12 months, the GWO page has been </w:t>
      </w:r>
      <w:r w:rsidRPr="00CE4218">
        <w:rPr>
          <w:rFonts w:cs="Calibri"/>
        </w:rPr>
        <w:t>visited over 20,000 times, and the report has been downloaded over 6,000 times.</w:t>
      </w:r>
    </w:p>
  </w:footnote>
  <w:footnote w:id="13">
    <w:p w14:paraId="0177855C" w14:textId="0DE64130" w:rsidR="00984F89" w:rsidRPr="00CE4218" w:rsidRDefault="00984F89" w:rsidP="00CE4218">
      <w:pPr>
        <w:pStyle w:val="FootnoteText"/>
        <w:ind w:left="0" w:firstLine="0"/>
        <w:rPr>
          <w:rFonts w:cs="Calibri"/>
        </w:rPr>
      </w:pPr>
      <w:r w:rsidRPr="00CE4218">
        <w:rPr>
          <w:rStyle w:val="FootnoteReference"/>
          <w:rFonts w:cs="Calibri"/>
        </w:rPr>
        <w:footnoteRef/>
      </w:r>
      <w:r>
        <w:rPr>
          <w:rFonts w:cs="Calibri"/>
        </w:rPr>
        <w:t xml:space="preserve"> </w:t>
      </w:r>
      <w:r w:rsidRPr="00CE4218">
        <w:rPr>
          <w:rFonts w:cs="Calibri"/>
        </w:rPr>
        <w:t>Finlayson CM and Spiers AG (ed.) 1999. Global review of wetland resources and priorities for wetlands inventory. Supervising Scientist Report 144 / Wetlands International Publication 53, Supervising Scientist, Canberra</w:t>
      </w:r>
    </w:p>
  </w:footnote>
  <w:footnote w:id="14">
    <w:p w14:paraId="30AE99A7" w14:textId="555F92EC" w:rsidR="00984F89" w:rsidRPr="00CE4218" w:rsidRDefault="00984F89" w:rsidP="00CE4218">
      <w:pPr>
        <w:pStyle w:val="FootnoteText"/>
        <w:ind w:left="0" w:firstLine="0"/>
        <w:rPr>
          <w:rFonts w:cs="Calibri"/>
        </w:rPr>
      </w:pPr>
      <w:r w:rsidRPr="00CE4218">
        <w:rPr>
          <w:rStyle w:val="FootnoteReference"/>
          <w:rFonts w:cs="Calibri"/>
        </w:rPr>
        <w:footnoteRef/>
      </w:r>
      <w:r>
        <w:rPr>
          <w:rFonts w:cs="Calibri"/>
        </w:rPr>
        <w:t xml:space="preserve"> </w:t>
      </w:r>
      <w:r w:rsidRPr="00CE4218">
        <w:rPr>
          <w:rFonts w:cs="Calibri"/>
        </w:rPr>
        <w:t>Millennium Ecosystem Assessment, 2005. ECOSYSTEMS AND HUMAN WELL-BEING: WETLANDS AND WATER Synthesis. World Resources Institute, Washington, DC.</w:t>
      </w:r>
    </w:p>
  </w:footnote>
  <w:footnote w:id="15">
    <w:p w14:paraId="4A63DDC8" w14:textId="4E944252" w:rsidR="00984F89" w:rsidRPr="00CE4218" w:rsidRDefault="00984F89" w:rsidP="00CE4218">
      <w:pPr>
        <w:pStyle w:val="FootnoteText"/>
        <w:ind w:left="0" w:firstLine="0"/>
        <w:rPr>
          <w:rFonts w:cs="Calibri"/>
          <w:lang w:val="en-GB"/>
        </w:rPr>
      </w:pPr>
      <w:r w:rsidRPr="00CE4218">
        <w:rPr>
          <w:rStyle w:val="FootnoteReference"/>
          <w:rFonts w:cs="Calibri"/>
        </w:rPr>
        <w:footnoteRef/>
      </w:r>
      <w:r>
        <w:rPr>
          <w:rFonts w:cs="Calibri"/>
        </w:rPr>
        <w:t xml:space="preserve"> </w:t>
      </w:r>
      <w:r w:rsidRPr="00CE4218">
        <w:rPr>
          <w:rFonts w:cs="Calibri"/>
          <w:lang w:val="en-GB"/>
        </w:rPr>
        <w:t>Molden D (ed), Water for food, water for life: a comprehensive assessment of water management in agriculture. Earthscan, London, UK, pp 57-89.</w:t>
      </w:r>
    </w:p>
  </w:footnote>
  <w:footnote w:id="16">
    <w:p w14:paraId="74401CFE" w14:textId="28C134C8" w:rsidR="00984F89" w:rsidRPr="00CE4218" w:rsidRDefault="00984F89" w:rsidP="00CE4218">
      <w:pPr>
        <w:pStyle w:val="FootnoteText"/>
        <w:ind w:left="0" w:firstLine="0"/>
        <w:rPr>
          <w:rFonts w:cs="Calibri"/>
        </w:rPr>
      </w:pPr>
      <w:r w:rsidRPr="00CE4218">
        <w:rPr>
          <w:rStyle w:val="FootnoteReference"/>
          <w:rFonts w:cs="Calibri"/>
        </w:rPr>
        <w:footnoteRef/>
      </w:r>
      <w:r>
        <w:rPr>
          <w:rFonts w:cs="Calibri"/>
        </w:rPr>
        <w:t xml:space="preserve"> </w:t>
      </w:r>
      <w:r w:rsidRPr="00CE4218">
        <w:rPr>
          <w:rFonts w:cs="Calibri"/>
        </w:rPr>
        <w:t>Russi D., ten Brink P., Farmer A., Badura T., Coates D., Förster J., Kumar R. and Davidson N. (2013) The Economics of Ecosystems and Biodiversity for Water and Wetlands. IEEP, London and Brussels; Convention on Wetlands Secretariat, Gland.</w:t>
      </w:r>
    </w:p>
  </w:footnote>
  <w:footnote w:id="17">
    <w:p w14:paraId="5E47ACBC" w14:textId="1712B334" w:rsidR="00984F89" w:rsidRPr="00CE4218" w:rsidRDefault="00984F89" w:rsidP="00CE4218">
      <w:pPr>
        <w:pStyle w:val="FootnoteText"/>
        <w:ind w:left="0" w:firstLine="0"/>
        <w:rPr>
          <w:rFonts w:cs="Calibri"/>
        </w:rPr>
      </w:pPr>
      <w:r w:rsidRPr="00CE4218">
        <w:rPr>
          <w:rStyle w:val="FootnoteReference"/>
          <w:rFonts w:cs="Calibri"/>
        </w:rPr>
        <w:footnoteRef/>
      </w:r>
      <w:r>
        <w:rPr>
          <w:rFonts w:cs="Calibri"/>
        </w:rPr>
        <w:t xml:space="preserve"> </w:t>
      </w:r>
      <w:r w:rsidRPr="00CE4218">
        <w:rPr>
          <w:rFonts w:cs="Calibri"/>
        </w:rPr>
        <w:t xml:space="preserve">Some of the technical reports produced by the STRP and available at: </w:t>
      </w:r>
      <w:hyperlink r:id="rId8" w:history="1">
        <w:r w:rsidRPr="00CE4218">
          <w:rPr>
            <w:rStyle w:val="Hyperlink"/>
            <w:rFonts w:cs="Calibri"/>
          </w:rPr>
          <w:t>https://www.ramsar.org/publications</w:t>
        </w:r>
      </w:hyperlink>
      <w:r w:rsidRPr="00CE4218">
        <w:rPr>
          <w:rFonts w:cs="Calibri"/>
        </w:rPr>
        <w:t xml:space="preserve"> </w:t>
      </w:r>
      <w:r w:rsidRPr="00CE4218">
        <w:rPr>
          <w:rFonts w:cs="Calibri"/>
        </w:rPr>
        <w:t>would fall under this category</w:t>
      </w:r>
      <w:r>
        <w:rPr>
          <w:rFonts w:cs="Calibri"/>
        </w:rPr>
        <w:t>.</w:t>
      </w:r>
    </w:p>
  </w:footnote>
  <w:footnote w:id="18">
    <w:p w14:paraId="543EE8F7" w14:textId="5004E673" w:rsidR="00984F89" w:rsidRPr="007554DE" w:rsidRDefault="00984F89" w:rsidP="00CE4218">
      <w:pPr>
        <w:pStyle w:val="FootnoteText"/>
        <w:ind w:left="0" w:firstLine="0"/>
        <w:rPr>
          <w:rFonts w:cs="Calibri"/>
          <w:lang w:val="fr-FR"/>
        </w:rPr>
      </w:pPr>
      <w:r w:rsidRPr="007554DE">
        <w:rPr>
          <w:rStyle w:val="FootnoteReference"/>
          <w:rFonts w:cs="Calibri"/>
        </w:rPr>
        <w:footnoteRef/>
      </w:r>
      <w:r w:rsidRPr="007554DE">
        <w:rPr>
          <w:rFonts w:cs="Calibri"/>
        </w:rPr>
        <w:t xml:space="preserve"> IPBES (2018</w:t>
      </w:r>
      <w:r w:rsidRPr="00CE4218">
        <w:rPr>
          <w:rFonts w:cs="Calibri"/>
        </w:rPr>
        <w:t xml:space="preserve">): IPBES Guide on the production of assessments. Secretariat of the Intergovernmental Science-Policy Platform on Biodiversity and Ecosystem Services, Bonn, Germany. </w:t>
      </w:r>
      <w:r w:rsidRPr="007554DE">
        <w:rPr>
          <w:rFonts w:cs="Calibri"/>
          <w:lang w:val="fr-FR"/>
        </w:rPr>
        <w:t xml:space="preserve">44 pages available at: </w:t>
      </w:r>
      <w:hyperlink r:id="rId9" w:history="1">
        <w:r w:rsidRPr="007554DE">
          <w:rPr>
            <w:rStyle w:val="Hyperlink"/>
            <w:lang w:val="fr-FR"/>
          </w:rPr>
          <w:t>https://www.ipbes.net/guide-production-assessments</w:t>
        </w:r>
      </w:hyperlink>
      <w:r w:rsidRPr="007554DE">
        <w:rPr>
          <w:lang w:val="fr-FR"/>
        </w:rPr>
        <w:t xml:space="preserve">. </w:t>
      </w:r>
    </w:p>
  </w:footnote>
  <w:footnote w:id="19">
    <w:p w14:paraId="0C7C1E3B" w14:textId="5B3C29EC" w:rsidR="00984F89" w:rsidRPr="00CE4218" w:rsidRDefault="00984F89" w:rsidP="00CE4218">
      <w:pPr>
        <w:pStyle w:val="FootnoteText"/>
        <w:ind w:left="0" w:firstLine="0"/>
        <w:rPr>
          <w:rFonts w:cs="Calibri"/>
        </w:rPr>
      </w:pPr>
      <w:r w:rsidRPr="00CE4218">
        <w:rPr>
          <w:rStyle w:val="FootnoteReference"/>
          <w:rFonts w:cs="Calibri"/>
        </w:rPr>
        <w:footnoteRef/>
      </w:r>
      <w:r>
        <w:rPr>
          <w:rFonts w:cs="Calibri"/>
        </w:rPr>
        <w:t xml:space="preserve"> </w:t>
      </w:r>
      <w:r w:rsidRPr="00CE4218">
        <w:rPr>
          <w:rFonts w:cs="Calibri"/>
        </w:rPr>
        <w:t xml:space="preserve">IPCC </w:t>
      </w:r>
      <w:r w:rsidRPr="007554DE">
        <w:rPr>
          <w:rFonts w:cs="Calibri"/>
        </w:rPr>
        <w:t>Procedure</w:t>
      </w:r>
      <w:r w:rsidRPr="007554DE">
        <w:rPr>
          <w:rFonts w:cs="Calibri"/>
        </w:rPr>
        <w:t>s</w:t>
      </w:r>
      <w:r>
        <w:rPr>
          <w:rFonts w:cs="Calibri"/>
        </w:rPr>
        <w:t xml:space="preserve"> </w:t>
      </w:r>
      <w:r w:rsidRPr="00CE4218">
        <w:rPr>
          <w:rFonts w:cs="Calibri"/>
        </w:rPr>
        <w:t xml:space="preserve">for the Preparation, Review, Acceptance, Adoption, Approval and Publication of IPCC Reports available at: </w:t>
      </w:r>
      <w:hyperlink r:id="rId10" w:history="1">
        <w:r w:rsidR="00B4099D" w:rsidRPr="001D6F8D">
          <w:rPr>
            <w:rStyle w:val="Hyperlink"/>
            <w:rFonts w:cs="Calibri"/>
          </w:rPr>
          <w:t>https://www.ipcc.ch/site/assets/uploads/2018/09/ipcc-principles-appendix-a-final.pdf</w:t>
        </w:r>
      </w:hyperlink>
      <w:r w:rsidR="00B4099D">
        <w:rPr>
          <w:rFonts w:cs="Calibri"/>
        </w:rPr>
        <w:t xml:space="preserve">. </w:t>
      </w:r>
    </w:p>
  </w:footnote>
  <w:footnote w:id="20">
    <w:p w14:paraId="10A07063" w14:textId="35AD3B29" w:rsidR="00984F89" w:rsidRPr="00CE4218" w:rsidRDefault="00984F89" w:rsidP="00CE4218">
      <w:pPr>
        <w:pStyle w:val="FootnoteText"/>
        <w:ind w:left="0" w:firstLine="0"/>
        <w:rPr>
          <w:rFonts w:cs="Calibri"/>
        </w:rPr>
      </w:pPr>
      <w:r w:rsidRPr="00CE4218">
        <w:rPr>
          <w:rStyle w:val="FootnoteReference"/>
          <w:rFonts w:cs="Calibri"/>
        </w:rPr>
        <w:footnoteRef/>
      </w:r>
      <w:r>
        <w:rPr>
          <w:rFonts w:cs="Calibri"/>
        </w:rPr>
        <w:t xml:space="preserve"> </w:t>
      </w:r>
      <w:r w:rsidRPr="00CE4218">
        <w:rPr>
          <w:rFonts w:cs="Calibri"/>
        </w:rPr>
        <w:t>This structure has been used in Millenium Ecosystem Assessment: Wetlands and Water Synthesis</w:t>
      </w:r>
      <w:r>
        <w:rPr>
          <w:rFonts w:cs="Calibri"/>
        </w:rPr>
        <w:t>.</w:t>
      </w:r>
    </w:p>
  </w:footnote>
  <w:footnote w:id="21">
    <w:p w14:paraId="76044D38" w14:textId="51C36125" w:rsidR="00984F89" w:rsidRPr="00CE4218" w:rsidRDefault="00984F89" w:rsidP="00CE4218">
      <w:pPr>
        <w:pStyle w:val="FootnoteText"/>
        <w:ind w:left="0" w:firstLine="0"/>
        <w:rPr>
          <w:rFonts w:cs="Calibri"/>
        </w:rPr>
      </w:pPr>
      <w:r w:rsidRPr="00CE4218">
        <w:rPr>
          <w:rStyle w:val="FootnoteReference"/>
          <w:rFonts w:cs="Calibri"/>
        </w:rPr>
        <w:footnoteRef/>
      </w:r>
      <w:r>
        <w:rPr>
          <w:rFonts w:cs="Calibri"/>
        </w:rPr>
        <w:t xml:space="preserve"> </w:t>
      </w:r>
      <w:r w:rsidRPr="00CE4218">
        <w:rPr>
          <w:rFonts w:cs="Calibri"/>
        </w:rPr>
        <w:t>This report is being prepared at the time of drafting this proposal.</w:t>
      </w:r>
    </w:p>
  </w:footnote>
  <w:footnote w:id="22">
    <w:p w14:paraId="5296D959" w14:textId="77777777" w:rsidR="007602B2" w:rsidRPr="00CE4218" w:rsidRDefault="00984F89" w:rsidP="007602B2">
      <w:pPr>
        <w:pStyle w:val="FootnoteText"/>
        <w:ind w:left="0" w:firstLine="0"/>
        <w:rPr>
          <w:rFonts w:cs="Calibri"/>
        </w:rPr>
      </w:pPr>
      <w:r w:rsidRPr="00CE4218">
        <w:rPr>
          <w:rStyle w:val="FootnoteReference"/>
          <w:rFonts w:cs="Calibri"/>
        </w:rPr>
        <w:footnoteRef/>
      </w:r>
      <w:r w:rsidRPr="00CE4218">
        <w:rPr>
          <w:rFonts w:cs="Calibri"/>
        </w:rPr>
        <w:t xml:space="preserve"> IPBES (2018): IPBES Assessment Guide Summary. Secretariat of the Intergovernmental Science-Policy Platform on Biodiversity and Ecosystem Services, Bonn, Germany. 12 pages. The IPBES Assessment Guide Summary can be viewed and downloaded at:</w:t>
      </w:r>
      <w:r w:rsidR="007602B2">
        <w:rPr>
          <w:rFonts w:cs="Calibri"/>
        </w:rPr>
        <w:t xml:space="preserve"> </w:t>
      </w:r>
      <w:bookmarkStart w:id="3" w:name="_Hlk182231488"/>
      <w:r w:rsidR="007602B2">
        <w:rPr>
          <w:rFonts w:cs="Calibri"/>
        </w:rPr>
        <w:fldChar w:fldCharType="begin"/>
      </w:r>
      <w:r w:rsidR="007602B2">
        <w:rPr>
          <w:rFonts w:cs="Calibri"/>
        </w:rPr>
        <w:instrText>HYPERLINK "</w:instrText>
      </w:r>
      <w:r w:rsidR="007602B2" w:rsidRPr="007602B2">
        <w:rPr>
          <w:rFonts w:cs="Calibri"/>
        </w:rPr>
        <w:instrText>https://www.ipbes.net/document-library-catalogue/ipbes-assessment-guide-summary</w:instrText>
      </w:r>
      <w:r w:rsidR="007602B2">
        <w:rPr>
          <w:rFonts w:cs="Calibri"/>
        </w:rPr>
        <w:instrText>"</w:instrText>
      </w:r>
      <w:r w:rsidR="007602B2">
        <w:rPr>
          <w:rFonts w:cs="Calibri"/>
        </w:rPr>
        <w:fldChar w:fldCharType="separate"/>
      </w:r>
      <w:r w:rsidR="007602B2" w:rsidRPr="001D6F8D">
        <w:rPr>
          <w:rStyle w:val="Hyperlink"/>
          <w:rFonts w:cs="Calibri"/>
        </w:rPr>
        <w:t>https://www.ipbes.net/document-library-catalogue/ipbes-assessment-guide-summary</w:t>
      </w:r>
      <w:r w:rsidR="007602B2">
        <w:rPr>
          <w:rFonts w:cs="Calibri"/>
        </w:rPr>
        <w:fldChar w:fldCharType="end"/>
      </w:r>
      <w:r w:rsidR="007602B2">
        <w:rPr>
          <w:rFonts w:cs="Calibri"/>
        </w:rPr>
        <w:t xml:space="preserve">. </w:t>
      </w:r>
      <w:bookmarkEnd w:id="3"/>
    </w:p>
    <w:p w14:paraId="10C0F528" w14:textId="001D004E" w:rsidR="00984F89" w:rsidRPr="00CE4218" w:rsidRDefault="00984F89" w:rsidP="00CE4218">
      <w:pPr>
        <w:pStyle w:val="FootnoteText"/>
        <w:ind w:left="0" w:firstLine="0"/>
        <w:rPr>
          <w:rFonts w:cs="Calibri"/>
        </w:rPr>
      </w:pPr>
    </w:p>
  </w:footnote>
  <w:footnote w:id="23">
    <w:p w14:paraId="77B8685D" w14:textId="77777777" w:rsidR="00984F89" w:rsidRPr="00C6437E" w:rsidRDefault="00984F89" w:rsidP="00CE4218">
      <w:pPr>
        <w:pStyle w:val="Footnote"/>
        <w:ind w:left="0" w:firstLine="0"/>
        <w:rPr>
          <w:rFonts w:cs="Calibri"/>
        </w:rPr>
      </w:pPr>
      <w:r w:rsidRPr="00C6437E">
        <w:rPr>
          <w:rStyle w:val="FootnoteReference"/>
          <w:rFonts w:cs="Calibri"/>
        </w:rPr>
        <w:footnoteRef/>
      </w:r>
      <w:r w:rsidRPr="00C6437E">
        <w:rPr>
          <w:rFonts w:cs="Calibri"/>
        </w:rPr>
        <w:t xml:space="preserve"> See </w:t>
      </w:r>
      <w:hyperlink r:id="rId11" w:history="1">
        <w:r w:rsidRPr="00C6437E">
          <w:rPr>
            <w:rStyle w:val="Hyperlink"/>
            <w:rFonts w:cs="Calibri"/>
          </w:rPr>
          <w:t>https://www.cms.int/en/document/central-asian-flyway-action-plan-conservation-migratory-waterbirds-and-their-habitats</w:t>
        </w:r>
      </w:hyperlink>
      <w:r w:rsidRPr="00C6437E">
        <w:rPr>
          <w:rFonts w:cs="Calibri"/>
        </w:rPr>
        <w:t>.</w:t>
      </w:r>
    </w:p>
  </w:footnote>
  <w:footnote w:id="24">
    <w:p w14:paraId="7888B01E" w14:textId="77777777" w:rsidR="00984F89" w:rsidRPr="00C6437E" w:rsidRDefault="00984F89" w:rsidP="00CE4218">
      <w:pPr>
        <w:pStyle w:val="FootnoteText"/>
        <w:ind w:left="0" w:firstLine="0"/>
        <w:rPr>
          <w:rFonts w:cs="Calibri"/>
        </w:rPr>
      </w:pPr>
      <w:r w:rsidRPr="00C6437E">
        <w:rPr>
          <w:rStyle w:val="FootnoteReference"/>
          <w:rFonts w:cs="Calibri"/>
        </w:rPr>
        <w:footnoteRef/>
      </w:r>
      <w:r w:rsidRPr="00C6437E">
        <w:rPr>
          <w:rFonts w:cs="Calibri"/>
        </w:rPr>
        <w:t xml:space="preserve"> For the Central Pacific Flyway (&amp; Antarctica), numbers of residents and migratory populations are combined.</w:t>
      </w:r>
    </w:p>
  </w:footnote>
  <w:footnote w:id="25">
    <w:p w14:paraId="2ED96450" w14:textId="0B002421" w:rsidR="00984F89" w:rsidRPr="00C6437E" w:rsidRDefault="00984F89" w:rsidP="00CE4218">
      <w:pPr>
        <w:pStyle w:val="Footnote"/>
        <w:ind w:left="0" w:firstLine="0"/>
        <w:rPr>
          <w:rFonts w:cs="Calibri"/>
        </w:rPr>
      </w:pPr>
      <w:r w:rsidRPr="00C6437E">
        <w:rPr>
          <w:rStyle w:val="FootnoteReference"/>
          <w:rFonts w:cs="Calibri"/>
        </w:rPr>
        <w:footnoteRef/>
      </w:r>
      <w:r w:rsidRPr="00C6437E">
        <w:rPr>
          <w:rFonts w:cs="Calibri"/>
        </w:rPr>
        <w:t xml:space="preserve"> A preliminary cost estimate is based on the tasks foreseen for each region/flyway depending on expected available information and anticipated work. The estimated cost of a unit population is based on the AEWA CSR8 and EAAFP CSR1 costs. The main tasks anticipated for population size assessments include: reviewing of current definition of populations and revising them based on the latest taxonomy (as per BirdLife International/Handbook of the Birds of the World); collating and reviewing existing literature for population size estimate data (for some regions, review of literature in different languages requires additional effort); aligning information with WPE definition of population estimates and boundaries; updating of population size estimates and finalizing them in consultation with experts; and generating updated derived 1% thresholds. Proposed actions for population trend assessments include reviewing literature for new population trend estimates, proposing updated population trend estimates based on a review of the latest trends and trend analysis and finalizing population trends in consultation with experts. Trend analyses using International Waterbird Census data for the limited number of Central Asian Flyway populations not currently covered by the AEWA CSR8 will be undertaken.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91794"/>
    <w:multiLevelType w:val="hybridMultilevel"/>
    <w:tmpl w:val="938021C2"/>
    <w:lvl w:ilvl="0" w:tplc="30582D0E">
      <w:start w:val="1"/>
      <w:numFmt w:val="bullet"/>
      <w:lvlText w:val="-"/>
      <w:lvlJc w:val="left"/>
      <w:pPr>
        <w:ind w:left="1170" w:hanging="360"/>
      </w:pPr>
      <w:rPr>
        <w:rFonts w:ascii="Aptos" w:hAnsi="Aptos" w:hint="default"/>
      </w:rPr>
    </w:lvl>
    <w:lvl w:ilvl="1" w:tplc="B82E2DFA" w:tentative="1">
      <w:start w:val="1"/>
      <w:numFmt w:val="bullet"/>
      <w:lvlText w:val="o"/>
      <w:lvlJc w:val="left"/>
      <w:pPr>
        <w:ind w:left="1890" w:hanging="360"/>
      </w:pPr>
      <w:rPr>
        <w:rFonts w:ascii="Courier New" w:hAnsi="Courier New" w:cs="Courier New" w:hint="default"/>
      </w:rPr>
    </w:lvl>
    <w:lvl w:ilvl="2" w:tplc="2FB205EC" w:tentative="1">
      <w:start w:val="1"/>
      <w:numFmt w:val="bullet"/>
      <w:lvlText w:val=""/>
      <w:lvlJc w:val="left"/>
      <w:pPr>
        <w:ind w:left="2610" w:hanging="360"/>
      </w:pPr>
      <w:rPr>
        <w:rFonts w:ascii="Wingdings" w:hAnsi="Wingdings" w:hint="default"/>
      </w:rPr>
    </w:lvl>
    <w:lvl w:ilvl="3" w:tplc="8976DE2C" w:tentative="1">
      <w:start w:val="1"/>
      <w:numFmt w:val="bullet"/>
      <w:lvlText w:val=""/>
      <w:lvlJc w:val="left"/>
      <w:pPr>
        <w:ind w:left="3330" w:hanging="360"/>
      </w:pPr>
      <w:rPr>
        <w:rFonts w:ascii="Symbol" w:hAnsi="Symbol" w:hint="default"/>
      </w:rPr>
    </w:lvl>
    <w:lvl w:ilvl="4" w:tplc="01D0DE66" w:tentative="1">
      <w:start w:val="1"/>
      <w:numFmt w:val="bullet"/>
      <w:lvlText w:val="o"/>
      <w:lvlJc w:val="left"/>
      <w:pPr>
        <w:ind w:left="4050" w:hanging="360"/>
      </w:pPr>
      <w:rPr>
        <w:rFonts w:ascii="Courier New" w:hAnsi="Courier New" w:cs="Courier New" w:hint="default"/>
      </w:rPr>
    </w:lvl>
    <w:lvl w:ilvl="5" w:tplc="B478ED9A" w:tentative="1">
      <w:start w:val="1"/>
      <w:numFmt w:val="bullet"/>
      <w:lvlText w:val=""/>
      <w:lvlJc w:val="left"/>
      <w:pPr>
        <w:ind w:left="4770" w:hanging="360"/>
      </w:pPr>
      <w:rPr>
        <w:rFonts w:ascii="Wingdings" w:hAnsi="Wingdings" w:hint="default"/>
      </w:rPr>
    </w:lvl>
    <w:lvl w:ilvl="6" w:tplc="CE3C80FA" w:tentative="1">
      <w:start w:val="1"/>
      <w:numFmt w:val="bullet"/>
      <w:lvlText w:val=""/>
      <w:lvlJc w:val="left"/>
      <w:pPr>
        <w:ind w:left="5490" w:hanging="360"/>
      </w:pPr>
      <w:rPr>
        <w:rFonts w:ascii="Symbol" w:hAnsi="Symbol" w:hint="default"/>
      </w:rPr>
    </w:lvl>
    <w:lvl w:ilvl="7" w:tplc="85661D04" w:tentative="1">
      <w:start w:val="1"/>
      <w:numFmt w:val="bullet"/>
      <w:lvlText w:val="o"/>
      <w:lvlJc w:val="left"/>
      <w:pPr>
        <w:ind w:left="6210" w:hanging="360"/>
      </w:pPr>
      <w:rPr>
        <w:rFonts w:ascii="Courier New" w:hAnsi="Courier New" w:cs="Courier New" w:hint="default"/>
      </w:rPr>
    </w:lvl>
    <w:lvl w:ilvl="8" w:tplc="877E6CE8" w:tentative="1">
      <w:start w:val="1"/>
      <w:numFmt w:val="bullet"/>
      <w:lvlText w:val=""/>
      <w:lvlJc w:val="left"/>
      <w:pPr>
        <w:ind w:left="6930" w:hanging="360"/>
      </w:pPr>
      <w:rPr>
        <w:rFonts w:ascii="Wingdings" w:hAnsi="Wingdings" w:hint="default"/>
      </w:rPr>
    </w:lvl>
  </w:abstractNum>
  <w:abstractNum w:abstractNumId="2" w15:restartNumberingAfterBreak="0">
    <w:nsid w:val="00A44D28"/>
    <w:multiLevelType w:val="hybridMultilevel"/>
    <w:tmpl w:val="6FEAE8F6"/>
    <w:lvl w:ilvl="0" w:tplc="513CE7DC">
      <w:start w:val="1"/>
      <w:numFmt w:val="bullet"/>
      <w:lvlText w:val=""/>
      <w:lvlJc w:val="left"/>
      <w:pPr>
        <w:ind w:left="720" w:hanging="360"/>
      </w:pPr>
      <w:rPr>
        <w:rFonts w:ascii="Symbol" w:hAnsi="Symbol" w:hint="default"/>
      </w:rPr>
    </w:lvl>
    <w:lvl w:ilvl="1" w:tplc="77DE0386" w:tentative="1">
      <w:start w:val="1"/>
      <w:numFmt w:val="bullet"/>
      <w:lvlText w:val="o"/>
      <w:lvlJc w:val="left"/>
      <w:pPr>
        <w:ind w:left="1440" w:hanging="360"/>
      </w:pPr>
      <w:rPr>
        <w:rFonts w:ascii="Courier New" w:hAnsi="Courier New" w:cs="Courier New" w:hint="default"/>
      </w:rPr>
    </w:lvl>
    <w:lvl w:ilvl="2" w:tplc="940AAF58" w:tentative="1">
      <w:start w:val="1"/>
      <w:numFmt w:val="bullet"/>
      <w:lvlText w:val=""/>
      <w:lvlJc w:val="left"/>
      <w:pPr>
        <w:ind w:left="2160" w:hanging="360"/>
      </w:pPr>
      <w:rPr>
        <w:rFonts w:ascii="Wingdings" w:hAnsi="Wingdings" w:hint="default"/>
      </w:rPr>
    </w:lvl>
    <w:lvl w:ilvl="3" w:tplc="556EE712" w:tentative="1">
      <w:start w:val="1"/>
      <w:numFmt w:val="bullet"/>
      <w:lvlText w:val=""/>
      <w:lvlJc w:val="left"/>
      <w:pPr>
        <w:ind w:left="2880" w:hanging="360"/>
      </w:pPr>
      <w:rPr>
        <w:rFonts w:ascii="Symbol" w:hAnsi="Symbol" w:hint="default"/>
      </w:rPr>
    </w:lvl>
    <w:lvl w:ilvl="4" w:tplc="4734F328" w:tentative="1">
      <w:start w:val="1"/>
      <w:numFmt w:val="bullet"/>
      <w:lvlText w:val="o"/>
      <w:lvlJc w:val="left"/>
      <w:pPr>
        <w:ind w:left="3600" w:hanging="360"/>
      </w:pPr>
      <w:rPr>
        <w:rFonts w:ascii="Courier New" w:hAnsi="Courier New" w:cs="Courier New" w:hint="default"/>
      </w:rPr>
    </w:lvl>
    <w:lvl w:ilvl="5" w:tplc="CCE61F98" w:tentative="1">
      <w:start w:val="1"/>
      <w:numFmt w:val="bullet"/>
      <w:lvlText w:val=""/>
      <w:lvlJc w:val="left"/>
      <w:pPr>
        <w:ind w:left="4320" w:hanging="360"/>
      </w:pPr>
      <w:rPr>
        <w:rFonts w:ascii="Wingdings" w:hAnsi="Wingdings" w:hint="default"/>
      </w:rPr>
    </w:lvl>
    <w:lvl w:ilvl="6" w:tplc="539AA918" w:tentative="1">
      <w:start w:val="1"/>
      <w:numFmt w:val="bullet"/>
      <w:lvlText w:val=""/>
      <w:lvlJc w:val="left"/>
      <w:pPr>
        <w:ind w:left="5040" w:hanging="360"/>
      </w:pPr>
      <w:rPr>
        <w:rFonts w:ascii="Symbol" w:hAnsi="Symbol" w:hint="default"/>
      </w:rPr>
    </w:lvl>
    <w:lvl w:ilvl="7" w:tplc="6B1813C6" w:tentative="1">
      <w:start w:val="1"/>
      <w:numFmt w:val="bullet"/>
      <w:lvlText w:val="o"/>
      <w:lvlJc w:val="left"/>
      <w:pPr>
        <w:ind w:left="5760" w:hanging="360"/>
      </w:pPr>
      <w:rPr>
        <w:rFonts w:ascii="Courier New" w:hAnsi="Courier New" w:cs="Courier New" w:hint="default"/>
      </w:rPr>
    </w:lvl>
    <w:lvl w:ilvl="8" w:tplc="04AEBFC6" w:tentative="1">
      <w:start w:val="1"/>
      <w:numFmt w:val="bullet"/>
      <w:lvlText w:val=""/>
      <w:lvlJc w:val="left"/>
      <w:pPr>
        <w:ind w:left="6480" w:hanging="360"/>
      </w:pPr>
      <w:rPr>
        <w:rFonts w:ascii="Wingdings" w:hAnsi="Wingdings" w:hint="default"/>
      </w:rPr>
    </w:lvl>
  </w:abstractNum>
  <w:abstractNum w:abstractNumId="3" w15:restartNumberingAfterBreak="0">
    <w:nsid w:val="06410F1B"/>
    <w:multiLevelType w:val="hybridMultilevel"/>
    <w:tmpl w:val="C804E21A"/>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BDC38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3B3F98"/>
    <w:multiLevelType w:val="hybridMultilevel"/>
    <w:tmpl w:val="7180C532"/>
    <w:lvl w:ilvl="0" w:tplc="8F02D0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51E503F"/>
    <w:multiLevelType w:val="hybridMultilevel"/>
    <w:tmpl w:val="6CE64CE4"/>
    <w:lvl w:ilvl="0" w:tplc="2A12690E">
      <w:start w:val="1"/>
      <w:numFmt w:val="bullet"/>
      <w:lvlText w:val=""/>
      <w:lvlJc w:val="left"/>
      <w:pPr>
        <w:ind w:left="720" w:hanging="360"/>
      </w:pPr>
      <w:rPr>
        <w:rFonts w:ascii="Symbol" w:hAnsi="Symbol" w:hint="default"/>
        <w:color w:val="auto"/>
      </w:rPr>
    </w:lvl>
    <w:lvl w:ilvl="1" w:tplc="B56EAFF0" w:tentative="1">
      <w:start w:val="1"/>
      <w:numFmt w:val="bullet"/>
      <w:lvlText w:val="o"/>
      <w:lvlJc w:val="left"/>
      <w:pPr>
        <w:ind w:left="1440" w:hanging="360"/>
      </w:pPr>
      <w:rPr>
        <w:rFonts w:ascii="Courier New" w:hAnsi="Courier New" w:cs="Courier New" w:hint="default"/>
      </w:rPr>
    </w:lvl>
    <w:lvl w:ilvl="2" w:tplc="1CD80978" w:tentative="1">
      <w:start w:val="1"/>
      <w:numFmt w:val="bullet"/>
      <w:lvlText w:val=""/>
      <w:lvlJc w:val="left"/>
      <w:pPr>
        <w:ind w:left="2160" w:hanging="360"/>
      </w:pPr>
      <w:rPr>
        <w:rFonts w:ascii="Wingdings" w:hAnsi="Wingdings" w:hint="default"/>
      </w:rPr>
    </w:lvl>
    <w:lvl w:ilvl="3" w:tplc="A536AC5A" w:tentative="1">
      <w:start w:val="1"/>
      <w:numFmt w:val="bullet"/>
      <w:lvlText w:val=""/>
      <w:lvlJc w:val="left"/>
      <w:pPr>
        <w:ind w:left="2880" w:hanging="360"/>
      </w:pPr>
      <w:rPr>
        <w:rFonts w:ascii="Symbol" w:hAnsi="Symbol" w:hint="default"/>
      </w:rPr>
    </w:lvl>
    <w:lvl w:ilvl="4" w:tplc="6DBC55E6" w:tentative="1">
      <w:start w:val="1"/>
      <w:numFmt w:val="bullet"/>
      <w:lvlText w:val="o"/>
      <w:lvlJc w:val="left"/>
      <w:pPr>
        <w:ind w:left="3600" w:hanging="360"/>
      </w:pPr>
      <w:rPr>
        <w:rFonts w:ascii="Courier New" w:hAnsi="Courier New" w:cs="Courier New" w:hint="default"/>
      </w:rPr>
    </w:lvl>
    <w:lvl w:ilvl="5" w:tplc="D832AB22" w:tentative="1">
      <w:start w:val="1"/>
      <w:numFmt w:val="bullet"/>
      <w:lvlText w:val=""/>
      <w:lvlJc w:val="left"/>
      <w:pPr>
        <w:ind w:left="4320" w:hanging="360"/>
      </w:pPr>
      <w:rPr>
        <w:rFonts w:ascii="Wingdings" w:hAnsi="Wingdings" w:hint="default"/>
      </w:rPr>
    </w:lvl>
    <w:lvl w:ilvl="6" w:tplc="A44C92AC" w:tentative="1">
      <w:start w:val="1"/>
      <w:numFmt w:val="bullet"/>
      <w:lvlText w:val=""/>
      <w:lvlJc w:val="left"/>
      <w:pPr>
        <w:ind w:left="5040" w:hanging="360"/>
      </w:pPr>
      <w:rPr>
        <w:rFonts w:ascii="Symbol" w:hAnsi="Symbol" w:hint="default"/>
      </w:rPr>
    </w:lvl>
    <w:lvl w:ilvl="7" w:tplc="6E7E766E" w:tentative="1">
      <w:start w:val="1"/>
      <w:numFmt w:val="bullet"/>
      <w:lvlText w:val="o"/>
      <w:lvlJc w:val="left"/>
      <w:pPr>
        <w:ind w:left="5760" w:hanging="360"/>
      </w:pPr>
      <w:rPr>
        <w:rFonts w:ascii="Courier New" w:hAnsi="Courier New" w:cs="Courier New" w:hint="default"/>
      </w:rPr>
    </w:lvl>
    <w:lvl w:ilvl="8" w:tplc="CB5E641E" w:tentative="1">
      <w:start w:val="1"/>
      <w:numFmt w:val="bullet"/>
      <w:lvlText w:val=""/>
      <w:lvlJc w:val="left"/>
      <w:pPr>
        <w:ind w:left="6480" w:hanging="360"/>
      </w:pPr>
      <w:rPr>
        <w:rFonts w:ascii="Wingdings" w:hAnsi="Wingdings" w:hint="default"/>
      </w:rPr>
    </w:lvl>
  </w:abstractNum>
  <w:abstractNum w:abstractNumId="7" w15:restartNumberingAfterBreak="0">
    <w:nsid w:val="16EC0050"/>
    <w:multiLevelType w:val="hybridMultilevel"/>
    <w:tmpl w:val="551A4F74"/>
    <w:lvl w:ilvl="0" w:tplc="40929214">
      <w:start w:val="1"/>
      <w:numFmt w:val="bullet"/>
      <w:lvlText w:val=""/>
      <w:lvlJc w:val="left"/>
      <w:pPr>
        <w:ind w:left="644" w:hanging="360"/>
      </w:pPr>
      <w:rPr>
        <w:rFonts w:ascii="Symbol" w:hAnsi="Symbol" w:hint="default"/>
      </w:rPr>
    </w:lvl>
    <w:lvl w:ilvl="1" w:tplc="98E2C44A">
      <w:start w:val="1"/>
      <w:numFmt w:val="bullet"/>
      <w:lvlText w:val="o"/>
      <w:lvlJc w:val="left"/>
      <w:pPr>
        <w:ind w:left="1440" w:hanging="360"/>
      </w:pPr>
      <w:rPr>
        <w:rFonts w:ascii="Courier New" w:hAnsi="Courier New" w:cs="Courier New" w:hint="default"/>
      </w:rPr>
    </w:lvl>
    <w:lvl w:ilvl="2" w:tplc="F0C2E7C4" w:tentative="1">
      <w:start w:val="1"/>
      <w:numFmt w:val="bullet"/>
      <w:lvlText w:val=""/>
      <w:lvlJc w:val="left"/>
      <w:pPr>
        <w:ind w:left="2160" w:hanging="360"/>
      </w:pPr>
      <w:rPr>
        <w:rFonts w:ascii="Wingdings" w:hAnsi="Wingdings" w:hint="default"/>
      </w:rPr>
    </w:lvl>
    <w:lvl w:ilvl="3" w:tplc="D098CBF0" w:tentative="1">
      <w:start w:val="1"/>
      <w:numFmt w:val="bullet"/>
      <w:lvlText w:val=""/>
      <w:lvlJc w:val="left"/>
      <w:pPr>
        <w:ind w:left="2880" w:hanging="360"/>
      </w:pPr>
      <w:rPr>
        <w:rFonts w:ascii="Symbol" w:hAnsi="Symbol" w:hint="default"/>
      </w:rPr>
    </w:lvl>
    <w:lvl w:ilvl="4" w:tplc="6AEA0F10" w:tentative="1">
      <w:start w:val="1"/>
      <w:numFmt w:val="bullet"/>
      <w:lvlText w:val="o"/>
      <w:lvlJc w:val="left"/>
      <w:pPr>
        <w:ind w:left="3600" w:hanging="360"/>
      </w:pPr>
      <w:rPr>
        <w:rFonts w:ascii="Courier New" w:hAnsi="Courier New" w:cs="Courier New" w:hint="default"/>
      </w:rPr>
    </w:lvl>
    <w:lvl w:ilvl="5" w:tplc="47142996" w:tentative="1">
      <w:start w:val="1"/>
      <w:numFmt w:val="bullet"/>
      <w:lvlText w:val=""/>
      <w:lvlJc w:val="left"/>
      <w:pPr>
        <w:ind w:left="4320" w:hanging="360"/>
      </w:pPr>
      <w:rPr>
        <w:rFonts w:ascii="Wingdings" w:hAnsi="Wingdings" w:hint="default"/>
      </w:rPr>
    </w:lvl>
    <w:lvl w:ilvl="6" w:tplc="D91EE950" w:tentative="1">
      <w:start w:val="1"/>
      <w:numFmt w:val="bullet"/>
      <w:lvlText w:val=""/>
      <w:lvlJc w:val="left"/>
      <w:pPr>
        <w:ind w:left="5040" w:hanging="360"/>
      </w:pPr>
      <w:rPr>
        <w:rFonts w:ascii="Symbol" w:hAnsi="Symbol" w:hint="default"/>
      </w:rPr>
    </w:lvl>
    <w:lvl w:ilvl="7" w:tplc="637E3BD4" w:tentative="1">
      <w:start w:val="1"/>
      <w:numFmt w:val="bullet"/>
      <w:lvlText w:val="o"/>
      <w:lvlJc w:val="left"/>
      <w:pPr>
        <w:ind w:left="5760" w:hanging="360"/>
      </w:pPr>
      <w:rPr>
        <w:rFonts w:ascii="Courier New" w:hAnsi="Courier New" w:cs="Courier New" w:hint="default"/>
      </w:rPr>
    </w:lvl>
    <w:lvl w:ilvl="8" w:tplc="B31A634A" w:tentative="1">
      <w:start w:val="1"/>
      <w:numFmt w:val="bullet"/>
      <w:lvlText w:val=""/>
      <w:lvlJc w:val="left"/>
      <w:pPr>
        <w:ind w:left="6480" w:hanging="360"/>
      </w:pPr>
      <w:rPr>
        <w:rFonts w:ascii="Wingdings" w:hAnsi="Wingdings" w:hint="default"/>
      </w:rPr>
    </w:lvl>
  </w:abstractNum>
  <w:abstractNum w:abstractNumId="8" w15:restartNumberingAfterBreak="0">
    <w:nsid w:val="172D5681"/>
    <w:multiLevelType w:val="hybridMultilevel"/>
    <w:tmpl w:val="C804E21A"/>
    <w:lvl w:ilvl="0" w:tplc="C2B05456">
      <w:start w:val="1"/>
      <w:numFmt w:val="lowerLetter"/>
      <w:lvlText w:val="%1)"/>
      <w:lvlJc w:val="left"/>
      <w:pPr>
        <w:ind w:left="1440" w:hanging="360"/>
      </w:pPr>
    </w:lvl>
    <w:lvl w:ilvl="1" w:tplc="D1F07C60">
      <w:start w:val="1"/>
      <w:numFmt w:val="lowerLetter"/>
      <w:lvlText w:val="%2."/>
      <w:lvlJc w:val="left"/>
      <w:pPr>
        <w:ind w:left="2160" w:hanging="360"/>
      </w:pPr>
    </w:lvl>
    <w:lvl w:ilvl="2" w:tplc="FBBA9476" w:tentative="1">
      <w:start w:val="1"/>
      <w:numFmt w:val="lowerRoman"/>
      <w:lvlText w:val="%3."/>
      <w:lvlJc w:val="right"/>
      <w:pPr>
        <w:ind w:left="2880" w:hanging="180"/>
      </w:pPr>
    </w:lvl>
    <w:lvl w:ilvl="3" w:tplc="082AACFA" w:tentative="1">
      <w:start w:val="1"/>
      <w:numFmt w:val="decimal"/>
      <w:lvlText w:val="%4."/>
      <w:lvlJc w:val="left"/>
      <w:pPr>
        <w:ind w:left="3600" w:hanging="360"/>
      </w:pPr>
    </w:lvl>
    <w:lvl w:ilvl="4" w:tplc="8FA06B2E" w:tentative="1">
      <w:start w:val="1"/>
      <w:numFmt w:val="lowerLetter"/>
      <w:lvlText w:val="%5."/>
      <w:lvlJc w:val="left"/>
      <w:pPr>
        <w:ind w:left="4320" w:hanging="360"/>
      </w:pPr>
    </w:lvl>
    <w:lvl w:ilvl="5" w:tplc="5E4AB12C" w:tentative="1">
      <w:start w:val="1"/>
      <w:numFmt w:val="lowerRoman"/>
      <w:lvlText w:val="%6."/>
      <w:lvlJc w:val="right"/>
      <w:pPr>
        <w:ind w:left="5040" w:hanging="180"/>
      </w:pPr>
    </w:lvl>
    <w:lvl w:ilvl="6" w:tplc="763A2634" w:tentative="1">
      <w:start w:val="1"/>
      <w:numFmt w:val="decimal"/>
      <w:lvlText w:val="%7."/>
      <w:lvlJc w:val="left"/>
      <w:pPr>
        <w:ind w:left="5760" w:hanging="360"/>
      </w:pPr>
    </w:lvl>
    <w:lvl w:ilvl="7" w:tplc="062073AC" w:tentative="1">
      <w:start w:val="1"/>
      <w:numFmt w:val="lowerLetter"/>
      <w:lvlText w:val="%8."/>
      <w:lvlJc w:val="left"/>
      <w:pPr>
        <w:ind w:left="6480" w:hanging="360"/>
      </w:pPr>
    </w:lvl>
    <w:lvl w:ilvl="8" w:tplc="225C8970" w:tentative="1">
      <w:start w:val="1"/>
      <w:numFmt w:val="lowerRoman"/>
      <w:lvlText w:val="%9."/>
      <w:lvlJc w:val="right"/>
      <w:pPr>
        <w:ind w:left="7200" w:hanging="180"/>
      </w:pPr>
    </w:lvl>
  </w:abstractNum>
  <w:abstractNum w:abstractNumId="9" w15:restartNumberingAfterBreak="0">
    <w:nsid w:val="179F6C85"/>
    <w:multiLevelType w:val="hybridMultilevel"/>
    <w:tmpl w:val="10DC07CA"/>
    <w:lvl w:ilvl="0" w:tplc="86029AB2">
      <w:start w:val="1"/>
      <w:numFmt w:val="bullet"/>
      <w:lvlText w:val=""/>
      <w:lvlJc w:val="left"/>
      <w:pPr>
        <w:ind w:left="720" w:hanging="360"/>
      </w:pPr>
      <w:rPr>
        <w:rFonts w:ascii="Symbol" w:hAnsi="Symbol" w:hint="default"/>
      </w:rPr>
    </w:lvl>
    <w:lvl w:ilvl="1" w:tplc="0CAA3D2C" w:tentative="1">
      <w:start w:val="1"/>
      <w:numFmt w:val="bullet"/>
      <w:lvlText w:val="o"/>
      <w:lvlJc w:val="left"/>
      <w:pPr>
        <w:ind w:left="1440" w:hanging="360"/>
      </w:pPr>
      <w:rPr>
        <w:rFonts w:ascii="Courier New" w:hAnsi="Courier New" w:cs="Courier New" w:hint="default"/>
      </w:rPr>
    </w:lvl>
    <w:lvl w:ilvl="2" w:tplc="3AC03C84" w:tentative="1">
      <w:start w:val="1"/>
      <w:numFmt w:val="bullet"/>
      <w:lvlText w:val=""/>
      <w:lvlJc w:val="left"/>
      <w:pPr>
        <w:ind w:left="2160" w:hanging="360"/>
      </w:pPr>
      <w:rPr>
        <w:rFonts w:ascii="Wingdings" w:hAnsi="Wingdings" w:hint="default"/>
      </w:rPr>
    </w:lvl>
    <w:lvl w:ilvl="3" w:tplc="E45658DC" w:tentative="1">
      <w:start w:val="1"/>
      <w:numFmt w:val="bullet"/>
      <w:lvlText w:val=""/>
      <w:lvlJc w:val="left"/>
      <w:pPr>
        <w:ind w:left="2880" w:hanging="360"/>
      </w:pPr>
      <w:rPr>
        <w:rFonts w:ascii="Symbol" w:hAnsi="Symbol" w:hint="default"/>
      </w:rPr>
    </w:lvl>
    <w:lvl w:ilvl="4" w:tplc="8B5CB324" w:tentative="1">
      <w:start w:val="1"/>
      <w:numFmt w:val="bullet"/>
      <w:lvlText w:val="o"/>
      <w:lvlJc w:val="left"/>
      <w:pPr>
        <w:ind w:left="3600" w:hanging="360"/>
      </w:pPr>
      <w:rPr>
        <w:rFonts w:ascii="Courier New" w:hAnsi="Courier New" w:cs="Courier New" w:hint="default"/>
      </w:rPr>
    </w:lvl>
    <w:lvl w:ilvl="5" w:tplc="189EE7D4" w:tentative="1">
      <w:start w:val="1"/>
      <w:numFmt w:val="bullet"/>
      <w:lvlText w:val=""/>
      <w:lvlJc w:val="left"/>
      <w:pPr>
        <w:ind w:left="4320" w:hanging="360"/>
      </w:pPr>
      <w:rPr>
        <w:rFonts w:ascii="Wingdings" w:hAnsi="Wingdings" w:hint="default"/>
      </w:rPr>
    </w:lvl>
    <w:lvl w:ilvl="6" w:tplc="5D8A130C" w:tentative="1">
      <w:start w:val="1"/>
      <w:numFmt w:val="bullet"/>
      <w:lvlText w:val=""/>
      <w:lvlJc w:val="left"/>
      <w:pPr>
        <w:ind w:left="5040" w:hanging="360"/>
      </w:pPr>
      <w:rPr>
        <w:rFonts w:ascii="Symbol" w:hAnsi="Symbol" w:hint="default"/>
      </w:rPr>
    </w:lvl>
    <w:lvl w:ilvl="7" w:tplc="FD4835AA" w:tentative="1">
      <w:start w:val="1"/>
      <w:numFmt w:val="bullet"/>
      <w:lvlText w:val="o"/>
      <w:lvlJc w:val="left"/>
      <w:pPr>
        <w:ind w:left="5760" w:hanging="360"/>
      </w:pPr>
      <w:rPr>
        <w:rFonts w:ascii="Courier New" w:hAnsi="Courier New" w:cs="Courier New" w:hint="default"/>
      </w:rPr>
    </w:lvl>
    <w:lvl w:ilvl="8" w:tplc="242C2CDA" w:tentative="1">
      <w:start w:val="1"/>
      <w:numFmt w:val="bullet"/>
      <w:lvlText w:val=""/>
      <w:lvlJc w:val="left"/>
      <w:pPr>
        <w:ind w:left="6480" w:hanging="360"/>
      </w:pPr>
      <w:rPr>
        <w:rFonts w:ascii="Wingdings" w:hAnsi="Wingdings" w:hint="default"/>
      </w:rPr>
    </w:lvl>
  </w:abstractNum>
  <w:abstractNum w:abstractNumId="10" w15:restartNumberingAfterBreak="0">
    <w:nsid w:val="17F255E3"/>
    <w:multiLevelType w:val="hybridMultilevel"/>
    <w:tmpl w:val="7180C53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192E1D0A"/>
    <w:multiLevelType w:val="hybridMultilevel"/>
    <w:tmpl w:val="C804E21A"/>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19FE4B66"/>
    <w:multiLevelType w:val="hybridMultilevel"/>
    <w:tmpl w:val="98966080"/>
    <w:lvl w:ilvl="0" w:tplc="C870F982">
      <w:numFmt w:val="bullet"/>
      <w:lvlText w:val="•"/>
      <w:lvlJc w:val="left"/>
      <w:pPr>
        <w:ind w:left="1080" w:hanging="720"/>
      </w:pPr>
      <w:rPr>
        <w:rFonts w:ascii="Calibri" w:eastAsia="Calibri" w:hAnsi="Calibri" w:cs="Calibri" w:hint="default"/>
      </w:rPr>
    </w:lvl>
    <w:lvl w:ilvl="1" w:tplc="9012AD4C" w:tentative="1">
      <w:start w:val="1"/>
      <w:numFmt w:val="bullet"/>
      <w:lvlText w:val="o"/>
      <w:lvlJc w:val="left"/>
      <w:pPr>
        <w:ind w:left="1440" w:hanging="360"/>
      </w:pPr>
      <w:rPr>
        <w:rFonts w:ascii="Courier New" w:hAnsi="Courier New" w:cs="Courier New" w:hint="default"/>
      </w:rPr>
    </w:lvl>
    <w:lvl w:ilvl="2" w:tplc="B7281060" w:tentative="1">
      <w:start w:val="1"/>
      <w:numFmt w:val="bullet"/>
      <w:lvlText w:val=""/>
      <w:lvlJc w:val="left"/>
      <w:pPr>
        <w:ind w:left="2160" w:hanging="360"/>
      </w:pPr>
      <w:rPr>
        <w:rFonts w:ascii="Wingdings" w:hAnsi="Wingdings" w:hint="default"/>
      </w:rPr>
    </w:lvl>
    <w:lvl w:ilvl="3" w:tplc="85189160" w:tentative="1">
      <w:start w:val="1"/>
      <w:numFmt w:val="bullet"/>
      <w:lvlText w:val=""/>
      <w:lvlJc w:val="left"/>
      <w:pPr>
        <w:ind w:left="2880" w:hanging="360"/>
      </w:pPr>
      <w:rPr>
        <w:rFonts w:ascii="Symbol" w:hAnsi="Symbol" w:hint="default"/>
      </w:rPr>
    </w:lvl>
    <w:lvl w:ilvl="4" w:tplc="ABB6F9C0" w:tentative="1">
      <w:start w:val="1"/>
      <w:numFmt w:val="bullet"/>
      <w:lvlText w:val="o"/>
      <w:lvlJc w:val="left"/>
      <w:pPr>
        <w:ind w:left="3600" w:hanging="360"/>
      </w:pPr>
      <w:rPr>
        <w:rFonts w:ascii="Courier New" w:hAnsi="Courier New" w:cs="Courier New" w:hint="default"/>
      </w:rPr>
    </w:lvl>
    <w:lvl w:ilvl="5" w:tplc="E01AF3BE" w:tentative="1">
      <w:start w:val="1"/>
      <w:numFmt w:val="bullet"/>
      <w:lvlText w:val=""/>
      <w:lvlJc w:val="left"/>
      <w:pPr>
        <w:ind w:left="4320" w:hanging="360"/>
      </w:pPr>
      <w:rPr>
        <w:rFonts w:ascii="Wingdings" w:hAnsi="Wingdings" w:hint="default"/>
      </w:rPr>
    </w:lvl>
    <w:lvl w:ilvl="6" w:tplc="5E8CBCB0" w:tentative="1">
      <w:start w:val="1"/>
      <w:numFmt w:val="bullet"/>
      <w:lvlText w:val=""/>
      <w:lvlJc w:val="left"/>
      <w:pPr>
        <w:ind w:left="5040" w:hanging="360"/>
      </w:pPr>
      <w:rPr>
        <w:rFonts w:ascii="Symbol" w:hAnsi="Symbol" w:hint="default"/>
      </w:rPr>
    </w:lvl>
    <w:lvl w:ilvl="7" w:tplc="6240B768" w:tentative="1">
      <w:start w:val="1"/>
      <w:numFmt w:val="bullet"/>
      <w:lvlText w:val="o"/>
      <w:lvlJc w:val="left"/>
      <w:pPr>
        <w:ind w:left="5760" w:hanging="360"/>
      </w:pPr>
      <w:rPr>
        <w:rFonts w:ascii="Courier New" w:hAnsi="Courier New" w:cs="Courier New" w:hint="default"/>
      </w:rPr>
    </w:lvl>
    <w:lvl w:ilvl="8" w:tplc="C3C25B64" w:tentative="1">
      <w:start w:val="1"/>
      <w:numFmt w:val="bullet"/>
      <w:lvlText w:val=""/>
      <w:lvlJc w:val="left"/>
      <w:pPr>
        <w:ind w:left="6480" w:hanging="360"/>
      </w:pPr>
      <w:rPr>
        <w:rFonts w:ascii="Wingdings" w:hAnsi="Wingdings" w:hint="default"/>
      </w:rPr>
    </w:lvl>
  </w:abstractNum>
  <w:abstractNum w:abstractNumId="13" w15:restartNumberingAfterBreak="0">
    <w:nsid w:val="1C1F760E"/>
    <w:multiLevelType w:val="hybridMultilevel"/>
    <w:tmpl w:val="C804E21A"/>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1DCA0343"/>
    <w:multiLevelType w:val="hybridMultilevel"/>
    <w:tmpl w:val="30BCF296"/>
    <w:lvl w:ilvl="0" w:tplc="B23AE27C">
      <w:start w:val="1"/>
      <w:numFmt w:val="lowerLetter"/>
      <w:lvlText w:val="%1."/>
      <w:lvlJc w:val="left"/>
      <w:pPr>
        <w:ind w:left="720" w:hanging="360"/>
      </w:pPr>
      <w:rPr>
        <w:rFonts w:hint="default"/>
      </w:rPr>
    </w:lvl>
    <w:lvl w:ilvl="1" w:tplc="38BCE65E" w:tentative="1">
      <w:start w:val="1"/>
      <w:numFmt w:val="lowerLetter"/>
      <w:lvlText w:val="%2."/>
      <w:lvlJc w:val="left"/>
      <w:pPr>
        <w:ind w:left="1440" w:hanging="360"/>
      </w:pPr>
    </w:lvl>
    <w:lvl w:ilvl="2" w:tplc="66485FA8" w:tentative="1">
      <w:start w:val="1"/>
      <w:numFmt w:val="lowerRoman"/>
      <w:lvlText w:val="%3."/>
      <w:lvlJc w:val="right"/>
      <w:pPr>
        <w:ind w:left="2160" w:hanging="180"/>
      </w:pPr>
    </w:lvl>
    <w:lvl w:ilvl="3" w:tplc="3FAE4F14" w:tentative="1">
      <w:start w:val="1"/>
      <w:numFmt w:val="decimal"/>
      <w:lvlText w:val="%4."/>
      <w:lvlJc w:val="left"/>
      <w:pPr>
        <w:ind w:left="2880" w:hanging="360"/>
      </w:pPr>
    </w:lvl>
    <w:lvl w:ilvl="4" w:tplc="3C8E8646" w:tentative="1">
      <w:start w:val="1"/>
      <w:numFmt w:val="lowerLetter"/>
      <w:lvlText w:val="%5."/>
      <w:lvlJc w:val="left"/>
      <w:pPr>
        <w:ind w:left="3600" w:hanging="360"/>
      </w:pPr>
    </w:lvl>
    <w:lvl w:ilvl="5" w:tplc="C5361A50" w:tentative="1">
      <w:start w:val="1"/>
      <w:numFmt w:val="lowerRoman"/>
      <w:lvlText w:val="%6."/>
      <w:lvlJc w:val="right"/>
      <w:pPr>
        <w:ind w:left="4320" w:hanging="180"/>
      </w:pPr>
    </w:lvl>
    <w:lvl w:ilvl="6" w:tplc="C59C86F2" w:tentative="1">
      <w:start w:val="1"/>
      <w:numFmt w:val="decimal"/>
      <w:lvlText w:val="%7."/>
      <w:lvlJc w:val="left"/>
      <w:pPr>
        <w:ind w:left="5040" w:hanging="360"/>
      </w:pPr>
    </w:lvl>
    <w:lvl w:ilvl="7" w:tplc="8AD81B6E" w:tentative="1">
      <w:start w:val="1"/>
      <w:numFmt w:val="lowerLetter"/>
      <w:lvlText w:val="%8."/>
      <w:lvlJc w:val="left"/>
      <w:pPr>
        <w:ind w:left="5760" w:hanging="360"/>
      </w:pPr>
    </w:lvl>
    <w:lvl w:ilvl="8" w:tplc="8AE4F93C" w:tentative="1">
      <w:start w:val="1"/>
      <w:numFmt w:val="lowerRoman"/>
      <w:lvlText w:val="%9."/>
      <w:lvlJc w:val="right"/>
      <w:pPr>
        <w:ind w:left="6480" w:hanging="180"/>
      </w:pPr>
    </w:lvl>
  </w:abstractNum>
  <w:abstractNum w:abstractNumId="15" w15:restartNumberingAfterBreak="0">
    <w:nsid w:val="1DD9516F"/>
    <w:multiLevelType w:val="hybridMultilevel"/>
    <w:tmpl w:val="5A9C7B24"/>
    <w:lvl w:ilvl="0" w:tplc="81D065BC">
      <w:start w:val="1"/>
      <w:numFmt w:val="lowerLetter"/>
      <w:lvlText w:val="%1."/>
      <w:lvlJc w:val="left"/>
      <w:pPr>
        <w:ind w:left="845" w:hanging="420"/>
      </w:pPr>
      <w:rPr>
        <w:rFonts w:hint="default"/>
      </w:rPr>
    </w:lvl>
    <w:lvl w:ilvl="1" w:tplc="6D7461E8">
      <w:start w:val="1"/>
      <w:numFmt w:val="lowerRoman"/>
      <w:lvlText w:val="%2."/>
      <w:lvlJc w:val="right"/>
      <w:pPr>
        <w:ind w:left="1505" w:hanging="360"/>
      </w:pPr>
    </w:lvl>
    <w:lvl w:ilvl="2" w:tplc="9E90A89E" w:tentative="1">
      <w:start w:val="1"/>
      <w:numFmt w:val="lowerRoman"/>
      <w:lvlText w:val="%3."/>
      <w:lvlJc w:val="right"/>
      <w:pPr>
        <w:ind w:left="2225" w:hanging="180"/>
      </w:pPr>
    </w:lvl>
    <w:lvl w:ilvl="3" w:tplc="29EC8F70" w:tentative="1">
      <w:start w:val="1"/>
      <w:numFmt w:val="decimal"/>
      <w:lvlText w:val="%4."/>
      <w:lvlJc w:val="left"/>
      <w:pPr>
        <w:ind w:left="2945" w:hanging="360"/>
      </w:pPr>
    </w:lvl>
    <w:lvl w:ilvl="4" w:tplc="53BCDE2A" w:tentative="1">
      <w:start w:val="1"/>
      <w:numFmt w:val="lowerLetter"/>
      <w:lvlText w:val="%5."/>
      <w:lvlJc w:val="left"/>
      <w:pPr>
        <w:ind w:left="3665" w:hanging="360"/>
      </w:pPr>
    </w:lvl>
    <w:lvl w:ilvl="5" w:tplc="9C8E5DA4" w:tentative="1">
      <w:start w:val="1"/>
      <w:numFmt w:val="lowerRoman"/>
      <w:lvlText w:val="%6."/>
      <w:lvlJc w:val="right"/>
      <w:pPr>
        <w:ind w:left="4385" w:hanging="180"/>
      </w:pPr>
    </w:lvl>
    <w:lvl w:ilvl="6" w:tplc="EBEC51B0" w:tentative="1">
      <w:start w:val="1"/>
      <w:numFmt w:val="decimal"/>
      <w:lvlText w:val="%7."/>
      <w:lvlJc w:val="left"/>
      <w:pPr>
        <w:ind w:left="5105" w:hanging="360"/>
      </w:pPr>
    </w:lvl>
    <w:lvl w:ilvl="7" w:tplc="2DF8E652" w:tentative="1">
      <w:start w:val="1"/>
      <w:numFmt w:val="lowerLetter"/>
      <w:lvlText w:val="%8."/>
      <w:lvlJc w:val="left"/>
      <w:pPr>
        <w:ind w:left="5825" w:hanging="360"/>
      </w:pPr>
    </w:lvl>
    <w:lvl w:ilvl="8" w:tplc="5ADE7258" w:tentative="1">
      <w:start w:val="1"/>
      <w:numFmt w:val="lowerRoman"/>
      <w:lvlText w:val="%9."/>
      <w:lvlJc w:val="right"/>
      <w:pPr>
        <w:ind w:left="6545" w:hanging="180"/>
      </w:pPr>
    </w:lvl>
  </w:abstractNum>
  <w:abstractNum w:abstractNumId="16" w15:restartNumberingAfterBreak="0">
    <w:nsid w:val="2E53507D"/>
    <w:multiLevelType w:val="hybridMultilevel"/>
    <w:tmpl w:val="CE926766"/>
    <w:lvl w:ilvl="0" w:tplc="B2644794">
      <w:start w:val="1"/>
      <w:numFmt w:val="lowerLetter"/>
      <w:lvlText w:val="%1."/>
      <w:lvlJc w:val="left"/>
      <w:pPr>
        <w:ind w:left="1080" w:hanging="360"/>
      </w:pPr>
      <w:rPr>
        <w:rFonts w:hint="default"/>
      </w:rPr>
    </w:lvl>
    <w:lvl w:ilvl="1" w:tplc="782EFAC0" w:tentative="1">
      <w:start w:val="1"/>
      <w:numFmt w:val="lowerLetter"/>
      <w:lvlText w:val="%2."/>
      <w:lvlJc w:val="left"/>
      <w:pPr>
        <w:ind w:left="1800" w:hanging="360"/>
      </w:pPr>
    </w:lvl>
    <w:lvl w:ilvl="2" w:tplc="5E08E792" w:tentative="1">
      <w:start w:val="1"/>
      <w:numFmt w:val="lowerRoman"/>
      <w:lvlText w:val="%3."/>
      <w:lvlJc w:val="right"/>
      <w:pPr>
        <w:ind w:left="2520" w:hanging="180"/>
      </w:pPr>
    </w:lvl>
    <w:lvl w:ilvl="3" w:tplc="888AA8CA" w:tentative="1">
      <w:start w:val="1"/>
      <w:numFmt w:val="decimal"/>
      <w:lvlText w:val="%4."/>
      <w:lvlJc w:val="left"/>
      <w:pPr>
        <w:ind w:left="3240" w:hanging="360"/>
      </w:pPr>
    </w:lvl>
    <w:lvl w:ilvl="4" w:tplc="EBBAE02A" w:tentative="1">
      <w:start w:val="1"/>
      <w:numFmt w:val="lowerLetter"/>
      <w:lvlText w:val="%5."/>
      <w:lvlJc w:val="left"/>
      <w:pPr>
        <w:ind w:left="3960" w:hanging="360"/>
      </w:pPr>
    </w:lvl>
    <w:lvl w:ilvl="5" w:tplc="705E5682" w:tentative="1">
      <w:start w:val="1"/>
      <w:numFmt w:val="lowerRoman"/>
      <w:lvlText w:val="%6."/>
      <w:lvlJc w:val="right"/>
      <w:pPr>
        <w:ind w:left="4680" w:hanging="180"/>
      </w:pPr>
    </w:lvl>
    <w:lvl w:ilvl="6" w:tplc="14CE604A" w:tentative="1">
      <w:start w:val="1"/>
      <w:numFmt w:val="decimal"/>
      <w:lvlText w:val="%7."/>
      <w:lvlJc w:val="left"/>
      <w:pPr>
        <w:ind w:left="5400" w:hanging="360"/>
      </w:pPr>
    </w:lvl>
    <w:lvl w:ilvl="7" w:tplc="8ACC2AB8" w:tentative="1">
      <w:start w:val="1"/>
      <w:numFmt w:val="lowerLetter"/>
      <w:lvlText w:val="%8."/>
      <w:lvlJc w:val="left"/>
      <w:pPr>
        <w:ind w:left="6120" w:hanging="360"/>
      </w:pPr>
    </w:lvl>
    <w:lvl w:ilvl="8" w:tplc="33FC9F0C" w:tentative="1">
      <w:start w:val="1"/>
      <w:numFmt w:val="lowerRoman"/>
      <w:lvlText w:val="%9."/>
      <w:lvlJc w:val="right"/>
      <w:pPr>
        <w:ind w:left="6840" w:hanging="180"/>
      </w:pPr>
    </w:lvl>
  </w:abstractNum>
  <w:abstractNum w:abstractNumId="17" w15:restartNumberingAfterBreak="0">
    <w:nsid w:val="30CA6931"/>
    <w:multiLevelType w:val="hybridMultilevel"/>
    <w:tmpl w:val="B57CE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3FC76F2"/>
    <w:multiLevelType w:val="multilevel"/>
    <w:tmpl w:val="A9C8F87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34EC7B0A"/>
    <w:multiLevelType w:val="hybridMultilevel"/>
    <w:tmpl w:val="7A686EF2"/>
    <w:lvl w:ilvl="0" w:tplc="61A0A72E">
      <w:start w:val="1"/>
      <w:numFmt w:val="lowerRoman"/>
      <w:lvlText w:val="%1."/>
      <w:lvlJc w:val="left"/>
      <w:pPr>
        <w:ind w:left="720" w:hanging="360"/>
      </w:pPr>
      <w:rPr>
        <w:rFonts w:hint="default"/>
      </w:rPr>
    </w:lvl>
    <w:lvl w:ilvl="1" w:tplc="E7F648E0" w:tentative="1">
      <w:start w:val="1"/>
      <w:numFmt w:val="lowerLetter"/>
      <w:lvlText w:val="%2."/>
      <w:lvlJc w:val="left"/>
      <w:pPr>
        <w:ind w:left="1440" w:hanging="360"/>
      </w:pPr>
    </w:lvl>
    <w:lvl w:ilvl="2" w:tplc="45647744" w:tentative="1">
      <w:start w:val="1"/>
      <w:numFmt w:val="lowerRoman"/>
      <w:lvlText w:val="%3."/>
      <w:lvlJc w:val="right"/>
      <w:pPr>
        <w:ind w:left="2160" w:hanging="180"/>
      </w:pPr>
    </w:lvl>
    <w:lvl w:ilvl="3" w:tplc="FC0879A8" w:tentative="1">
      <w:start w:val="1"/>
      <w:numFmt w:val="decimal"/>
      <w:lvlText w:val="%4."/>
      <w:lvlJc w:val="left"/>
      <w:pPr>
        <w:ind w:left="2880" w:hanging="360"/>
      </w:pPr>
    </w:lvl>
    <w:lvl w:ilvl="4" w:tplc="C060C99E" w:tentative="1">
      <w:start w:val="1"/>
      <w:numFmt w:val="lowerLetter"/>
      <w:lvlText w:val="%5."/>
      <w:lvlJc w:val="left"/>
      <w:pPr>
        <w:ind w:left="3600" w:hanging="360"/>
      </w:pPr>
    </w:lvl>
    <w:lvl w:ilvl="5" w:tplc="3EAE1442" w:tentative="1">
      <w:start w:val="1"/>
      <w:numFmt w:val="lowerRoman"/>
      <w:lvlText w:val="%6."/>
      <w:lvlJc w:val="right"/>
      <w:pPr>
        <w:ind w:left="4320" w:hanging="180"/>
      </w:pPr>
    </w:lvl>
    <w:lvl w:ilvl="6" w:tplc="7980C9C6" w:tentative="1">
      <w:start w:val="1"/>
      <w:numFmt w:val="decimal"/>
      <w:lvlText w:val="%7."/>
      <w:lvlJc w:val="left"/>
      <w:pPr>
        <w:ind w:left="5040" w:hanging="360"/>
      </w:pPr>
    </w:lvl>
    <w:lvl w:ilvl="7" w:tplc="4E488252" w:tentative="1">
      <w:start w:val="1"/>
      <w:numFmt w:val="lowerLetter"/>
      <w:lvlText w:val="%8."/>
      <w:lvlJc w:val="left"/>
      <w:pPr>
        <w:ind w:left="5760" w:hanging="360"/>
      </w:pPr>
    </w:lvl>
    <w:lvl w:ilvl="8" w:tplc="0F9E9F0E" w:tentative="1">
      <w:start w:val="1"/>
      <w:numFmt w:val="lowerRoman"/>
      <w:lvlText w:val="%9."/>
      <w:lvlJc w:val="right"/>
      <w:pPr>
        <w:ind w:left="6480" w:hanging="180"/>
      </w:pPr>
    </w:lvl>
  </w:abstractNum>
  <w:abstractNum w:abstractNumId="20" w15:restartNumberingAfterBreak="0">
    <w:nsid w:val="3F0140F4"/>
    <w:multiLevelType w:val="hybridMultilevel"/>
    <w:tmpl w:val="5A9C7B24"/>
    <w:lvl w:ilvl="0" w:tplc="D3782400">
      <w:start w:val="1"/>
      <w:numFmt w:val="lowerLetter"/>
      <w:lvlText w:val="%1."/>
      <w:lvlJc w:val="left"/>
      <w:pPr>
        <w:ind w:left="845" w:hanging="420"/>
      </w:pPr>
      <w:rPr>
        <w:rFonts w:hint="default"/>
      </w:rPr>
    </w:lvl>
    <w:lvl w:ilvl="1" w:tplc="9C3881A4">
      <w:start w:val="1"/>
      <w:numFmt w:val="lowerRoman"/>
      <w:lvlText w:val="%2."/>
      <w:lvlJc w:val="right"/>
      <w:pPr>
        <w:ind w:left="1505" w:hanging="360"/>
      </w:pPr>
    </w:lvl>
    <w:lvl w:ilvl="2" w:tplc="0DD06B50" w:tentative="1">
      <w:start w:val="1"/>
      <w:numFmt w:val="lowerRoman"/>
      <w:lvlText w:val="%3."/>
      <w:lvlJc w:val="right"/>
      <w:pPr>
        <w:ind w:left="2225" w:hanging="180"/>
      </w:pPr>
    </w:lvl>
    <w:lvl w:ilvl="3" w:tplc="46AC85F8" w:tentative="1">
      <w:start w:val="1"/>
      <w:numFmt w:val="decimal"/>
      <w:lvlText w:val="%4."/>
      <w:lvlJc w:val="left"/>
      <w:pPr>
        <w:ind w:left="2945" w:hanging="360"/>
      </w:pPr>
    </w:lvl>
    <w:lvl w:ilvl="4" w:tplc="043A6ED8" w:tentative="1">
      <w:start w:val="1"/>
      <w:numFmt w:val="lowerLetter"/>
      <w:lvlText w:val="%5."/>
      <w:lvlJc w:val="left"/>
      <w:pPr>
        <w:ind w:left="3665" w:hanging="360"/>
      </w:pPr>
    </w:lvl>
    <w:lvl w:ilvl="5" w:tplc="B426BEB0" w:tentative="1">
      <w:start w:val="1"/>
      <w:numFmt w:val="lowerRoman"/>
      <w:lvlText w:val="%6."/>
      <w:lvlJc w:val="right"/>
      <w:pPr>
        <w:ind w:left="4385" w:hanging="180"/>
      </w:pPr>
    </w:lvl>
    <w:lvl w:ilvl="6" w:tplc="056AF696" w:tentative="1">
      <w:start w:val="1"/>
      <w:numFmt w:val="decimal"/>
      <w:lvlText w:val="%7."/>
      <w:lvlJc w:val="left"/>
      <w:pPr>
        <w:ind w:left="5105" w:hanging="360"/>
      </w:pPr>
    </w:lvl>
    <w:lvl w:ilvl="7" w:tplc="59162852" w:tentative="1">
      <w:start w:val="1"/>
      <w:numFmt w:val="lowerLetter"/>
      <w:lvlText w:val="%8."/>
      <w:lvlJc w:val="left"/>
      <w:pPr>
        <w:ind w:left="5825" w:hanging="360"/>
      </w:pPr>
    </w:lvl>
    <w:lvl w:ilvl="8" w:tplc="5EFEA462" w:tentative="1">
      <w:start w:val="1"/>
      <w:numFmt w:val="lowerRoman"/>
      <w:lvlText w:val="%9."/>
      <w:lvlJc w:val="right"/>
      <w:pPr>
        <w:ind w:left="6545" w:hanging="180"/>
      </w:pPr>
    </w:lvl>
  </w:abstractNum>
  <w:abstractNum w:abstractNumId="21" w15:restartNumberingAfterBreak="0">
    <w:nsid w:val="45517C95"/>
    <w:multiLevelType w:val="hybridMultilevel"/>
    <w:tmpl w:val="5FFA8002"/>
    <w:lvl w:ilvl="0" w:tplc="6AC21E76">
      <w:start w:val="1"/>
      <w:numFmt w:val="bullet"/>
      <w:lvlText w:val=""/>
      <w:lvlJc w:val="left"/>
      <w:pPr>
        <w:ind w:left="720" w:hanging="360"/>
      </w:pPr>
      <w:rPr>
        <w:rFonts w:ascii="Symbol" w:hAnsi="Symbol" w:hint="default"/>
      </w:rPr>
    </w:lvl>
    <w:lvl w:ilvl="1" w:tplc="04849CC0" w:tentative="1">
      <w:start w:val="1"/>
      <w:numFmt w:val="bullet"/>
      <w:lvlText w:val="o"/>
      <w:lvlJc w:val="left"/>
      <w:pPr>
        <w:ind w:left="1440" w:hanging="360"/>
      </w:pPr>
      <w:rPr>
        <w:rFonts w:ascii="Courier New" w:hAnsi="Courier New" w:cs="Courier New" w:hint="default"/>
      </w:rPr>
    </w:lvl>
    <w:lvl w:ilvl="2" w:tplc="E8BC244A" w:tentative="1">
      <w:start w:val="1"/>
      <w:numFmt w:val="bullet"/>
      <w:lvlText w:val=""/>
      <w:lvlJc w:val="left"/>
      <w:pPr>
        <w:ind w:left="2160" w:hanging="360"/>
      </w:pPr>
      <w:rPr>
        <w:rFonts w:ascii="Wingdings" w:hAnsi="Wingdings" w:hint="default"/>
      </w:rPr>
    </w:lvl>
    <w:lvl w:ilvl="3" w:tplc="6FEACDBC" w:tentative="1">
      <w:start w:val="1"/>
      <w:numFmt w:val="bullet"/>
      <w:lvlText w:val=""/>
      <w:lvlJc w:val="left"/>
      <w:pPr>
        <w:ind w:left="2880" w:hanging="360"/>
      </w:pPr>
      <w:rPr>
        <w:rFonts w:ascii="Symbol" w:hAnsi="Symbol" w:hint="default"/>
      </w:rPr>
    </w:lvl>
    <w:lvl w:ilvl="4" w:tplc="542ED032" w:tentative="1">
      <w:start w:val="1"/>
      <w:numFmt w:val="bullet"/>
      <w:lvlText w:val="o"/>
      <w:lvlJc w:val="left"/>
      <w:pPr>
        <w:ind w:left="3600" w:hanging="360"/>
      </w:pPr>
      <w:rPr>
        <w:rFonts w:ascii="Courier New" w:hAnsi="Courier New" w:cs="Courier New" w:hint="default"/>
      </w:rPr>
    </w:lvl>
    <w:lvl w:ilvl="5" w:tplc="86921050" w:tentative="1">
      <w:start w:val="1"/>
      <w:numFmt w:val="bullet"/>
      <w:lvlText w:val=""/>
      <w:lvlJc w:val="left"/>
      <w:pPr>
        <w:ind w:left="4320" w:hanging="360"/>
      </w:pPr>
      <w:rPr>
        <w:rFonts w:ascii="Wingdings" w:hAnsi="Wingdings" w:hint="default"/>
      </w:rPr>
    </w:lvl>
    <w:lvl w:ilvl="6" w:tplc="21D0AD04" w:tentative="1">
      <w:start w:val="1"/>
      <w:numFmt w:val="bullet"/>
      <w:lvlText w:val=""/>
      <w:lvlJc w:val="left"/>
      <w:pPr>
        <w:ind w:left="5040" w:hanging="360"/>
      </w:pPr>
      <w:rPr>
        <w:rFonts w:ascii="Symbol" w:hAnsi="Symbol" w:hint="default"/>
      </w:rPr>
    </w:lvl>
    <w:lvl w:ilvl="7" w:tplc="1D36F210" w:tentative="1">
      <w:start w:val="1"/>
      <w:numFmt w:val="bullet"/>
      <w:lvlText w:val="o"/>
      <w:lvlJc w:val="left"/>
      <w:pPr>
        <w:ind w:left="5760" w:hanging="360"/>
      </w:pPr>
      <w:rPr>
        <w:rFonts w:ascii="Courier New" w:hAnsi="Courier New" w:cs="Courier New" w:hint="default"/>
      </w:rPr>
    </w:lvl>
    <w:lvl w:ilvl="8" w:tplc="1A685DA0" w:tentative="1">
      <w:start w:val="1"/>
      <w:numFmt w:val="bullet"/>
      <w:lvlText w:val=""/>
      <w:lvlJc w:val="left"/>
      <w:pPr>
        <w:ind w:left="6480" w:hanging="360"/>
      </w:pPr>
      <w:rPr>
        <w:rFonts w:ascii="Wingdings" w:hAnsi="Wingdings" w:hint="default"/>
      </w:rPr>
    </w:lvl>
  </w:abstractNum>
  <w:abstractNum w:abstractNumId="22" w15:restartNumberingAfterBreak="0">
    <w:nsid w:val="48563FA0"/>
    <w:multiLevelType w:val="hybridMultilevel"/>
    <w:tmpl w:val="1A14F1BC"/>
    <w:lvl w:ilvl="0" w:tplc="069CF896">
      <w:start w:val="1"/>
      <w:numFmt w:val="decimal"/>
      <w:lvlText w:val="%1."/>
      <w:lvlJc w:val="left"/>
      <w:pPr>
        <w:ind w:left="720" w:hanging="360"/>
      </w:pPr>
    </w:lvl>
    <w:lvl w:ilvl="1" w:tplc="39C0FED2" w:tentative="1">
      <w:start w:val="1"/>
      <w:numFmt w:val="lowerLetter"/>
      <w:lvlText w:val="%2."/>
      <w:lvlJc w:val="left"/>
      <w:pPr>
        <w:ind w:left="1440" w:hanging="360"/>
      </w:pPr>
    </w:lvl>
    <w:lvl w:ilvl="2" w:tplc="41B63AFE" w:tentative="1">
      <w:start w:val="1"/>
      <w:numFmt w:val="lowerRoman"/>
      <w:lvlText w:val="%3."/>
      <w:lvlJc w:val="right"/>
      <w:pPr>
        <w:ind w:left="2160" w:hanging="180"/>
      </w:pPr>
    </w:lvl>
    <w:lvl w:ilvl="3" w:tplc="6F9E8BD2" w:tentative="1">
      <w:start w:val="1"/>
      <w:numFmt w:val="decimal"/>
      <w:lvlText w:val="%4."/>
      <w:lvlJc w:val="left"/>
      <w:pPr>
        <w:ind w:left="2880" w:hanging="360"/>
      </w:pPr>
    </w:lvl>
    <w:lvl w:ilvl="4" w:tplc="78C20C80" w:tentative="1">
      <w:start w:val="1"/>
      <w:numFmt w:val="lowerLetter"/>
      <w:lvlText w:val="%5."/>
      <w:lvlJc w:val="left"/>
      <w:pPr>
        <w:ind w:left="3600" w:hanging="360"/>
      </w:pPr>
    </w:lvl>
    <w:lvl w:ilvl="5" w:tplc="FFBA3708" w:tentative="1">
      <w:start w:val="1"/>
      <w:numFmt w:val="lowerRoman"/>
      <w:lvlText w:val="%6."/>
      <w:lvlJc w:val="right"/>
      <w:pPr>
        <w:ind w:left="4320" w:hanging="180"/>
      </w:pPr>
    </w:lvl>
    <w:lvl w:ilvl="6" w:tplc="7F1A6550" w:tentative="1">
      <w:start w:val="1"/>
      <w:numFmt w:val="decimal"/>
      <w:lvlText w:val="%7."/>
      <w:lvlJc w:val="left"/>
      <w:pPr>
        <w:ind w:left="5040" w:hanging="360"/>
      </w:pPr>
    </w:lvl>
    <w:lvl w:ilvl="7" w:tplc="4336EE6E" w:tentative="1">
      <w:start w:val="1"/>
      <w:numFmt w:val="lowerLetter"/>
      <w:lvlText w:val="%8."/>
      <w:lvlJc w:val="left"/>
      <w:pPr>
        <w:ind w:left="5760" w:hanging="360"/>
      </w:pPr>
    </w:lvl>
    <w:lvl w:ilvl="8" w:tplc="9ACCFE8E" w:tentative="1">
      <w:start w:val="1"/>
      <w:numFmt w:val="lowerRoman"/>
      <w:lvlText w:val="%9."/>
      <w:lvlJc w:val="right"/>
      <w:pPr>
        <w:ind w:left="6480" w:hanging="180"/>
      </w:pPr>
    </w:lvl>
  </w:abstractNum>
  <w:abstractNum w:abstractNumId="23" w15:restartNumberingAfterBreak="0">
    <w:nsid w:val="494B09B7"/>
    <w:multiLevelType w:val="hybridMultilevel"/>
    <w:tmpl w:val="491668D2"/>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514A545C"/>
    <w:multiLevelType w:val="hybridMultilevel"/>
    <w:tmpl w:val="2C785CF4"/>
    <w:lvl w:ilvl="0" w:tplc="FD264C06">
      <w:start w:val="1"/>
      <w:numFmt w:val="bullet"/>
      <w:lvlText w:val=""/>
      <w:lvlJc w:val="left"/>
      <w:pPr>
        <w:ind w:left="720" w:hanging="360"/>
      </w:pPr>
      <w:rPr>
        <w:rFonts w:ascii="Symbol" w:hAnsi="Symbol" w:hint="default"/>
      </w:rPr>
    </w:lvl>
    <w:lvl w:ilvl="1" w:tplc="F1CCE3D2">
      <w:start w:val="1"/>
      <w:numFmt w:val="bullet"/>
      <w:lvlText w:val="o"/>
      <w:lvlJc w:val="left"/>
      <w:pPr>
        <w:ind w:left="1440" w:hanging="360"/>
      </w:pPr>
      <w:rPr>
        <w:rFonts w:ascii="Courier New" w:hAnsi="Courier New" w:cs="Courier New" w:hint="default"/>
      </w:rPr>
    </w:lvl>
    <w:lvl w:ilvl="2" w:tplc="A238C9BC" w:tentative="1">
      <w:start w:val="1"/>
      <w:numFmt w:val="bullet"/>
      <w:lvlText w:val=""/>
      <w:lvlJc w:val="left"/>
      <w:pPr>
        <w:ind w:left="2160" w:hanging="360"/>
      </w:pPr>
      <w:rPr>
        <w:rFonts w:ascii="Wingdings" w:hAnsi="Wingdings" w:hint="default"/>
      </w:rPr>
    </w:lvl>
    <w:lvl w:ilvl="3" w:tplc="C6A05A0C" w:tentative="1">
      <w:start w:val="1"/>
      <w:numFmt w:val="bullet"/>
      <w:lvlText w:val=""/>
      <w:lvlJc w:val="left"/>
      <w:pPr>
        <w:ind w:left="2880" w:hanging="360"/>
      </w:pPr>
      <w:rPr>
        <w:rFonts w:ascii="Symbol" w:hAnsi="Symbol" w:hint="default"/>
      </w:rPr>
    </w:lvl>
    <w:lvl w:ilvl="4" w:tplc="ECDC4216" w:tentative="1">
      <w:start w:val="1"/>
      <w:numFmt w:val="bullet"/>
      <w:lvlText w:val="o"/>
      <w:lvlJc w:val="left"/>
      <w:pPr>
        <w:ind w:left="3600" w:hanging="360"/>
      </w:pPr>
      <w:rPr>
        <w:rFonts w:ascii="Courier New" w:hAnsi="Courier New" w:cs="Courier New" w:hint="default"/>
      </w:rPr>
    </w:lvl>
    <w:lvl w:ilvl="5" w:tplc="CC6245CE" w:tentative="1">
      <w:start w:val="1"/>
      <w:numFmt w:val="bullet"/>
      <w:lvlText w:val=""/>
      <w:lvlJc w:val="left"/>
      <w:pPr>
        <w:ind w:left="4320" w:hanging="360"/>
      </w:pPr>
      <w:rPr>
        <w:rFonts w:ascii="Wingdings" w:hAnsi="Wingdings" w:hint="default"/>
      </w:rPr>
    </w:lvl>
    <w:lvl w:ilvl="6" w:tplc="74B836EE" w:tentative="1">
      <w:start w:val="1"/>
      <w:numFmt w:val="bullet"/>
      <w:lvlText w:val=""/>
      <w:lvlJc w:val="left"/>
      <w:pPr>
        <w:ind w:left="5040" w:hanging="360"/>
      </w:pPr>
      <w:rPr>
        <w:rFonts w:ascii="Symbol" w:hAnsi="Symbol" w:hint="default"/>
      </w:rPr>
    </w:lvl>
    <w:lvl w:ilvl="7" w:tplc="B8FE9146" w:tentative="1">
      <w:start w:val="1"/>
      <w:numFmt w:val="bullet"/>
      <w:lvlText w:val="o"/>
      <w:lvlJc w:val="left"/>
      <w:pPr>
        <w:ind w:left="5760" w:hanging="360"/>
      </w:pPr>
      <w:rPr>
        <w:rFonts w:ascii="Courier New" w:hAnsi="Courier New" w:cs="Courier New" w:hint="default"/>
      </w:rPr>
    </w:lvl>
    <w:lvl w:ilvl="8" w:tplc="9E9A069C" w:tentative="1">
      <w:start w:val="1"/>
      <w:numFmt w:val="bullet"/>
      <w:lvlText w:val=""/>
      <w:lvlJc w:val="left"/>
      <w:pPr>
        <w:ind w:left="6480" w:hanging="360"/>
      </w:pPr>
      <w:rPr>
        <w:rFonts w:ascii="Wingdings" w:hAnsi="Wingdings" w:hint="default"/>
      </w:rPr>
    </w:lvl>
  </w:abstractNum>
  <w:abstractNum w:abstractNumId="25" w15:restartNumberingAfterBreak="0">
    <w:nsid w:val="51A44875"/>
    <w:multiLevelType w:val="hybridMultilevel"/>
    <w:tmpl w:val="491668D2"/>
    <w:lvl w:ilvl="0" w:tplc="8F02D0B0">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54AE5688"/>
    <w:multiLevelType w:val="hybridMultilevel"/>
    <w:tmpl w:val="C804E21A"/>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57244E7E"/>
    <w:multiLevelType w:val="hybridMultilevel"/>
    <w:tmpl w:val="BF4AFE12"/>
    <w:lvl w:ilvl="0" w:tplc="2A2C3552">
      <w:start w:val="1"/>
      <w:numFmt w:val="bullet"/>
      <w:lvlText w:val=""/>
      <w:lvlJc w:val="left"/>
      <w:pPr>
        <w:ind w:left="720" w:hanging="360"/>
      </w:pPr>
      <w:rPr>
        <w:rFonts w:ascii="Symbol" w:hAnsi="Symbol" w:hint="default"/>
      </w:rPr>
    </w:lvl>
    <w:lvl w:ilvl="1" w:tplc="F00A4118" w:tentative="1">
      <w:start w:val="1"/>
      <w:numFmt w:val="bullet"/>
      <w:lvlText w:val="o"/>
      <w:lvlJc w:val="left"/>
      <w:pPr>
        <w:ind w:left="1440" w:hanging="360"/>
      </w:pPr>
      <w:rPr>
        <w:rFonts w:ascii="Courier New" w:hAnsi="Courier New" w:cs="Courier New" w:hint="default"/>
      </w:rPr>
    </w:lvl>
    <w:lvl w:ilvl="2" w:tplc="BC70984C" w:tentative="1">
      <w:start w:val="1"/>
      <w:numFmt w:val="bullet"/>
      <w:lvlText w:val=""/>
      <w:lvlJc w:val="left"/>
      <w:pPr>
        <w:ind w:left="2160" w:hanging="360"/>
      </w:pPr>
      <w:rPr>
        <w:rFonts w:ascii="Wingdings" w:hAnsi="Wingdings" w:hint="default"/>
      </w:rPr>
    </w:lvl>
    <w:lvl w:ilvl="3" w:tplc="10E467F0" w:tentative="1">
      <w:start w:val="1"/>
      <w:numFmt w:val="bullet"/>
      <w:lvlText w:val=""/>
      <w:lvlJc w:val="left"/>
      <w:pPr>
        <w:ind w:left="2880" w:hanging="360"/>
      </w:pPr>
      <w:rPr>
        <w:rFonts w:ascii="Symbol" w:hAnsi="Symbol" w:hint="default"/>
      </w:rPr>
    </w:lvl>
    <w:lvl w:ilvl="4" w:tplc="BEBEF960" w:tentative="1">
      <w:start w:val="1"/>
      <w:numFmt w:val="bullet"/>
      <w:lvlText w:val="o"/>
      <w:lvlJc w:val="left"/>
      <w:pPr>
        <w:ind w:left="3600" w:hanging="360"/>
      </w:pPr>
      <w:rPr>
        <w:rFonts w:ascii="Courier New" w:hAnsi="Courier New" w:cs="Courier New" w:hint="default"/>
      </w:rPr>
    </w:lvl>
    <w:lvl w:ilvl="5" w:tplc="9294B77E" w:tentative="1">
      <w:start w:val="1"/>
      <w:numFmt w:val="bullet"/>
      <w:lvlText w:val=""/>
      <w:lvlJc w:val="left"/>
      <w:pPr>
        <w:ind w:left="4320" w:hanging="360"/>
      </w:pPr>
      <w:rPr>
        <w:rFonts w:ascii="Wingdings" w:hAnsi="Wingdings" w:hint="default"/>
      </w:rPr>
    </w:lvl>
    <w:lvl w:ilvl="6" w:tplc="FD600368" w:tentative="1">
      <w:start w:val="1"/>
      <w:numFmt w:val="bullet"/>
      <w:lvlText w:val=""/>
      <w:lvlJc w:val="left"/>
      <w:pPr>
        <w:ind w:left="5040" w:hanging="360"/>
      </w:pPr>
      <w:rPr>
        <w:rFonts w:ascii="Symbol" w:hAnsi="Symbol" w:hint="default"/>
      </w:rPr>
    </w:lvl>
    <w:lvl w:ilvl="7" w:tplc="20E099A8" w:tentative="1">
      <w:start w:val="1"/>
      <w:numFmt w:val="bullet"/>
      <w:lvlText w:val="o"/>
      <w:lvlJc w:val="left"/>
      <w:pPr>
        <w:ind w:left="5760" w:hanging="360"/>
      </w:pPr>
      <w:rPr>
        <w:rFonts w:ascii="Courier New" w:hAnsi="Courier New" w:cs="Courier New" w:hint="default"/>
      </w:rPr>
    </w:lvl>
    <w:lvl w:ilvl="8" w:tplc="550C16D4" w:tentative="1">
      <w:start w:val="1"/>
      <w:numFmt w:val="bullet"/>
      <w:lvlText w:val=""/>
      <w:lvlJc w:val="left"/>
      <w:pPr>
        <w:ind w:left="6480" w:hanging="360"/>
      </w:pPr>
      <w:rPr>
        <w:rFonts w:ascii="Wingdings" w:hAnsi="Wingdings" w:hint="default"/>
      </w:rPr>
    </w:lvl>
  </w:abstractNum>
  <w:abstractNum w:abstractNumId="28" w15:restartNumberingAfterBreak="0">
    <w:nsid w:val="60542EA2"/>
    <w:multiLevelType w:val="hybridMultilevel"/>
    <w:tmpl w:val="5E124D3C"/>
    <w:lvl w:ilvl="0" w:tplc="F552FF72">
      <w:start w:val="1"/>
      <w:numFmt w:val="bullet"/>
      <w:lvlText w:val=""/>
      <w:lvlJc w:val="left"/>
      <w:pPr>
        <w:ind w:left="720" w:hanging="360"/>
      </w:pPr>
      <w:rPr>
        <w:rFonts w:ascii="Symbol" w:hAnsi="Symbol" w:hint="default"/>
      </w:rPr>
    </w:lvl>
    <w:lvl w:ilvl="1" w:tplc="4AF02CE4" w:tentative="1">
      <w:start w:val="1"/>
      <w:numFmt w:val="bullet"/>
      <w:lvlText w:val="o"/>
      <w:lvlJc w:val="left"/>
      <w:pPr>
        <w:ind w:left="1440" w:hanging="360"/>
      </w:pPr>
      <w:rPr>
        <w:rFonts w:ascii="Courier New" w:hAnsi="Courier New" w:cs="Courier New" w:hint="default"/>
      </w:rPr>
    </w:lvl>
    <w:lvl w:ilvl="2" w:tplc="B6E28238" w:tentative="1">
      <w:start w:val="1"/>
      <w:numFmt w:val="bullet"/>
      <w:lvlText w:val=""/>
      <w:lvlJc w:val="left"/>
      <w:pPr>
        <w:ind w:left="2160" w:hanging="360"/>
      </w:pPr>
      <w:rPr>
        <w:rFonts w:ascii="Wingdings" w:hAnsi="Wingdings" w:hint="default"/>
      </w:rPr>
    </w:lvl>
    <w:lvl w:ilvl="3" w:tplc="00C4DFDA" w:tentative="1">
      <w:start w:val="1"/>
      <w:numFmt w:val="bullet"/>
      <w:lvlText w:val=""/>
      <w:lvlJc w:val="left"/>
      <w:pPr>
        <w:ind w:left="2880" w:hanging="360"/>
      </w:pPr>
      <w:rPr>
        <w:rFonts w:ascii="Symbol" w:hAnsi="Symbol" w:hint="default"/>
      </w:rPr>
    </w:lvl>
    <w:lvl w:ilvl="4" w:tplc="303480F2" w:tentative="1">
      <w:start w:val="1"/>
      <w:numFmt w:val="bullet"/>
      <w:lvlText w:val="o"/>
      <w:lvlJc w:val="left"/>
      <w:pPr>
        <w:ind w:left="3600" w:hanging="360"/>
      </w:pPr>
      <w:rPr>
        <w:rFonts w:ascii="Courier New" w:hAnsi="Courier New" w:cs="Courier New" w:hint="default"/>
      </w:rPr>
    </w:lvl>
    <w:lvl w:ilvl="5" w:tplc="402EAB84" w:tentative="1">
      <w:start w:val="1"/>
      <w:numFmt w:val="bullet"/>
      <w:lvlText w:val=""/>
      <w:lvlJc w:val="left"/>
      <w:pPr>
        <w:ind w:left="4320" w:hanging="360"/>
      </w:pPr>
      <w:rPr>
        <w:rFonts w:ascii="Wingdings" w:hAnsi="Wingdings" w:hint="default"/>
      </w:rPr>
    </w:lvl>
    <w:lvl w:ilvl="6" w:tplc="573C1D56" w:tentative="1">
      <w:start w:val="1"/>
      <w:numFmt w:val="bullet"/>
      <w:lvlText w:val=""/>
      <w:lvlJc w:val="left"/>
      <w:pPr>
        <w:ind w:left="5040" w:hanging="360"/>
      </w:pPr>
      <w:rPr>
        <w:rFonts w:ascii="Symbol" w:hAnsi="Symbol" w:hint="default"/>
      </w:rPr>
    </w:lvl>
    <w:lvl w:ilvl="7" w:tplc="B476A5F6" w:tentative="1">
      <w:start w:val="1"/>
      <w:numFmt w:val="bullet"/>
      <w:lvlText w:val="o"/>
      <w:lvlJc w:val="left"/>
      <w:pPr>
        <w:ind w:left="5760" w:hanging="360"/>
      </w:pPr>
      <w:rPr>
        <w:rFonts w:ascii="Courier New" w:hAnsi="Courier New" w:cs="Courier New" w:hint="default"/>
      </w:rPr>
    </w:lvl>
    <w:lvl w:ilvl="8" w:tplc="7C5A168A" w:tentative="1">
      <w:start w:val="1"/>
      <w:numFmt w:val="bullet"/>
      <w:lvlText w:val=""/>
      <w:lvlJc w:val="left"/>
      <w:pPr>
        <w:ind w:left="6480" w:hanging="360"/>
      </w:pPr>
      <w:rPr>
        <w:rFonts w:ascii="Wingdings" w:hAnsi="Wingdings" w:hint="default"/>
      </w:rPr>
    </w:lvl>
  </w:abstractNum>
  <w:abstractNum w:abstractNumId="29" w15:restartNumberingAfterBreak="0">
    <w:nsid w:val="618B53FD"/>
    <w:multiLevelType w:val="hybridMultilevel"/>
    <w:tmpl w:val="B128D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39D5767"/>
    <w:multiLevelType w:val="hybridMultilevel"/>
    <w:tmpl w:val="C804E21A"/>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702F0527"/>
    <w:multiLevelType w:val="hybridMultilevel"/>
    <w:tmpl w:val="C804E21A"/>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743B4131"/>
    <w:multiLevelType w:val="hybridMultilevel"/>
    <w:tmpl w:val="4DF63D9A"/>
    <w:lvl w:ilvl="0" w:tplc="4EC6643C">
      <w:start w:val="1"/>
      <w:numFmt w:val="bullet"/>
      <w:lvlText w:val=""/>
      <w:lvlJc w:val="left"/>
      <w:pPr>
        <w:ind w:left="720" w:hanging="360"/>
      </w:pPr>
      <w:rPr>
        <w:rFonts w:ascii="Symbol" w:hAnsi="Symbol" w:hint="default"/>
      </w:rPr>
    </w:lvl>
    <w:lvl w:ilvl="1" w:tplc="DF8E03D4" w:tentative="1">
      <w:start w:val="1"/>
      <w:numFmt w:val="bullet"/>
      <w:lvlText w:val="o"/>
      <w:lvlJc w:val="left"/>
      <w:pPr>
        <w:ind w:left="1440" w:hanging="360"/>
      </w:pPr>
      <w:rPr>
        <w:rFonts w:ascii="Courier New" w:hAnsi="Courier New" w:cs="Courier New" w:hint="default"/>
      </w:rPr>
    </w:lvl>
    <w:lvl w:ilvl="2" w:tplc="2E86471C" w:tentative="1">
      <w:start w:val="1"/>
      <w:numFmt w:val="bullet"/>
      <w:lvlText w:val=""/>
      <w:lvlJc w:val="left"/>
      <w:pPr>
        <w:ind w:left="2160" w:hanging="360"/>
      </w:pPr>
      <w:rPr>
        <w:rFonts w:ascii="Wingdings" w:hAnsi="Wingdings" w:hint="default"/>
      </w:rPr>
    </w:lvl>
    <w:lvl w:ilvl="3" w:tplc="4B321066" w:tentative="1">
      <w:start w:val="1"/>
      <w:numFmt w:val="bullet"/>
      <w:lvlText w:val=""/>
      <w:lvlJc w:val="left"/>
      <w:pPr>
        <w:ind w:left="2880" w:hanging="360"/>
      </w:pPr>
      <w:rPr>
        <w:rFonts w:ascii="Symbol" w:hAnsi="Symbol" w:hint="default"/>
      </w:rPr>
    </w:lvl>
    <w:lvl w:ilvl="4" w:tplc="68D67376" w:tentative="1">
      <w:start w:val="1"/>
      <w:numFmt w:val="bullet"/>
      <w:lvlText w:val="o"/>
      <w:lvlJc w:val="left"/>
      <w:pPr>
        <w:ind w:left="3600" w:hanging="360"/>
      </w:pPr>
      <w:rPr>
        <w:rFonts w:ascii="Courier New" w:hAnsi="Courier New" w:cs="Courier New" w:hint="default"/>
      </w:rPr>
    </w:lvl>
    <w:lvl w:ilvl="5" w:tplc="0436F84C" w:tentative="1">
      <w:start w:val="1"/>
      <w:numFmt w:val="bullet"/>
      <w:lvlText w:val=""/>
      <w:lvlJc w:val="left"/>
      <w:pPr>
        <w:ind w:left="4320" w:hanging="360"/>
      </w:pPr>
      <w:rPr>
        <w:rFonts w:ascii="Wingdings" w:hAnsi="Wingdings" w:hint="default"/>
      </w:rPr>
    </w:lvl>
    <w:lvl w:ilvl="6" w:tplc="0964B7A6" w:tentative="1">
      <w:start w:val="1"/>
      <w:numFmt w:val="bullet"/>
      <w:lvlText w:val=""/>
      <w:lvlJc w:val="left"/>
      <w:pPr>
        <w:ind w:left="5040" w:hanging="360"/>
      </w:pPr>
      <w:rPr>
        <w:rFonts w:ascii="Symbol" w:hAnsi="Symbol" w:hint="default"/>
      </w:rPr>
    </w:lvl>
    <w:lvl w:ilvl="7" w:tplc="E10643F0" w:tentative="1">
      <w:start w:val="1"/>
      <w:numFmt w:val="bullet"/>
      <w:lvlText w:val="o"/>
      <w:lvlJc w:val="left"/>
      <w:pPr>
        <w:ind w:left="5760" w:hanging="360"/>
      </w:pPr>
      <w:rPr>
        <w:rFonts w:ascii="Courier New" w:hAnsi="Courier New" w:cs="Courier New" w:hint="default"/>
      </w:rPr>
    </w:lvl>
    <w:lvl w:ilvl="8" w:tplc="A85C7BA4" w:tentative="1">
      <w:start w:val="1"/>
      <w:numFmt w:val="bullet"/>
      <w:lvlText w:val=""/>
      <w:lvlJc w:val="left"/>
      <w:pPr>
        <w:ind w:left="6480" w:hanging="360"/>
      </w:pPr>
      <w:rPr>
        <w:rFonts w:ascii="Wingdings" w:hAnsi="Wingdings" w:hint="default"/>
      </w:rPr>
    </w:lvl>
  </w:abstractNum>
  <w:abstractNum w:abstractNumId="33" w15:restartNumberingAfterBreak="0">
    <w:nsid w:val="7955728C"/>
    <w:multiLevelType w:val="hybridMultilevel"/>
    <w:tmpl w:val="15EECF6E"/>
    <w:lvl w:ilvl="0" w:tplc="F2A64C52">
      <w:numFmt w:val="bullet"/>
      <w:lvlText w:val="•"/>
      <w:lvlJc w:val="left"/>
      <w:pPr>
        <w:ind w:left="1080" w:hanging="720"/>
      </w:pPr>
      <w:rPr>
        <w:rFonts w:ascii="Calibri" w:eastAsia="Calibri" w:hAnsi="Calibri" w:cs="Calibri" w:hint="default"/>
      </w:rPr>
    </w:lvl>
    <w:lvl w:ilvl="1" w:tplc="588A3C4E" w:tentative="1">
      <w:start w:val="1"/>
      <w:numFmt w:val="bullet"/>
      <w:lvlText w:val="o"/>
      <w:lvlJc w:val="left"/>
      <w:pPr>
        <w:ind w:left="1440" w:hanging="360"/>
      </w:pPr>
      <w:rPr>
        <w:rFonts w:ascii="Courier New" w:hAnsi="Courier New" w:cs="Courier New" w:hint="default"/>
      </w:rPr>
    </w:lvl>
    <w:lvl w:ilvl="2" w:tplc="DCA0A082" w:tentative="1">
      <w:start w:val="1"/>
      <w:numFmt w:val="bullet"/>
      <w:lvlText w:val=""/>
      <w:lvlJc w:val="left"/>
      <w:pPr>
        <w:ind w:left="2160" w:hanging="360"/>
      </w:pPr>
      <w:rPr>
        <w:rFonts w:ascii="Wingdings" w:hAnsi="Wingdings" w:hint="default"/>
      </w:rPr>
    </w:lvl>
    <w:lvl w:ilvl="3" w:tplc="1EFE6128" w:tentative="1">
      <w:start w:val="1"/>
      <w:numFmt w:val="bullet"/>
      <w:lvlText w:val=""/>
      <w:lvlJc w:val="left"/>
      <w:pPr>
        <w:ind w:left="2880" w:hanging="360"/>
      </w:pPr>
      <w:rPr>
        <w:rFonts w:ascii="Symbol" w:hAnsi="Symbol" w:hint="default"/>
      </w:rPr>
    </w:lvl>
    <w:lvl w:ilvl="4" w:tplc="AF76ECC4" w:tentative="1">
      <w:start w:val="1"/>
      <w:numFmt w:val="bullet"/>
      <w:lvlText w:val="o"/>
      <w:lvlJc w:val="left"/>
      <w:pPr>
        <w:ind w:left="3600" w:hanging="360"/>
      </w:pPr>
      <w:rPr>
        <w:rFonts w:ascii="Courier New" w:hAnsi="Courier New" w:cs="Courier New" w:hint="default"/>
      </w:rPr>
    </w:lvl>
    <w:lvl w:ilvl="5" w:tplc="D45E9606" w:tentative="1">
      <w:start w:val="1"/>
      <w:numFmt w:val="bullet"/>
      <w:lvlText w:val=""/>
      <w:lvlJc w:val="left"/>
      <w:pPr>
        <w:ind w:left="4320" w:hanging="360"/>
      </w:pPr>
      <w:rPr>
        <w:rFonts w:ascii="Wingdings" w:hAnsi="Wingdings" w:hint="default"/>
      </w:rPr>
    </w:lvl>
    <w:lvl w:ilvl="6" w:tplc="D384EEC8" w:tentative="1">
      <w:start w:val="1"/>
      <w:numFmt w:val="bullet"/>
      <w:lvlText w:val=""/>
      <w:lvlJc w:val="left"/>
      <w:pPr>
        <w:ind w:left="5040" w:hanging="360"/>
      </w:pPr>
      <w:rPr>
        <w:rFonts w:ascii="Symbol" w:hAnsi="Symbol" w:hint="default"/>
      </w:rPr>
    </w:lvl>
    <w:lvl w:ilvl="7" w:tplc="130CF60A" w:tentative="1">
      <w:start w:val="1"/>
      <w:numFmt w:val="bullet"/>
      <w:lvlText w:val="o"/>
      <w:lvlJc w:val="left"/>
      <w:pPr>
        <w:ind w:left="5760" w:hanging="360"/>
      </w:pPr>
      <w:rPr>
        <w:rFonts w:ascii="Courier New" w:hAnsi="Courier New" w:cs="Courier New" w:hint="default"/>
      </w:rPr>
    </w:lvl>
    <w:lvl w:ilvl="8" w:tplc="79AEAEDA" w:tentative="1">
      <w:start w:val="1"/>
      <w:numFmt w:val="bullet"/>
      <w:lvlText w:val=""/>
      <w:lvlJc w:val="left"/>
      <w:pPr>
        <w:ind w:left="6480" w:hanging="360"/>
      </w:pPr>
      <w:rPr>
        <w:rFonts w:ascii="Wingdings" w:hAnsi="Wingdings" w:hint="default"/>
      </w:rPr>
    </w:lvl>
  </w:abstractNum>
  <w:abstractNum w:abstractNumId="34" w15:restartNumberingAfterBreak="0">
    <w:nsid w:val="79B348B5"/>
    <w:multiLevelType w:val="hybridMultilevel"/>
    <w:tmpl w:val="1A9071D8"/>
    <w:lvl w:ilvl="0" w:tplc="7ABE645A">
      <w:start w:val="1"/>
      <w:numFmt w:val="bullet"/>
      <w:lvlText w:val="-"/>
      <w:lvlJc w:val="left"/>
      <w:pPr>
        <w:ind w:left="720" w:hanging="360"/>
      </w:pPr>
      <w:rPr>
        <w:rFonts w:ascii="Aptos" w:hAnsi="Aptos" w:hint="default"/>
      </w:rPr>
    </w:lvl>
    <w:lvl w:ilvl="1" w:tplc="5A586428">
      <w:start w:val="1"/>
      <w:numFmt w:val="bullet"/>
      <w:lvlText w:val="o"/>
      <w:lvlJc w:val="left"/>
      <w:pPr>
        <w:ind w:left="1440" w:hanging="360"/>
      </w:pPr>
      <w:rPr>
        <w:rFonts w:ascii="Courier New" w:hAnsi="Courier New" w:hint="default"/>
      </w:rPr>
    </w:lvl>
    <w:lvl w:ilvl="2" w:tplc="F0C0AC84">
      <w:start w:val="1"/>
      <w:numFmt w:val="bullet"/>
      <w:lvlText w:val=""/>
      <w:lvlJc w:val="left"/>
      <w:pPr>
        <w:ind w:left="2160" w:hanging="360"/>
      </w:pPr>
      <w:rPr>
        <w:rFonts w:ascii="Wingdings" w:hAnsi="Wingdings" w:hint="default"/>
      </w:rPr>
    </w:lvl>
    <w:lvl w:ilvl="3" w:tplc="E3D4E0BE">
      <w:start w:val="1"/>
      <w:numFmt w:val="bullet"/>
      <w:lvlText w:val=""/>
      <w:lvlJc w:val="left"/>
      <w:pPr>
        <w:ind w:left="2880" w:hanging="360"/>
      </w:pPr>
      <w:rPr>
        <w:rFonts w:ascii="Symbol" w:hAnsi="Symbol" w:hint="default"/>
      </w:rPr>
    </w:lvl>
    <w:lvl w:ilvl="4" w:tplc="78805E5A">
      <w:start w:val="1"/>
      <w:numFmt w:val="bullet"/>
      <w:lvlText w:val="o"/>
      <w:lvlJc w:val="left"/>
      <w:pPr>
        <w:ind w:left="3600" w:hanging="360"/>
      </w:pPr>
      <w:rPr>
        <w:rFonts w:ascii="Courier New" w:hAnsi="Courier New" w:hint="default"/>
      </w:rPr>
    </w:lvl>
    <w:lvl w:ilvl="5" w:tplc="340AB8F2">
      <w:start w:val="1"/>
      <w:numFmt w:val="bullet"/>
      <w:lvlText w:val=""/>
      <w:lvlJc w:val="left"/>
      <w:pPr>
        <w:ind w:left="4320" w:hanging="360"/>
      </w:pPr>
      <w:rPr>
        <w:rFonts w:ascii="Wingdings" w:hAnsi="Wingdings" w:hint="default"/>
      </w:rPr>
    </w:lvl>
    <w:lvl w:ilvl="6" w:tplc="A930437C">
      <w:start w:val="1"/>
      <w:numFmt w:val="bullet"/>
      <w:lvlText w:val=""/>
      <w:lvlJc w:val="left"/>
      <w:pPr>
        <w:ind w:left="5040" w:hanging="360"/>
      </w:pPr>
      <w:rPr>
        <w:rFonts w:ascii="Symbol" w:hAnsi="Symbol" w:hint="default"/>
      </w:rPr>
    </w:lvl>
    <w:lvl w:ilvl="7" w:tplc="7ADA99FE">
      <w:start w:val="1"/>
      <w:numFmt w:val="bullet"/>
      <w:lvlText w:val="o"/>
      <w:lvlJc w:val="left"/>
      <w:pPr>
        <w:ind w:left="5760" w:hanging="360"/>
      </w:pPr>
      <w:rPr>
        <w:rFonts w:ascii="Courier New" w:hAnsi="Courier New" w:hint="default"/>
      </w:rPr>
    </w:lvl>
    <w:lvl w:ilvl="8" w:tplc="2650251E">
      <w:start w:val="1"/>
      <w:numFmt w:val="bullet"/>
      <w:lvlText w:val=""/>
      <w:lvlJc w:val="left"/>
      <w:pPr>
        <w:ind w:left="6480" w:hanging="360"/>
      </w:pPr>
      <w:rPr>
        <w:rFonts w:ascii="Wingdings" w:hAnsi="Wingdings" w:hint="default"/>
      </w:rPr>
    </w:lvl>
  </w:abstractNum>
  <w:num w:numId="1" w16cid:durableId="1719355649">
    <w:abstractNumId w:val="34"/>
  </w:num>
  <w:num w:numId="2" w16cid:durableId="1350717537">
    <w:abstractNumId w:val="21"/>
  </w:num>
  <w:num w:numId="3" w16cid:durableId="1020856033">
    <w:abstractNumId w:val="15"/>
  </w:num>
  <w:num w:numId="4" w16cid:durableId="271865723">
    <w:abstractNumId w:val="20"/>
  </w:num>
  <w:num w:numId="5" w16cid:durableId="1126006224">
    <w:abstractNumId w:val="28"/>
  </w:num>
  <w:num w:numId="6" w16cid:durableId="677737318">
    <w:abstractNumId w:val="27"/>
  </w:num>
  <w:num w:numId="7" w16cid:durableId="1336299049">
    <w:abstractNumId w:val="32"/>
  </w:num>
  <w:num w:numId="8" w16cid:durableId="511533162">
    <w:abstractNumId w:val="9"/>
  </w:num>
  <w:num w:numId="9" w16cid:durableId="1746225550">
    <w:abstractNumId w:val="7"/>
  </w:num>
  <w:num w:numId="10" w16cid:durableId="1373922710">
    <w:abstractNumId w:val="19"/>
  </w:num>
  <w:num w:numId="11" w16cid:durableId="29452242">
    <w:abstractNumId w:val="4"/>
  </w:num>
  <w:num w:numId="12" w16cid:durableId="1042172820">
    <w:abstractNumId w:val="6"/>
  </w:num>
  <w:num w:numId="13" w16cid:durableId="433520875">
    <w:abstractNumId w:val="33"/>
  </w:num>
  <w:num w:numId="14" w16cid:durableId="810096175">
    <w:abstractNumId w:val="12"/>
  </w:num>
  <w:num w:numId="15" w16cid:durableId="2073498487">
    <w:abstractNumId w:val="1"/>
  </w:num>
  <w:num w:numId="16" w16cid:durableId="144130090">
    <w:abstractNumId w:val="18"/>
  </w:num>
  <w:num w:numId="17" w16cid:durableId="1702242469">
    <w:abstractNumId w:val="2"/>
  </w:num>
  <w:num w:numId="18" w16cid:durableId="852651621">
    <w:abstractNumId w:val="14"/>
  </w:num>
  <w:num w:numId="19" w16cid:durableId="1131628726">
    <w:abstractNumId w:val="22"/>
  </w:num>
  <w:num w:numId="20" w16cid:durableId="883178185">
    <w:abstractNumId w:val="24"/>
  </w:num>
  <w:num w:numId="21" w16cid:durableId="1324969855">
    <w:abstractNumId w:val="16"/>
  </w:num>
  <w:num w:numId="22" w16cid:durableId="18482472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73904789">
    <w:abstractNumId w:val="29"/>
  </w:num>
  <w:num w:numId="24" w16cid:durableId="1594364363">
    <w:abstractNumId w:val="5"/>
  </w:num>
  <w:num w:numId="25" w16cid:durableId="2035839034">
    <w:abstractNumId w:val="10"/>
  </w:num>
  <w:num w:numId="26" w16cid:durableId="193886994">
    <w:abstractNumId w:val="8"/>
  </w:num>
  <w:num w:numId="27" w16cid:durableId="1597515507">
    <w:abstractNumId w:val="11"/>
  </w:num>
  <w:num w:numId="28" w16cid:durableId="1243180352">
    <w:abstractNumId w:val="3"/>
  </w:num>
  <w:num w:numId="29" w16cid:durableId="841894746">
    <w:abstractNumId w:val="13"/>
  </w:num>
  <w:num w:numId="30" w16cid:durableId="773330387">
    <w:abstractNumId w:val="30"/>
  </w:num>
  <w:num w:numId="31" w16cid:durableId="1180898869">
    <w:abstractNumId w:val="26"/>
  </w:num>
  <w:num w:numId="32" w16cid:durableId="1283073818">
    <w:abstractNumId w:val="17"/>
  </w:num>
  <w:num w:numId="33" w16cid:durableId="157310023">
    <w:abstractNumId w:val="31"/>
  </w:num>
  <w:num w:numId="34" w16cid:durableId="493181860">
    <w:abstractNumId w:val="25"/>
  </w:num>
  <w:num w:numId="35" w16cid:durableId="134882720">
    <w:abstractNumId w:val="23"/>
  </w:num>
  <w:num w:numId="36" w16cid:durableId="168832867">
    <w:abstractNumId w:val="29"/>
  </w:num>
  <w:num w:numId="37" w16cid:durableId="1368335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oNotTrackFormatting/>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2E3"/>
    <w:rsid w:val="00001104"/>
    <w:rsid w:val="0000218A"/>
    <w:rsid w:val="000049BF"/>
    <w:rsid w:val="000053A9"/>
    <w:rsid w:val="000053C0"/>
    <w:rsid w:val="000054F1"/>
    <w:rsid w:val="0000712D"/>
    <w:rsid w:val="00010DF0"/>
    <w:rsid w:val="00011730"/>
    <w:rsid w:val="000147DF"/>
    <w:rsid w:val="00014FE7"/>
    <w:rsid w:val="00015964"/>
    <w:rsid w:val="00020D59"/>
    <w:rsid w:val="000242ED"/>
    <w:rsid w:val="00025A42"/>
    <w:rsid w:val="00026891"/>
    <w:rsid w:val="00036AF3"/>
    <w:rsid w:val="00037818"/>
    <w:rsid w:val="00042532"/>
    <w:rsid w:val="00042C71"/>
    <w:rsid w:val="00052115"/>
    <w:rsid w:val="0005211F"/>
    <w:rsid w:val="00052D21"/>
    <w:rsid w:val="00053888"/>
    <w:rsid w:val="00053A45"/>
    <w:rsid w:val="00053A82"/>
    <w:rsid w:val="00060D73"/>
    <w:rsid w:val="00060EAF"/>
    <w:rsid w:val="00061998"/>
    <w:rsid w:val="000658CD"/>
    <w:rsid w:val="00065B00"/>
    <w:rsid w:val="00066464"/>
    <w:rsid w:val="000730F7"/>
    <w:rsid w:val="000744EC"/>
    <w:rsid w:val="00075AED"/>
    <w:rsid w:val="000771D4"/>
    <w:rsid w:val="000777FD"/>
    <w:rsid w:val="00077B66"/>
    <w:rsid w:val="000812AC"/>
    <w:rsid w:val="000825E0"/>
    <w:rsid w:val="00084A6D"/>
    <w:rsid w:val="00085B28"/>
    <w:rsid w:val="0009366C"/>
    <w:rsid w:val="00093F8C"/>
    <w:rsid w:val="0009541C"/>
    <w:rsid w:val="000961E0"/>
    <w:rsid w:val="00096364"/>
    <w:rsid w:val="000A07D0"/>
    <w:rsid w:val="000A07D9"/>
    <w:rsid w:val="000A2B5A"/>
    <w:rsid w:val="000A3FF5"/>
    <w:rsid w:val="000A4884"/>
    <w:rsid w:val="000A48C7"/>
    <w:rsid w:val="000A6BC0"/>
    <w:rsid w:val="000B3550"/>
    <w:rsid w:val="000B39E6"/>
    <w:rsid w:val="000B411D"/>
    <w:rsid w:val="000B439A"/>
    <w:rsid w:val="000B4503"/>
    <w:rsid w:val="000B6612"/>
    <w:rsid w:val="000B7A15"/>
    <w:rsid w:val="000C0C01"/>
    <w:rsid w:val="000C15B2"/>
    <w:rsid w:val="000C24D1"/>
    <w:rsid w:val="000C4A61"/>
    <w:rsid w:val="000C694F"/>
    <w:rsid w:val="000C6971"/>
    <w:rsid w:val="000C6B7B"/>
    <w:rsid w:val="000C7C8C"/>
    <w:rsid w:val="000D0240"/>
    <w:rsid w:val="000D34E0"/>
    <w:rsid w:val="000D5E3D"/>
    <w:rsid w:val="000D624C"/>
    <w:rsid w:val="000D7EBF"/>
    <w:rsid w:val="000E0BE1"/>
    <w:rsid w:val="000E24A5"/>
    <w:rsid w:val="000E3232"/>
    <w:rsid w:val="000E414B"/>
    <w:rsid w:val="000E51D5"/>
    <w:rsid w:val="000E6287"/>
    <w:rsid w:val="000E6424"/>
    <w:rsid w:val="000E6921"/>
    <w:rsid w:val="000F469F"/>
    <w:rsid w:val="000F4A51"/>
    <w:rsid w:val="000F4EBF"/>
    <w:rsid w:val="000F597C"/>
    <w:rsid w:val="000F5E30"/>
    <w:rsid w:val="000F69B6"/>
    <w:rsid w:val="00104FC4"/>
    <w:rsid w:val="00105305"/>
    <w:rsid w:val="00106632"/>
    <w:rsid w:val="001077CE"/>
    <w:rsid w:val="00107DF6"/>
    <w:rsid w:val="00111AA6"/>
    <w:rsid w:val="00112A3B"/>
    <w:rsid w:val="00113E20"/>
    <w:rsid w:val="00115BA8"/>
    <w:rsid w:val="0011735E"/>
    <w:rsid w:val="00117FFB"/>
    <w:rsid w:val="0012018C"/>
    <w:rsid w:val="00120746"/>
    <w:rsid w:val="001220E3"/>
    <w:rsid w:val="001233DE"/>
    <w:rsid w:val="00123F49"/>
    <w:rsid w:val="0012584B"/>
    <w:rsid w:val="00130448"/>
    <w:rsid w:val="00131CF4"/>
    <w:rsid w:val="00132F47"/>
    <w:rsid w:val="00133A42"/>
    <w:rsid w:val="00134028"/>
    <w:rsid w:val="001379C7"/>
    <w:rsid w:val="00140275"/>
    <w:rsid w:val="00140FFC"/>
    <w:rsid w:val="00141320"/>
    <w:rsid w:val="001427FF"/>
    <w:rsid w:val="00145236"/>
    <w:rsid w:val="00145A36"/>
    <w:rsid w:val="00146552"/>
    <w:rsid w:val="001516CD"/>
    <w:rsid w:val="00162F49"/>
    <w:rsid w:val="001632D1"/>
    <w:rsid w:val="00163CEA"/>
    <w:rsid w:val="00164C2D"/>
    <w:rsid w:val="00164DAC"/>
    <w:rsid w:val="001658E3"/>
    <w:rsid w:val="00166460"/>
    <w:rsid w:val="00167355"/>
    <w:rsid w:val="001712AB"/>
    <w:rsid w:val="00171F09"/>
    <w:rsid w:val="0017228E"/>
    <w:rsid w:val="001749AF"/>
    <w:rsid w:val="00174EC3"/>
    <w:rsid w:val="0017656F"/>
    <w:rsid w:val="0017761E"/>
    <w:rsid w:val="00180C3E"/>
    <w:rsid w:val="00181908"/>
    <w:rsid w:val="0018212F"/>
    <w:rsid w:val="00185B26"/>
    <w:rsid w:val="00186188"/>
    <w:rsid w:val="00186A0A"/>
    <w:rsid w:val="00187358"/>
    <w:rsid w:val="001901FF"/>
    <w:rsid w:val="001911C1"/>
    <w:rsid w:val="00191259"/>
    <w:rsid w:val="00191811"/>
    <w:rsid w:val="0019242E"/>
    <w:rsid w:val="00192696"/>
    <w:rsid w:val="001A1140"/>
    <w:rsid w:val="001A4C50"/>
    <w:rsid w:val="001A75C9"/>
    <w:rsid w:val="001A7B14"/>
    <w:rsid w:val="001B1512"/>
    <w:rsid w:val="001B1E6C"/>
    <w:rsid w:val="001B29BB"/>
    <w:rsid w:val="001B29C4"/>
    <w:rsid w:val="001B7802"/>
    <w:rsid w:val="001B79B5"/>
    <w:rsid w:val="001C1F10"/>
    <w:rsid w:val="001C45DC"/>
    <w:rsid w:val="001D1030"/>
    <w:rsid w:val="001D1E95"/>
    <w:rsid w:val="001D205F"/>
    <w:rsid w:val="001D30A7"/>
    <w:rsid w:val="001D4202"/>
    <w:rsid w:val="001D47B1"/>
    <w:rsid w:val="001D4B6D"/>
    <w:rsid w:val="001D6720"/>
    <w:rsid w:val="001D756E"/>
    <w:rsid w:val="001E1393"/>
    <w:rsid w:val="001E2B36"/>
    <w:rsid w:val="001E2D07"/>
    <w:rsid w:val="001E3504"/>
    <w:rsid w:val="001E4DDF"/>
    <w:rsid w:val="001E51BD"/>
    <w:rsid w:val="001E61BB"/>
    <w:rsid w:val="001E61D7"/>
    <w:rsid w:val="001E6D10"/>
    <w:rsid w:val="001F10D2"/>
    <w:rsid w:val="001F27D0"/>
    <w:rsid w:val="001F44A7"/>
    <w:rsid w:val="001F52AF"/>
    <w:rsid w:val="002006E7"/>
    <w:rsid w:val="00201BDC"/>
    <w:rsid w:val="002024DD"/>
    <w:rsid w:val="002034DD"/>
    <w:rsid w:val="0020607C"/>
    <w:rsid w:val="00207E1B"/>
    <w:rsid w:val="00207FDA"/>
    <w:rsid w:val="00211058"/>
    <w:rsid w:val="00211317"/>
    <w:rsid w:val="00212AAC"/>
    <w:rsid w:val="002159B0"/>
    <w:rsid w:val="00215A76"/>
    <w:rsid w:val="0022105A"/>
    <w:rsid w:val="00221161"/>
    <w:rsid w:val="0022287B"/>
    <w:rsid w:val="00224CAC"/>
    <w:rsid w:val="002252A3"/>
    <w:rsid w:val="00226B08"/>
    <w:rsid w:val="00230FC2"/>
    <w:rsid w:val="002323E4"/>
    <w:rsid w:val="002340AD"/>
    <w:rsid w:val="00235156"/>
    <w:rsid w:val="00235FB2"/>
    <w:rsid w:val="0023741C"/>
    <w:rsid w:val="002423BF"/>
    <w:rsid w:val="002435E0"/>
    <w:rsid w:val="002445BD"/>
    <w:rsid w:val="00246513"/>
    <w:rsid w:val="00250B74"/>
    <w:rsid w:val="0025161D"/>
    <w:rsid w:val="002527EC"/>
    <w:rsid w:val="002534B9"/>
    <w:rsid w:val="00255F50"/>
    <w:rsid w:val="00256DC7"/>
    <w:rsid w:val="00257639"/>
    <w:rsid w:val="00260899"/>
    <w:rsid w:val="0026217E"/>
    <w:rsid w:val="00262180"/>
    <w:rsid w:val="00263FF1"/>
    <w:rsid w:val="00266705"/>
    <w:rsid w:val="00267954"/>
    <w:rsid w:val="00270CC5"/>
    <w:rsid w:val="00276823"/>
    <w:rsid w:val="00277C52"/>
    <w:rsid w:val="00281041"/>
    <w:rsid w:val="00283F8F"/>
    <w:rsid w:val="0028446A"/>
    <w:rsid w:val="00286350"/>
    <w:rsid w:val="002867AE"/>
    <w:rsid w:val="00291EEF"/>
    <w:rsid w:val="002921ED"/>
    <w:rsid w:val="002954F7"/>
    <w:rsid w:val="0029559E"/>
    <w:rsid w:val="00296A35"/>
    <w:rsid w:val="002A020D"/>
    <w:rsid w:val="002A05B0"/>
    <w:rsid w:val="002A0663"/>
    <w:rsid w:val="002A1553"/>
    <w:rsid w:val="002A2E1A"/>
    <w:rsid w:val="002A5BCA"/>
    <w:rsid w:val="002A63EA"/>
    <w:rsid w:val="002A7BC2"/>
    <w:rsid w:val="002B1E9B"/>
    <w:rsid w:val="002B2588"/>
    <w:rsid w:val="002B32E7"/>
    <w:rsid w:val="002B3636"/>
    <w:rsid w:val="002B5534"/>
    <w:rsid w:val="002B59E7"/>
    <w:rsid w:val="002C0338"/>
    <w:rsid w:val="002C360A"/>
    <w:rsid w:val="002C54EF"/>
    <w:rsid w:val="002C576A"/>
    <w:rsid w:val="002C703B"/>
    <w:rsid w:val="002C723A"/>
    <w:rsid w:val="002D3ECB"/>
    <w:rsid w:val="002D45A8"/>
    <w:rsid w:val="002D463C"/>
    <w:rsid w:val="002D5EE3"/>
    <w:rsid w:val="002D6E5E"/>
    <w:rsid w:val="002D7CF0"/>
    <w:rsid w:val="002E0399"/>
    <w:rsid w:val="002E06E1"/>
    <w:rsid w:val="002E17EC"/>
    <w:rsid w:val="002E2CDA"/>
    <w:rsid w:val="002E31E5"/>
    <w:rsid w:val="002E34D5"/>
    <w:rsid w:val="002E53DE"/>
    <w:rsid w:val="002E6D2A"/>
    <w:rsid w:val="002F1A68"/>
    <w:rsid w:val="002F2C4A"/>
    <w:rsid w:val="002F6E20"/>
    <w:rsid w:val="002F7B29"/>
    <w:rsid w:val="003034D6"/>
    <w:rsid w:val="0030437E"/>
    <w:rsid w:val="00305F99"/>
    <w:rsid w:val="003060C0"/>
    <w:rsid w:val="00307F11"/>
    <w:rsid w:val="00312AFB"/>
    <w:rsid w:val="00314DC1"/>
    <w:rsid w:val="00315182"/>
    <w:rsid w:val="0031643E"/>
    <w:rsid w:val="00316B1D"/>
    <w:rsid w:val="0032043D"/>
    <w:rsid w:val="0032063B"/>
    <w:rsid w:val="0032207D"/>
    <w:rsid w:val="0032211D"/>
    <w:rsid w:val="003227C7"/>
    <w:rsid w:val="00335583"/>
    <w:rsid w:val="003416AF"/>
    <w:rsid w:val="0034198B"/>
    <w:rsid w:val="00342783"/>
    <w:rsid w:val="003502F4"/>
    <w:rsid w:val="00353411"/>
    <w:rsid w:val="0035351D"/>
    <w:rsid w:val="003535E2"/>
    <w:rsid w:val="003553AB"/>
    <w:rsid w:val="00355ABB"/>
    <w:rsid w:val="00355C04"/>
    <w:rsid w:val="00355D00"/>
    <w:rsid w:val="00356296"/>
    <w:rsid w:val="00356D32"/>
    <w:rsid w:val="003602B1"/>
    <w:rsid w:val="0036213C"/>
    <w:rsid w:val="00362DEC"/>
    <w:rsid w:val="00364821"/>
    <w:rsid w:val="00365F17"/>
    <w:rsid w:val="00366870"/>
    <w:rsid w:val="003669CE"/>
    <w:rsid w:val="00371ED7"/>
    <w:rsid w:val="00373E27"/>
    <w:rsid w:val="003749C1"/>
    <w:rsid w:val="0038220F"/>
    <w:rsid w:val="003842AB"/>
    <w:rsid w:val="003846DD"/>
    <w:rsid w:val="003850E1"/>
    <w:rsid w:val="00385582"/>
    <w:rsid w:val="00386F2D"/>
    <w:rsid w:val="00390AE2"/>
    <w:rsid w:val="00390CD0"/>
    <w:rsid w:val="00390F83"/>
    <w:rsid w:val="00394785"/>
    <w:rsid w:val="0039666B"/>
    <w:rsid w:val="00397059"/>
    <w:rsid w:val="003974B7"/>
    <w:rsid w:val="003A0756"/>
    <w:rsid w:val="003A3C9E"/>
    <w:rsid w:val="003A500A"/>
    <w:rsid w:val="003A59F3"/>
    <w:rsid w:val="003A5A43"/>
    <w:rsid w:val="003B0270"/>
    <w:rsid w:val="003B1406"/>
    <w:rsid w:val="003B146E"/>
    <w:rsid w:val="003B22C1"/>
    <w:rsid w:val="003B26F5"/>
    <w:rsid w:val="003B31AC"/>
    <w:rsid w:val="003B57FC"/>
    <w:rsid w:val="003B60FA"/>
    <w:rsid w:val="003B65CB"/>
    <w:rsid w:val="003B7610"/>
    <w:rsid w:val="003C02D7"/>
    <w:rsid w:val="003C0661"/>
    <w:rsid w:val="003C1AC0"/>
    <w:rsid w:val="003C256E"/>
    <w:rsid w:val="003C4350"/>
    <w:rsid w:val="003C52C5"/>
    <w:rsid w:val="003C6800"/>
    <w:rsid w:val="003C75D6"/>
    <w:rsid w:val="003D5647"/>
    <w:rsid w:val="003D594E"/>
    <w:rsid w:val="003D736D"/>
    <w:rsid w:val="003E42CC"/>
    <w:rsid w:val="003E530B"/>
    <w:rsid w:val="003E63E4"/>
    <w:rsid w:val="003E7846"/>
    <w:rsid w:val="003F0345"/>
    <w:rsid w:val="003F10FE"/>
    <w:rsid w:val="003F1BCE"/>
    <w:rsid w:val="003F2FBA"/>
    <w:rsid w:val="003F4E0E"/>
    <w:rsid w:val="00401824"/>
    <w:rsid w:val="00402A5A"/>
    <w:rsid w:val="00403DF6"/>
    <w:rsid w:val="00405226"/>
    <w:rsid w:val="004060A9"/>
    <w:rsid w:val="00410B22"/>
    <w:rsid w:val="0041360B"/>
    <w:rsid w:val="00413D97"/>
    <w:rsid w:val="00414558"/>
    <w:rsid w:val="00414BFF"/>
    <w:rsid w:val="00416D23"/>
    <w:rsid w:val="00416D5F"/>
    <w:rsid w:val="00417AA0"/>
    <w:rsid w:val="004224D3"/>
    <w:rsid w:val="004232EF"/>
    <w:rsid w:val="0042532E"/>
    <w:rsid w:val="00425C0A"/>
    <w:rsid w:val="00425DC7"/>
    <w:rsid w:val="0043036B"/>
    <w:rsid w:val="00434670"/>
    <w:rsid w:val="00434A79"/>
    <w:rsid w:val="00440F3F"/>
    <w:rsid w:val="00441430"/>
    <w:rsid w:val="0044301A"/>
    <w:rsid w:val="004444FC"/>
    <w:rsid w:val="0044480E"/>
    <w:rsid w:val="004474C2"/>
    <w:rsid w:val="004500F5"/>
    <w:rsid w:val="004514C4"/>
    <w:rsid w:val="0045178D"/>
    <w:rsid w:val="00453205"/>
    <w:rsid w:val="00454CBE"/>
    <w:rsid w:val="0045540A"/>
    <w:rsid w:val="004556BE"/>
    <w:rsid w:val="004559A6"/>
    <w:rsid w:val="00457211"/>
    <w:rsid w:val="0045754F"/>
    <w:rsid w:val="00460BF0"/>
    <w:rsid w:val="004618CE"/>
    <w:rsid w:val="00462815"/>
    <w:rsid w:val="00465B9D"/>
    <w:rsid w:val="00466195"/>
    <w:rsid w:val="00467E2A"/>
    <w:rsid w:val="00470EEF"/>
    <w:rsid w:val="0047149D"/>
    <w:rsid w:val="004715B5"/>
    <w:rsid w:val="00471D56"/>
    <w:rsid w:val="00471EB5"/>
    <w:rsid w:val="004728A4"/>
    <w:rsid w:val="00473798"/>
    <w:rsid w:val="0047621D"/>
    <w:rsid w:val="00477660"/>
    <w:rsid w:val="00482BD8"/>
    <w:rsid w:val="004842DB"/>
    <w:rsid w:val="00484432"/>
    <w:rsid w:val="004846F4"/>
    <w:rsid w:val="00484905"/>
    <w:rsid w:val="00485DB4"/>
    <w:rsid w:val="0048791D"/>
    <w:rsid w:val="00490F8D"/>
    <w:rsid w:val="00493943"/>
    <w:rsid w:val="004953D3"/>
    <w:rsid w:val="00496811"/>
    <w:rsid w:val="00497D86"/>
    <w:rsid w:val="004A061D"/>
    <w:rsid w:val="004A0A39"/>
    <w:rsid w:val="004A1653"/>
    <w:rsid w:val="004A1FDC"/>
    <w:rsid w:val="004A4595"/>
    <w:rsid w:val="004A46DD"/>
    <w:rsid w:val="004A4AF9"/>
    <w:rsid w:val="004A5B8B"/>
    <w:rsid w:val="004B2CDD"/>
    <w:rsid w:val="004B5E76"/>
    <w:rsid w:val="004B63EA"/>
    <w:rsid w:val="004B7681"/>
    <w:rsid w:val="004C16CA"/>
    <w:rsid w:val="004C1CB7"/>
    <w:rsid w:val="004C5D2D"/>
    <w:rsid w:val="004C5F5B"/>
    <w:rsid w:val="004C722C"/>
    <w:rsid w:val="004C7B2C"/>
    <w:rsid w:val="004D455B"/>
    <w:rsid w:val="004D4A55"/>
    <w:rsid w:val="004D5BC3"/>
    <w:rsid w:val="004D787F"/>
    <w:rsid w:val="004E0EAB"/>
    <w:rsid w:val="004E138F"/>
    <w:rsid w:val="004E205B"/>
    <w:rsid w:val="004E32DA"/>
    <w:rsid w:val="004E34D3"/>
    <w:rsid w:val="004E6145"/>
    <w:rsid w:val="004F241F"/>
    <w:rsid w:val="004F4656"/>
    <w:rsid w:val="004F5BE4"/>
    <w:rsid w:val="004F719D"/>
    <w:rsid w:val="004F7AD1"/>
    <w:rsid w:val="005029AF"/>
    <w:rsid w:val="00502FF1"/>
    <w:rsid w:val="00505479"/>
    <w:rsid w:val="00506E0B"/>
    <w:rsid w:val="00510C76"/>
    <w:rsid w:val="00511D10"/>
    <w:rsid w:val="00511E8D"/>
    <w:rsid w:val="00512565"/>
    <w:rsid w:val="00512B92"/>
    <w:rsid w:val="005131C7"/>
    <w:rsid w:val="00520EEE"/>
    <w:rsid w:val="00522DEC"/>
    <w:rsid w:val="00524687"/>
    <w:rsid w:val="00525329"/>
    <w:rsid w:val="00526199"/>
    <w:rsid w:val="00527031"/>
    <w:rsid w:val="00527D53"/>
    <w:rsid w:val="00531652"/>
    <w:rsid w:val="0053223F"/>
    <w:rsid w:val="00534B08"/>
    <w:rsid w:val="00536155"/>
    <w:rsid w:val="0053674F"/>
    <w:rsid w:val="00537275"/>
    <w:rsid w:val="00537C8B"/>
    <w:rsid w:val="005400A6"/>
    <w:rsid w:val="00543848"/>
    <w:rsid w:val="00543B5A"/>
    <w:rsid w:val="00545196"/>
    <w:rsid w:val="00546347"/>
    <w:rsid w:val="00546AEC"/>
    <w:rsid w:val="0055096F"/>
    <w:rsid w:val="00551159"/>
    <w:rsid w:val="00551475"/>
    <w:rsid w:val="00551A9C"/>
    <w:rsid w:val="00551DDB"/>
    <w:rsid w:val="0055321E"/>
    <w:rsid w:val="00555358"/>
    <w:rsid w:val="00556775"/>
    <w:rsid w:val="0056081F"/>
    <w:rsid w:val="00560CA8"/>
    <w:rsid w:val="00561151"/>
    <w:rsid w:val="00564797"/>
    <w:rsid w:val="00565734"/>
    <w:rsid w:val="00566F25"/>
    <w:rsid w:val="00570A68"/>
    <w:rsid w:val="00570F2A"/>
    <w:rsid w:val="00572263"/>
    <w:rsid w:val="005741CA"/>
    <w:rsid w:val="005766ED"/>
    <w:rsid w:val="00577EF2"/>
    <w:rsid w:val="005821E7"/>
    <w:rsid w:val="005825F4"/>
    <w:rsid w:val="00582873"/>
    <w:rsid w:val="0058307A"/>
    <w:rsid w:val="00583A72"/>
    <w:rsid w:val="00587966"/>
    <w:rsid w:val="00587ED7"/>
    <w:rsid w:val="00587F93"/>
    <w:rsid w:val="0059046B"/>
    <w:rsid w:val="00592E08"/>
    <w:rsid w:val="00594C1A"/>
    <w:rsid w:val="005950CF"/>
    <w:rsid w:val="00597063"/>
    <w:rsid w:val="005A496F"/>
    <w:rsid w:val="005B0DF5"/>
    <w:rsid w:val="005B2149"/>
    <w:rsid w:val="005B281E"/>
    <w:rsid w:val="005B2B35"/>
    <w:rsid w:val="005B56D9"/>
    <w:rsid w:val="005B68B7"/>
    <w:rsid w:val="005B7CB7"/>
    <w:rsid w:val="005C07EC"/>
    <w:rsid w:val="005C0C00"/>
    <w:rsid w:val="005C4ED4"/>
    <w:rsid w:val="005C4F4C"/>
    <w:rsid w:val="005C5539"/>
    <w:rsid w:val="005C5593"/>
    <w:rsid w:val="005C5C90"/>
    <w:rsid w:val="005C65C3"/>
    <w:rsid w:val="005C7551"/>
    <w:rsid w:val="005D0220"/>
    <w:rsid w:val="005D11E1"/>
    <w:rsid w:val="005D28D3"/>
    <w:rsid w:val="005D40EF"/>
    <w:rsid w:val="005D5340"/>
    <w:rsid w:val="005D6B58"/>
    <w:rsid w:val="005E036E"/>
    <w:rsid w:val="005E0596"/>
    <w:rsid w:val="005E11B4"/>
    <w:rsid w:val="005E17D2"/>
    <w:rsid w:val="005E20BF"/>
    <w:rsid w:val="005E23C8"/>
    <w:rsid w:val="005E65C8"/>
    <w:rsid w:val="005E6A94"/>
    <w:rsid w:val="005E6ADA"/>
    <w:rsid w:val="005E74C9"/>
    <w:rsid w:val="005E77A0"/>
    <w:rsid w:val="005F01E2"/>
    <w:rsid w:val="005F1EF6"/>
    <w:rsid w:val="005F1F4F"/>
    <w:rsid w:val="005F38EB"/>
    <w:rsid w:val="005F3A8D"/>
    <w:rsid w:val="005F3E6F"/>
    <w:rsid w:val="005F4289"/>
    <w:rsid w:val="005F4FC3"/>
    <w:rsid w:val="00602304"/>
    <w:rsid w:val="00602EDF"/>
    <w:rsid w:val="006034C1"/>
    <w:rsid w:val="00604DDD"/>
    <w:rsid w:val="0061276A"/>
    <w:rsid w:val="0061306A"/>
    <w:rsid w:val="00613071"/>
    <w:rsid w:val="00613DC8"/>
    <w:rsid w:val="0061618D"/>
    <w:rsid w:val="0061644B"/>
    <w:rsid w:val="006175C3"/>
    <w:rsid w:val="00620984"/>
    <w:rsid w:val="00621664"/>
    <w:rsid w:val="00624436"/>
    <w:rsid w:val="00627636"/>
    <w:rsid w:val="006305D2"/>
    <w:rsid w:val="00630823"/>
    <w:rsid w:val="00633257"/>
    <w:rsid w:val="00634154"/>
    <w:rsid w:val="00634833"/>
    <w:rsid w:val="00634F25"/>
    <w:rsid w:val="006350F6"/>
    <w:rsid w:val="0063609B"/>
    <w:rsid w:val="006363A7"/>
    <w:rsid w:val="0063659D"/>
    <w:rsid w:val="00637BD1"/>
    <w:rsid w:val="00641BE2"/>
    <w:rsid w:val="0064294B"/>
    <w:rsid w:val="00644EDA"/>
    <w:rsid w:val="006468A3"/>
    <w:rsid w:val="00647651"/>
    <w:rsid w:val="006519C4"/>
    <w:rsid w:val="0065281E"/>
    <w:rsid w:val="00652E0B"/>
    <w:rsid w:val="00653485"/>
    <w:rsid w:val="00653EB7"/>
    <w:rsid w:val="00654ECF"/>
    <w:rsid w:val="0065689F"/>
    <w:rsid w:val="00657563"/>
    <w:rsid w:val="006602AD"/>
    <w:rsid w:val="00660AC5"/>
    <w:rsid w:val="00664F60"/>
    <w:rsid w:val="0066520F"/>
    <w:rsid w:val="00666D59"/>
    <w:rsid w:val="00666DC8"/>
    <w:rsid w:val="00667AE1"/>
    <w:rsid w:val="00672449"/>
    <w:rsid w:val="00672A86"/>
    <w:rsid w:val="00673374"/>
    <w:rsid w:val="0067340B"/>
    <w:rsid w:val="00674EDC"/>
    <w:rsid w:val="00677ED4"/>
    <w:rsid w:val="006800EF"/>
    <w:rsid w:val="00682D4D"/>
    <w:rsid w:val="006874AF"/>
    <w:rsid w:val="0069109B"/>
    <w:rsid w:val="00691767"/>
    <w:rsid w:val="00691F38"/>
    <w:rsid w:val="006975BB"/>
    <w:rsid w:val="006A0CA6"/>
    <w:rsid w:val="006A1041"/>
    <w:rsid w:val="006A2974"/>
    <w:rsid w:val="006A5708"/>
    <w:rsid w:val="006B01ED"/>
    <w:rsid w:val="006B0B32"/>
    <w:rsid w:val="006B2DF8"/>
    <w:rsid w:val="006B38CD"/>
    <w:rsid w:val="006B496C"/>
    <w:rsid w:val="006B6883"/>
    <w:rsid w:val="006B7384"/>
    <w:rsid w:val="006B7B06"/>
    <w:rsid w:val="006C1BC1"/>
    <w:rsid w:val="006C37E3"/>
    <w:rsid w:val="006C55AC"/>
    <w:rsid w:val="006C7C66"/>
    <w:rsid w:val="006D0876"/>
    <w:rsid w:val="006D0D44"/>
    <w:rsid w:val="006D3083"/>
    <w:rsid w:val="006D5654"/>
    <w:rsid w:val="006E034B"/>
    <w:rsid w:val="006E2DD3"/>
    <w:rsid w:val="006E6FED"/>
    <w:rsid w:val="006E7AFB"/>
    <w:rsid w:val="006F2645"/>
    <w:rsid w:val="006F2F2A"/>
    <w:rsid w:val="006F376F"/>
    <w:rsid w:val="00700FB9"/>
    <w:rsid w:val="00701721"/>
    <w:rsid w:val="00701938"/>
    <w:rsid w:val="0070205A"/>
    <w:rsid w:val="007021C1"/>
    <w:rsid w:val="0070246B"/>
    <w:rsid w:val="007044CD"/>
    <w:rsid w:val="00706C8F"/>
    <w:rsid w:val="0070759F"/>
    <w:rsid w:val="007079A3"/>
    <w:rsid w:val="00711323"/>
    <w:rsid w:val="00712D89"/>
    <w:rsid w:val="007149DB"/>
    <w:rsid w:val="00715DCB"/>
    <w:rsid w:val="00716000"/>
    <w:rsid w:val="00716740"/>
    <w:rsid w:val="007217CA"/>
    <w:rsid w:val="00721E09"/>
    <w:rsid w:val="00723B1B"/>
    <w:rsid w:val="00725190"/>
    <w:rsid w:val="00725C8C"/>
    <w:rsid w:val="007264DE"/>
    <w:rsid w:val="00730555"/>
    <w:rsid w:val="0073105C"/>
    <w:rsid w:val="00731F2A"/>
    <w:rsid w:val="00732525"/>
    <w:rsid w:val="00735389"/>
    <w:rsid w:val="00736DD9"/>
    <w:rsid w:val="0074046F"/>
    <w:rsid w:val="00742634"/>
    <w:rsid w:val="00742C3A"/>
    <w:rsid w:val="00746935"/>
    <w:rsid w:val="00746D08"/>
    <w:rsid w:val="00746E00"/>
    <w:rsid w:val="007473A8"/>
    <w:rsid w:val="007502A1"/>
    <w:rsid w:val="0075379B"/>
    <w:rsid w:val="00754AE4"/>
    <w:rsid w:val="00754CD2"/>
    <w:rsid w:val="00754E5E"/>
    <w:rsid w:val="007554DE"/>
    <w:rsid w:val="00756AD8"/>
    <w:rsid w:val="00757263"/>
    <w:rsid w:val="0075738A"/>
    <w:rsid w:val="0076015D"/>
    <w:rsid w:val="007602B2"/>
    <w:rsid w:val="00760FFB"/>
    <w:rsid w:val="00761896"/>
    <w:rsid w:val="00763B20"/>
    <w:rsid w:val="00766D23"/>
    <w:rsid w:val="007677E1"/>
    <w:rsid w:val="00771678"/>
    <w:rsid w:val="00772031"/>
    <w:rsid w:val="0077486E"/>
    <w:rsid w:val="00781F47"/>
    <w:rsid w:val="00783592"/>
    <w:rsid w:val="00784A8B"/>
    <w:rsid w:val="00786C8D"/>
    <w:rsid w:val="00787410"/>
    <w:rsid w:val="00790083"/>
    <w:rsid w:val="00790B46"/>
    <w:rsid w:val="00790FC4"/>
    <w:rsid w:val="007925A8"/>
    <w:rsid w:val="00795D93"/>
    <w:rsid w:val="007A3156"/>
    <w:rsid w:val="007A506F"/>
    <w:rsid w:val="007A5D9F"/>
    <w:rsid w:val="007A6AA6"/>
    <w:rsid w:val="007A6CF8"/>
    <w:rsid w:val="007A7E86"/>
    <w:rsid w:val="007B0D96"/>
    <w:rsid w:val="007B0E3A"/>
    <w:rsid w:val="007B2827"/>
    <w:rsid w:val="007B29EE"/>
    <w:rsid w:val="007B31B2"/>
    <w:rsid w:val="007B36E2"/>
    <w:rsid w:val="007B3CD2"/>
    <w:rsid w:val="007B45B3"/>
    <w:rsid w:val="007B6B95"/>
    <w:rsid w:val="007B7386"/>
    <w:rsid w:val="007B7FB3"/>
    <w:rsid w:val="007C29D9"/>
    <w:rsid w:val="007C2A44"/>
    <w:rsid w:val="007C3485"/>
    <w:rsid w:val="007C75C9"/>
    <w:rsid w:val="007D03C3"/>
    <w:rsid w:val="007D1290"/>
    <w:rsid w:val="007D46C9"/>
    <w:rsid w:val="007D7275"/>
    <w:rsid w:val="007E02A1"/>
    <w:rsid w:val="007E1252"/>
    <w:rsid w:val="007E1265"/>
    <w:rsid w:val="007E2203"/>
    <w:rsid w:val="007E2248"/>
    <w:rsid w:val="007E263E"/>
    <w:rsid w:val="007E3930"/>
    <w:rsid w:val="007E721A"/>
    <w:rsid w:val="007F0436"/>
    <w:rsid w:val="007F0657"/>
    <w:rsid w:val="007F13E8"/>
    <w:rsid w:val="007F1591"/>
    <w:rsid w:val="007F1AB9"/>
    <w:rsid w:val="007F2583"/>
    <w:rsid w:val="007F3C3C"/>
    <w:rsid w:val="007F4D7E"/>
    <w:rsid w:val="007F7E87"/>
    <w:rsid w:val="00801767"/>
    <w:rsid w:val="00801BC8"/>
    <w:rsid w:val="008031D2"/>
    <w:rsid w:val="00805AC2"/>
    <w:rsid w:val="00810815"/>
    <w:rsid w:val="00812058"/>
    <w:rsid w:val="00814CEB"/>
    <w:rsid w:val="00815F85"/>
    <w:rsid w:val="008166DB"/>
    <w:rsid w:val="00816C1A"/>
    <w:rsid w:val="008174F2"/>
    <w:rsid w:val="00820E0D"/>
    <w:rsid w:val="0082107F"/>
    <w:rsid w:val="0082326D"/>
    <w:rsid w:val="00825B6C"/>
    <w:rsid w:val="00826AA0"/>
    <w:rsid w:val="008331F4"/>
    <w:rsid w:val="00833236"/>
    <w:rsid w:val="00835029"/>
    <w:rsid w:val="00837D0C"/>
    <w:rsid w:val="008413F4"/>
    <w:rsid w:val="00841ABF"/>
    <w:rsid w:val="00842A17"/>
    <w:rsid w:val="00842F14"/>
    <w:rsid w:val="00843FC0"/>
    <w:rsid w:val="008454CA"/>
    <w:rsid w:val="00845FA5"/>
    <w:rsid w:val="00846C13"/>
    <w:rsid w:val="008535D1"/>
    <w:rsid w:val="008538B9"/>
    <w:rsid w:val="00854ADC"/>
    <w:rsid w:val="00855EC9"/>
    <w:rsid w:val="00857BF1"/>
    <w:rsid w:val="008618BD"/>
    <w:rsid w:val="00862BC3"/>
    <w:rsid w:val="00862CD9"/>
    <w:rsid w:val="00865A36"/>
    <w:rsid w:val="00866E4C"/>
    <w:rsid w:val="0086751E"/>
    <w:rsid w:val="0087056E"/>
    <w:rsid w:val="008742D0"/>
    <w:rsid w:val="008772E8"/>
    <w:rsid w:val="00890008"/>
    <w:rsid w:val="00890FE5"/>
    <w:rsid w:val="00892F8B"/>
    <w:rsid w:val="00894740"/>
    <w:rsid w:val="00895029"/>
    <w:rsid w:val="0089549A"/>
    <w:rsid w:val="008955EB"/>
    <w:rsid w:val="0089711B"/>
    <w:rsid w:val="008A023C"/>
    <w:rsid w:val="008A076D"/>
    <w:rsid w:val="008A20E4"/>
    <w:rsid w:val="008A26B2"/>
    <w:rsid w:val="008A28F8"/>
    <w:rsid w:val="008A29B8"/>
    <w:rsid w:val="008A36AA"/>
    <w:rsid w:val="008A3E5D"/>
    <w:rsid w:val="008A407C"/>
    <w:rsid w:val="008B05C2"/>
    <w:rsid w:val="008B102F"/>
    <w:rsid w:val="008B1078"/>
    <w:rsid w:val="008B1512"/>
    <w:rsid w:val="008B23A0"/>
    <w:rsid w:val="008B38AF"/>
    <w:rsid w:val="008B3920"/>
    <w:rsid w:val="008B5189"/>
    <w:rsid w:val="008B5548"/>
    <w:rsid w:val="008C254D"/>
    <w:rsid w:val="008C3E73"/>
    <w:rsid w:val="008C3F3F"/>
    <w:rsid w:val="008C785D"/>
    <w:rsid w:val="008D0136"/>
    <w:rsid w:val="008D0692"/>
    <w:rsid w:val="008D1053"/>
    <w:rsid w:val="008D33B7"/>
    <w:rsid w:val="008D3639"/>
    <w:rsid w:val="008D4049"/>
    <w:rsid w:val="008D7999"/>
    <w:rsid w:val="008E197D"/>
    <w:rsid w:val="008E2943"/>
    <w:rsid w:val="008E309B"/>
    <w:rsid w:val="008E35A7"/>
    <w:rsid w:val="008E3901"/>
    <w:rsid w:val="008E5AAB"/>
    <w:rsid w:val="008E6E85"/>
    <w:rsid w:val="008E77E1"/>
    <w:rsid w:val="008E7A60"/>
    <w:rsid w:val="008E7CDC"/>
    <w:rsid w:val="008E7ED2"/>
    <w:rsid w:val="008F017C"/>
    <w:rsid w:val="008F0641"/>
    <w:rsid w:val="008F1A19"/>
    <w:rsid w:val="008F2BC4"/>
    <w:rsid w:val="008F361A"/>
    <w:rsid w:val="008F44DE"/>
    <w:rsid w:val="008F4EE0"/>
    <w:rsid w:val="008F5199"/>
    <w:rsid w:val="008F571A"/>
    <w:rsid w:val="008F5993"/>
    <w:rsid w:val="008F72AA"/>
    <w:rsid w:val="008F78B1"/>
    <w:rsid w:val="008F7BCD"/>
    <w:rsid w:val="00902606"/>
    <w:rsid w:val="00902FC8"/>
    <w:rsid w:val="0090305F"/>
    <w:rsid w:val="00905D25"/>
    <w:rsid w:val="009061B7"/>
    <w:rsid w:val="00906E80"/>
    <w:rsid w:val="0090753B"/>
    <w:rsid w:val="009129FE"/>
    <w:rsid w:val="009155BA"/>
    <w:rsid w:val="009157D9"/>
    <w:rsid w:val="009173DC"/>
    <w:rsid w:val="009223E4"/>
    <w:rsid w:val="009240E2"/>
    <w:rsid w:val="00925D66"/>
    <w:rsid w:val="00930A41"/>
    <w:rsid w:val="00932020"/>
    <w:rsid w:val="009330B5"/>
    <w:rsid w:val="00934511"/>
    <w:rsid w:val="0093578A"/>
    <w:rsid w:val="00936B00"/>
    <w:rsid w:val="0094232B"/>
    <w:rsid w:val="00943BA5"/>
    <w:rsid w:val="0094460F"/>
    <w:rsid w:val="00944F23"/>
    <w:rsid w:val="009454C3"/>
    <w:rsid w:val="00946348"/>
    <w:rsid w:val="0094721D"/>
    <w:rsid w:val="00950FD8"/>
    <w:rsid w:val="0095141C"/>
    <w:rsid w:val="00955AD3"/>
    <w:rsid w:val="00955B7E"/>
    <w:rsid w:val="00955BEE"/>
    <w:rsid w:val="00955E44"/>
    <w:rsid w:val="00956F55"/>
    <w:rsid w:val="009616B4"/>
    <w:rsid w:val="009623D8"/>
    <w:rsid w:val="00962AA6"/>
    <w:rsid w:val="00962C6C"/>
    <w:rsid w:val="00964F5A"/>
    <w:rsid w:val="009664FE"/>
    <w:rsid w:val="00966E4B"/>
    <w:rsid w:val="00970392"/>
    <w:rsid w:val="009727BE"/>
    <w:rsid w:val="00972B7E"/>
    <w:rsid w:val="00974B64"/>
    <w:rsid w:val="009766C2"/>
    <w:rsid w:val="009768C8"/>
    <w:rsid w:val="009775D7"/>
    <w:rsid w:val="00981BDE"/>
    <w:rsid w:val="009823BD"/>
    <w:rsid w:val="00982959"/>
    <w:rsid w:val="00983832"/>
    <w:rsid w:val="00984655"/>
    <w:rsid w:val="00984882"/>
    <w:rsid w:val="00984B0B"/>
    <w:rsid w:val="00984F89"/>
    <w:rsid w:val="00985E4A"/>
    <w:rsid w:val="009866AA"/>
    <w:rsid w:val="00986EB2"/>
    <w:rsid w:val="00986F4F"/>
    <w:rsid w:val="00987332"/>
    <w:rsid w:val="0098749E"/>
    <w:rsid w:val="00990498"/>
    <w:rsid w:val="00991661"/>
    <w:rsid w:val="00995074"/>
    <w:rsid w:val="00995BCF"/>
    <w:rsid w:val="0099724F"/>
    <w:rsid w:val="009A2313"/>
    <w:rsid w:val="009A2E2D"/>
    <w:rsid w:val="009A2FD8"/>
    <w:rsid w:val="009A71A5"/>
    <w:rsid w:val="009B00A0"/>
    <w:rsid w:val="009B2EA8"/>
    <w:rsid w:val="009B2F8C"/>
    <w:rsid w:val="009B4CB8"/>
    <w:rsid w:val="009B4D60"/>
    <w:rsid w:val="009B5A0E"/>
    <w:rsid w:val="009B73D1"/>
    <w:rsid w:val="009B7707"/>
    <w:rsid w:val="009B7FD7"/>
    <w:rsid w:val="009C4137"/>
    <w:rsid w:val="009C424C"/>
    <w:rsid w:val="009C4449"/>
    <w:rsid w:val="009C6431"/>
    <w:rsid w:val="009D201C"/>
    <w:rsid w:val="009D24B1"/>
    <w:rsid w:val="009D46C3"/>
    <w:rsid w:val="009D5FB4"/>
    <w:rsid w:val="009D7008"/>
    <w:rsid w:val="009D78A5"/>
    <w:rsid w:val="009E11F5"/>
    <w:rsid w:val="009E4EE3"/>
    <w:rsid w:val="009F0744"/>
    <w:rsid w:val="009F195E"/>
    <w:rsid w:val="009F1D90"/>
    <w:rsid w:val="009F2B73"/>
    <w:rsid w:val="009F39FC"/>
    <w:rsid w:val="009F6410"/>
    <w:rsid w:val="009F65EE"/>
    <w:rsid w:val="009F75AE"/>
    <w:rsid w:val="00A01F30"/>
    <w:rsid w:val="00A027BA"/>
    <w:rsid w:val="00A032B0"/>
    <w:rsid w:val="00A04500"/>
    <w:rsid w:val="00A060D8"/>
    <w:rsid w:val="00A06FD3"/>
    <w:rsid w:val="00A07B94"/>
    <w:rsid w:val="00A11F04"/>
    <w:rsid w:val="00A13E8B"/>
    <w:rsid w:val="00A142DB"/>
    <w:rsid w:val="00A143E3"/>
    <w:rsid w:val="00A14F5F"/>
    <w:rsid w:val="00A17A7E"/>
    <w:rsid w:val="00A214CF"/>
    <w:rsid w:val="00A21820"/>
    <w:rsid w:val="00A21D4A"/>
    <w:rsid w:val="00A2226D"/>
    <w:rsid w:val="00A2383F"/>
    <w:rsid w:val="00A24146"/>
    <w:rsid w:val="00A2414E"/>
    <w:rsid w:val="00A24154"/>
    <w:rsid w:val="00A250B8"/>
    <w:rsid w:val="00A25CD3"/>
    <w:rsid w:val="00A3240D"/>
    <w:rsid w:val="00A3275A"/>
    <w:rsid w:val="00A347A8"/>
    <w:rsid w:val="00A3672B"/>
    <w:rsid w:val="00A37D1C"/>
    <w:rsid w:val="00A37F6C"/>
    <w:rsid w:val="00A40387"/>
    <w:rsid w:val="00A4297E"/>
    <w:rsid w:val="00A42B5E"/>
    <w:rsid w:val="00A44542"/>
    <w:rsid w:val="00A5163F"/>
    <w:rsid w:val="00A55928"/>
    <w:rsid w:val="00A55F80"/>
    <w:rsid w:val="00A56EBC"/>
    <w:rsid w:val="00A5799E"/>
    <w:rsid w:val="00A617CA"/>
    <w:rsid w:val="00A62656"/>
    <w:rsid w:val="00A62DE8"/>
    <w:rsid w:val="00A636E1"/>
    <w:rsid w:val="00A6381A"/>
    <w:rsid w:val="00A66976"/>
    <w:rsid w:val="00A677B2"/>
    <w:rsid w:val="00A70902"/>
    <w:rsid w:val="00A72CE0"/>
    <w:rsid w:val="00A736E7"/>
    <w:rsid w:val="00A77104"/>
    <w:rsid w:val="00A82082"/>
    <w:rsid w:val="00A84E26"/>
    <w:rsid w:val="00A85B30"/>
    <w:rsid w:val="00A85CAD"/>
    <w:rsid w:val="00A861AE"/>
    <w:rsid w:val="00A86360"/>
    <w:rsid w:val="00A87384"/>
    <w:rsid w:val="00A87EFB"/>
    <w:rsid w:val="00A91AF7"/>
    <w:rsid w:val="00A924CB"/>
    <w:rsid w:val="00A953C6"/>
    <w:rsid w:val="00A96010"/>
    <w:rsid w:val="00A97DFC"/>
    <w:rsid w:val="00AA0FAF"/>
    <w:rsid w:val="00AA2453"/>
    <w:rsid w:val="00AA3A1F"/>
    <w:rsid w:val="00AA4ED9"/>
    <w:rsid w:val="00AA5994"/>
    <w:rsid w:val="00AA796E"/>
    <w:rsid w:val="00AA7CC3"/>
    <w:rsid w:val="00AB0E38"/>
    <w:rsid w:val="00AB2511"/>
    <w:rsid w:val="00AB2C05"/>
    <w:rsid w:val="00AB3ED7"/>
    <w:rsid w:val="00AB77C4"/>
    <w:rsid w:val="00AC0792"/>
    <w:rsid w:val="00AC127D"/>
    <w:rsid w:val="00AC23F9"/>
    <w:rsid w:val="00AC390E"/>
    <w:rsid w:val="00AD08CE"/>
    <w:rsid w:val="00AD2D48"/>
    <w:rsid w:val="00AD37D7"/>
    <w:rsid w:val="00AD72A0"/>
    <w:rsid w:val="00AE0064"/>
    <w:rsid w:val="00AE0C30"/>
    <w:rsid w:val="00AE16D6"/>
    <w:rsid w:val="00AE1F0F"/>
    <w:rsid w:val="00AE284E"/>
    <w:rsid w:val="00AE3578"/>
    <w:rsid w:val="00AE5A18"/>
    <w:rsid w:val="00AE60E7"/>
    <w:rsid w:val="00AE64DC"/>
    <w:rsid w:val="00AE65A9"/>
    <w:rsid w:val="00AE77BE"/>
    <w:rsid w:val="00AF2D48"/>
    <w:rsid w:val="00AF2FCC"/>
    <w:rsid w:val="00AF5DE6"/>
    <w:rsid w:val="00AF6022"/>
    <w:rsid w:val="00B0075C"/>
    <w:rsid w:val="00B0146B"/>
    <w:rsid w:val="00B01EEF"/>
    <w:rsid w:val="00B05862"/>
    <w:rsid w:val="00B06066"/>
    <w:rsid w:val="00B106D6"/>
    <w:rsid w:val="00B10C8E"/>
    <w:rsid w:val="00B10FBD"/>
    <w:rsid w:val="00B114C5"/>
    <w:rsid w:val="00B11CA8"/>
    <w:rsid w:val="00B12717"/>
    <w:rsid w:val="00B12E47"/>
    <w:rsid w:val="00B14625"/>
    <w:rsid w:val="00B1518A"/>
    <w:rsid w:val="00B177A9"/>
    <w:rsid w:val="00B17EA2"/>
    <w:rsid w:val="00B2162F"/>
    <w:rsid w:val="00B2182A"/>
    <w:rsid w:val="00B23C18"/>
    <w:rsid w:val="00B24998"/>
    <w:rsid w:val="00B27C30"/>
    <w:rsid w:val="00B31A86"/>
    <w:rsid w:val="00B33638"/>
    <w:rsid w:val="00B3586C"/>
    <w:rsid w:val="00B36960"/>
    <w:rsid w:val="00B37304"/>
    <w:rsid w:val="00B37C09"/>
    <w:rsid w:val="00B37D5F"/>
    <w:rsid w:val="00B4099D"/>
    <w:rsid w:val="00B412C9"/>
    <w:rsid w:val="00B4148A"/>
    <w:rsid w:val="00B41EEA"/>
    <w:rsid w:val="00B428F4"/>
    <w:rsid w:val="00B4439E"/>
    <w:rsid w:val="00B44BD3"/>
    <w:rsid w:val="00B4583B"/>
    <w:rsid w:val="00B46A7E"/>
    <w:rsid w:val="00B46F2F"/>
    <w:rsid w:val="00B47322"/>
    <w:rsid w:val="00B526D0"/>
    <w:rsid w:val="00B5370C"/>
    <w:rsid w:val="00B54EE1"/>
    <w:rsid w:val="00B55447"/>
    <w:rsid w:val="00B55F49"/>
    <w:rsid w:val="00B56C6A"/>
    <w:rsid w:val="00B60B4B"/>
    <w:rsid w:val="00B614FC"/>
    <w:rsid w:val="00B61B68"/>
    <w:rsid w:val="00B6289B"/>
    <w:rsid w:val="00B64AC9"/>
    <w:rsid w:val="00B67A74"/>
    <w:rsid w:val="00B67E50"/>
    <w:rsid w:val="00B67F05"/>
    <w:rsid w:val="00B71942"/>
    <w:rsid w:val="00B7292B"/>
    <w:rsid w:val="00B733E2"/>
    <w:rsid w:val="00B76B5C"/>
    <w:rsid w:val="00B8027F"/>
    <w:rsid w:val="00B84075"/>
    <w:rsid w:val="00B84139"/>
    <w:rsid w:val="00B844CB"/>
    <w:rsid w:val="00B84A2F"/>
    <w:rsid w:val="00B9260F"/>
    <w:rsid w:val="00B93E1F"/>
    <w:rsid w:val="00B94F19"/>
    <w:rsid w:val="00B968DE"/>
    <w:rsid w:val="00B96AD3"/>
    <w:rsid w:val="00B97A37"/>
    <w:rsid w:val="00BA35F6"/>
    <w:rsid w:val="00BA3B2D"/>
    <w:rsid w:val="00BA5234"/>
    <w:rsid w:val="00BA58C7"/>
    <w:rsid w:val="00BA69AB"/>
    <w:rsid w:val="00BB06A9"/>
    <w:rsid w:val="00BB2636"/>
    <w:rsid w:val="00BB3B6B"/>
    <w:rsid w:val="00BB54F4"/>
    <w:rsid w:val="00BC0F4A"/>
    <w:rsid w:val="00BC2975"/>
    <w:rsid w:val="00BC46E3"/>
    <w:rsid w:val="00BC4F09"/>
    <w:rsid w:val="00BC599E"/>
    <w:rsid w:val="00BC6270"/>
    <w:rsid w:val="00BD0AB7"/>
    <w:rsid w:val="00BD1E66"/>
    <w:rsid w:val="00BD4D0C"/>
    <w:rsid w:val="00BE4C57"/>
    <w:rsid w:val="00BE4DA3"/>
    <w:rsid w:val="00BE5A6F"/>
    <w:rsid w:val="00BE5EDB"/>
    <w:rsid w:val="00BE7363"/>
    <w:rsid w:val="00BF0082"/>
    <w:rsid w:val="00BF0545"/>
    <w:rsid w:val="00BF3385"/>
    <w:rsid w:val="00BF4284"/>
    <w:rsid w:val="00BF48E5"/>
    <w:rsid w:val="00C00483"/>
    <w:rsid w:val="00C01A7B"/>
    <w:rsid w:val="00C0202D"/>
    <w:rsid w:val="00C03109"/>
    <w:rsid w:val="00C04F76"/>
    <w:rsid w:val="00C059C9"/>
    <w:rsid w:val="00C05DC7"/>
    <w:rsid w:val="00C06A9F"/>
    <w:rsid w:val="00C06CD6"/>
    <w:rsid w:val="00C13BD2"/>
    <w:rsid w:val="00C14273"/>
    <w:rsid w:val="00C14D76"/>
    <w:rsid w:val="00C15FAF"/>
    <w:rsid w:val="00C17097"/>
    <w:rsid w:val="00C172D8"/>
    <w:rsid w:val="00C17AB6"/>
    <w:rsid w:val="00C17D22"/>
    <w:rsid w:val="00C2114E"/>
    <w:rsid w:val="00C2272E"/>
    <w:rsid w:val="00C251BA"/>
    <w:rsid w:val="00C25531"/>
    <w:rsid w:val="00C26BC9"/>
    <w:rsid w:val="00C27490"/>
    <w:rsid w:val="00C3037E"/>
    <w:rsid w:val="00C30E6C"/>
    <w:rsid w:val="00C30EA5"/>
    <w:rsid w:val="00C33109"/>
    <w:rsid w:val="00C33130"/>
    <w:rsid w:val="00C3439A"/>
    <w:rsid w:val="00C34A6E"/>
    <w:rsid w:val="00C3570A"/>
    <w:rsid w:val="00C378D6"/>
    <w:rsid w:val="00C41784"/>
    <w:rsid w:val="00C42628"/>
    <w:rsid w:val="00C42774"/>
    <w:rsid w:val="00C42B72"/>
    <w:rsid w:val="00C42DDC"/>
    <w:rsid w:val="00C445AE"/>
    <w:rsid w:val="00C46FA6"/>
    <w:rsid w:val="00C47D52"/>
    <w:rsid w:val="00C50A31"/>
    <w:rsid w:val="00C536D3"/>
    <w:rsid w:val="00C550B5"/>
    <w:rsid w:val="00C560E4"/>
    <w:rsid w:val="00C56446"/>
    <w:rsid w:val="00C56630"/>
    <w:rsid w:val="00C572AC"/>
    <w:rsid w:val="00C60BC7"/>
    <w:rsid w:val="00C61C87"/>
    <w:rsid w:val="00C6437E"/>
    <w:rsid w:val="00C65B66"/>
    <w:rsid w:val="00C70453"/>
    <w:rsid w:val="00C70E08"/>
    <w:rsid w:val="00C71031"/>
    <w:rsid w:val="00C71846"/>
    <w:rsid w:val="00C72807"/>
    <w:rsid w:val="00C74E9A"/>
    <w:rsid w:val="00C75AC3"/>
    <w:rsid w:val="00C778D7"/>
    <w:rsid w:val="00C77B96"/>
    <w:rsid w:val="00C77C8E"/>
    <w:rsid w:val="00C802A4"/>
    <w:rsid w:val="00C8231F"/>
    <w:rsid w:val="00C84593"/>
    <w:rsid w:val="00C84BB8"/>
    <w:rsid w:val="00C84CDE"/>
    <w:rsid w:val="00C878CE"/>
    <w:rsid w:val="00C8794A"/>
    <w:rsid w:val="00C92BC0"/>
    <w:rsid w:val="00C9346B"/>
    <w:rsid w:val="00C941A0"/>
    <w:rsid w:val="00C953EE"/>
    <w:rsid w:val="00C9716F"/>
    <w:rsid w:val="00C97645"/>
    <w:rsid w:val="00C97D00"/>
    <w:rsid w:val="00CA039E"/>
    <w:rsid w:val="00CA63F5"/>
    <w:rsid w:val="00CA66B5"/>
    <w:rsid w:val="00CA7379"/>
    <w:rsid w:val="00CB0D29"/>
    <w:rsid w:val="00CB1B30"/>
    <w:rsid w:val="00CB4066"/>
    <w:rsid w:val="00CB47F8"/>
    <w:rsid w:val="00CB5508"/>
    <w:rsid w:val="00CB5925"/>
    <w:rsid w:val="00CC2089"/>
    <w:rsid w:val="00CC2345"/>
    <w:rsid w:val="00CC2CB6"/>
    <w:rsid w:val="00CC2E0C"/>
    <w:rsid w:val="00CC3F64"/>
    <w:rsid w:val="00CC4B71"/>
    <w:rsid w:val="00CC68D6"/>
    <w:rsid w:val="00CC7607"/>
    <w:rsid w:val="00CD1377"/>
    <w:rsid w:val="00CD1477"/>
    <w:rsid w:val="00CD386C"/>
    <w:rsid w:val="00CD3CF0"/>
    <w:rsid w:val="00CD4939"/>
    <w:rsid w:val="00CD52A6"/>
    <w:rsid w:val="00CD70CD"/>
    <w:rsid w:val="00CD728B"/>
    <w:rsid w:val="00CE2741"/>
    <w:rsid w:val="00CE3470"/>
    <w:rsid w:val="00CE4218"/>
    <w:rsid w:val="00CE518C"/>
    <w:rsid w:val="00CE5660"/>
    <w:rsid w:val="00CE68CC"/>
    <w:rsid w:val="00CF097D"/>
    <w:rsid w:val="00CF0F14"/>
    <w:rsid w:val="00CF11A7"/>
    <w:rsid w:val="00CF2C73"/>
    <w:rsid w:val="00CF2D52"/>
    <w:rsid w:val="00CF3793"/>
    <w:rsid w:val="00CF3A85"/>
    <w:rsid w:val="00CF45DB"/>
    <w:rsid w:val="00CF6E6E"/>
    <w:rsid w:val="00D03D64"/>
    <w:rsid w:val="00D046D5"/>
    <w:rsid w:val="00D06659"/>
    <w:rsid w:val="00D07002"/>
    <w:rsid w:val="00D07F82"/>
    <w:rsid w:val="00D11FC6"/>
    <w:rsid w:val="00D135DA"/>
    <w:rsid w:val="00D137DD"/>
    <w:rsid w:val="00D15FBE"/>
    <w:rsid w:val="00D1697B"/>
    <w:rsid w:val="00D17E2A"/>
    <w:rsid w:val="00D208A2"/>
    <w:rsid w:val="00D22C84"/>
    <w:rsid w:val="00D23550"/>
    <w:rsid w:val="00D23B75"/>
    <w:rsid w:val="00D2475F"/>
    <w:rsid w:val="00D24D6D"/>
    <w:rsid w:val="00D25422"/>
    <w:rsid w:val="00D26A98"/>
    <w:rsid w:val="00D334E7"/>
    <w:rsid w:val="00D3383D"/>
    <w:rsid w:val="00D363AE"/>
    <w:rsid w:val="00D4296B"/>
    <w:rsid w:val="00D42A73"/>
    <w:rsid w:val="00D42AA1"/>
    <w:rsid w:val="00D42E69"/>
    <w:rsid w:val="00D433CE"/>
    <w:rsid w:val="00D43794"/>
    <w:rsid w:val="00D450DB"/>
    <w:rsid w:val="00D4795E"/>
    <w:rsid w:val="00D5006C"/>
    <w:rsid w:val="00D502F6"/>
    <w:rsid w:val="00D50FDA"/>
    <w:rsid w:val="00D5192F"/>
    <w:rsid w:val="00D5278A"/>
    <w:rsid w:val="00D5284A"/>
    <w:rsid w:val="00D53CCD"/>
    <w:rsid w:val="00D57B0B"/>
    <w:rsid w:val="00D60319"/>
    <w:rsid w:val="00D63784"/>
    <w:rsid w:val="00D6560F"/>
    <w:rsid w:val="00D70234"/>
    <w:rsid w:val="00D76072"/>
    <w:rsid w:val="00D8008F"/>
    <w:rsid w:val="00D806CC"/>
    <w:rsid w:val="00D81114"/>
    <w:rsid w:val="00D838A7"/>
    <w:rsid w:val="00D83E2B"/>
    <w:rsid w:val="00D85DDC"/>
    <w:rsid w:val="00D8640D"/>
    <w:rsid w:val="00D86C40"/>
    <w:rsid w:val="00D92740"/>
    <w:rsid w:val="00D92B4A"/>
    <w:rsid w:val="00D93BB0"/>
    <w:rsid w:val="00D93D9C"/>
    <w:rsid w:val="00D96491"/>
    <w:rsid w:val="00D96AFC"/>
    <w:rsid w:val="00D97E8E"/>
    <w:rsid w:val="00DA099D"/>
    <w:rsid w:val="00DA09E4"/>
    <w:rsid w:val="00DA36D9"/>
    <w:rsid w:val="00DB0384"/>
    <w:rsid w:val="00DB1EE8"/>
    <w:rsid w:val="00DB2041"/>
    <w:rsid w:val="00DB2812"/>
    <w:rsid w:val="00DB3481"/>
    <w:rsid w:val="00DB364F"/>
    <w:rsid w:val="00DB53E6"/>
    <w:rsid w:val="00DC0309"/>
    <w:rsid w:val="00DC20E1"/>
    <w:rsid w:val="00DC2E93"/>
    <w:rsid w:val="00DC79C1"/>
    <w:rsid w:val="00DD0B60"/>
    <w:rsid w:val="00DD1D14"/>
    <w:rsid w:val="00DD2A49"/>
    <w:rsid w:val="00DD3503"/>
    <w:rsid w:val="00DD4AEB"/>
    <w:rsid w:val="00DD5BDE"/>
    <w:rsid w:val="00DD6ECF"/>
    <w:rsid w:val="00DD7786"/>
    <w:rsid w:val="00DE1DFD"/>
    <w:rsid w:val="00DE2EAB"/>
    <w:rsid w:val="00DE599B"/>
    <w:rsid w:val="00DE7BD7"/>
    <w:rsid w:val="00DF2BA1"/>
    <w:rsid w:val="00DF3374"/>
    <w:rsid w:val="00DF610C"/>
    <w:rsid w:val="00DF6B4A"/>
    <w:rsid w:val="00DF6F64"/>
    <w:rsid w:val="00DF7BA8"/>
    <w:rsid w:val="00E00910"/>
    <w:rsid w:val="00E0142C"/>
    <w:rsid w:val="00E01D7B"/>
    <w:rsid w:val="00E05393"/>
    <w:rsid w:val="00E10408"/>
    <w:rsid w:val="00E106B9"/>
    <w:rsid w:val="00E11CE2"/>
    <w:rsid w:val="00E12103"/>
    <w:rsid w:val="00E12A51"/>
    <w:rsid w:val="00E12B55"/>
    <w:rsid w:val="00E16DD4"/>
    <w:rsid w:val="00E17B67"/>
    <w:rsid w:val="00E20DEE"/>
    <w:rsid w:val="00E225BF"/>
    <w:rsid w:val="00E22AB1"/>
    <w:rsid w:val="00E22DFC"/>
    <w:rsid w:val="00E27381"/>
    <w:rsid w:val="00E300AE"/>
    <w:rsid w:val="00E309F2"/>
    <w:rsid w:val="00E313D7"/>
    <w:rsid w:val="00E31BFC"/>
    <w:rsid w:val="00E31C46"/>
    <w:rsid w:val="00E32947"/>
    <w:rsid w:val="00E34ED9"/>
    <w:rsid w:val="00E351EC"/>
    <w:rsid w:val="00E41B24"/>
    <w:rsid w:val="00E42864"/>
    <w:rsid w:val="00E45854"/>
    <w:rsid w:val="00E45D59"/>
    <w:rsid w:val="00E45FA9"/>
    <w:rsid w:val="00E500A7"/>
    <w:rsid w:val="00E51B8A"/>
    <w:rsid w:val="00E530B5"/>
    <w:rsid w:val="00E533E1"/>
    <w:rsid w:val="00E53445"/>
    <w:rsid w:val="00E61AC3"/>
    <w:rsid w:val="00E61BAF"/>
    <w:rsid w:val="00E63082"/>
    <w:rsid w:val="00E63E80"/>
    <w:rsid w:val="00E64723"/>
    <w:rsid w:val="00E66D71"/>
    <w:rsid w:val="00E67798"/>
    <w:rsid w:val="00E67FE3"/>
    <w:rsid w:val="00E70340"/>
    <w:rsid w:val="00E708A5"/>
    <w:rsid w:val="00E73030"/>
    <w:rsid w:val="00E731FC"/>
    <w:rsid w:val="00E73635"/>
    <w:rsid w:val="00E74139"/>
    <w:rsid w:val="00E7517E"/>
    <w:rsid w:val="00E76814"/>
    <w:rsid w:val="00E810B0"/>
    <w:rsid w:val="00E811CA"/>
    <w:rsid w:val="00E81E21"/>
    <w:rsid w:val="00E831A3"/>
    <w:rsid w:val="00E8368C"/>
    <w:rsid w:val="00E83F4A"/>
    <w:rsid w:val="00E83F57"/>
    <w:rsid w:val="00E84970"/>
    <w:rsid w:val="00E85529"/>
    <w:rsid w:val="00E864E5"/>
    <w:rsid w:val="00E8708E"/>
    <w:rsid w:val="00E87A30"/>
    <w:rsid w:val="00E919FF"/>
    <w:rsid w:val="00E92FAF"/>
    <w:rsid w:val="00E94767"/>
    <w:rsid w:val="00E952E3"/>
    <w:rsid w:val="00E975C8"/>
    <w:rsid w:val="00EA132F"/>
    <w:rsid w:val="00EA1565"/>
    <w:rsid w:val="00EA2DFC"/>
    <w:rsid w:val="00EA4431"/>
    <w:rsid w:val="00EA49A4"/>
    <w:rsid w:val="00EA4E0D"/>
    <w:rsid w:val="00EA5D86"/>
    <w:rsid w:val="00EA639A"/>
    <w:rsid w:val="00EA6BAE"/>
    <w:rsid w:val="00EA6C52"/>
    <w:rsid w:val="00EA75B4"/>
    <w:rsid w:val="00EB00F7"/>
    <w:rsid w:val="00EB44E0"/>
    <w:rsid w:val="00EB605E"/>
    <w:rsid w:val="00EB7654"/>
    <w:rsid w:val="00EB7E37"/>
    <w:rsid w:val="00EC0CAC"/>
    <w:rsid w:val="00EC1799"/>
    <w:rsid w:val="00EC1825"/>
    <w:rsid w:val="00EC1959"/>
    <w:rsid w:val="00EC20E8"/>
    <w:rsid w:val="00EC220D"/>
    <w:rsid w:val="00EC27E0"/>
    <w:rsid w:val="00EC38EF"/>
    <w:rsid w:val="00EC3ACE"/>
    <w:rsid w:val="00EC55CA"/>
    <w:rsid w:val="00EC5C29"/>
    <w:rsid w:val="00EC6D44"/>
    <w:rsid w:val="00EC6E96"/>
    <w:rsid w:val="00EC7481"/>
    <w:rsid w:val="00ED022F"/>
    <w:rsid w:val="00ED110F"/>
    <w:rsid w:val="00ED4E18"/>
    <w:rsid w:val="00ED5A98"/>
    <w:rsid w:val="00ED6066"/>
    <w:rsid w:val="00ED6788"/>
    <w:rsid w:val="00ED6D2A"/>
    <w:rsid w:val="00EE10BA"/>
    <w:rsid w:val="00EE1443"/>
    <w:rsid w:val="00EE1933"/>
    <w:rsid w:val="00EE1BED"/>
    <w:rsid w:val="00EE362F"/>
    <w:rsid w:val="00EE4201"/>
    <w:rsid w:val="00EE4BB3"/>
    <w:rsid w:val="00EE5FE0"/>
    <w:rsid w:val="00EE6CF7"/>
    <w:rsid w:val="00EF281E"/>
    <w:rsid w:val="00EF29C2"/>
    <w:rsid w:val="00EF3636"/>
    <w:rsid w:val="00EF59A3"/>
    <w:rsid w:val="00EF5F25"/>
    <w:rsid w:val="00EF7323"/>
    <w:rsid w:val="00EF7423"/>
    <w:rsid w:val="00F00C1A"/>
    <w:rsid w:val="00F00DC6"/>
    <w:rsid w:val="00F0185F"/>
    <w:rsid w:val="00F030DE"/>
    <w:rsid w:val="00F0541C"/>
    <w:rsid w:val="00F07F55"/>
    <w:rsid w:val="00F14062"/>
    <w:rsid w:val="00F1413B"/>
    <w:rsid w:val="00F141E1"/>
    <w:rsid w:val="00F1499A"/>
    <w:rsid w:val="00F16EB2"/>
    <w:rsid w:val="00F2322F"/>
    <w:rsid w:val="00F241A5"/>
    <w:rsid w:val="00F26E1E"/>
    <w:rsid w:val="00F27028"/>
    <w:rsid w:val="00F27CAF"/>
    <w:rsid w:val="00F30488"/>
    <w:rsid w:val="00F30BE6"/>
    <w:rsid w:val="00F30FFE"/>
    <w:rsid w:val="00F319AD"/>
    <w:rsid w:val="00F3293A"/>
    <w:rsid w:val="00F352CC"/>
    <w:rsid w:val="00F35962"/>
    <w:rsid w:val="00F35B28"/>
    <w:rsid w:val="00F3640F"/>
    <w:rsid w:val="00F36C90"/>
    <w:rsid w:val="00F42B54"/>
    <w:rsid w:val="00F43510"/>
    <w:rsid w:val="00F44745"/>
    <w:rsid w:val="00F45C8F"/>
    <w:rsid w:val="00F45C9A"/>
    <w:rsid w:val="00F50CED"/>
    <w:rsid w:val="00F51F0B"/>
    <w:rsid w:val="00F529C4"/>
    <w:rsid w:val="00F5386E"/>
    <w:rsid w:val="00F5567D"/>
    <w:rsid w:val="00F6075C"/>
    <w:rsid w:val="00F6377C"/>
    <w:rsid w:val="00F65517"/>
    <w:rsid w:val="00F67640"/>
    <w:rsid w:val="00F70A3A"/>
    <w:rsid w:val="00F72239"/>
    <w:rsid w:val="00F72951"/>
    <w:rsid w:val="00F73F1C"/>
    <w:rsid w:val="00F75C20"/>
    <w:rsid w:val="00F75D4C"/>
    <w:rsid w:val="00F80F11"/>
    <w:rsid w:val="00F81AAC"/>
    <w:rsid w:val="00F8458C"/>
    <w:rsid w:val="00F86BB0"/>
    <w:rsid w:val="00F9376F"/>
    <w:rsid w:val="00F94E31"/>
    <w:rsid w:val="00F951D2"/>
    <w:rsid w:val="00FA1D33"/>
    <w:rsid w:val="00FA204E"/>
    <w:rsid w:val="00FA2787"/>
    <w:rsid w:val="00FA2985"/>
    <w:rsid w:val="00FA4DDF"/>
    <w:rsid w:val="00FA7345"/>
    <w:rsid w:val="00FA7B15"/>
    <w:rsid w:val="00FB0CF7"/>
    <w:rsid w:val="00FB170C"/>
    <w:rsid w:val="00FB3351"/>
    <w:rsid w:val="00FB5DE3"/>
    <w:rsid w:val="00FB6842"/>
    <w:rsid w:val="00FB7EF2"/>
    <w:rsid w:val="00FB7FCF"/>
    <w:rsid w:val="00FC0E77"/>
    <w:rsid w:val="00FC1C56"/>
    <w:rsid w:val="00FC4148"/>
    <w:rsid w:val="00FC7218"/>
    <w:rsid w:val="00FC73C1"/>
    <w:rsid w:val="00FD049D"/>
    <w:rsid w:val="00FD139B"/>
    <w:rsid w:val="00FD2706"/>
    <w:rsid w:val="00FD4D50"/>
    <w:rsid w:val="00FE0F4A"/>
    <w:rsid w:val="00FE1217"/>
    <w:rsid w:val="00FE3789"/>
    <w:rsid w:val="00FE38C8"/>
    <w:rsid w:val="00FE46CC"/>
    <w:rsid w:val="00FE6D02"/>
    <w:rsid w:val="00FE74E0"/>
    <w:rsid w:val="00FF177C"/>
    <w:rsid w:val="00FF297F"/>
    <w:rsid w:val="00FF49ED"/>
    <w:rsid w:val="00FF5024"/>
    <w:rsid w:val="00FF51C3"/>
    <w:rsid w:val="1EFFA1B9"/>
    <w:rsid w:val="28E71401"/>
    <w:rsid w:val="3232FCE7"/>
    <w:rsid w:val="3785CA8C"/>
    <w:rsid w:val="3BB566B8"/>
    <w:rsid w:val="69362D15"/>
    <w:rsid w:val="7E0A5B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2F4EE8"/>
  <w15:chartTrackingRefBased/>
  <w15:docId w15:val="{DA41CAB0-56EB-41E3-9212-F3AC181C6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2E3"/>
    <w:pPr>
      <w:spacing w:after="0" w:line="240" w:lineRule="auto"/>
    </w:pPr>
    <w:rPr>
      <w:rFonts w:ascii="Calibri" w:eastAsia="Helvetica Neue" w:hAnsi="Calibri" w:cs="Calibri"/>
      <w:bCs/>
    </w:rPr>
  </w:style>
  <w:style w:type="paragraph" w:styleId="Heading1">
    <w:name w:val="heading 1"/>
    <w:basedOn w:val="Normal"/>
    <w:next w:val="Normal"/>
    <w:link w:val="Heading1Char"/>
    <w:uiPriority w:val="9"/>
    <w:qFormat/>
    <w:rsid w:val="00E952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52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52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52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52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52E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52E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52E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52E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52E3"/>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E952E3"/>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E952E3"/>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E952E3"/>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E952E3"/>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E952E3"/>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E952E3"/>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E952E3"/>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E952E3"/>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E952E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52E3"/>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E952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52E3"/>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E952E3"/>
    <w:pPr>
      <w:spacing w:before="160"/>
      <w:jc w:val="center"/>
    </w:pPr>
    <w:rPr>
      <w:i/>
      <w:iCs/>
      <w:color w:val="404040" w:themeColor="text1" w:themeTint="BF"/>
    </w:rPr>
  </w:style>
  <w:style w:type="character" w:customStyle="1" w:styleId="QuoteChar">
    <w:name w:val="Quote Char"/>
    <w:basedOn w:val="DefaultParagraphFont"/>
    <w:link w:val="Quote"/>
    <w:uiPriority w:val="29"/>
    <w:rsid w:val="00E952E3"/>
    <w:rPr>
      <w:i/>
      <w:iCs/>
      <w:color w:val="404040" w:themeColor="text1" w:themeTint="BF"/>
      <w:lang w:val="en-GB"/>
    </w:rPr>
  </w:style>
  <w:style w:type="paragraph" w:styleId="ListParagraph">
    <w:name w:val="List Paragraph"/>
    <w:basedOn w:val="Normal"/>
    <w:uiPriority w:val="34"/>
    <w:qFormat/>
    <w:rsid w:val="00E952E3"/>
    <w:pPr>
      <w:ind w:left="720"/>
      <w:contextualSpacing/>
    </w:pPr>
  </w:style>
  <w:style w:type="character" w:styleId="IntenseEmphasis">
    <w:name w:val="Intense Emphasis"/>
    <w:basedOn w:val="DefaultParagraphFont"/>
    <w:uiPriority w:val="21"/>
    <w:qFormat/>
    <w:rsid w:val="00E952E3"/>
    <w:rPr>
      <w:i/>
      <w:iCs/>
      <w:color w:val="0F4761" w:themeColor="accent1" w:themeShade="BF"/>
    </w:rPr>
  </w:style>
  <w:style w:type="paragraph" w:styleId="IntenseQuote">
    <w:name w:val="Intense Quote"/>
    <w:basedOn w:val="Normal"/>
    <w:next w:val="Normal"/>
    <w:link w:val="IntenseQuoteChar"/>
    <w:uiPriority w:val="30"/>
    <w:qFormat/>
    <w:rsid w:val="00E952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52E3"/>
    <w:rPr>
      <w:i/>
      <w:iCs/>
      <w:color w:val="0F4761" w:themeColor="accent1" w:themeShade="BF"/>
      <w:lang w:val="en-GB"/>
    </w:rPr>
  </w:style>
  <w:style w:type="character" w:styleId="IntenseReference">
    <w:name w:val="Intense Reference"/>
    <w:basedOn w:val="DefaultParagraphFont"/>
    <w:uiPriority w:val="32"/>
    <w:qFormat/>
    <w:rsid w:val="00E952E3"/>
    <w:rPr>
      <w:b/>
      <w:bCs/>
      <w:smallCaps/>
      <w:color w:val="0F4761" w:themeColor="accent1" w:themeShade="BF"/>
      <w:spacing w:val="5"/>
    </w:rPr>
  </w:style>
  <w:style w:type="character" w:styleId="CommentReference">
    <w:name w:val="annotation reference"/>
    <w:basedOn w:val="DefaultParagraphFont"/>
    <w:uiPriority w:val="99"/>
    <w:semiHidden/>
    <w:unhideWhenUsed/>
    <w:rsid w:val="004846F4"/>
    <w:rPr>
      <w:sz w:val="16"/>
      <w:szCs w:val="16"/>
    </w:rPr>
  </w:style>
  <w:style w:type="paragraph" w:styleId="CommentText">
    <w:name w:val="annotation text"/>
    <w:basedOn w:val="Normal"/>
    <w:link w:val="CommentTextChar"/>
    <w:uiPriority w:val="99"/>
    <w:unhideWhenUsed/>
    <w:rsid w:val="004846F4"/>
    <w:rPr>
      <w:sz w:val="20"/>
      <w:szCs w:val="20"/>
    </w:rPr>
  </w:style>
  <w:style w:type="character" w:customStyle="1" w:styleId="CommentTextChar">
    <w:name w:val="Comment Text Char"/>
    <w:basedOn w:val="DefaultParagraphFont"/>
    <w:link w:val="CommentText"/>
    <w:uiPriority w:val="99"/>
    <w:rsid w:val="004846F4"/>
    <w:rPr>
      <w:rFonts w:ascii="Calibri" w:eastAsia="Helvetica Neue" w:hAnsi="Calibri" w:cs="Calibri"/>
      <w:bCs/>
      <w:sz w:val="20"/>
      <w:szCs w:val="20"/>
      <w:lang w:val="en-GB"/>
    </w:rPr>
  </w:style>
  <w:style w:type="paragraph" w:styleId="CommentSubject">
    <w:name w:val="annotation subject"/>
    <w:basedOn w:val="CommentText"/>
    <w:next w:val="CommentText"/>
    <w:link w:val="CommentSubjectChar"/>
    <w:uiPriority w:val="99"/>
    <w:semiHidden/>
    <w:unhideWhenUsed/>
    <w:rsid w:val="004846F4"/>
    <w:rPr>
      <w:b/>
    </w:rPr>
  </w:style>
  <w:style w:type="character" w:customStyle="1" w:styleId="CommentSubjectChar">
    <w:name w:val="Comment Subject Char"/>
    <w:basedOn w:val="CommentTextChar"/>
    <w:link w:val="CommentSubject"/>
    <w:uiPriority w:val="99"/>
    <w:semiHidden/>
    <w:rsid w:val="004846F4"/>
    <w:rPr>
      <w:rFonts w:ascii="Calibri" w:eastAsia="Helvetica Neue" w:hAnsi="Calibri" w:cs="Calibri"/>
      <w:b/>
      <w:bCs/>
      <w:sz w:val="20"/>
      <w:szCs w:val="20"/>
      <w:lang w:val="en-GB"/>
    </w:rPr>
  </w:style>
  <w:style w:type="character" w:styleId="Hyperlink">
    <w:name w:val="Hyperlink"/>
    <w:basedOn w:val="DefaultParagraphFont"/>
    <w:uiPriority w:val="99"/>
    <w:unhideWhenUsed/>
    <w:rsid w:val="00CE4218"/>
    <w:rPr>
      <w:color w:val="0000FF"/>
      <w:u w:val="single"/>
    </w:rPr>
  </w:style>
  <w:style w:type="character" w:customStyle="1" w:styleId="UnresolvedMention1">
    <w:name w:val="Unresolved Mention1"/>
    <w:basedOn w:val="DefaultParagraphFont"/>
    <w:uiPriority w:val="99"/>
    <w:semiHidden/>
    <w:unhideWhenUsed/>
    <w:rsid w:val="007E02A1"/>
    <w:rPr>
      <w:color w:val="605E5C"/>
      <w:shd w:val="clear" w:color="auto" w:fill="E1DFDD"/>
    </w:rPr>
  </w:style>
  <w:style w:type="paragraph" w:styleId="Revision">
    <w:name w:val="Revision"/>
    <w:hidden/>
    <w:uiPriority w:val="99"/>
    <w:semiHidden/>
    <w:rsid w:val="00CB5925"/>
    <w:pPr>
      <w:spacing w:after="0" w:line="240" w:lineRule="auto"/>
    </w:pPr>
    <w:rPr>
      <w:rFonts w:ascii="Calibri" w:eastAsia="Helvetica Neue" w:hAnsi="Calibri" w:cs="Calibri"/>
      <w:bCs/>
      <w:lang w:val="en-GB"/>
    </w:rPr>
  </w:style>
  <w:style w:type="table" w:styleId="TableGrid">
    <w:name w:val="Table Grid"/>
    <w:basedOn w:val="TableNormal"/>
    <w:uiPriority w:val="39"/>
    <w:rsid w:val="00CB5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26BC9"/>
    <w:rPr>
      <w:color w:val="96607D" w:themeColor="followedHyperlink"/>
      <w:u w:val="single"/>
    </w:rPr>
  </w:style>
  <w:style w:type="paragraph" w:customStyle="1" w:styleId="ColorfulList-Accent11">
    <w:name w:val="Colorful List - Accent 11"/>
    <w:basedOn w:val="Normal"/>
    <w:uiPriority w:val="34"/>
    <w:qFormat/>
    <w:rsid w:val="00AE65A9"/>
    <w:pPr>
      <w:ind w:left="720" w:hanging="425"/>
      <w:contextualSpacing/>
    </w:pPr>
    <w:rPr>
      <w:rFonts w:eastAsia="Calibri" w:cs="Times New Roman"/>
      <w:bCs w:val="0"/>
    </w:rPr>
  </w:style>
  <w:style w:type="paragraph" w:styleId="Header">
    <w:name w:val="header"/>
    <w:basedOn w:val="Normal"/>
    <w:link w:val="HeaderChar"/>
    <w:uiPriority w:val="99"/>
    <w:unhideWhenUsed/>
    <w:rsid w:val="006E2DD3"/>
    <w:pPr>
      <w:tabs>
        <w:tab w:val="center" w:pos="4680"/>
        <w:tab w:val="right" w:pos="9360"/>
      </w:tabs>
    </w:pPr>
  </w:style>
  <w:style w:type="character" w:customStyle="1" w:styleId="HeaderChar">
    <w:name w:val="Header Char"/>
    <w:basedOn w:val="DefaultParagraphFont"/>
    <w:link w:val="Header"/>
    <w:uiPriority w:val="99"/>
    <w:rsid w:val="006E2DD3"/>
    <w:rPr>
      <w:rFonts w:ascii="Calibri" w:eastAsia="Helvetica Neue" w:hAnsi="Calibri" w:cs="Calibri"/>
      <w:bCs/>
      <w:lang w:val="en-GB"/>
    </w:rPr>
  </w:style>
  <w:style w:type="paragraph" w:styleId="Footer">
    <w:name w:val="footer"/>
    <w:basedOn w:val="Normal"/>
    <w:link w:val="FooterChar"/>
    <w:uiPriority w:val="99"/>
    <w:unhideWhenUsed/>
    <w:rsid w:val="006E2DD3"/>
    <w:pPr>
      <w:tabs>
        <w:tab w:val="center" w:pos="4680"/>
        <w:tab w:val="right" w:pos="9360"/>
      </w:tabs>
    </w:pPr>
  </w:style>
  <w:style w:type="character" w:customStyle="1" w:styleId="FooterChar">
    <w:name w:val="Footer Char"/>
    <w:basedOn w:val="DefaultParagraphFont"/>
    <w:link w:val="Footer"/>
    <w:uiPriority w:val="99"/>
    <w:rsid w:val="006E2DD3"/>
    <w:rPr>
      <w:rFonts w:ascii="Calibri" w:eastAsia="Helvetica Neue" w:hAnsi="Calibri" w:cs="Calibri"/>
      <w:bCs/>
      <w:lang w:val="en-GB"/>
    </w:rPr>
  </w:style>
  <w:style w:type="character" w:styleId="FootnoteReference">
    <w:name w:val="footnote reference"/>
    <w:aliases w:val="Appel note de bas de page,stylish,Ref,de nota al pie,16 Point,Superscript 6 Point,Footnotemark,FR,Footnotemark1,Footnotemark2,FR1,Footnotemark3,FR2,Footnotemark4,FR3,Footnotemark5,FR4,Footnotemark6,Footnotemark7,Footnotemark8,FR5"/>
    <w:basedOn w:val="DefaultParagraphFont"/>
    <w:uiPriority w:val="99"/>
    <w:unhideWhenUsed/>
    <w:qFormat/>
    <w:rsid w:val="00EC7481"/>
    <w:rPr>
      <w:vertAlign w:val="superscript"/>
    </w:rPr>
  </w:style>
  <w:style w:type="paragraph" w:customStyle="1" w:styleId="Footnote">
    <w:name w:val="Footnote"/>
    <w:basedOn w:val="FootnoteText"/>
    <w:link w:val="FootnoteChar"/>
    <w:qFormat/>
    <w:rsid w:val="00EC7481"/>
    <w:pPr>
      <w:ind w:left="425" w:hanging="425"/>
    </w:pPr>
  </w:style>
  <w:style w:type="character" w:customStyle="1" w:styleId="FootnoteChar">
    <w:name w:val="Footnote Char"/>
    <w:basedOn w:val="FootnoteTextChar"/>
    <w:link w:val="Footnote"/>
    <w:rsid w:val="00EC7481"/>
    <w:rPr>
      <w:rFonts w:ascii="Calibri" w:eastAsia="Calibri" w:hAnsi="Calibri" w:cs="Times New Roman"/>
      <w:bCs/>
      <w:sz w:val="20"/>
      <w:szCs w:val="20"/>
      <w:lang w:val="en-GB"/>
    </w:rPr>
  </w:style>
  <w:style w:type="table" w:customStyle="1" w:styleId="5">
    <w:name w:val="5"/>
    <w:basedOn w:val="TableNormal"/>
    <w:rsid w:val="00EC7481"/>
    <w:rPr>
      <w:rFonts w:ascii="Calibri" w:eastAsia="Calibri" w:hAnsi="Calibri" w:cs="Calibri"/>
      <w:lang w:val="en-GB" w:eastAsia="ko-KR"/>
    </w:rPr>
    <w:tblPr>
      <w:tblStyleRowBandSize w:val="1"/>
      <w:tblStyleColBandSize w:val="1"/>
      <w:tblCellMar>
        <w:left w:w="115" w:type="dxa"/>
        <w:right w:w="115" w:type="dxa"/>
      </w:tblCellMar>
    </w:tblPr>
  </w:style>
  <w:style w:type="paragraph" w:styleId="FootnoteText">
    <w:name w:val="footnote text"/>
    <w:basedOn w:val="Normal"/>
    <w:link w:val="FootnoteTextChar"/>
    <w:uiPriority w:val="99"/>
    <w:unhideWhenUsed/>
    <w:rsid w:val="00EC7481"/>
    <w:pPr>
      <w:ind w:left="432" w:hanging="432"/>
    </w:pPr>
    <w:rPr>
      <w:rFonts w:eastAsia="Calibri" w:cs="Times New Roman"/>
      <w:bCs w:val="0"/>
      <w:sz w:val="20"/>
      <w:szCs w:val="20"/>
    </w:rPr>
  </w:style>
  <w:style w:type="character" w:customStyle="1" w:styleId="FootnoteTextChar">
    <w:name w:val="Footnote Text Char"/>
    <w:basedOn w:val="DefaultParagraphFont"/>
    <w:link w:val="FootnoteText"/>
    <w:uiPriority w:val="99"/>
    <w:rsid w:val="00EC7481"/>
    <w:rPr>
      <w:rFonts w:ascii="Calibri" w:eastAsia="Calibri" w:hAnsi="Calibri" w:cs="Times New Roman"/>
      <w:sz w:val="20"/>
      <w:szCs w:val="20"/>
      <w:lang w:val="en-GB"/>
    </w:rPr>
  </w:style>
  <w:style w:type="paragraph" w:styleId="BalloonText">
    <w:name w:val="Balloon Text"/>
    <w:basedOn w:val="Normal"/>
    <w:link w:val="BalloonTextChar"/>
    <w:uiPriority w:val="99"/>
    <w:semiHidden/>
    <w:unhideWhenUsed/>
    <w:rsid w:val="00984F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F89"/>
    <w:rPr>
      <w:rFonts w:ascii="Segoe UI" w:eastAsia="Helvetica Neue" w:hAnsi="Segoe UI" w:cs="Segoe UI"/>
      <w:bCs/>
      <w:sz w:val="18"/>
      <w:szCs w:val="18"/>
    </w:rPr>
  </w:style>
  <w:style w:type="character" w:styleId="UnresolvedMention">
    <w:name w:val="Unresolved Mention"/>
    <w:basedOn w:val="DefaultParagraphFont"/>
    <w:uiPriority w:val="99"/>
    <w:semiHidden/>
    <w:unhideWhenUsed/>
    <w:rsid w:val="007602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490374">
      <w:bodyDiv w:val="1"/>
      <w:marLeft w:val="0"/>
      <w:marRight w:val="0"/>
      <w:marTop w:val="0"/>
      <w:marBottom w:val="0"/>
      <w:divBdr>
        <w:top w:val="none" w:sz="0" w:space="0" w:color="auto"/>
        <w:left w:val="none" w:sz="0" w:space="0" w:color="auto"/>
        <w:bottom w:val="none" w:sz="0" w:space="0" w:color="auto"/>
        <w:right w:val="none" w:sz="0" w:space="0" w:color="auto"/>
      </w:divBdr>
    </w:div>
    <w:div w:id="942540798">
      <w:bodyDiv w:val="1"/>
      <w:marLeft w:val="0"/>
      <w:marRight w:val="0"/>
      <w:marTop w:val="0"/>
      <w:marBottom w:val="0"/>
      <w:divBdr>
        <w:top w:val="none" w:sz="0" w:space="0" w:color="auto"/>
        <w:left w:val="none" w:sz="0" w:space="0" w:color="auto"/>
        <w:bottom w:val="none" w:sz="0" w:space="0" w:color="auto"/>
        <w:right w:val="none" w:sz="0" w:space="0" w:color="auto"/>
      </w:divBdr>
    </w:div>
    <w:div w:id="1083263212">
      <w:bodyDiv w:val="1"/>
      <w:marLeft w:val="0"/>
      <w:marRight w:val="0"/>
      <w:marTop w:val="0"/>
      <w:marBottom w:val="0"/>
      <w:divBdr>
        <w:top w:val="none" w:sz="0" w:space="0" w:color="auto"/>
        <w:left w:val="none" w:sz="0" w:space="0" w:color="auto"/>
        <w:bottom w:val="none" w:sz="0" w:space="0" w:color="auto"/>
        <w:right w:val="none" w:sz="0" w:space="0" w:color="auto"/>
      </w:divBdr>
    </w:div>
    <w:div w:id="1097294007">
      <w:bodyDiv w:val="1"/>
      <w:marLeft w:val="0"/>
      <w:marRight w:val="0"/>
      <w:marTop w:val="0"/>
      <w:marBottom w:val="0"/>
      <w:divBdr>
        <w:top w:val="none" w:sz="0" w:space="0" w:color="auto"/>
        <w:left w:val="none" w:sz="0" w:space="0" w:color="auto"/>
        <w:bottom w:val="none" w:sz="0" w:space="0" w:color="auto"/>
        <w:right w:val="none" w:sz="0" w:space="0" w:color="auto"/>
      </w:divBdr>
    </w:div>
    <w:div w:id="1168129092">
      <w:bodyDiv w:val="1"/>
      <w:marLeft w:val="0"/>
      <w:marRight w:val="0"/>
      <w:marTop w:val="0"/>
      <w:marBottom w:val="0"/>
      <w:divBdr>
        <w:top w:val="none" w:sz="0" w:space="0" w:color="auto"/>
        <w:left w:val="none" w:sz="0" w:space="0" w:color="auto"/>
        <w:bottom w:val="none" w:sz="0" w:space="0" w:color="auto"/>
        <w:right w:val="none" w:sz="0" w:space="0" w:color="auto"/>
      </w:divBdr>
    </w:div>
    <w:div w:id="1232274726">
      <w:bodyDiv w:val="1"/>
      <w:marLeft w:val="0"/>
      <w:marRight w:val="0"/>
      <w:marTop w:val="0"/>
      <w:marBottom w:val="0"/>
      <w:divBdr>
        <w:top w:val="none" w:sz="0" w:space="0" w:color="auto"/>
        <w:left w:val="none" w:sz="0" w:space="0" w:color="auto"/>
        <w:bottom w:val="none" w:sz="0" w:space="0" w:color="auto"/>
        <w:right w:val="none" w:sz="0" w:space="0" w:color="auto"/>
      </w:divBdr>
    </w:div>
    <w:div w:id="1238708401">
      <w:bodyDiv w:val="1"/>
      <w:marLeft w:val="0"/>
      <w:marRight w:val="0"/>
      <w:marTop w:val="0"/>
      <w:marBottom w:val="0"/>
      <w:divBdr>
        <w:top w:val="none" w:sz="0" w:space="0" w:color="auto"/>
        <w:left w:val="none" w:sz="0" w:space="0" w:color="auto"/>
        <w:bottom w:val="none" w:sz="0" w:space="0" w:color="auto"/>
        <w:right w:val="none" w:sz="0" w:space="0" w:color="auto"/>
      </w:divBdr>
    </w:div>
    <w:div w:id="166108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amsar.org/sites/default/files/documents/library/xiv.14_sci_tech_e.pdf" TargetMode="External"/><Relationship Id="rId18" Type="http://schemas.openxmlformats.org/officeDocument/2006/relationships/hyperlink" Target="https://wpp.wetlands.org/" TargetMode="External"/><Relationship Id="rId26" Type="http://schemas.openxmlformats.org/officeDocument/2006/relationships/hyperlink" Target="https://referenceworks.brillonline.com/browse/foreign-law-guide" TargetMode="External"/><Relationship Id="rId3" Type="http://schemas.openxmlformats.org/officeDocument/2006/relationships/customXml" Target="../customXml/item3.xml"/><Relationship Id="rId21" Type="http://schemas.openxmlformats.org/officeDocument/2006/relationships/hyperlink" Target="mailto:wpe@wetlands.org"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ramsar.org/document/report-decisions-63rd-meeting-standing-committee" TargetMode="External"/><Relationship Id="rId17" Type="http://schemas.openxmlformats.org/officeDocument/2006/relationships/hyperlink" Target="https://www.ramsar.org/document/resolution-xiv18-waterbird-population-estimates-support-new-existing-ramsar-site" TargetMode="External"/><Relationship Id="rId25" Type="http://schemas.openxmlformats.org/officeDocument/2006/relationships/hyperlink" Target="https://guides.loc.gov/nations-world"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strp@ramsar.org" TargetMode="External"/><Relationship Id="rId29" Type="http://schemas.openxmlformats.org/officeDocument/2006/relationships/hyperlink" Target="https://policies.worldbank.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amsar.org/document/sc63-doc19-report-chair-scientific-technical-review-panel-implementation-strp-work-plan" TargetMode="External"/><Relationship Id="rId24" Type="http://schemas.openxmlformats.org/officeDocument/2006/relationships/hyperlink" Target="https://www.nyulawglobal.org/globalex/flr.html" TargetMode="External"/><Relationship Id="rId32"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www.ecolex.org/" TargetMode="External"/><Relationship Id="rId28" Type="http://schemas.openxmlformats.org/officeDocument/2006/relationships/hyperlink" Target="https://iea.uoregon.edu/" TargetMode="External"/><Relationship Id="rId10" Type="http://schemas.openxmlformats.org/officeDocument/2006/relationships/hyperlink" Target="https://www.ramsar.org/communiques-chair-scientific-technical-review-panel-strp" TargetMode="External"/><Relationship Id="rId19" Type="http://schemas.openxmlformats.org/officeDocument/2006/relationships/hyperlink" Target="https://wpp.wetlands.org/data/Threshold" TargetMode="External"/><Relationship Id="rId31" Type="http://schemas.openxmlformats.org/officeDocument/2006/relationships/hyperlink" Target="https://papers.ssrn.com/sol3/papers.cfm?abstract_id=112999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amsar.org/sites/default/files/2023-09/STRP_workplan_2023_2025_e.pdf" TargetMode="External"/><Relationship Id="rId22" Type="http://schemas.openxmlformats.org/officeDocument/2006/relationships/hyperlink" Target="https://www.legal-atlas.com/legal-intelligence-platform.html" TargetMode="External"/><Relationship Id="rId27" Type="http://schemas.openxmlformats.org/officeDocument/2006/relationships/hyperlink" Target="https://eur-lex.europa.eu/homepage.html" TargetMode="External"/><Relationship Id="rId30" Type="http://schemas.openxmlformats.org/officeDocument/2006/relationships/hyperlink" Target="https://treaties.un.org/" TargetMode="External"/><Relationship Id="rId8"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ramsar.org/publications" TargetMode="External"/><Relationship Id="rId3" Type="http://schemas.openxmlformats.org/officeDocument/2006/relationships/hyperlink" Target="https://www.ramsar.org/document/sc63-inf3-submission-convention-wetlands-6th-meeting-ad-hoc-technical-expert-group" TargetMode="External"/><Relationship Id="rId7" Type="http://schemas.openxmlformats.org/officeDocument/2006/relationships/hyperlink" Target="https://www.global-wetland-outlook.ramsar.org/" TargetMode="External"/><Relationship Id="rId2" Type="http://schemas.openxmlformats.org/officeDocument/2006/relationships/hyperlink" Target="https://elearning.fao.org/" TargetMode="External"/><Relationship Id="rId1" Type="http://schemas.openxmlformats.org/officeDocument/2006/relationships/hyperlink" Target="https://www.ramsar.org/document/population-estimates-1-thresholds-wetland-dependent-non-avian-animal-species-application" TargetMode="External"/><Relationship Id="rId6" Type="http://schemas.openxmlformats.org/officeDocument/2006/relationships/hyperlink" Target="https://scholarship.law.duke.edu/cgi/viewcontent.cgi?article=1250&amp;context=delpf" TargetMode="External"/><Relationship Id="rId11" Type="http://schemas.openxmlformats.org/officeDocument/2006/relationships/hyperlink" Target="https://www.cms.int/en/document/central-asian-flyway-action-plan-conservation-migratory-waterbirds-and-their-habitats" TargetMode="External"/><Relationship Id="rId5" Type="http://schemas.openxmlformats.org/officeDocument/2006/relationships/hyperlink" Target="https://www.ramsar.org/document/scaling-wetland-conservation-restoration-deliver-kunming-montreal-global-biodiversity" TargetMode="External"/><Relationship Id="rId10" Type="http://schemas.openxmlformats.org/officeDocument/2006/relationships/hyperlink" Target="https://www.ipcc.ch/site/assets/uploads/2018/09/ipcc-principles-appendix-a-final.pdf" TargetMode="External"/><Relationship Id="rId4" Type="http://schemas.openxmlformats.org/officeDocument/2006/relationships/hyperlink" Target="https://www.ramsar.org/document/kunming-montreal-global-biodiversity-framework-upscaling-wetland-conservation-restoration" TargetMode="External"/><Relationship Id="rId9" Type="http://schemas.openxmlformats.org/officeDocument/2006/relationships/hyperlink" Target="https://www.ipbes.net/guide-production-assess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C65F8C4AC9F84093461CDE75A30EEF" ma:contentTypeVersion="19" ma:contentTypeDescription="Create a new document." ma:contentTypeScope="" ma:versionID="67d8cc88134005dc3bf0f88fe02826f6">
  <xsd:schema xmlns:xsd="http://www.w3.org/2001/XMLSchema" xmlns:xs="http://www.w3.org/2001/XMLSchema" xmlns:p="http://schemas.microsoft.com/office/2006/metadata/properties" xmlns:ns2="7f63c67b-b937-46be-bc24-2bcbcc7e8e15" xmlns:ns3="b3f875c2-34b6-4961-b59d-2cfc4c8c9e2d" targetNamespace="http://schemas.microsoft.com/office/2006/metadata/properties" ma:root="true" ma:fieldsID="05d1e41302a60b5e9f921c3a01bcf9df" ns2:_="" ns3:_="">
    <xsd:import namespace="7f63c67b-b937-46be-bc24-2bcbcc7e8e15"/>
    <xsd:import namespace="b3f875c2-34b6-4961-b59d-2cfc4c8c9e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3c67b-b937-46be-bc24-2bcbcc7e8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f875c2-34b6-4961-b59d-2cfc4c8c9e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13f54ac-9445-4a1e-bcca-dbd34629a966}" ma:internalName="TaxCatchAll" ma:showField="CatchAllData" ma:web="b3f875c2-34b6-4961-b59d-2cfc4c8c9e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0ED0B-2E87-47AD-8951-7ED3542B7212}">
  <ds:schemaRefs>
    <ds:schemaRef ds:uri="http://schemas.microsoft.com/sharepoint/v3/contenttype/forms"/>
  </ds:schemaRefs>
</ds:datastoreItem>
</file>

<file path=customXml/itemProps2.xml><?xml version="1.0" encoding="utf-8"?>
<ds:datastoreItem xmlns:ds="http://schemas.openxmlformats.org/officeDocument/2006/customXml" ds:itemID="{675E5C5B-789E-4CAA-9F7B-B95B8F73A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3c67b-b937-46be-bc24-2bcbcc7e8e15"/>
    <ds:schemaRef ds:uri="b3f875c2-34b6-4961-b59d-2cfc4c8c9e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F73394-6DD1-4357-8530-99F520881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44</Pages>
  <Words>16726</Words>
  <Characters>90994</Characters>
  <Application>Microsoft Office Word</Application>
  <DocSecurity>0</DocSecurity>
  <Lines>3370</Lines>
  <Paragraphs>997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cp:lastModifiedBy>JENNINGS Edmund</cp:lastModifiedBy>
  <cp:revision>4</cp:revision>
  <cp:lastPrinted>2024-11-11T14:44:00Z</cp:lastPrinted>
  <dcterms:created xsi:type="dcterms:W3CDTF">2024-11-11T14:42:00Z</dcterms:created>
  <dcterms:modified xsi:type="dcterms:W3CDTF">2024-11-11T15:43:00Z</dcterms:modified>
</cp:coreProperties>
</file>